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57EC" w:rsidRPr="004973C8" w:rsidRDefault="00A436D9" w:rsidP="008957EC">
      <w:pPr>
        <w:pStyle w:val="PHEFrontPageMainTitle"/>
      </w:pPr>
      <w:bookmarkStart w:id="0" w:name="_GoBack"/>
      <w:bookmarkEnd w:id="0"/>
      <w:r>
        <w:t>Fungal skin and nail infections: Diagnosis and laboratory investigation</w:t>
      </w:r>
    </w:p>
    <w:p w:rsidR="00551C93" w:rsidRPr="00CA24E5" w:rsidRDefault="00551C93" w:rsidP="00CA24E5">
      <w:pPr>
        <w:spacing w:line="660" w:lineRule="exact"/>
        <w:rPr>
          <w:sz w:val="52"/>
          <w:szCs w:val="52"/>
        </w:rPr>
      </w:pPr>
    </w:p>
    <w:p w:rsidR="008957EC" w:rsidRPr="004973C8" w:rsidRDefault="00D04C8D" w:rsidP="008957EC">
      <w:pPr>
        <w:pStyle w:val="PHEFrontPageMainTitle"/>
        <w:rPr>
          <w:b w:val="0"/>
        </w:rPr>
        <w:sectPr w:rsidR="008957EC" w:rsidRPr="004973C8" w:rsidSect="00FB29FC">
          <w:headerReference w:type="default" r:id="rId9"/>
          <w:footerReference w:type="default" r:id="rId10"/>
          <w:headerReference w:type="first" r:id="rId11"/>
          <w:footerReference w:type="first" r:id="rId12"/>
          <w:pgSz w:w="11906" w:h="16838"/>
          <w:pgMar w:top="5063" w:right="1134" w:bottom="1134" w:left="1134" w:header="709" w:footer="709" w:gutter="0"/>
          <w:cols w:space="708"/>
          <w:docGrid w:linePitch="360"/>
        </w:sectPr>
      </w:pPr>
      <w:r>
        <w:rPr>
          <w:b w:val="0"/>
        </w:rPr>
        <w:t>Quick reference guide for primary c</w:t>
      </w:r>
      <w:r w:rsidR="001D0A92">
        <w:rPr>
          <w:b w:val="0"/>
        </w:rPr>
        <w:t>are: F</w:t>
      </w:r>
      <w:r w:rsidR="008957EC" w:rsidRPr="004973C8">
        <w:rPr>
          <w:b w:val="0"/>
        </w:rPr>
        <w:t xml:space="preserve">or </w:t>
      </w:r>
      <w:r>
        <w:rPr>
          <w:b w:val="0"/>
        </w:rPr>
        <w:t>consultation and local a</w:t>
      </w:r>
      <w:r w:rsidR="008957EC" w:rsidRPr="004973C8">
        <w:rPr>
          <w:b w:val="0"/>
        </w:rPr>
        <w:t>daptation</w:t>
      </w:r>
    </w:p>
    <w:p w:rsidR="00605685" w:rsidRDefault="00605685" w:rsidP="00C5760C">
      <w:pPr>
        <w:spacing w:line="280" w:lineRule="exact"/>
        <w:rPr>
          <w:rFonts w:cs="Arial"/>
          <w:color w:val="98002E"/>
          <w:szCs w:val="24"/>
        </w:rPr>
      </w:pPr>
    </w:p>
    <w:p w:rsidR="008957EC" w:rsidRPr="004973C8" w:rsidRDefault="008957EC" w:rsidP="008957EC">
      <w:pPr>
        <w:pStyle w:val="PHEHeading"/>
      </w:pPr>
      <w:bookmarkStart w:id="1" w:name="_Toc453254017"/>
      <w:r w:rsidRPr="004973C8">
        <w:t>About Public Health England</w:t>
      </w:r>
      <w:bookmarkEnd w:id="1"/>
    </w:p>
    <w:p w:rsidR="005879D0" w:rsidRDefault="005879D0" w:rsidP="005879D0">
      <w:pPr>
        <w:rPr>
          <w:rFonts w:cs="Arial"/>
          <w:szCs w:val="24"/>
        </w:rPr>
      </w:pPr>
      <w:r>
        <w:rPr>
          <w:rFonts w:cs="Arial"/>
          <w:szCs w:val="24"/>
        </w:rPr>
        <w:t xml:space="preserve">Public Health England (PHE) exists to protect and improve the nation’s health and wellbeing, and reduce health inequalities. It does this through world-class science, knowledge and intelligence, advocacy, partnerships, and the delivery of specialist public health services. PHE is an </w:t>
      </w:r>
      <w:r w:rsidR="0090701E">
        <w:rPr>
          <w:rFonts w:cs="Arial"/>
          <w:szCs w:val="24"/>
        </w:rPr>
        <w:t>executive agency of the Department of Health, and is a distinct delivery organisation with operational autonomy</w:t>
      </w:r>
      <w:r>
        <w:rPr>
          <w:rFonts w:cs="Arial"/>
          <w:szCs w:val="24"/>
        </w:rPr>
        <w:t xml:space="preserve"> </w:t>
      </w:r>
      <w:r w:rsidR="0090701E">
        <w:rPr>
          <w:rFonts w:cs="Arial"/>
          <w:szCs w:val="24"/>
        </w:rPr>
        <w:t>to advise and support government, local authorities, and the NHS, in a professionally independent manner.</w:t>
      </w:r>
    </w:p>
    <w:p w:rsidR="005879D0" w:rsidRDefault="005879D0" w:rsidP="005879D0">
      <w:pPr>
        <w:rPr>
          <w:rFonts w:cs="Arial"/>
          <w:szCs w:val="24"/>
        </w:rPr>
      </w:pPr>
    </w:p>
    <w:p w:rsidR="005879D0" w:rsidRDefault="005879D0" w:rsidP="005879D0">
      <w:pPr>
        <w:rPr>
          <w:rFonts w:cs="Arial"/>
          <w:szCs w:val="24"/>
        </w:rPr>
      </w:pPr>
    </w:p>
    <w:p w:rsidR="005879D0" w:rsidRDefault="005879D0" w:rsidP="005879D0">
      <w:pPr>
        <w:rPr>
          <w:rFonts w:cs="Arial"/>
          <w:szCs w:val="24"/>
        </w:rPr>
      </w:pPr>
    </w:p>
    <w:p w:rsidR="005879D0" w:rsidRDefault="005879D0" w:rsidP="005879D0">
      <w:pPr>
        <w:rPr>
          <w:rFonts w:cs="Arial"/>
          <w:szCs w:val="24"/>
        </w:rPr>
      </w:pPr>
    </w:p>
    <w:p w:rsidR="005879D0" w:rsidRDefault="005879D0" w:rsidP="005879D0">
      <w:pPr>
        <w:rPr>
          <w:rFonts w:cs="Arial"/>
          <w:szCs w:val="24"/>
        </w:rPr>
      </w:pPr>
      <w:r>
        <w:rPr>
          <w:rFonts w:cs="Arial"/>
          <w:szCs w:val="24"/>
        </w:rPr>
        <w:t>Public Health England</w:t>
      </w:r>
    </w:p>
    <w:p w:rsidR="005879D0" w:rsidRDefault="005879D0" w:rsidP="005879D0">
      <w:pPr>
        <w:rPr>
          <w:rFonts w:cs="Arial"/>
          <w:szCs w:val="24"/>
        </w:rPr>
      </w:pPr>
      <w:r>
        <w:rPr>
          <w:rFonts w:cs="Arial"/>
          <w:szCs w:val="24"/>
        </w:rPr>
        <w:t>Wellington House</w:t>
      </w:r>
    </w:p>
    <w:p w:rsidR="005879D0" w:rsidRDefault="005879D0" w:rsidP="005879D0">
      <w:pPr>
        <w:rPr>
          <w:rFonts w:cs="Arial"/>
          <w:szCs w:val="24"/>
        </w:rPr>
      </w:pPr>
      <w:r>
        <w:rPr>
          <w:rFonts w:cs="Arial"/>
          <w:szCs w:val="24"/>
        </w:rPr>
        <w:t>133-155 Waterloo Road</w:t>
      </w:r>
    </w:p>
    <w:p w:rsidR="005879D0" w:rsidRDefault="005879D0" w:rsidP="005879D0">
      <w:pPr>
        <w:rPr>
          <w:rFonts w:cs="Arial"/>
          <w:szCs w:val="24"/>
        </w:rPr>
      </w:pPr>
      <w:r>
        <w:rPr>
          <w:rFonts w:cs="Arial"/>
          <w:szCs w:val="24"/>
        </w:rPr>
        <w:t>London SE1 8UG</w:t>
      </w:r>
    </w:p>
    <w:p w:rsidR="005879D0" w:rsidRDefault="005879D0" w:rsidP="005879D0">
      <w:pPr>
        <w:rPr>
          <w:rFonts w:cs="Arial"/>
          <w:szCs w:val="24"/>
        </w:rPr>
      </w:pPr>
      <w:r>
        <w:rPr>
          <w:rFonts w:cs="Arial"/>
          <w:szCs w:val="24"/>
        </w:rPr>
        <w:t>Tel: 020 7654 8000</w:t>
      </w:r>
    </w:p>
    <w:p w:rsidR="005879D0" w:rsidRPr="00EC4C4B" w:rsidRDefault="00406EE5" w:rsidP="005879D0">
      <w:pPr>
        <w:rPr>
          <w:rFonts w:cs="Arial"/>
          <w:color w:val="98002E"/>
          <w:szCs w:val="24"/>
        </w:rPr>
      </w:pPr>
      <w:hyperlink r:id="rId13" w:history="1">
        <w:r w:rsidR="00EC4C4B" w:rsidRPr="00EC4C4B">
          <w:rPr>
            <w:rStyle w:val="Hyperlink"/>
            <w:rFonts w:cs="Arial"/>
            <w:szCs w:val="24"/>
            <w:u w:val="none"/>
          </w:rPr>
          <w:t>www.gov.uk/phe</w:t>
        </w:r>
      </w:hyperlink>
    </w:p>
    <w:p w:rsidR="00EC4C4B" w:rsidRDefault="00EC4C4B" w:rsidP="005879D0">
      <w:pPr>
        <w:rPr>
          <w:rFonts w:cs="Arial"/>
          <w:szCs w:val="24"/>
        </w:rPr>
      </w:pPr>
      <w:r>
        <w:rPr>
          <w:rFonts w:cs="Arial"/>
          <w:szCs w:val="24"/>
        </w:rPr>
        <w:t xml:space="preserve">Twitter: </w:t>
      </w:r>
      <w:hyperlink r:id="rId14" w:history="1">
        <w:r w:rsidRPr="00EC4C4B">
          <w:rPr>
            <w:rStyle w:val="Hyperlink"/>
            <w:rFonts w:cs="Arial"/>
            <w:szCs w:val="24"/>
            <w:u w:val="none"/>
          </w:rPr>
          <w:t>@PHE_uk</w:t>
        </w:r>
      </w:hyperlink>
    </w:p>
    <w:p w:rsidR="00EC4C4B" w:rsidRPr="00EC4C4B" w:rsidRDefault="00EC4C4B" w:rsidP="005879D0">
      <w:pPr>
        <w:rPr>
          <w:rFonts w:cs="Arial"/>
          <w:color w:val="98002E"/>
          <w:szCs w:val="24"/>
        </w:rPr>
      </w:pPr>
      <w:r>
        <w:rPr>
          <w:rFonts w:cs="Arial"/>
          <w:szCs w:val="24"/>
        </w:rPr>
        <w:t xml:space="preserve">Facebook: </w:t>
      </w:r>
      <w:hyperlink r:id="rId15" w:history="1">
        <w:r w:rsidRPr="00EC4C4B">
          <w:rPr>
            <w:rStyle w:val="Hyperlink"/>
            <w:rFonts w:cs="Arial"/>
            <w:szCs w:val="24"/>
            <w:u w:val="none"/>
          </w:rPr>
          <w:t>www.facebook.com/PublicHealthEngland</w:t>
        </w:r>
      </w:hyperlink>
    </w:p>
    <w:p w:rsidR="00EC4C4B" w:rsidRDefault="00EC4C4B" w:rsidP="005879D0">
      <w:pPr>
        <w:rPr>
          <w:rFonts w:cs="Arial"/>
          <w:szCs w:val="24"/>
        </w:rPr>
      </w:pPr>
    </w:p>
    <w:p w:rsidR="00EC4C4B" w:rsidRDefault="00EC4C4B" w:rsidP="005879D0">
      <w:pPr>
        <w:rPr>
          <w:rFonts w:cs="Arial"/>
          <w:szCs w:val="24"/>
        </w:rPr>
      </w:pPr>
      <w:r>
        <w:rPr>
          <w:rFonts w:cs="Arial"/>
          <w:szCs w:val="24"/>
        </w:rPr>
        <w:t>Prepared by: Prof</w:t>
      </w:r>
      <w:r w:rsidR="00D04C8D">
        <w:rPr>
          <w:rFonts w:cs="Arial"/>
          <w:szCs w:val="24"/>
        </w:rPr>
        <w:t>essor</w:t>
      </w:r>
      <w:r>
        <w:rPr>
          <w:rFonts w:cs="Arial"/>
          <w:szCs w:val="24"/>
        </w:rPr>
        <w:t xml:space="preserve"> Cliodna McNulty</w:t>
      </w:r>
    </w:p>
    <w:p w:rsidR="00EC4C4B" w:rsidRDefault="00EC4C4B" w:rsidP="005879D0">
      <w:pPr>
        <w:rPr>
          <w:rFonts w:cs="Arial"/>
          <w:szCs w:val="24"/>
        </w:rPr>
      </w:pPr>
      <w:r>
        <w:rPr>
          <w:rFonts w:cs="Arial"/>
          <w:szCs w:val="24"/>
        </w:rPr>
        <w:t xml:space="preserve">For queries relating to this document, please contact </w:t>
      </w:r>
      <w:hyperlink r:id="rId16" w:history="1">
        <w:r w:rsidRPr="00EC4C4B">
          <w:rPr>
            <w:rStyle w:val="Hyperlink"/>
            <w:rFonts w:cs="Arial"/>
            <w:szCs w:val="24"/>
            <w:u w:val="none"/>
          </w:rPr>
          <w:t>cliodna.mcnulty@phe.gov.uk</w:t>
        </w:r>
      </w:hyperlink>
      <w:r>
        <w:rPr>
          <w:rFonts w:cs="Arial"/>
          <w:szCs w:val="24"/>
        </w:rPr>
        <w:t xml:space="preserve"> or </w:t>
      </w:r>
      <w:hyperlink r:id="rId17" w:history="1">
        <w:r w:rsidR="004F23C4" w:rsidRPr="004F23C4">
          <w:rPr>
            <w:rStyle w:val="Hyperlink"/>
            <w:rFonts w:cs="Arial"/>
            <w:color w:val="98002E"/>
            <w:szCs w:val="24"/>
            <w:u w:val="none"/>
          </w:rPr>
          <w:t>sarah.alton@phe.gov.uk</w:t>
        </w:r>
      </w:hyperlink>
      <w:r>
        <w:rPr>
          <w:rFonts w:cs="Arial"/>
          <w:szCs w:val="24"/>
        </w:rPr>
        <w:t>.</w:t>
      </w:r>
    </w:p>
    <w:p w:rsidR="00EC4C4B" w:rsidRDefault="00EC4C4B" w:rsidP="005879D0">
      <w:pPr>
        <w:rPr>
          <w:rFonts w:cs="Arial"/>
          <w:szCs w:val="24"/>
        </w:rPr>
      </w:pPr>
    </w:p>
    <w:p w:rsidR="00EC4C4B" w:rsidRDefault="00A436D9" w:rsidP="005879D0">
      <w:pPr>
        <w:rPr>
          <w:rFonts w:cs="Arial"/>
          <w:szCs w:val="24"/>
        </w:rPr>
      </w:pPr>
      <w:r>
        <w:rPr>
          <w:rFonts w:cs="Arial"/>
          <w:szCs w:val="24"/>
        </w:rPr>
        <w:t>© Crown copyright 2017</w:t>
      </w:r>
    </w:p>
    <w:p w:rsidR="00EC4C4B" w:rsidRDefault="00EC4C4B" w:rsidP="005879D0">
      <w:pPr>
        <w:rPr>
          <w:rFonts w:cs="Arial"/>
          <w:szCs w:val="24"/>
        </w:rPr>
      </w:pPr>
      <w:r>
        <w:rPr>
          <w:rFonts w:cs="Arial"/>
          <w:szCs w:val="24"/>
        </w:rPr>
        <w:t>You may re-use this information (excluding logos) free of charge in any format or medium, under the terms o</w:t>
      </w:r>
      <w:r w:rsidR="00D04C8D">
        <w:rPr>
          <w:rFonts w:cs="Arial"/>
          <w:szCs w:val="24"/>
        </w:rPr>
        <w:t>f the Open Government License v3</w:t>
      </w:r>
      <w:r>
        <w:rPr>
          <w:rFonts w:cs="Arial"/>
          <w:szCs w:val="24"/>
        </w:rPr>
        <w:t xml:space="preserve">.0. To view this license, visit </w:t>
      </w:r>
      <w:hyperlink r:id="rId18" w:history="1">
        <w:r w:rsidRPr="00707874">
          <w:rPr>
            <w:rStyle w:val="Hyperlink"/>
            <w:rFonts w:cs="Arial"/>
            <w:color w:val="98002E"/>
            <w:szCs w:val="24"/>
            <w:u w:val="none"/>
          </w:rPr>
          <w:t>OGL</w:t>
        </w:r>
      </w:hyperlink>
      <w:r>
        <w:rPr>
          <w:rFonts w:cs="Arial"/>
          <w:szCs w:val="24"/>
        </w:rPr>
        <w:t xml:space="preserve"> or email </w:t>
      </w:r>
      <w:hyperlink r:id="rId19" w:history="1">
        <w:r w:rsidRPr="00707874">
          <w:rPr>
            <w:rStyle w:val="Hyperlink"/>
            <w:rFonts w:cs="Arial"/>
            <w:color w:val="98002E"/>
            <w:szCs w:val="24"/>
            <w:u w:val="none"/>
          </w:rPr>
          <w:t>psi@nationalarchives.gsi.gov.uk</w:t>
        </w:r>
      </w:hyperlink>
      <w:r>
        <w:rPr>
          <w:rFonts w:cs="Arial"/>
          <w:szCs w:val="24"/>
        </w:rPr>
        <w:t xml:space="preserve">. </w:t>
      </w:r>
      <w:r w:rsidR="00707874">
        <w:rPr>
          <w:rFonts w:cs="Arial"/>
          <w:szCs w:val="24"/>
        </w:rPr>
        <w:t xml:space="preserve">Where we have identified any third party copyright information you will need to obtain permission from the copyright holders concerned. Any enquiries regarding this publication should be sent to </w:t>
      </w:r>
      <w:hyperlink r:id="rId20" w:history="1">
        <w:r w:rsidR="00707874" w:rsidRPr="00707874">
          <w:rPr>
            <w:rStyle w:val="Hyperlink"/>
            <w:rFonts w:cs="Arial"/>
            <w:color w:val="98002E"/>
            <w:szCs w:val="24"/>
            <w:u w:val="none"/>
          </w:rPr>
          <w:t>cliodna.mcnulty@phe.gov.uk</w:t>
        </w:r>
      </w:hyperlink>
      <w:r w:rsidR="00707874">
        <w:rPr>
          <w:rFonts w:cs="Arial"/>
          <w:szCs w:val="24"/>
        </w:rPr>
        <w:t>.</w:t>
      </w:r>
    </w:p>
    <w:p w:rsidR="00707874" w:rsidRDefault="00707874" w:rsidP="005879D0">
      <w:pPr>
        <w:rPr>
          <w:rFonts w:cs="Arial"/>
          <w:szCs w:val="24"/>
        </w:rPr>
      </w:pPr>
    </w:p>
    <w:p w:rsidR="00707874" w:rsidRDefault="003477C4" w:rsidP="005879D0">
      <w:pPr>
        <w:rPr>
          <w:rFonts w:cs="Arial"/>
          <w:szCs w:val="24"/>
        </w:rPr>
      </w:pPr>
      <w:r>
        <w:rPr>
          <w:rFonts w:cs="Arial"/>
          <w:szCs w:val="24"/>
        </w:rPr>
        <w:t>Reformat p</w:t>
      </w:r>
      <w:r w:rsidR="00707874">
        <w:rPr>
          <w:rFonts w:cs="Arial"/>
          <w:szCs w:val="24"/>
        </w:rPr>
        <w:t xml:space="preserve">ublished </w:t>
      </w:r>
      <w:r w:rsidR="00250D15">
        <w:rPr>
          <w:rFonts w:cs="Arial"/>
          <w:szCs w:val="24"/>
        </w:rPr>
        <w:t>June</w:t>
      </w:r>
      <w:r w:rsidR="00A436D9">
        <w:rPr>
          <w:rFonts w:cs="Arial"/>
          <w:szCs w:val="24"/>
        </w:rPr>
        <w:t xml:space="preserve"> 2017</w:t>
      </w:r>
    </w:p>
    <w:p w:rsidR="00707874" w:rsidRDefault="00707874" w:rsidP="000F71CC">
      <w:pPr>
        <w:tabs>
          <w:tab w:val="left" w:pos="7585"/>
        </w:tabs>
        <w:rPr>
          <w:rFonts w:cs="Arial"/>
          <w:szCs w:val="24"/>
        </w:rPr>
      </w:pPr>
      <w:r>
        <w:rPr>
          <w:rFonts w:cs="Arial"/>
          <w:szCs w:val="24"/>
        </w:rPr>
        <w:t>P</w:t>
      </w:r>
      <w:r w:rsidR="00A436D9">
        <w:rPr>
          <w:rFonts w:cs="Arial"/>
          <w:szCs w:val="24"/>
        </w:rPr>
        <w:t>HE publications gateway number:</w:t>
      </w:r>
      <w:r w:rsidR="00250D15">
        <w:rPr>
          <w:rFonts w:cs="Arial"/>
          <w:szCs w:val="24"/>
        </w:rPr>
        <w:t xml:space="preserve"> 2017088</w:t>
      </w:r>
      <w:r w:rsidR="000F71CC">
        <w:rPr>
          <w:rFonts w:cs="Arial"/>
          <w:szCs w:val="24"/>
        </w:rPr>
        <w:tab/>
      </w:r>
    </w:p>
    <w:p w:rsidR="00707874" w:rsidRDefault="00707874" w:rsidP="005879D0">
      <w:pPr>
        <w:rPr>
          <w:rFonts w:cs="Arial"/>
          <w:szCs w:val="24"/>
        </w:rPr>
      </w:pPr>
    </w:p>
    <w:p w:rsidR="00707874" w:rsidRDefault="00707874" w:rsidP="005879D0">
      <w:pPr>
        <w:rPr>
          <w:rFonts w:cs="Arial"/>
          <w:szCs w:val="24"/>
        </w:rPr>
      </w:pPr>
      <w:r>
        <w:rPr>
          <w:rFonts w:cs="Arial"/>
          <w:szCs w:val="24"/>
        </w:rPr>
        <w:t xml:space="preserve">This document is available in other formats on request. Please call 0300 422 5068 or email </w:t>
      </w:r>
      <w:hyperlink r:id="rId21" w:history="1">
        <w:r w:rsidR="004F23C4" w:rsidRPr="004F23C4">
          <w:rPr>
            <w:rStyle w:val="Hyperlink"/>
            <w:rFonts w:cs="Arial"/>
            <w:color w:val="98002E"/>
            <w:szCs w:val="24"/>
            <w:u w:val="none"/>
          </w:rPr>
          <w:t>sarah.alton@phe.gov.uk</w:t>
        </w:r>
      </w:hyperlink>
      <w:r>
        <w:rPr>
          <w:rFonts w:cs="Arial"/>
          <w:szCs w:val="24"/>
        </w:rPr>
        <w:t>.</w:t>
      </w:r>
    </w:p>
    <w:p w:rsidR="00707874" w:rsidRDefault="00707874" w:rsidP="005879D0">
      <w:pPr>
        <w:rPr>
          <w:rFonts w:cs="Arial"/>
          <w:szCs w:val="24"/>
        </w:rPr>
      </w:pPr>
    </w:p>
    <w:p w:rsidR="00707874" w:rsidRDefault="00707874" w:rsidP="005879D0">
      <w:pPr>
        <w:rPr>
          <w:rFonts w:cs="Arial"/>
          <w:szCs w:val="24"/>
        </w:rPr>
      </w:pPr>
      <w:r w:rsidRPr="00C0594C">
        <w:rPr>
          <w:rFonts w:cs="Arial"/>
          <w:noProof/>
          <w:szCs w:val="24"/>
          <w:lang w:eastAsia="en-GB"/>
        </w:rPr>
        <w:drawing>
          <wp:anchor distT="0" distB="0" distL="114300" distR="114300" simplePos="0" relativeHeight="251659264" behindDoc="0" locked="0" layoutInCell="1" allowOverlap="1" wp14:anchorId="1C516E1F" wp14:editId="7AFA53D4">
            <wp:simplePos x="0" y="0"/>
            <wp:positionH relativeFrom="column">
              <wp:posOffset>15240</wp:posOffset>
            </wp:positionH>
            <wp:positionV relativeFrom="paragraph">
              <wp:posOffset>109220</wp:posOffset>
            </wp:positionV>
            <wp:extent cx="897890" cy="734695"/>
            <wp:effectExtent l="0" t="0" r="0" b="8255"/>
            <wp:wrapSquare wrapText="bothSides"/>
            <wp:docPr id="48" name="Picture 2" descr="Corporate_member_logo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porate_member_logo_3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7890" cy="73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7874" w:rsidRDefault="00707874" w:rsidP="005879D0">
      <w:pPr>
        <w:rPr>
          <w:rFonts w:cs="Arial"/>
          <w:szCs w:val="24"/>
        </w:rPr>
      </w:pPr>
    </w:p>
    <w:p w:rsidR="00707874" w:rsidRDefault="00707874" w:rsidP="005879D0">
      <w:pPr>
        <w:rPr>
          <w:rFonts w:cs="Arial"/>
          <w:szCs w:val="24"/>
        </w:rPr>
      </w:pPr>
    </w:p>
    <w:p w:rsidR="00707874" w:rsidRDefault="00707874" w:rsidP="009644F3">
      <w:pPr>
        <w:tabs>
          <w:tab w:val="left" w:pos="2662"/>
        </w:tabs>
        <w:rPr>
          <w:rFonts w:cs="Arial"/>
          <w:szCs w:val="24"/>
        </w:rPr>
      </w:pPr>
    </w:p>
    <w:p w:rsidR="007442D9" w:rsidRDefault="007442D9" w:rsidP="009644F3">
      <w:pPr>
        <w:tabs>
          <w:tab w:val="left" w:pos="2662"/>
        </w:tabs>
        <w:rPr>
          <w:rFonts w:cs="Arial"/>
          <w:szCs w:val="24"/>
        </w:rPr>
      </w:pPr>
    </w:p>
    <w:p w:rsidR="007442D9" w:rsidRDefault="007442D9" w:rsidP="009644F3">
      <w:pPr>
        <w:tabs>
          <w:tab w:val="left" w:pos="2662"/>
        </w:tabs>
        <w:rPr>
          <w:rFonts w:cs="Arial"/>
          <w:szCs w:val="24"/>
        </w:rPr>
      </w:pPr>
    </w:p>
    <w:p w:rsidR="007442D9" w:rsidRDefault="007442D9" w:rsidP="007442D9">
      <w:pPr>
        <w:tabs>
          <w:tab w:val="left" w:pos="2662"/>
        </w:tabs>
        <w:spacing w:line="280" w:lineRule="exact"/>
        <w:rPr>
          <w:rFonts w:cs="Arial"/>
          <w:szCs w:val="24"/>
        </w:rPr>
      </w:pPr>
    </w:p>
    <w:p w:rsidR="008957EC" w:rsidRDefault="008957EC" w:rsidP="008957EC">
      <w:pPr>
        <w:pStyle w:val="PHEHeading"/>
      </w:pPr>
      <w:bookmarkStart w:id="2" w:name="_Toc453254018"/>
      <w:r>
        <w:t>Contents</w:t>
      </w:r>
      <w:bookmarkEnd w:id="2"/>
    </w:p>
    <w:p w:rsidR="00827424" w:rsidRDefault="00266F51" w:rsidP="00E254A3">
      <w:pPr>
        <w:pStyle w:val="TOC1"/>
        <w:rPr>
          <w:rFonts w:asciiTheme="minorHAnsi" w:eastAsiaTheme="minorEastAsia" w:hAnsiTheme="minorHAnsi"/>
          <w:noProof/>
          <w:sz w:val="22"/>
          <w:lang w:eastAsia="en-GB"/>
        </w:rPr>
      </w:pPr>
      <w:r>
        <w:rPr>
          <w:rFonts w:eastAsia="Times New Roman" w:cs="Times New Roman"/>
          <w:noProof/>
          <w:szCs w:val="20"/>
          <w:lang w:val="x-none"/>
        </w:rPr>
        <w:fldChar w:fldCharType="begin"/>
      </w:r>
      <w:r>
        <w:rPr>
          <w:rFonts w:eastAsia="Times New Roman" w:cs="Times New Roman"/>
          <w:noProof/>
          <w:szCs w:val="20"/>
          <w:lang w:val="x-none"/>
        </w:rPr>
        <w:instrText xml:space="preserve"> TOC \o "1-7" \h \z \u </w:instrText>
      </w:r>
      <w:r>
        <w:rPr>
          <w:rFonts w:eastAsia="Times New Roman" w:cs="Times New Roman"/>
          <w:noProof/>
          <w:szCs w:val="20"/>
          <w:lang w:val="x-none"/>
        </w:rPr>
        <w:fldChar w:fldCharType="separate"/>
      </w:r>
      <w:hyperlink w:anchor="_Toc453254017" w:history="1">
        <w:r w:rsidR="00827424" w:rsidRPr="00924920">
          <w:rPr>
            <w:rStyle w:val="Hyperlink"/>
            <w:noProof/>
          </w:rPr>
          <w:t>About Public Health England</w:t>
        </w:r>
        <w:r w:rsidR="00827424">
          <w:rPr>
            <w:noProof/>
            <w:webHidden/>
          </w:rPr>
          <w:tab/>
        </w:r>
        <w:r w:rsidR="00827424">
          <w:rPr>
            <w:noProof/>
            <w:webHidden/>
          </w:rPr>
          <w:fldChar w:fldCharType="begin"/>
        </w:r>
        <w:r w:rsidR="00827424">
          <w:rPr>
            <w:noProof/>
            <w:webHidden/>
          </w:rPr>
          <w:instrText xml:space="preserve"> PAGEREF _Toc453254017 \h </w:instrText>
        </w:r>
        <w:r w:rsidR="00827424">
          <w:rPr>
            <w:noProof/>
            <w:webHidden/>
          </w:rPr>
        </w:r>
        <w:r w:rsidR="00827424">
          <w:rPr>
            <w:noProof/>
            <w:webHidden/>
          </w:rPr>
          <w:fldChar w:fldCharType="separate"/>
        </w:r>
        <w:r w:rsidR="00406EE5">
          <w:rPr>
            <w:noProof/>
            <w:webHidden/>
          </w:rPr>
          <w:t>2</w:t>
        </w:r>
        <w:r w:rsidR="00827424">
          <w:rPr>
            <w:noProof/>
            <w:webHidden/>
          </w:rPr>
          <w:fldChar w:fldCharType="end"/>
        </w:r>
      </w:hyperlink>
    </w:p>
    <w:p w:rsidR="00827424" w:rsidRDefault="00406EE5" w:rsidP="00E254A3">
      <w:pPr>
        <w:pStyle w:val="TOC1"/>
        <w:rPr>
          <w:rFonts w:asciiTheme="minorHAnsi" w:eastAsiaTheme="minorEastAsia" w:hAnsiTheme="minorHAnsi"/>
          <w:noProof/>
          <w:sz w:val="22"/>
          <w:lang w:eastAsia="en-GB"/>
        </w:rPr>
      </w:pPr>
      <w:hyperlink w:anchor="_Toc453254018" w:history="1">
        <w:r w:rsidR="00827424" w:rsidRPr="00924920">
          <w:rPr>
            <w:rStyle w:val="Hyperlink"/>
            <w:noProof/>
          </w:rPr>
          <w:t>Contents</w:t>
        </w:r>
        <w:r w:rsidR="00827424">
          <w:rPr>
            <w:noProof/>
            <w:webHidden/>
          </w:rPr>
          <w:tab/>
        </w:r>
        <w:r w:rsidR="00827424">
          <w:rPr>
            <w:noProof/>
            <w:webHidden/>
          </w:rPr>
          <w:fldChar w:fldCharType="begin"/>
        </w:r>
        <w:r w:rsidR="00827424">
          <w:rPr>
            <w:noProof/>
            <w:webHidden/>
          </w:rPr>
          <w:instrText xml:space="preserve"> PAGEREF _Toc453254018 \h </w:instrText>
        </w:r>
        <w:r w:rsidR="00827424">
          <w:rPr>
            <w:noProof/>
            <w:webHidden/>
          </w:rPr>
        </w:r>
        <w:r w:rsidR="00827424">
          <w:rPr>
            <w:noProof/>
            <w:webHidden/>
          </w:rPr>
          <w:fldChar w:fldCharType="separate"/>
        </w:r>
        <w:r>
          <w:rPr>
            <w:noProof/>
            <w:webHidden/>
          </w:rPr>
          <w:t>3</w:t>
        </w:r>
        <w:r w:rsidR="00827424">
          <w:rPr>
            <w:noProof/>
            <w:webHidden/>
          </w:rPr>
          <w:fldChar w:fldCharType="end"/>
        </w:r>
      </w:hyperlink>
    </w:p>
    <w:p w:rsidR="00827424" w:rsidRDefault="00406EE5" w:rsidP="00E254A3">
      <w:pPr>
        <w:pStyle w:val="TOC1"/>
        <w:rPr>
          <w:rFonts w:asciiTheme="minorHAnsi" w:eastAsiaTheme="minorEastAsia" w:hAnsiTheme="minorHAnsi"/>
          <w:noProof/>
          <w:sz w:val="22"/>
          <w:lang w:eastAsia="en-GB"/>
        </w:rPr>
      </w:pPr>
      <w:hyperlink w:anchor="_Toc453254019" w:history="1">
        <w:r w:rsidR="00827424" w:rsidRPr="00924920">
          <w:rPr>
            <w:rStyle w:val="Hyperlink"/>
            <w:noProof/>
          </w:rPr>
          <w:t>Foreword – Aims and adaptations</w:t>
        </w:r>
        <w:r w:rsidR="00827424">
          <w:rPr>
            <w:noProof/>
            <w:webHidden/>
          </w:rPr>
          <w:tab/>
        </w:r>
        <w:r w:rsidR="00827424">
          <w:rPr>
            <w:noProof/>
            <w:webHidden/>
          </w:rPr>
          <w:fldChar w:fldCharType="begin"/>
        </w:r>
        <w:r w:rsidR="00827424">
          <w:rPr>
            <w:noProof/>
            <w:webHidden/>
          </w:rPr>
          <w:instrText xml:space="preserve"> PAGEREF _Toc453254019 \h </w:instrText>
        </w:r>
        <w:r w:rsidR="00827424">
          <w:rPr>
            <w:noProof/>
            <w:webHidden/>
          </w:rPr>
        </w:r>
        <w:r w:rsidR="00827424">
          <w:rPr>
            <w:noProof/>
            <w:webHidden/>
          </w:rPr>
          <w:fldChar w:fldCharType="separate"/>
        </w:r>
        <w:r>
          <w:rPr>
            <w:noProof/>
            <w:webHidden/>
          </w:rPr>
          <w:t>4</w:t>
        </w:r>
        <w:r w:rsidR="00827424">
          <w:rPr>
            <w:noProof/>
            <w:webHidden/>
          </w:rPr>
          <w:fldChar w:fldCharType="end"/>
        </w:r>
      </w:hyperlink>
    </w:p>
    <w:p w:rsidR="00827424" w:rsidRDefault="00406EE5" w:rsidP="00E254A3">
      <w:pPr>
        <w:pStyle w:val="TOC1"/>
        <w:rPr>
          <w:rFonts w:asciiTheme="minorHAnsi" w:eastAsiaTheme="minorEastAsia" w:hAnsiTheme="minorHAnsi"/>
          <w:noProof/>
          <w:sz w:val="22"/>
          <w:lang w:eastAsia="en-GB"/>
        </w:rPr>
      </w:pPr>
      <w:hyperlink w:anchor="_Toc453254020" w:history="1">
        <w:r w:rsidR="00827424" w:rsidRPr="00924920">
          <w:rPr>
            <w:rStyle w:val="Hyperlink"/>
            <w:noProof/>
          </w:rPr>
          <w:t>Quick reference guide</w:t>
        </w:r>
        <w:r w:rsidR="00827424">
          <w:rPr>
            <w:noProof/>
            <w:webHidden/>
          </w:rPr>
          <w:tab/>
        </w:r>
        <w:r w:rsidR="00827424">
          <w:rPr>
            <w:noProof/>
            <w:webHidden/>
          </w:rPr>
          <w:fldChar w:fldCharType="begin"/>
        </w:r>
        <w:r w:rsidR="00827424">
          <w:rPr>
            <w:noProof/>
            <w:webHidden/>
          </w:rPr>
          <w:instrText xml:space="preserve"> PAGEREF _Toc453254020 \h </w:instrText>
        </w:r>
        <w:r w:rsidR="00827424">
          <w:rPr>
            <w:noProof/>
            <w:webHidden/>
          </w:rPr>
        </w:r>
        <w:r w:rsidR="00827424">
          <w:rPr>
            <w:noProof/>
            <w:webHidden/>
          </w:rPr>
          <w:fldChar w:fldCharType="separate"/>
        </w:r>
        <w:r>
          <w:rPr>
            <w:noProof/>
            <w:webHidden/>
          </w:rPr>
          <w:t>5</w:t>
        </w:r>
        <w:r w:rsidR="00827424">
          <w:rPr>
            <w:noProof/>
            <w:webHidden/>
          </w:rPr>
          <w:fldChar w:fldCharType="end"/>
        </w:r>
      </w:hyperlink>
    </w:p>
    <w:p w:rsidR="00827424" w:rsidRDefault="00406EE5" w:rsidP="00E254A3">
      <w:pPr>
        <w:pStyle w:val="TOC1"/>
        <w:rPr>
          <w:rFonts w:asciiTheme="minorHAnsi" w:eastAsiaTheme="minorEastAsia" w:hAnsiTheme="minorHAnsi"/>
          <w:noProof/>
          <w:sz w:val="22"/>
          <w:lang w:eastAsia="en-GB"/>
        </w:rPr>
      </w:pPr>
      <w:hyperlink w:anchor="_Toc453254021" w:history="1">
        <w:r w:rsidR="00827424" w:rsidRPr="00924920">
          <w:rPr>
            <w:rStyle w:val="Hyperlink"/>
            <w:noProof/>
          </w:rPr>
          <w:t>References</w:t>
        </w:r>
        <w:r w:rsidR="00827424">
          <w:rPr>
            <w:noProof/>
            <w:webHidden/>
          </w:rPr>
          <w:tab/>
        </w:r>
        <w:r w:rsidR="00827424">
          <w:rPr>
            <w:noProof/>
            <w:webHidden/>
          </w:rPr>
          <w:fldChar w:fldCharType="begin"/>
        </w:r>
        <w:r w:rsidR="00827424">
          <w:rPr>
            <w:noProof/>
            <w:webHidden/>
          </w:rPr>
          <w:instrText xml:space="preserve"> PAGEREF _Toc453254021 \h </w:instrText>
        </w:r>
        <w:r w:rsidR="00827424">
          <w:rPr>
            <w:noProof/>
            <w:webHidden/>
          </w:rPr>
        </w:r>
        <w:r w:rsidR="00827424">
          <w:rPr>
            <w:noProof/>
            <w:webHidden/>
          </w:rPr>
          <w:fldChar w:fldCharType="separate"/>
        </w:r>
        <w:r>
          <w:rPr>
            <w:noProof/>
            <w:webHidden/>
          </w:rPr>
          <w:t>9</w:t>
        </w:r>
        <w:r w:rsidR="00827424">
          <w:rPr>
            <w:noProof/>
            <w:webHidden/>
          </w:rPr>
          <w:fldChar w:fldCharType="end"/>
        </w:r>
      </w:hyperlink>
    </w:p>
    <w:p w:rsidR="00827424" w:rsidRDefault="00406EE5" w:rsidP="00E254A3">
      <w:pPr>
        <w:pStyle w:val="TOC1"/>
        <w:rPr>
          <w:rFonts w:asciiTheme="minorHAnsi" w:eastAsiaTheme="minorEastAsia" w:hAnsiTheme="minorHAnsi"/>
          <w:noProof/>
          <w:sz w:val="22"/>
          <w:lang w:eastAsia="en-GB"/>
        </w:rPr>
      </w:pPr>
      <w:hyperlink w:anchor="_Toc453254022" w:history="1">
        <w:r w:rsidR="00827424" w:rsidRPr="00924920">
          <w:rPr>
            <w:rStyle w:val="Hyperlink"/>
            <w:noProof/>
          </w:rPr>
          <w:t>Acknowledgements</w:t>
        </w:r>
        <w:r w:rsidR="00827424">
          <w:rPr>
            <w:noProof/>
            <w:webHidden/>
          </w:rPr>
          <w:tab/>
        </w:r>
        <w:r w:rsidR="00827424">
          <w:rPr>
            <w:noProof/>
            <w:webHidden/>
          </w:rPr>
          <w:fldChar w:fldCharType="begin"/>
        </w:r>
        <w:r w:rsidR="00827424">
          <w:rPr>
            <w:noProof/>
            <w:webHidden/>
          </w:rPr>
          <w:instrText xml:space="preserve"> PAGEREF _Toc453254022 \h </w:instrText>
        </w:r>
        <w:r w:rsidR="00827424">
          <w:rPr>
            <w:noProof/>
            <w:webHidden/>
          </w:rPr>
        </w:r>
        <w:r w:rsidR="00827424">
          <w:rPr>
            <w:noProof/>
            <w:webHidden/>
          </w:rPr>
          <w:fldChar w:fldCharType="separate"/>
        </w:r>
        <w:r>
          <w:rPr>
            <w:noProof/>
            <w:webHidden/>
          </w:rPr>
          <w:t>12</w:t>
        </w:r>
        <w:r w:rsidR="00827424">
          <w:rPr>
            <w:noProof/>
            <w:webHidden/>
          </w:rPr>
          <w:fldChar w:fldCharType="end"/>
        </w:r>
      </w:hyperlink>
    </w:p>
    <w:p w:rsidR="00827424" w:rsidRDefault="00406EE5" w:rsidP="00E254A3">
      <w:pPr>
        <w:pStyle w:val="TOC1"/>
        <w:rPr>
          <w:rFonts w:asciiTheme="minorHAnsi" w:eastAsiaTheme="minorEastAsia" w:hAnsiTheme="minorHAnsi"/>
          <w:noProof/>
          <w:sz w:val="22"/>
          <w:lang w:eastAsia="en-GB"/>
        </w:rPr>
      </w:pPr>
      <w:hyperlink w:anchor="_Toc453254023" w:history="1">
        <w:r w:rsidR="00827424" w:rsidRPr="00924920">
          <w:rPr>
            <w:rStyle w:val="Hyperlink"/>
            <w:noProof/>
          </w:rPr>
          <w:t>Abbreviations</w:t>
        </w:r>
        <w:r w:rsidR="00827424">
          <w:rPr>
            <w:noProof/>
            <w:webHidden/>
          </w:rPr>
          <w:tab/>
        </w:r>
        <w:r w:rsidR="00827424">
          <w:rPr>
            <w:noProof/>
            <w:webHidden/>
          </w:rPr>
          <w:fldChar w:fldCharType="begin"/>
        </w:r>
        <w:r w:rsidR="00827424">
          <w:rPr>
            <w:noProof/>
            <w:webHidden/>
          </w:rPr>
          <w:instrText xml:space="preserve"> PAGEREF _Toc453254023 \h </w:instrText>
        </w:r>
        <w:r w:rsidR="00827424">
          <w:rPr>
            <w:noProof/>
            <w:webHidden/>
          </w:rPr>
        </w:r>
        <w:r w:rsidR="00827424">
          <w:rPr>
            <w:noProof/>
            <w:webHidden/>
          </w:rPr>
          <w:fldChar w:fldCharType="separate"/>
        </w:r>
        <w:r>
          <w:rPr>
            <w:noProof/>
            <w:webHidden/>
          </w:rPr>
          <w:t>13</w:t>
        </w:r>
        <w:r w:rsidR="00827424">
          <w:rPr>
            <w:noProof/>
            <w:webHidden/>
          </w:rPr>
          <w:fldChar w:fldCharType="end"/>
        </w:r>
      </w:hyperlink>
    </w:p>
    <w:p w:rsidR="008957EC" w:rsidRDefault="00266F51" w:rsidP="00827424">
      <w:pPr>
        <w:tabs>
          <w:tab w:val="left" w:pos="2662"/>
        </w:tabs>
        <w:spacing w:after="120"/>
        <w:rPr>
          <w:rFonts w:cs="Arial"/>
          <w:szCs w:val="24"/>
        </w:rPr>
      </w:pPr>
      <w:r>
        <w:rPr>
          <w:rFonts w:eastAsia="Times New Roman" w:cs="Times New Roman"/>
          <w:noProof/>
          <w:szCs w:val="20"/>
          <w:lang w:val="x-none"/>
        </w:rPr>
        <w:fldChar w:fldCharType="end"/>
      </w:r>
    </w:p>
    <w:p w:rsidR="008957EC" w:rsidRDefault="008957EC" w:rsidP="00415376">
      <w:pPr>
        <w:tabs>
          <w:tab w:val="left" w:pos="2662"/>
        </w:tabs>
        <w:rPr>
          <w:rFonts w:cs="Arial"/>
          <w:szCs w:val="24"/>
        </w:rPr>
      </w:pPr>
    </w:p>
    <w:p w:rsidR="008957EC" w:rsidRDefault="008957EC" w:rsidP="00415376">
      <w:pPr>
        <w:tabs>
          <w:tab w:val="left" w:pos="2662"/>
        </w:tabs>
        <w:rPr>
          <w:rFonts w:cs="Arial"/>
          <w:szCs w:val="24"/>
        </w:rPr>
      </w:pPr>
    </w:p>
    <w:p w:rsidR="008957EC" w:rsidRDefault="008957EC" w:rsidP="00415376">
      <w:pPr>
        <w:tabs>
          <w:tab w:val="left" w:pos="2662"/>
        </w:tabs>
        <w:rPr>
          <w:rFonts w:cs="Arial"/>
          <w:szCs w:val="24"/>
        </w:rPr>
      </w:pPr>
    </w:p>
    <w:p w:rsidR="008957EC" w:rsidRDefault="008957EC" w:rsidP="00415376">
      <w:pPr>
        <w:tabs>
          <w:tab w:val="left" w:pos="2662"/>
        </w:tabs>
        <w:rPr>
          <w:rFonts w:cs="Arial"/>
          <w:szCs w:val="24"/>
        </w:rPr>
      </w:pPr>
    </w:p>
    <w:p w:rsidR="008957EC" w:rsidRDefault="008957EC" w:rsidP="00415376">
      <w:pPr>
        <w:tabs>
          <w:tab w:val="left" w:pos="2662"/>
        </w:tabs>
        <w:rPr>
          <w:rFonts w:cs="Arial"/>
          <w:szCs w:val="24"/>
        </w:rPr>
      </w:pPr>
    </w:p>
    <w:p w:rsidR="008957EC" w:rsidRDefault="008957EC" w:rsidP="00415376">
      <w:pPr>
        <w:tabs>
          <w:tab w:val="left" w:pos="2662"/>
        </w:tabs>
        <w:rPr>
          <w:rFonts w:cs="Arial"/>
          <w:szCs w:val="24"/>
        </w:rPr>
      </w:pPr>
    </w:p>
    <w:p w:rsidR="008957EC" w:rsidRDefault="008957EC" w:rsidP="00415376">
      <w:pPr>
        <w:tabs>
          <w:tab w:val="left" w:pos="2662"/>
        </w:tabs>
        <w:rPr>
          <w:rFonts w:cs="Arial"/>
          <w:szCs w:val="24"/>
        </w:rPr>
      </w:pPr>
    </w:p>
    <w:p w:rsidR="008957EC" w:rsidRDefault="008957EC" w:rsidP="00415376">
      <w:pPr>
        <w:tabs>
          <w:tab w:val="left" w:pos="2662"/>
        </w:tabs>
        <w:rPr>
          <w:rFonts w:cs="Arial"/>
          <w:szCs w:val="24"/>
        </w:rPr>
      </w:pPr>
    </w:p>
    <w:p w:rsidR="008957EC" w:rsidRDefault="008957EC" w:rsidP="00415376">
      <w:pPr>
        <w:tabs>
          <w:tab w:val="left" w:pos="2662"/>
        </w:tabs>
        <w:rPr>
          <w:rFonts w:cs="Arial"/>
          <w:szCs w:val="24"/>
        </w:rPr>
      </w:pPr>
    </w:p>
    <w:p w:rsidR="008957EC" w:rsidRDefault="008957EC" w:rsidP="00415376">
      <w:pPr>
        <w:tabs>
          <w:tab w:val="left" w:pos="2662"/>
        </w:tabs>
        <w:rPr>
          <w:rFonts w:cs="Arial"/>
          <w:szCs w:val="24"/>
        </w:rPr>
      </w:pPr>
    </w:p>
    <w:p w:rsidR="008957EC" w:rsidRDefault="008957EC" w:rsidP="00415376">
      <w:pPr>
        <w:tabs>
          <w:tab w:val="left" w:pos="2662"/>
        </w:tabs>
        <w:rPr>
          <w:rFonts w:cs="Arial"/>
          <w:szCs w:val="24"/>
        </w:rPr>
      </w:pPr>
    </w:p>
    <w:p w:rsidR="008957EC" w:rsidRDefault="008957EC" w:rsidP="00415376">
      <w:pPr>
        <w:tabs>
          <w:tab w:val="left" w:pos="2662"/>
        </w:tabs>
        <w:rPr>
          <w:rFonts w:cs="Arial"/>
          <w:szCs w:val="24"/>
        </w:rPr>
      </w:pPr>
    </w:p>
    <w:p w:rsidR="008957EC" w:rsidRDefault="008957EC" w:rsidP="00415376">
      <w:pPr>
        <w:tabs>
          <w:tab w:val="left" w:pos="2662"/>
        </w:tabs>
        <w:rPr>
          <w:rFonts w:cs="Arial"/>
          <w:szCs w:val="24"/>
        </w:rPr>
      </w:pPr>
    </w:p>
    <w:p w:rsidR="008957EC" w:rsidRDefault="008957EC" w:rsidP="00415376">
      <w:pPr>
        <w:tabs>
          <w:tab w:val="left" w:pos="2662"/>
        </w:tabs>
        <w:rPr>
          <w:rFonts w:cs="Arial"/>
          <w:szCs w:val="24"/>
        </w:rPr>
      </w:pPr>
    </w:p>
    <w:p w:rsidR="008957EC" w:rsidRDefault="008957EC" w:rsidP="00415376">
      <w:pPr>
        <w:tabs>
          <w:tab w:val="left" w:pos="2662"/>
        </w:tabs>
        <w:rPr>
          <w:rFonts w:cs="Arial"/>
          <w:szCs w:val="24"/>
        </w:rPr>
      </w:pPr>
    </w:p>
    <w:p w:rsidR="008957EC" w:rsidRDefault="008957EC" w:rsidP="00415376">
      <w:pPr>
        <w:tabs>
          <w:tab w:val="left" w:pos="2662"/>
        </w:tabs>
        <w:rPr>
          <w:rFonts w:cs="Arial"/>
          <w:szCs w:val="24"/>
        </w:rPr>
      </w:pPr>
    </w:p>
    <w:p w:rsidR="008957EC" w:rsidRDefault="008957EC" w:rsidP="00415376">
      <w:pPr>
        <w:tabs>
          <w:tab w:val="left" w:pos="2662"/>
        </w:tabs>
        <w:rPr>
          <w:rFonts w:cs="Arial"/>
          <w:szCs w:val="24"/>
        </w:rPr>
      </w:pPr>
    </w:p>
    <w:p w:rsidR="008957EC" w:rsidRDefault="008957EC" w:rsidP="00415376">
      <w:pPr>
        <w:tabs>
          <w:tab w:val="left" w:pos="2662"/>
        </w:tabs>
        <w:rPr>
          <w:rFonts w:cs="Arial"/>
          <w:szCs w:val="24"/>
        </w:rPr>
      </w:pPr>
    </w:p>
    <w:p w:rsidR="008957EC" w:rsidRDefault="008957EC" w:rsidP="00415376">
      <w:pPr>
        <w:tabs>
          <w:tab w:val="left" w:pos="2662"/>
        </w:tabs>
        <w:rPr>
          <w:rFonts w:cs="Arial"/>
          <w:szCs w:val="24"/>
        </w:rPr>
      </w:pPr>
    </w:p>
    <w:p w:rsidR="008957EC" w:rsidRDefault="008957EC" w:rsidP="00415376">
      <w:pPr>
        <w:tabs>
          <w:tab w:val="left" w:pos="2662"/>
        </w:tabs>
        <w:rPr>
          <w:rFonts w:cs="Arial"/>
          <w:szCs w:val="24"/>
        </w:rPr>
      </w:pPr>
    </w:p>
    <w:p w:rsidR="008957EC" w:rsidRDefault="008957EC" w:rsidP="00415376">
      <w:pPr>
        <w:tabs>
          <w:tab w:val="left" w:pos="2662"/>
        </w:tabs>
        <w:rPr>
          <w:rFonts w:cs="Arial"/>
          <w:szCs w:val="24"/>
        </w:rPr>
      </w:pPr>
    </w:p>
    <w:p w:rsidR="008957EC" w:rsidRDefault="008957EC" w:rsidP="00415376">
      <w:pPr>
        <w:tabs>
          <w:tab w:val="left" w:pos="2662"/>
        </w:tabs>
        <w:rPr>
          <w:rFonts w:cs="Arial"/>
          <w:szCs w:val="24"/>
        </w:rPr>
      </w:pPr>
    </w:p>
    <w:p w:rsidR="008957EC" w:rsidRDefault="008957EC" w:rsidP="00415376">
      <w:pPr>
        <w:tabs>
          <w:tab w:val="left" w:pos="2662"/>
        </w:tabs>
        <w:rPr>
          <w:rFonts w:cs="Arial"/>
          <w:szCs w:val="24"/>
        </w:rPr>
      </w:pPr>
    </w:p>
    <w:p w:rsidR="008957EC" w:rsidRDefault="008957EC" w:rsidP="00415376">
      <w:pPr>
        <w:tabs>
          <w:tab w:val="left" w:pos="2662"/>
        </w:tabs>
        <w:rPr>
          <w:rFonts w:cs="Arial"/>
          <w:szCs w:val="24"/>
        </w:rPr>
      </w:pPr>
    </w:p>
    <w:p w:rsidR="008957EC" w:rsidRDefault="008957EC" w:rsidP="00415376">
      <w:pPr>
        <w:tabs>
          <w:tab w:val="left" w:pos="2662"/>
        </w:tabs>
        <w:rPr>
          <w:rFonts w:cs="Arial"/>
          <w:szCs w:val="24"/>
        </w:rPr>
      </w:pPr>
    </w:p>
    <w:p w:rsidR="008957EC" w:rsidRDefault="008957EC" w:rsidP="00415376">
      <w:pPr>
        <w:tabs>
          <w:tab w:val="left" w:pos="2662"/>
        </w:tabs>
        <w:rPr>
          <w:rFonts w:cs="Arial"/>
          <w:szCs w:val="24"/>
        </w:rPr>
      </w:pPr>
    </w:p>
    <w:p w:rsidR="008957EC" w:rsidRDefault="008957EC" w:rsidP="00415376">
      <w:pPr>
        <w:tabs>
          <w:tab w:val="left" w:pos="2662"/>
        </w:tabs>
        <w:rPr>
          <w:rFonts w:cs="Arial"/>
          <w:szCs w:val="24"/>
        </w:rPr>
      </w:pPr>
    </w:p>
    <w:p w:rsidR="008957EC" w:rsidRDefault="008957EC" w:rsidP="00415376">
      <w:pPr>
        <w:tabs>
          <w:tab w:val="left" w:pos="2662"/>
        </w:tabs>
        <w:rPr>
          <w:rFonts w:cs="Arial"/>
          <w:szCs w:val="24"/>
        </w:rPr>
      </w:pPr>
    </w:p>
    <w:p w:rsidR="008957EC" w:rsidRDefault="008957EC" w:rsidP="00415376">
      <w:pPr>
        <w:tabs>
          <w:tab w:val="left" w:pos="2662"/>
        </w:tabs>
        <w:rPr>
          <w:rFonts w:cs="Arial"/>
          <w:szCs w:val="24"/>
        </w:rPr>
      </w:pPr>
    </w:p>
    <w:p w:rsidR="008957EC" w:rsidRDefault="008957EC" w:rsidP="00415376">
      <w:pPr>
        <w:tabs>
          <w:tab w:val="left" w:pos="2662"/>
        </w:tabs>
        <w:rPr>
          <w:rFonts w:cs="Arial"/>
          <w:szCs w:val="24"/>
        </w:rPr>
      </w:pPr>
    </w:p>
    <w:p w:rsidR="008957EC" w:rsidRDefault="008957EC" w:rsidP="00415376">
      <w:pPr>
        <w:tabs>
          <w:tab w:val="left" w:pos="2662"/>
        </w:tabs>
        <w:rPr>
          <w:rFonts w:cs="Arial"/>
          <w:szCs w:val="24"/>
        </w:rPr>
      </w:pPr>
    </w:p>
    <w:p w:rsidR="008957EC" w:rsidRDefault="008957EC" w:rsidP="008957EC">
      <w:pPr>
        <w:tabs>
          <w:tab w:val="left" w:pos="2662"/>
        </w:tabs>
        <w:spacing w:line="280" w:lineRule="exact"/>
        <w:rPr>
          <w:rFonts w:cs="Arial"/>
          <w:szCs w:val="24"/>
        </w:rPr>
      </w:pPr>
    </w:p>
    <w:p w:rsidR="008957EC" w:rsidRDefault="00D04C8D" w:rsidP="008957EC">
      <w:pPr>
        <w:pStyle w:val="PHEHeading"/>
      </w:pPr>
      <w:bookmarkStart w:id="3" w:name="_Toc453254019"/>
      <w:r>
        <w:t>Foreword – Aims and a</w:t>
      </w:r>
      <w:r w:rsidR="008957EC">
        <w:t>daptations</w:t>
      </w:r>
      <w:bookmarkEnd w:id="3"/>
    </w:p>
    <w:p w:rsidR="008957EC" w:rsidRPr="008957EC" w:rsidRDefault="008957EC" w:rsidP="008957EC">
      <w:pPr>
        <w:rPr>
          <w:rFonts w:cs="Arial"/>
          <w:color w:val="98002E"/>
          <w:sz w:val="28"/>
          <w:szCs w:val="28"/>
        </w:rPr>
      </w:pPr>
      <w:r w:rsidRPr="008957EC">
        <w:rPr>
          <w:rFonts w:cs="Arial"/>
          <w:color w:val="98002E"/>
          <w:sz w:val="28"/>
          <w:szCs w:val="28"/>
        </w:rPr>
        <w:t>Audience</w:t>
      </w:r>
    </w:p>
    <w:p w:rsidR="008957EC" w:rsidRPr="008957EC" w:rsidRDefault="008957EC" w:rsidP="003477C4">
      <w:pPr>
        <w:pStyle w:val="ListParagraph"/>
        <w:numPr>
          <w:ilvl w:val="0"/>
          <w:numId w:val="1"/>
        </w:numPr>
        <w:ind w:left="714" w:hanging="357"/>
        <w:rPr>
          <w:rFonts w:cs="Arial"/>
          <w:szCs w:val="24"/>
        </w:rPr>
      </w:pPr>
      <w:r w:rsidRPr="008957EC">
        <w:rPr>
          <w:rFonts w:cs="Arial"/>
          <w:szCs w:val="24"/>
        </w:rPr>
        <w:t>primary care prescribers in general practice and out of hours settings; including doctors, nurses and pharmacists</w:t>
      </w:r>
    </w:p>
    <w:p w:rsidR="008957EC" w:rsidRPr="008957EC" w:rsidRDefault="008957EC" w:rsidP="003477C4">
      <w:pPr>
        <w:pStyle w:val="ListParagraph"/>
        <w:numPr>
          <w:ilvl w:val="0"/>
          <w:numId w:val="1"/>
        </w:numPr>
        <w:ind w:left="714" w:hanging="357"/>
        <w:rPr>
          <w:rFonts w:cs="Arial"/>
          <w:szCs w:val="24"/>
        </w:rPr>
      </w:pPr>
      <w:r w:rsidRPr="008957EC">
        <w:rPr>
          <w:rFonts w:cs="Arial"/>
          <w:szCs w:val="24"/>
        </w:rPr>
        <w:t xml:space="preserve">those giving first point of contact for </w:t>
      </w:r>
      <w:r w:rsidR="00A436D9">
        <w:rPr>
          <w:rFonts w:cs="Arial"/>
          <w:szCs w:val="24"/>
        </w:rPr>
        <w:t>fungal skin and nail infections in adults</w:t>
      </w:r>
    </w:p>
    <w:p w:rsidR="008957EC" w:rsidRPr="008957EC" w:rsidRDefault="008957EC" w:rsidP="00DA0AFC">
      <w:pPr>
        <w:spacing w:line="280" w:lineRule="exact"/>
        <w:rPr>
          <w:rFonts w:cs="Arial"/>
          <w:szCs w:val="24"/>
        </w:rPr>
      </w:pPr>
    </w:p>
    <w:p w:rsidR="008957EC" w:rsidRPr="008957EC" w:rsidRDefault="008957EC" w:rsidP="008957EC">
      <w:pPr>
        <w:rPr>
          <w:rFonts w:cs="Arial"/>
          <w:color w:val="98002E"/>
          <w:sz w:val="28"/>
          <w:szCs w:val="28"/>
        </w:rPr>
      </w:pPr>
      <w:r w:rsidRPr="008957EC">
        <w:rPr>
          <w:rFonts w:cs="Arial"/>
          <w:color w:val="98002E"/>
          <w:sz w:val="28"/>
          <w:szCs w:val="28"/>
        </w:rPr>
        <w:t>Aims</w:t>
      </w:r>
    </w:p>
    <w:p w:rsidR="008957EC" w:rsidRDefault="008957EC" w:rsidP="003477C4">
      <w:pPr>
        <w:pStyle w:val="ListParagraph"/>
        <w:numPr>
          <w:ilvl w:val="0"/>
          <w:numId w:val="2"/>
        </w:numPr>
        <w:ind w:left="714" w:hanging="357"/>
        <w:rPr>
          <w:rFonts w:cs="Arial"/>
          <w:szCs w:val="24"/>
        </w:rPr>
      </w:pPr>
      <w:r w:rsidRPr="008957EC">
        <w:rPr>
          <w:rFonts w:cs="Arial"/>
          <w:szCs w:val="24"/>
        </w:rPr>
        <w:t>to p</w:t>
      </w:r>
      <w:r>
        <w:rPr>
          <w:rFonts w:cs="Arial"/>
          <w:szCs w:val="24"/>
        </w:rPr>
        <w:t xml:space="preserve">rovide a simple, effective, economical and empirical approach to the </w:t>
      </w:r>
      <w:r w:rsidR="00A436D9">
        <w:rPr>
          <w:rFonts w:cs="Arial"/>
          <w:szCs w:val="24"/>
        </w:rPr>
        <w:t>diagnosis and treatment of fungal skin and nail infections</w:t>
      </w:r>
    </w:p>
    <w:p w:rsidR="008957EC" w:rsidRDefault="008957EC" w:rsidP="003477C4">
      <w:pPr>
        <w:pStyle w:val="ListParagraph"/>
        <w:numPr>
          <w:ilvl w:val="0"/>
          <w:numId w:val="2"/>
        </w:numPr>
        <w:ind w:left="714" w:hanging="357"/>
        <w:rPr>
          <w:rFonts w:cs="Arial"/>
          <w:szCs w:val="24"/>
        </w:rPr>
      </w:pPr>
      <w:r>
        <w:rPr>
          <w:rFonts w:cs="Arial"/>
          <w:szCs w:val="24"/>
        </w:rPr>
        <w:t>to minimise the emergence of antibiotic resistance in the community</w:t>
      </w:r>
    </w:p>
    <w:p w:rsidR="008957EC" w:rsidRDefault="008957EC" w:rsidP="00DA0AFC">
      <w:pPr>
        <w:spacing w:line="280" w:lineRule="exact"/>
        <w:rPr>
          <w:rFonts w:cs="Arial"/>
          <w:szCs w:val="24"/>
        </w:rPr>
      </w:pPr>
    </w:p>
    <w:p w:rsidR="008957EC" w:rsidRDefault="008957EC" w:rsidP="008957EC">
      <w:pPr>
        <w:rPr>
          <w:rFonts w:cs="Arial"/>
          <w:color w:val="98002E"/>
          <w:sz w:val="28"/>
          <w:szCs w:val="28"/>
        </w:rPr>
      </w:pPr>
      <w:r>
        <w:rPr>
          <w:rFonts w:cs="Arial"/>
          <w:color w:val="98002E"/>
          <w:sz w:val="28"/>
          <w:szCs w:val="28"/>
        </w:rPr>
        <w:t>Implications</w:t>
      </w:r>
    </w:p>
    <w:p w:rsidR="008957EC" w:rsidRPr="008957EC" w:rsidRDefault="008957EC" w:rsidP="003477C4">
      <w:pPr>
        <w:pStyle w:val="ListParagraph"/>
        <w:numPr>
          <w:ilvl w:val="0"/>
          <w:numId w:val="3"/>
        </w:numPr>
        <w:ind w:left="714" w:hanging="357"/>
        <w:rPr>
          <w:rFonts w:cs="Arial"/>
          <w:color w:val="98002E"/>
          <w:szCs w:val="24"/>
        </w:rPr>
      </w:pPr>
      <w:r>
        <w:rPr>
          <w:rFonts w:cs="Arial"/>
          <w:szCs w:val="24"/>
        </w:rPr>
        <w:t>the guidance should lead to more appropriate antibiotic use</w:t>
      </w:r>
    </w:p>
    <w:p w:rsidR="008957EC" w:rsidRPr="008957EC" w:rsidRDefault="008957EC" w:rsidP="003477C4">
      <w:pPr>
        <w:pStyle w:val="ListParagraph"/>
        <w:numPr>
          <w:ilvl w:val="0"/>
          <w:numId w:val="3"/>
        </w:numPr>
        <w:ind w:left="714" w:hanging="357"/>
        <w:rPr>
          <w:rFonts w:cs="Arial"/>
          <w:color w:val="98002E"/>
          <w:szCs w:val="24"/>
        </w:rPr>
      </w:pPr>
      <w:r>
        <w:rPr>
          <w:rFonts w:cs="Arial"/>
          <w:szCs w:val="24"/>
        </w:rPr>
        <w:t>use of this guidance may influence laboratory workload, which may have financial implications for laboratories and primary care commissioners</w:t>
      </w:r>
    </w:p>
    <w:p w:rsidR="008957EC" w:rsidRDefault="008957EC" w:rsidP="00DA0AFC">
      <w:pPr>
        <w:spacing w:line="280" w:lineRule="exact"/>
        <w:rPr>
          <w:rFonts w:cs="Arial"/>
          <w:color w:val="98002E"/>
          <w:szCs w:val="24"/>
        </w:rPr>
      </w:pPr>
    </w:p>
    <w:p w:rsidR="008957EC" w:rsidRDefault="008957EC" w:rsidP="008957EC">
      <w:pPr>
        <w:rPr>
          <w:rFonts w:cs="Arial"/>
          <w:color w:val="98002E"/>
          <w:sz w:val="28"/>
          <w:szCs w:val="28"/>
        </w:rPr>
      </w:pPr>
      <w:r>
        <w:rPr>
          <w:rFonts w:cs="Arial"/>
          <w:color w:val="98002E"/>
          <w:sz w:val="28"/>
          <w:szCs w:val="28"/>
        </w:rPr>
        <w:t>Production</w:t>
      </w:r>
    </w:p>
    <w:p w:rsidR="008957EC" w:rsidRPr="008957EC" w:rsidRDefault="008957EC" w:rsidP="003477C4">
      <w:pPr>
        <w:pStyle w:val="ListParagraph"/>
        <w:numPr>
          <w:ilvl w:val="0"/>
          <w:numId w:val="4"/>
        </w:numPr>
        <w:ind w:left="714" w:hanging="357"/>
        <w:rPr>
          <w:rFonts w:cs="Arial"/>
          <w:color w:val="98002E"/>
          <w:szCs w:val="24"/>
        </w:rPr>
      </w:pPr>
      <w:r>
        <w:rPr>
          <w:rFonts w:cs="Arial"/>
          <w:szCs w:val="24"/>
        </w:rPr>
        <w:t>the guidance has been produced in consultation with the Associati</w:t>
      </w:r>
      <w:r w:rsidR="00380058">
        <w:rPr>
          <w:rFonts w:cs="Arial"/>
          <w:szCs w:val="24"/>
        </w:rPr>
        <w:t>on of Medical Microbiologists, g</w:t>
      </w:r>
      <w:r w:rsidR="009A4DA7">
        <w:rPr>
          <w:rFonts w:cs="Arial"/>
          <w:szCs w:val="24"/>
        </w:rPr>
        <w:t xml:space="preserve">eneral </w:t>
      </w:r>
      <w:r w:rsidR="00380058">
        <w:rPr>
          <w:rFonts w:cs="Arial"/>
          <w:szCs w:val="24"/>
        </w:rPr>
        <w:t>p</w:t>
      </w:r>
      <w:r w:rsidR="009A4DA7">
        <w:rPr>
          <w:rFonts w:cs="Arial"/>
          <w:szCs w:val="24"/>
        </w:rPr>
        <w:t>ractitioner</w:t>
      </w:r>
      <w:r>
        <w:rPr>
          <w:rFonts w:cs="Arial"/>
          <w:szCs w:val="24"/>
        </w:rPr>
        <w:t>s, nurses</w:t>
      </w:r>
      <w:r w:rsidR="0090701E">
        <w:rPr>
          <w:rFonts w:cs="Arial"/>
          <w:szCs w:val="24"/>
        </w:rPr>
        <w:t>, specialists, and patient representatives</w:t>
      </w:r>
    </w:p>
    <w:p w:rsidR="008957EC" w:rsidRDefault="008957EC" w:rsidP="003477C4">
      <w:pPr>
        <w:pStyle w:val="ListParagraph"/>
        <w:numPr>
          <w:ilvl w:val="0"/>
          <w:numId w:val="4"/>
        </w:numPr>
        <w:ind w:left="714" w:hanging="357"/>
        <w:rPr>
          <w:rFonts w:cs="Arial"/>
          <w:color w:val="98002E"/>
          <w:szCs w:val="24"/>
        </w:rPr>
      </w:pPr>
      <w:r>
        <w:rPr>
          <w:rFonts w:cs="Arial"/>
          <w:szCs w:val="24"/>
        </w:rPr>
        <w:t xml:space="preserve">the guidance is in agreement with other publications, including </w:t>
      </w:r>
      <w:hyperlink r:id="rId23" w:history="1">
        <w:r w:rsidRPr="008957EC">
          <w:rPr>
            <w:rStyle w:val="Hyperlink"/>
            <w:rFonts w:cs="Arial"/>
            <w:color w:val="98002E"/>
            <w:szCs w:val="24"/>
            <w:u w:val="none"/>
          </w:rPr>
          <w:t>CKS</w:t>
        </w:r>
      </w:hyperlink>
      <w:r>
        <w:rPr>
          <w:rFonts w:cs="Arial"/>
          <w:szCs w:val="24"/>
        </w:rPr>
        <w:t xml:space="preserve">, </w:t>
      </w:r>
      <w:hyperlink r:id="rId24" w:history="1">
        <w:r w:rsidRPr="008957EC">
          <w:rPr>
            <w:rStyle w:val="Hyperlink"/>
            <w:rFonts w:cs="Arial"/>
            <w:color w:val="98002E"/>
            <w:szCs w:val="24"/>
            <w:u w:val="none"/>
          </w:rPr>
          <w:t>SIGN</w:t>
        </w:r>
      </w:hyperlink>
      <w:r>
        <w:rPr>
          <w:rFonts w:cs="Arial"/>
          <w:szCs w:val="24"/>
        </w:rPr>
        <w:t xml:space="preserve"> and </w:t>
      </w:r>
      <w:hyperlink r:id="rId25" w:history="1">
        <w:r w:rsidRPr="008957EC">
          <w:rPr>
            <w:rStyle w:val="Hyperlink"/>
            <w:rFonts w:cs="Arial"/>
            <w:color w:val="98002E"/>
            <w:szCs w:val="24"/>
            <w:u w:val="none"/>
          </w:rPr>
          <w:t>NICE</w:t>
        </w:r>
      </w:hyperlink>
    </w:p>
    <w:p w:rsidR="00DA0AFC" w:rsidRPr="00DA0AFC" w:rsidRDefault="00DA0AFC" w:rsidP="003477C4">
      <w:pPr>
        <w:pStyle w:val="ListParagraph"/>
        <w:numPr>
          <w:ilvl w:val="0"/>
          <w:numId w:val="4"/>
        </w:numPr>
        <w:ind w:left="714" w:hanging="357"/>
        <w:rPr>
          <w:rFonts w:cs="Arial"/>
          <w:color w:val="98002E"/>
          <w:szCs w:val="24"/>
        </w:rPr>
      </w:pPr>
      <w:r>
        <w:rPr>
          <w:rFonts w:cs="Arial"/>
          <w:szCs w:val="24"/>
        </w:rPr>
        <w:t>the guidance is fully referenced and graded</w:t>
      </w:r>
    </w:p>
    <w:p w:rsidR="00DA0AFC" w:rsidRPr="00DA0AFC" w:rsidRDefault="00DA0AFC" w:rsidP="003477C4">
      <w:pPr>
        <w:pStyle w:val="ListParagraph"/>
        <w:numPr>
          <w:ilvl w:val="0"/>
          <w:numId w:val="4"/>
        </w:numPr>
        <w:ind w:left="714" w:hanging="357"/>
        <w:rPr>
          <w:rFonts w:cs="Arial"/>
          <w:color w:val="98002E"/>
          <w:szCs w:val="24"/>
        </w:rPr>
      </w:pPr>
      <w:r>
        <w:rPr>
          <w:rFonts w:cs="Arial"/>
          <w:szCs w:val="24"/>
        </w:rPr>
        <w:t>the guidance is not all-encompassing, as it is meant to be ‘quick reference’</w:t>
      </w:r>
    </w:p>
    <w:p w:rsidR="00DA0AFC" w:rsidRPr="00DA0AFC" w:rsidRDefault="00DA0AFC" w:rsidP="003477C4">
      <w:pPr>
        <w:pStyle w:val="ListParagraph"/>
        <w:numPr>
          <w:ilvl w:val="0"/>
          <w:numId w:val="4"/>
        </w:numPr>
        <w:ind w:left="714" w:hanging="357"/>
        <w:rPr>
          <w:rFonts w:cs="Arial"/>
          <w:color w:val="98002E"/>
          <w:szCs w:val="24"/>
        </w:rPr>
      </w:pPr>
      <w:r>
        <w:rPr>
          <w:rFonts w:cs="Arial"/>
          <w:szCs w:val="24"/>
        </w:rPr>
        <w:t>if more detail is required we suggest referral to th</w:t>
      </w:r>
      <w:r w:rsidR="00161E5B">
        <w:rPr>
          <w:rFonts w:cs="Arial"/>
          <w:szCs w:val="24"/>
        </w:rPr>
        <w:t>e websites and references cited</w:t>
      </w:r>
    </w:p>
    <w:p w:rsidR="00DA0AFC" w:rsidRPr="00DA0AFC" w:rsidRDefault="00DA0AFC" w:rsidP="003477C4">
      <w:pPr>
        <w:pStyle w:val="ListParagraph"/>
        <w:numPr>
          <w:ilvl w:val="0"/>
          <w:numId w:val="4"/>
        </w:numPr>
        <w:ind w:left="714" w:hanging="357"/>
        <w:rPr>
          <w:rFonts w:cs="Arial"/>
          <w:color w:val="98002E"/>
          <w:szCs w:val="24"/>
        </w:rPr>
      </w:pPr>
      <w:r>
        <w:rPr>
          <w:rFonts w:cs="Arial"/>
          <w:szCs w:val="24"/>
        </w:rPr>
        <w:t>the guidance will be updated every three years; or more frequently if there are significant developments in the field</w:t>
      </w:r>
    </w:p>
    <w:p w:rsidR="00DA0AFC" w:rsidRDefault="00DA0AFC" w:rsidP="00DA0AFC">
      <w:pPr>
        <w:spacing w:line="280" w:lineRule="exact"/>
        <w:rPr>
          <w:rFonts w:cs="Arial"/>
          <w:color w:val="98002E"/>
          <w:szCs w:val="24"/>
        </w:rPr>
      </w:pPr>
    </w:p>
    <w:p w:rsidR="00DA0AFC" w:rsidRDefault="00DA0AFC" w:rsidP="00DA0AFC">
      <w:pPr>
        <w:rPr>
          <w:rFonts w:cs="Arial"/>
          <w:color w:val="98002E"/>
          <w:sz w:val="28"/>
          <w:szCs w:val="28"/>
        </w:rPr>
      </w:pPr>
      <w:r>
        <w:rPr>
          <w:rFonts w:cs="Arial"/>
          <w:color w:val="98002E"/>
          <w:sz w:val="28"/>
          <w:szCs w:val="28"/>
        </w:rPr>
        <w:t>Poster Presentation of Guidance</w:t>
      </w:r>
    </w:p>
    <w:p w:rsidR="00DA0AFC" w:rsidRPr="00DA0AFC" w:rsidRDefault="00DA0AFC" w:rsidP="003477C4">
      <w:pPr>
        <w:pStyle w:val="ListParagraph"/>
        <w:numPr>
          <w:ilvl w:val="0"/>
          <w:numId w:val="5"/>
        </w:numPr>
        <w:ind w:left="714" w:hanging="357"/>
        <w:rPr>
          <w:rFonts w:cs="Arial"/>
          <w:color w:val="98002E"/>
          <w:szCs w:val="24"/>
        </w:rPr>
      </w:pPr>
      <w:r w:rsidRPr="00DF4F6D">
        <w:rPr>
          <w:rFonts w:cs="Arial"/>
          <w:szCs w:val="24"/>
        </w:rPr>
        <w:t xml:space="preserve">the summary table is </w:t>
      </w:r>
      <w:r>
        <w:rPr>
          <w:rFonts w:cs="Arial"/>
          <w:szCs w:val="24"/>
        </w:rPr>
        <w:t>designed to be printed out as a poster for use in practice</w:t>
      </w:r>
    </w:p>
    <w:p w:rsidR="00DA0AFC" w:rsidRPr="00DA0AFC" w:rsidRDefault="00DA0AFC" w:rsidP="003477C4">
      <w:pPr>
        <w:pStyle w:val="ListParagraph"/>
        <w:numPr>
          <w:ilvl w:val="0"/>
          <w:numId w:val="5"/>
        </w:numPr>
        <w:ind w:left="714" w:hanging="357"/>
        <w:rPr>
          <w:rFonts w:cs="Arial"/>
          <w:color w:val="98002E"/>
          <w:szCs w:val="24"/>
        </w:rPr>
      </w:pPr>
      <w:r>
        <w:rPr>
          <w:rFonts w:cs="Arial"/>
          <w:szCs w:val="24"/>
        </w:rPr>
        <w:t>the rationale and evidence is designed to be used as an educational tool for you, and your colleagues and trainees, to share with patients as needed</w:t>
      </w:r>
    </w:p>
    <w:p w:rsidR="00DA0AFC" w:rsidRDefault="00DA0AFC" w:rsidP="00DA0AFC">
      <w:pPr>
        <w:spacing w:line="280" w:lineRule="exact"/>
        <w:rPr>
          <w:rFonts w:cs="Arial"/>
          <w:color w:val="98002E"/>
          <w:szCs w:val="24"/>
        </w:rPr>
      </w:pPr>
    </w:p>
    <w:p w:rsidR="00DA0AFC" w:rsidRDefault="00DA0AFC" w:rsidP="00DA0AFC">
      <w:pPr>
        <w:rPr>
          <w:rFonts w:cs="Arial"/>
          <w:color w:val="98002E"/>
          <w:sz w:val="28"/>
          <w:szCs w:val="28"/>
        </w:rPr>
      </w:pPr>
      <w:r>
        <w:rPr>
          <w:rFonts w:cs="Arial"/>
          <w:color w:val="98002E"/>
          <w:sz w:val="28"/>
          <w:szCs w:val="28"/>
        </w:rPr>
        <w:t>Local Adaptation</w:t>
      </w:r>
    </w:p>
    <w:p w:rsidR="00DA0AFC" w:rsidRDefault="00DA0AFC" w:rsidP="003477C4">
      <w:pPr>
        <w:pStyle w:val="ListParagraph"/>
        <w:numPr>
          <w:ilvl w:val="0"/>
          <w:numId w:val="6"/>
        </w:numPr>
        <w:ind w:left="714" w:hanging="357"/>
        <w:rPr>
          <w:rFonts w:cs="Arial"/>
          <w:szCs w:val="24"/>
        </w:rPr>
      </w:pPr>
      <w:r>
        <w:rPr>
          <w:rFonts w:cs="Arial"/>
          <w:szCs w:val="24"/>
        </w:rPr>
        <w:t>we would discourage major changes to the guidance, but the format allows minor changes to suit local service delivery and sampling protocols</w:t>
      </w:r>
    </w:p>
    <w:p w:rsidR="002B63FA" w:rsidRDefault="00DA0AFC" w:rsidP="003477C4">
      <w:pPr>
        <w:pStyle w:val="ListParagraph"/>
        <w:numPr>
          <w:ilvl w:val="0"/>
          <w:numId w:val="6"/>
        </w:numPr>
        <w:ind w:left="714" w:hanging="357"/>
        <w:rPr>
          <w:rFonts w:cs="Arial"/>
          <w:szCs w:val="24"/>
        </w:rPr>
      </w:pPr>
      <w:r>
        <w:rPr>
          <w:rFonts w:cs="Arial"/>
          <w:szCs w:val="24"/>
        </w:rPr>
        <w:t xml:space="preserve">to create ownership agreement on the guidance locally, dissemination </w:t>
      </w:r>
      <w:r w:rsidR="002B63FA">
        <w:rPr>
          <w:rFonts w:cs="Arial"/>
          <w:szCs w:val="24"/>
        </w:rPr>
        <w:t>should be agreed and planned at the local level between primary care clinicians, laboratories and secondary care providers</w:t>
      </w:r>
    </w:p>
    <w:p w:rsidR="00DA0AFC" w:rsidRPr="002B63FA" w:rsidRDefault="00DA0AFC" w:rsidP="002B63FA">
      <w:pPr>
        <w:rPr>
          <w:rFonts w:cs="Arial"/>
          <w:szCs w:val="24"/>
        </w:rPr>
      </w:pPr>
    </w:p>
    <w:p w:rsidR="00B008F4" w:rsidRDefault="00DA0AFC" w:rsidP="00DA0AFC">
      <w:pPr>
        <w:rPr>
          <w:rFonts w:cs="Arial"/>
          <w:szCs w:val="24"/>
        </w:rPr>
      </w:pPr>
      <w:r>
        <w:rPr>
          <w:rFonts w:cs="Arial"/>
          <w:szCs w:val="24"/>
        </w:rPr>
        <w:t xml:space="preserve">We </w:t>
      </w:r>
      <w:r w:rsidR="002B63FA">
        <w:rPr>
          <w:rFonts w:cs="Arial"/>
          <w:szCs w:val="24"/>
        </w:rPr>
        <w:t xml:space="preserve">welcome opinions on the advice given. Please </w:t>
      </w:r>
      <w:r>
        <w:rPr>
          <w:rFonts w:cs="Arial"/>
          <w:szCs w:val="24"/>
        </w:rPr>
        <w:t>email any evidence or references that support your requests for change so that we may consider them at our annual review. Comments should be submitted to Prof</w:t>
      </w:r>
      <w:r w:rsidR="00D04C8D">
        <w:rPr>
          <w:rFonts w:cs="Arial"/>
          <w:szCs w:val="24"/>
        </w:rPr>
        <w:t>essor</w:t>
      </w:r>
      <w:r>
        <w:rPr>
          <w:rFonts w:cs="Arial"/>
          <w:szCs w:val="24"/>
        </w:rPr>
        <w:t xml:space="preserve"> Cliodna McNulty, Head of PHE Primary Care Unit, Microbiology Laboratory, Gloucestershire Royal Hospital, Great Western Road, Gloucester GL1 3</w:t>
      </w:r>
      <w:r w:rsidR="00B008F4">
        <w:rPr>
          <w:rFonts w:cs="Arial"/>
          <w:szCs w:val="24"/>
        </w:rPr>
        <w:t>NN.</w:t>
      </w:r>
    </w:p>
    <w:p w:rsidR="00DA0AFC" w:rsidRDefault="00DA0AFC" w:rsidP="00DA0AFC">
      <w:pPr>
        <w:rPr>
          <w:rFonts w:cs="Arial"/>
          <w:szCs w:val="24"/>
        </w:rPr>
      </w:pPr>
      <w:r>
        <w:rPr>
          <w:rFonts w:cs="Arial"/>
          <w:szCs w:val="24"/>
        </w:rPr>
        <w:t xml:space="preserve">Email: </w:t>
      </w:r>
      <w:hyperlink r:id="rId26" w:history="1">
        <w:r w:rsidRPr="00A45047">
          <w:rPr>
            <w:rStyle w:val="Hyperlink"/>
            <w:rFonts w:cs="Arial"/>
            <w:color w:val="98002E"/>
            <w:szCs w:val="24"/>
            <w:u w:val="none"/>
          </w:rPr>
          <w:t>cliodna.mcnulty@phe.gov.uk</w:t>
        </w:r>
      </w:hyperlink>
    </w:p>
    <w:p w:rsidR="00DA0AFC" w:rsidRDefault="00DA0AFC" w:rsidP="009E0C89">
      <w:pPr>
        <w:rPr>
          <w:rFonts w:cs="Arial"/>
          <w:szCs w:val="24"/>
        </w:rPr>
      </w:pPr>
    </w:p>
    <w:p w:rsidR="00DA0AFC" w:rsidRDefault="00DA0AFC" w:rsidP="009E0C89">
      <w:pPr>
        <w:spacing w:line="280" w:lineRule="exact"/>
        <w:rPr>
          <w:rFonts w:cs="Arial"/>
          <w:szCs w:val="24"/>
        </w:rPr>
      </w:pPr>
    </w:p>
    <w:p w:rsidR="00DA0AFC" w:rsidRDefault="00D40407" w:rsidP="004444E4">
      <w:pPr>
        <w:pStyle w:val="PHEHeading"/>
        <w:spacing w:after="240"/>
      </w:pPr>
      <w:bookmarkStart w:id="4" w:name="_Toc453254020"/>
      <w:r>
        <w:t>Quick reference g</w:t>
      </w:r>
      <w:r w:rsidR="00DA0AFC" w:rsidRPr="00BD703A">
        <w:t>uide</w:t>
      </w:r>
      <w:bookmarkEnd w:id="4"/>
    </w:p>
    <w:tbl>
      <w:tblPr>
        <w:tblStyle w:val="TableGrid"/>
        <w:tblW w:w="10916" w:type="dxa"/>
        <w:tblInd w:w="-176" w:type="dxa"/>
        <w:tblLayout w:type="fixed"/>
        <w:tblLook w:val="04A0" w:firstRow="1" w:lastRow="0" w:firstColumn="1" w:lastColumn="0" w:noHBand="0" w:noVBand="1"/>
      </w:tblPr>
      <w:tblGrid>
        <w:gridCol w:w="851"/>
        <w:gridCol w:w="10065"/>
      </w:tblGrid>
      <w:tr w:rsidR="00E603B1" w:rsidRPr="0026246E" w:rsidTr="00E603B1">
        <w:tc>
          <w:tcPr>
            <w:tcW w:w="851" w:type="dxa"/>
            <w:tcBorders>
              <w:top w:val="single" w:sz="4" w:space="0" w:color="auto"/>
              <w:left w:val="single" w:sz="4" w:space="0" w:color="auto"/>
              <w:right w:val="nil"/>
            </w:tcBorders>
            <w:shd w:val="clear" w:color="auto" w:fill="D9D9D9" w:themeFill="background1" w:themeFillShade="D9"/>
          </w:tcPr>
          <w:p w:rsidR="00E603B1" w:rsidRPr="00D751CD" w:rsidRDefault="006C1D47" w:rsidP="006C1D47">
            <w:pPr>
              <w:spacing w:before="10" w:line="300" w:lineRule="exact"/>
              <w:jc w:val="center"/>
            </w:pPr>
            <w:r w:rsidRPr="00D751CD">
              <w:sym w:font="Wingdings" w:char="F0FE"/>
            </w:r>
          </w:p>
          <w:p w:rsidR="006C1D47" w:rsidRPr="00D751CD" w:rsidRDefault="006C1D47" w:rsidP="006C1D47">
            <w:pPr>
              <w:spacing w:before="10" w:line="300" w:lineRule="exact"/>
              <w:jc w:val="center"/>
            </w:pPr>
          </w:p>
          <w:p w:rsidR="006C1D47" w:rsidRPr="00D751CD" w:rsidRDefault="006C1D47" w:rsidP="006C1D47">
            <w:pPr>
              <w:spacing w:before="10" w:line="300" w:lineRule="exact"/>
              <w:jc w:val="center"/>
            </w:pPr>
          </w:p>
          <w:p w:rsidR="006C1D47" w:rsidRPr="00D751CD" w:rsidRDefault="006C1D47" w:rsidP="006C1D47">
            <w:pPr>
              <w:spacing w:before="10" w:line="300" w:lineRule="exact"/>
              <w:jc w:val="center"/>
            </w:pPr>
            <w:r w:rsidRPr="00D751CD">
              <w:sym w:font="Wingdings" w:char="F0FE"/>
            </w:r>
          </w:p>
          <w:p w:rsidR="006C1D47" w:rsidRPr="00E603B1" w:rsidRDefault="006C1D47" w:rsidP="006C1D47">
            <w:pPr>
              <w:spacing w:before="10" w:line="300" w:lineRule="exact"/>
              <w:jc w:val="center"/>
              <w:rPr>
                <w:color w:val="98002E"/>
              </w:rPr>
            </w:pPr>
            <w:r w:rsidRPr="00D751CD">
              <w:sym w:font="Wingdings" w:char="F0FE"/>
            </w:r>
          </w:p>
        </w:tc>
        <w:tc>
          <w:tcPr>
            <w:tcW w:w="10065" w:type="dxa"/>
            <w:tcBorders>
              <w:top w:val="single" w:sz="4" w:space="0" w:color="auto"/>
              <w:left w:val="single" w:sz="4" w:space="0" w:color="auto"/>
              <w:right w:val="nil"/>
            </w:tcBorders>
            <w:shd w:val="clear" w:color="auto" w:fill="auto"/>
            <w:vAlign w:val="center"/>
          </w:tcPr>
          <w:p w:rsidR="00E603B1" w:rsidRPr="00872396" w:rsidRDefault="00566A3F" w:rsidP="003477C4">
            <w:pPr>
              <w:pStyle w:val="ListParagraph"/>
              <w:numPr>
                <w:ilvl w:val="0"/>
                <w:numId w:val="9"/>
              </w:numPr>
              <w:spacing w:before="10" w:line="300" w:lineRule="exact"/>
              <w:ind w:left="357" w:hanging="357"/>
              <w:rPr>
                <w:b/>
                <w:color w:val="98002E"/>
              </w:rPr>
            </w:pPr>
            <w:r>
              <w:rPr>
                <w:b/>
              </w:rPr>
              <w:t>Many nai</w:t>
            </w:r>
            <w:r w:rsidR="006C1D47">
              <w:rPr>
                <w:b/>
              </w:rPr>
              <w:t xml:space="preserve">l problems can look like </w:t>
            </w:r>
            <w:r>
              <w:rPr>
                <w:b/>
              </w:rPr>
              <w:t>fungal infection</w:t>
            </w:r>
            <w:r w:rsidR="006C1D47">
              <w:rPr>
                <w:b/>
              </w:rPr>
              <w:t>s</w:t>
            </w:r>
            <w:r>
              <w:rPr>
                <w:b/>
              </w:rPr>
              <w:t xml:space="preserve">, eg psoriasis or injury. Always send samples before starting long-term treatment, as only 45% of dermatology samples received are positive for fungal </w:t>
            </w:r>
            <w:r w:rsidRPr="00872396">
              <w:rPr>
                <w:b/>
              </w:rPr>
              <w:t>infection</w:t>
            </w:r>
            <w:r w:rsidR="006C1D47" w:rsidRPr="00872396">
              <w:rPr>
                <w:b/>
              </w:rPr>
              <w:t>s</w:t>
            </w:r>
            <w:r w:rsidRPr="00872396">
              <w:rPr>
                <w:b/>
              </w:rPr>
              <w:t>.</w:t>
            </w:r>
            <w:hyperlink w:anchor="Reference1" w:history="1">
              <w:r w:rsidR="004820B0" w:rsidRPr="00872396">
                <w:rPr>
                  <w:rStyle w:val="Hyperlink"/>
                  <w:u w:val="none"/>
                  <w:vertAlign w:val="superscript"/>
                </w:rPr>
                <w:t>1B-</w:t>
              </w:r>
            </w:hyperlink>
          </w:p>
          <w:p w:rsidR="00566A3F" w:rsidRPr="00872396" w:rsidRDefault="00E048ED" w:rsidP="003477C4">
            <w:pPr>
              <w:pStyle w:val="ListParagraph"/>
              <w:numPr>
                <w:ilvl w:val="0"/>
                <w:numId w:val="9"/>
              </w:numPr>
              <w:spacing w:line="300" w:lineRule="exact"/>
              <w:ind w:left="357" w:hanging="357"/>
              <w:rPr>
                <w:b/>
                <w:color w:val="98002E"/>
              </w:rPr>
            </w:pPr>
            <w:r w:rsidRPr="00872396">
              <w:rPr>
                <w:b/>
              </w:rPr>
              <w:t>Microscopy detects 91% of positives, and provides the most rapid diagnosis.</w:t>
            </w:r>
            <w:hyperlink w:anchor="Reference1" w:history="1">
              <w:r w:rsidR="004820B0" w:rsidRPr="00872396">
                <w:rPr>
                  <w:rStyle w:val="Hyperlink"/>
                  <w:u w:val="none"/>
                  <w:vertAlign w:val="superscript"/>
                </w:rPr>
                <w:t>1B-</w:t>
              </w:r>
            </w:hyperlink>
          </w:p>
          <w:p w:rsidR="00E048ED" w:rsidRPr="00566A3F" w:rsidRDefault="00E048ED" w:rsidP="003477C4">
            <w:pPr>
              <w:pStyle w:val="ListParagraph"/>
              <w:numPr>
                <w:ilvl w:val="0"/>
                <w:numId w:val="9"/>
              </w:numPr>
              <w:spacing w:after="10" w:line="300" w:lineRule="exact"/>
              <w:ind w:left="357" w:hanging="357"/>
              <w:rPr>
                <w:b/>
                <w:color w:val="98002E"/>
              </w:rPr>
            </w:pPr>
            <w:r w:rsidRPr="00872396">
              <w:rPr>
                <w:b/>
              </w:rPr>
              <w:t xml:space="preserve">Culture distinguishes dermatophyte from non-dermatophyte moulds, </w:t>
            </w:r>
            <w:r w:rsidR="006C1D47" w:rsidRPr="00872396">
              <w:rPr>
                <w:b/>
              </w:rPr>
              <w:t>which is</w:t>
            </w:r>
            <w:r w:rsidR="006C1D47">
              <w:rPr>
                <w:b/>
              </w:rPr>
              <w:t xml:space="preserve"> important as this may alter treatment.</w:t>
            </w:r>
          </w:p>
        </w:tc>
      </w:tr>
      <w:tr w:rsidR="004444E4" w:rsidRPr="0026246E" w:rsidTr="00FB29FC">
        <w:tc>
          <w:tcPr>
            <w:tcW w:w="10916" w:type="dxa"/>
            <w:gridSpan w:val="2"/>
            <w:shd w:val="clear" w:color="auto" w:fill="D9D9D9" w:themeFill="background1" w:themeFillShade="D9"/>
            <w:vAlign w:val="center"/>
          </w:tcPr>
          <w:p w:rsidR="004444E4" w:rsidRPr="00734883" w:rsidRDefault="00351995" w:rsidP="006C1D47">
            <w:pPr>
              <w:spacing w:before="10" w:after="10" w:line="300" w:lineRule="exact"/>
              <w:jc w:val="center"/>
              <w:rPr>
                <w:b/>
                <w:color w:val="98002E"/>
                <w:highlight w:val="yellow"/>
              </w:rPr>
            </w:pPr>
            <w:r>
              <w:rPr>
                <w:b/>
                <w:color w:val="98002E"/>
              </w:rPr>
              <w:t xml:space="preserve">WHEN </w:t>
            </w:r>
            <w:r w:rsidR="00F82BF0">
              <w:rPr>
                <w:b/>
                <w:color w:val="98002E"/>
              </w:rPr>
              <w:t>SHOULD I</w:t>
            </w:r>
            <w:r w:rsidR="008275D6">
              <w:rPr>
                <w:b/>
                <w:color w:val="98002E"/>
              </w:rPr>
              <w:t xml:space="preserve"> </w:t>
            </w:r>
            <w:r>
              <w:rPr>
                <w:b/>
                <w:color w:val="98002E"/>
              </w:rPr>
              <w:t>T</w:t>
            </w:r>
            <w:r w:rsidR="006C1D47">
              <w:rPr>
                <w:b/>
                <w:color w:val="98002E"/>
              </w:rPr>
              <w:t>AKE DERMATOLOGICAL SAMPLES FOR FUNGI?</w:t>
            </w:r>
          </w:p>
        </w:tc>
      </w:tr>
      <w:tr w:rsidR="006C1D47" w:rsidRPr="0026246E" w:rsidTr="00D751CD">
        <w:tc>
          <w:tcPr>
            <w:tcW w:w="851" w:type="dxa"/>
            <w:tcBorders>
              <w:top w:val="nil"/>
              <w:left w:val="single" w:sz="4" w:space="0" w:color="auto"/>
              <w:bottom w:val="nil"/>
              <w:right w:val="nil"/>
            </w:tcBorders>
            <w:shd w:val="clear" w:color="auto" w:fill="D9D9D9" w:themeFill="background1" w:themeFillShade="D9"/>
          </w:tcPr>
          <w:p w:rsidR="006C1D47" w:rsidRPr="00D751CD" w:rsidRDefault="006C1D47" w:rsidP="00D751CD">
            <w:pPr>
              <w:pStyle w:val="PHEBulletpoint"/>
              <w:numPr>
                <w:ilvl w:val="0"/>
                <w:numId w:val="0"/>
              </w:numPr>
              <w:spacing w:before="10" w:line="300" w:lineRule="exact"/>
              <w:contextualSpacing w:val="0"/>
              <w:jc w:val="center"/>
            </w:pPr>
          </w:p>
          <w:p w:rsidR="00D751CD" w:rsidRPr="00D751CD" w:rsidRDefault="00D751CD" w:rsidP="00D751CD">
            <w:pPr>
              <w:pStyle w:val="PHEBulletpoint"/>
              <w:numPr>
                <w:ilvl w:val="0"/>
                <w:numId w:val="0"/>
              </w:numPr>
              <w:spacing w:line="300" w:lineRule="exact"/>
              <w:contextualSpacing w:val="0"/>
              <w:jc w:val="center"/>
            </w:pPr>
          </w:p>
          <w:p w:rsidR="00D751CD" w:rsidRPr="00D751CD" w:rsidRDefault="00D751CD" w:rsidP="00D751CD">
            <w:pPr>
              <w:pStyle w:val="PHEBulletpoint"/>
              <w:numPr>
                <w:ilvl w:val="0"/>
                <w:numId w:val="0"/>
              </w:numPr>
              <w:spacing w:line="300" w:lineRule="exact"/>
              <w:contextualSpacing w:val="0"/>
              <w:jc w:val="center"/>
            </w:pPr>
          </w:p>
          <w:p w:rsidR="00D751CD" w:rsidRPr="00D751CD" w:rsidRDefault="00D751CD" w:rsidP="00D751CD">
            <w:pPr>
              <w:pStyle w:val="PHEBulletpoint"/>
              <w:numPr>
                <w:ilvl w:val="0"/>
                <w:numId w:val="0"/>
              </w:numPr>
              <w:spacing w:line="300" w:lineRule="exact"/>
              <w:contextualSpacing w:val="0"/>
              <w:jc w:val="center"/>
            </w:pPr>
          </w:p>
          <w:p w:rsidR="00D751CD" w:rsidRPr="00D751CD" w:rsidRDefault="00D751CD" w:rsidP="00D751CD">
            <w:pPr>
              <w:pStyle w:val="PHEBulletpoint"/>
              <w:numPr>
                <w:ilvl w:val="0"/>
                <w:numId w:val="0"/>
              </w:numPr>
              <w:spacing w:line="300" w:lineRule="exact"/>
              <w:contextualSpacing w:val="0"/>
              <w:jc w:val="center"/>
            </w:pPr>
          </w:p>
          <w:p w:rsidR="00D751CD" w:rsidRPr="00D751CD" w:rsidRDefault="00D751CD" w:rsidP="00D751CD">
            <w:pPr>
              <w:pStyle w:val="PHEBulletpoint"/>
              <w:numPr>
                <w:ilvl w:val="0"/>
                <w:numId w:val="0"/>
              </w:numPr>
              <w:spacing w:line="300" w:lineRule="exact"/>
              <w:contextualSpacing w:val="0"/>
              <w:jc w:val="center"/>
            </w:pPr>
          </w:p>
          <w:p w:rsidR="00D751CD" w:rsidRPr="00D751CD" w:rsidRDefault="00D751CD" w:rsidP="00D751CD">
            <w:pPr>
              <w:pStyle w:val="PHEBulletpoint"/>
              <w:numPr>
                <w:ilvl w:val="0"/>
                <w:numId w:val="0"/>
              </w:numPr>
              <w:spacing w:line="300" w:lineRule="exact"/>
              <w:contextualSpacing w:val="0"/>
              <w:jc w:val="center"/>
            </w:pPr>
          </w:p>
          <w:p w:rsidR="00D751CD" w:rsidRPr="00D751CD" w:rsidRDefault="00D751CD" w:rsidP="00D751CD">
            <w:pPr>
              <w:pStyle w:val="PHEBulletpoint"/>
              <w:numPr>
                <w:ilvl w:val="0"/>
                <w:numId w:val="0"/>
              </w:numPr>
              <w:spacing w:line="300" w:lineRule="exact"/>
              <w:contextualSpacing w:val="0"/>
              <w:jc w:val="center"/>
            </w:pPr>
          </w:p>
          <w:p w:rsidR="00D751CD" w:rsidRPr="00D751CD" w:rsidRDefault="00D751CD" w:rsidP="00D751CD">
            <w:pPr>
              <w:pStyle w:val="PHEBulletpoint"/>
              <w:numPr>
                <w:ilvl w:val="0"/>
                <w:numId w:val="0"/>
              </w:numPr>
              <w:spacing w:line="300" w:lineRule="exact"/>
              <w:contextualSpacing w:val="0"/>
              <w:jc w:val="center"/>
            </w:pPr>
          </w:p>
          <w:p w:rsidR="00D751CD" w:rsidRPr="00D751CD" w:rsidRDefault="00D751CD" w:rsidP="00D751CD">
            <w:pPr>
              <w:pStyle w:val="PHEBulletpoint"/>
              <w:numPr>
                <w:ilvl w:val="0"/>
                <w:numId w:val="0"/>
              </w:numPr>
              <w:spacing w:line="300" w:lineRule="exact"/>
              <w:contextualSpacing w:val="0"/>
              <w:jc w:val="center"/>
            </w:pPr>
          </w:p>
          <w:p w:rsidR="00D751CD" w:rsidRPr="00D751CD" w:rsidRDefault="00D751CD" w:rsidP="00D751CD">
            <w:pPr>
              <w:pStyle w:val="PHEBulletpoint"/>
              <w:numPr>
                <w:ilvl w:val="0"/>
                <w:numId w:val="0"/>
              </w:numPr>
              <w:spacing w:line="300" w:lineRule="exact"/>
              <w:contextualSpacing w:val="0"/>
              <w:jc w:val="center"/>
            </w:pPr>
          </w:p>
          <w:p w:rsidR="00D751CD" w:rsidRPr="00A94B92" w:rsidRDefault="00D751CD" w:rsidP="00D751CD">
            <w:pPr>
              <w:pStyle w:val="PHEBulletpoint"/>
              <w:numPr>
                <w:ilvl w:val="0"/>
                <w:numId w:val="0"/>
              </w:numPr>
              <w:spacing w:line="300" w:lineRule="exact"/>
              <w:contextualSpacing w:val="0"/>
              <w:jc w:val="center"/>
              <w:rPr>
                <w:color w:val="98002E"/>
              </w:rPr>
            </w:pPr>
            <w:r w:rsidRPr="00D751CD">
              <w:sym w:font="Wingdings" w:char="F0FE"/>
            </w:r>
          </w:p>
        </w:tc>
        <w:tc>
          <w:tcPr>
            <w:tcW w:w="10065" w:type="dxa"/>
            <w:tcBorders>
              <w:top w:val="nil"/>
              <w:left w:val="single" w:sz="4" w:space="0" w:color="auto"/>
              <w:bottom w:val="nil"/>
              <w:right w:val="nil"/>
            </w:tcBorders>
            <w:vAlign w:val="center"/>
          </w:tcPr>
          <w:p w:rsidR="006C1D47" w:rsidRPr="006C1D47" w:rsidRDefault="006C1D47" w:rsidP="003477C4">
            <w:pPr>
              <w:pStyle w:val="PHEBulletpoint"/>
              <w:numPr>
                <w:ilvl w:val="0"/>
                <w:numId w:val="11"/>
              </w:numPr>
              <w:spacing w:before="10" w:line="300" w:lineRule="exact"/>
              <w:ind w:left="357" w:hanging="357"/>
              <w:contextualSpacing w:val="0"/>
              <w:rPr>
                <w:color w:val="98002E"/>
              </w:rPr>
            </w:pPr>
            <w:r>
              <w:t>Samples are not needed for:</w:t>
            </w:r>
          </w:p>
          <w:p w:rsidR="006C1D47" w:rsidRPr="00D751CD" w:rsidRDefault="006C1D47" w:rsidP="003477C4">
            <w:pPr>
              <w:pStyle w:val="PHEBulletpoint"/>
              <w:numPr>
                <w:ilvl w:val="0"/>
                <w:numId w:val="12"/>
              </w:numPr>
              <w:spacing w:line="300" w:lineRule="exact"/>
              <w:ind w:left="714" w:hanging="357"/>
              <w:contextualSpacing w:val="0"/>
              <w:rPr>
                <w:color w:val="98002E"/>
              </w:rPr>
            </w:pPr>
            <w:r>
              <w:t>u</w:t>
            </w:r>
            <w:r w:rsidRPr="006C1D47">
              <w:t>ncomplicated Athlete’s foot</w:t>
            </w:r>
            <w:r>
              <w:t xml:space="preserve"> (tinea pedis)</w:t>
            </w:r>
          </w:p>
          <w:p w:rsidR="00D751CD" w:rsidRPr="00872396" w:rsidRDefault="00D751CD" w:rsidP="003477C4">
            <w:pPr>
              <w:pStyle w:val="PHEBulletpoint"/>
              <w:numPr>
                <w:ilvl w:val="0"/>
                <w:numId w:val="12"/>
              </w:numPr>
              <w:spacing w:line="300" w:lineRule="exact"/>
              <w:ind w:left="714" w:hanging="357"/>
              <w:contextualSpacing w:val="0"/>
              <w:rPr>
                <w:color w:val="98002E"/>
              </w:rPr>
            </w:pPr>
            <w:r>
              <w:t xml:space="preserve">mild infections of </w:t>
            </w:r>
            <w:r w:rsidRPr="00872396">
              <w:t>the groin; if samples are not taken, treat as suspected Candida or Erythrasma with topical imidazole</w:t>
            </w:r>
            <w:hyperlink w:anchor="Reference5" w:history="1">
              <w:r w:rsidR="004820B0" w:rsidRPr="00872396">
                <w:rPr>
                  <w:rStyle w:val="Hyperlink"/>
                  <w:u w:val="none"/>
                  <w:vertAlign w:val="superscript"/>
                </w:rPr>
                <w:t>5A-</w:t>
              </w:r>
            </w:hyperlink>
          </w:p>
          <w:p w:rsidR="00D751CD" w:rsidRPr="00872396" w:rsidRDefault="00D751CD" w:rsidP="003477C4">
            <w:pPr>
              <w:pStyle w:val="PHEBulletpoint"/>
              <w:numPr>
                <w:ilvl w:val="0"/>
                <w:numId w:val="12"/>
              </w:numPr>
              <w:spacing w:line="300" w:lineRule="exact"/>
              <w:ind w:left="714" w:hanging="357"/>
              <w:contextualSpacing w:val="0"/>
              <w:rPr>
                <w:color w:val="98002E"/>
              </w:rPr>
            </w:pPr>
            <w:r w:rsidRPr="00872396">
              <w:t>mild skin ringworm</w:t>
            </w:r>
          </w:p>
          <w:p w:rsidR="00D751CD" w:rsidRPr="00872396" w:rsidRDefault="00D751CD" w:rsidP="003477C4">
            <w:pPr>
              <w:pStyle w:val="PHEBulletpoint"/>
              <w:numPr>
                <w:ilvl w:val="0"/>
                <w:numId w:val="11"/>
              </w:numPr>
              <w:spacing w:line="300" w:lineRule="exact"/>
              <w:ind w:left="357" w:hanging="357"/>
              <w:contextualSpacing w:val="0"/>
              <w:rPr>
                <w:color w:val="98002E"/>
              </w:rPr>
            </w:pPr>
            <w:r w:rsidRPr="00872396">
              <w:t>Take samples for fungi:</w:t>
            </w:r>
          </w:p>
          <w:p w:rsidR="00D751CD" w:rsidRPr="00872396" w:rsidRDefault="00D751CD" w:rsidP="003477C4">
            <w:pPr>
              <w:pStyle w:val="PHEBulletpoint"/>
              <w:numPr>
                <w:ilvl w:val="0"/>
                <w:numId w:val="13"/>
              </w:numPr>
              <w:spacing w:line="300" w:lineRule="exact"/>
              <w:ind w:left="714" w:hanging="357"/>
              <w:contextualSpacing w:val="0"/>
              <w:rPr>
                <w:color w:val="98002E"/>
              </w:rPr>
            </w:pPr>
            <w:r w:rsidRPr="00872396">
              <w:t>when oral treatment is being considered (scalp ringworm or nail disease)</w:t>
            </w:r>
          </w:p>
          <w:p w:rsidR="00D751CD" w:rsidRPr="00872396" w:rsidRDefault="00D751CD" w:rsidP="003477C4">
            <w:pPr>
              <w:pStyle w:val="PHEBulletpoint"/>
              <w:numPr>
                <w:ilvl w:val="0"/>
                <w:numId w:val="13"/>
              </w:numPr>
              <w:spacing w:line="300" w:lineRule="exact"/>
              <w:ind w:left="714" w:hanging="357"/>
              <w:contextualSpacing w:val="0"/>
              <w:rPr>
                <w:color w:val="98002E"/>
              </w:rPr>
            </w:pPr>
            <w:r w:rsidRPr="00872396">
              <w:t>in severe or extensive skin fungal infections, eg moccasin-type Athlete’s foot</w:t>
            </w:r>
          </w:p>
          <w:p w:rsidR="00D751CD" w:rsidRPr="00872396" w:rsidRDefault="00D751CD" w:rsidP="003477C4">
            <w:pPr>
              <w:pStyle w:val="PHEBulletpoint"/>
              <w:numPr>
                <w:ilvl w:val="0"/>
                <w:numId w:val="13"/>
              </w:numPr>
              <w:spacing w:line="300" w:lineRule="exact"/>
              <w:ind w:left="714" w:hanging="357"/>
              <w:contextualSpacing w:val="0"/>
              <w:rPr>
                <w:color w:val="98002E"/>
              </w:rPr>
            </w:pPr>
            <w:r w:rsidRPr="00872396">
              <w:t>skin infections refractory to init</w:t>
            </w:r>
            <w:r w:rsidR="00F84009">
              <w:t>ial treatment, as occasionally g</w:t>
            </w:r>
            <w:r w:rsidRPr="00872396">
              <w:t>ram negative bacterial infections cause interdigital cracking that looks like tinea pedis</w:t>
            </w:r>
            <w:hyperlink w:anchor="Reference6" w:history="1">
              <w:r w:rsidR="004820B0" w:rsidRPr="00872396">
                <w:rPr>
                  <w:rStyle w:val="Hyperlink"/>
                  <w:u w:val="none"/>
                  <w:vertAlign w:val="superscript"/>
                </w:rPr>
                <w:t>6B+</w:t>
              </w:r>
            </w:hyperlink>
          </w:p>
          <w:p w:rsidR="00D751CD" w:rsidRPr="00D751CD" w:rsidRDefault="00D751CD" w:rsidP="003477C4">
            <w:pPr>
              <w:pStyle w:val="PHEBulletpoint"/>
              <w:numPr>
                <w:ilvl w:val="0"/>
                <w:numId w:val="13"/>
              </w:numPr>
              <w:spacing w:line="300" w:lineRule="exact"/>
              <w:ind w:left="714" w:hanging="357"/>
              <w:contextualSpacing w:val="0"/>
              <w:rPr>
                <w:color w:val="98002E"/>
              </w:rPr>
            </w:pPr>
            <w:r>
              <w:t>when the diagnosis is uncertain</w:t>
            </w:r>
          </w:p>
          <w:p w:rsidR="00D751CD" w:rsidRPr="00D751CD" w:rsidRDefault="00D751CD" w:rsidP="003477C4">
            <w:pPr>
              <w:pStyle w:val="PHEBulletpoint"/>
              <w:numPr>
                <w:ilvl w:val="0"/>
                <w:numId w:val="11"/>
              </w:numPr>
              <w:spacing w:after="10" w:line="300" w:lineRule="exact"/>
              <w:ind w:left="357" w:hanging="357"/>
              <w:contextualSpacing w:val="0"/>
              <w:rPr>
                <w:b/>
                <w:color w:val="98002E"/>
              </w:rPr>
            </w:pPr>
            <w:r w:rsidRPr="00D751CD">
              <w:rPr>
                <w:b/>
              </w:rPr>
              <w:t>Ensure clinical details are stated, including treatment, animal contact, and overseas travel.</w:t>
            </w:r>
          </w:p>
        </w:tc>
      </w:tr>
      <w:tr w:rsidR="004444E4" w:rsidRPr="0026246E" w:rsidTr="002527EF">
        <w:tc>
          <w:tcPr>
            <w:tcW w:w="10916" w:type="dxa"/>
            <w:gridSpan w:val="2"/>
            <w:tcBorders>
              <w:bottom w:val="single" w:sz="4" w:space="0" w:color="auto"/>
            </w:tcBorders>
            <w:shd w:val="clear" w:color="auto" w:fill="D9D9D9" w:themeFill="background1" w:themeFillShade="D9"/>
            <w:vAlign w:val="center"/>
          </w:tcPr>
          <w:p w:rsidR="004444E4" w:rsidRPr="00734883" w:rsidRDefault="00D751CD" w:rsidP="00734883">
            <w:pPr>
              <w:spacing w:before="10" w:after="10" w:line="300" w:lineRule="exact"/>
              <w:jc w:val="center"/>
              <w:rPr>
                <w:b/>
                <w:highlight w:val="yellow"/>
              </w:rPr>
            </w:pPr>
            <w:r>
              <w:rPr>
                <w:b/>
                <w:color w:val="98002E"/>
              </w:rPr>
              <w:t>H</w:t>
            </w:r>
            <w:r w:rsidR="0056277E">
              <w:rPr>
                <w:b/>
                <w:color w:val="98002E"/>
              </w:rPr>
              <w:t>OW SHOULD I TAKE SAMPLES FOR FU</w:t>
            </w:r>
            <w:r>
              <w:rPr>
                <w:b/>
                <w:color w:val="98002E"/>
              </w:rPr>
              <w:t>NGAL INVESTIGATION?</w:t>
            </w:r>
          </w:p>
        </w:tc>
      </w:tr>
      <w:tr w:rsidR="00D751CD" w:rsidRPr="0026246E" w:rsidTr="00D751CD">
        <w:tc>
          <w:tcPr>
            <w:tcW w:w="851" w:type="dxa"/>
            <w:tcBorders>
              <w:right w:val="nil"/>
            </w:tcBorders>
            <w:shd w:val="clear" w:color="auto" w:fill="D9D9D9" w:themeFill="background1" w:themeFillShade="D9"/>
            <w:vAlign w:val="center"/>
          </w:tcPr>
          <w:p w:rsidR="00D751CD" w:rsidRPr="002527EF" w:rsidRDefault="00D751CD" w:rsidP="00D751CD">
            <w:pPr>
              <w:pStyle w:val="PHEBulletpoint"/>
              <w:numPr>
                <w:ilvl w:val="0"/>
                <w:numId w:val="0"/>
              </w:numPr>
              <w:spacing w:after="10" w:line="300" w:lineRule="exact"/>
            </w:pPr>
          </w:p>
        </w:tc>
        <w:tc>
          <w:tcPr>
            <w:tcW w:w="10065" w:type="dxa"/>
            <w:tcBorders>
              <w:right w:val="nil"/>
            </w:tcBorders>
            <w:shd w:val="clear" w:color="auto" w:fill="auto"/>
            <w:vAlign w:val="center"/>
          </w:tcPr>
          <w:p w:rsidR="00D751CD" w:rsidRDefault="00D751CD" w:rsidP="003477C4">
            <w:pPr>
              <w:pStyle w:val="PHEBulletpoint"/>
              <w:numPr>
                <w:ilvl w:val="0"/>
                <w:numId w:val="11"/>
              </w:numPr>
              <w:spacing w:before="10" w:line="300" w:lineRule="exact"/>
              <w:ind w:left="357" w:hanging="357"/>
              <w:contextualSpacing w:val="0"/>
            </w:pPr>
            <w:r>
              <w:t>Swa</w:t>
            </w:r>
            <w:r w:rsidR="0056277E">
              <w:t>bs are of little value for dermatophytes, unless there is insufficient material obtained by scraping.</w:t>
            </w:r>
          </w:p>
          <w:p w:rsidR="0056277E" w:rsidRDefault="0056277E" w:rsidP="003477C4">
            <w:pPr>
              <w:pStyle w:val="PHEBulletpoint"/>
              <w:numPr>
                <w:ilvl w:val="0"/>
                <w:numId w:val="11"/>
              </w:numPr>
              <w:spacing w:line="300" w:lineRule="exact"/>
              <w:ind w:left="357" w:hanging="357"/>
              <w:contextualSpacing w:val="0"/>
            </w:pPr>
            <w:r>
              <w:t>Wipe off any treatment creams before sampling.</w:t>
            </w:r>
          </w:p>
          <w:p w:rsidR="0056277E" w:rsidRPr="00872396" w:rsidRDefault="0056277E" w:rsidP="003477C4">
            <w:pPr>
              <w:pStyle w:val="PHEBulletpoint"/>
              <w:numPr>
                <w:ilvl w:val="0"/>
                <w:numId w:val="11"/>
              </w:numPr>
              <w:spacing w:line="300" w:lineRule="exact"/>
              <w:ind w:left="357" w:hanging="357"/>
              <w:contextualSpacing w:val="0"/>
            </w:pPr>
            <w:r>
              <w:t xml:space="preserve">Keep any samples at room temperature. Do not refrigerate as </w:t>
            </w:r>
            <w:r w:rsidRPr="00872396">
              <w:t>dermatophytes are inhibited at low temperatures, and humidity facilitates the growth of contaminants.</w:t>
            </w:r>
            <w:hyperlink w:anchor="Reference8" w:history="1">
              <w:r w:rsidR="004820B0" w:rsidRPr="00872396">
                <w:rPr>
                  <w:rStyle w:val="Hyperlink"/>
                  <w:u w:val="none"/>
                  <w:vertAlign w:val="superscript"/>
                </w:rPr>
                <w:t>8C</w:t>
              </w:r>
            </w:hyperlink>
          </w:p>
          <w:p w:rsidR="0056277E" w:rsidRDefault="0056277E" w:rsidP="003477C4">
            <w:pPr>
              <w:pStyle w:val="PHEBulletpoint"/>
              <w:numPr>
                <w:ilvl w:val="0"/>
                <w:numId w:val="11"/>
              </w:numPr>
              <w:spacing w:line="300" w:lineRule="exact"/>
              <w:ind w:left="357" w:hanging="357"/>
              <w:contextualSpacing w:val="0"/>
            </w:pPr>
            <w:r w:rsidRPr="00872396">
              <w:t>Samples should be collected into folded dark paper squares. Secure dark paper squares</w:t>
            </w:r>
            <w:r>
              <w:t xml:space="preserve"> with a paper clip and place in a plastic bag, or use commercially available fungal packets, eg Mycotrans; Dermapak.</w:t>
            </w:r>
            <w:hyperlink w:anchor="Reference9" w:history="1">
              <w:r w:rsidR="00D4061D" w:rsidRPr="00D4061D">
                <w:rPr>
                  <w:rStyle w:val="Hyperlink"/>
                  <w:u w:val="none"/>
                  <w:vertAlign w:val="superscript"/>
                </w:rPr>
                <w:t>9D</w:t>
              </w:r>
            </w:hyperlink>
          </w:p>
          <w:p w:rsidR="0056277E" w:rsidRDefault="0056277E" w:rsidP="003477C4">
            <w:pPr>
              <w:pStyle w:val="PHEBulletpoint"/>
              <w:numPr>
                <w:ilvl w:val="0"/>
                <w:numId w:val="11"/>
              </w:numPr>
              <w:spacing w:line="300" w:lineRule="exact"/>
              <w:ind w:left="357" w:hanging="357"/>
              <w:contextualSpacing w:val="0"/>
            </w:pPr>
            <w:r w:rsidRPr="0056277E">
              <w:t>Skin scrapings:</w:t>
            </w:r>
          </w:p>
          <w:p w:rsidR="0056277E" w:rsidRDefault="0056277E" w:rsidP="003477C4">
            <w:pPr>
              <w:pStyle w:val="PHEBulletpoint"/>
              <w:numPr>
                <w:ilvl w:val="0"/>
                <w:numId w:val="14"/>
              </w:numPr>
              <w:spacing w:line="300" w:lineRule="exact"/>
              <w:ind w:left="714" w:hanging="357"/>
              <w:contextualSpacing w:val="0"/>
            </w:pPr>
            <w:r>
              <w:t>scrape skin from the advancing edge of lesion; use a blunt scalpel blade or similar</w:t>
            </w:r>
          </w:p>
          <w:p w:rsidR="0056277E" w:rsidRPr="00872396" w:rsidRDefault="0056277E" w:rsidP="003477C4">
            <w:pPr>
              <w:pStyle w:val="PHEBulletpoint"/>
              <w:numPr>
                <w:ilvl w:val="0"/>
                <w:numId w:val="14"/>
              </w:numPr>
              <w:spacing w:line="300" w:lineRule="exact"/>
              <w:ind w:left="714" w:hanging="357"/>
              <w:contextualSpacing w:val="0"/>
            </w:pPr>
            <w:r>
              <w:t>5mm</w:t>
            </w:r>
            <w:r w:rsidRPr="0056277E">
              <w:rPr>
                <w:vertAlign w:val="superscript"/>
              </w:rPr>
              <w:t>2</w:t>
            </w:r>
            <w:r>
              <w:t xml:space="preserve"> of skin flakes are needed </w:t>
            </w:r>
            <w:r w:rsidRPr="00872396">
              <w:t>for microscopy and culture</w:t>
            </w:r>
          </w:p>
          <w:p w:rsidR="0056277E" w:rsidRPr="00872396" w:rsidRDefault="00EB10B9" w:rsidP="003477C4">
            <w:pPr>
              <w:pStyle w:val="PHEBulletpoint"/>
              <w:numPr>
                <w:ilvl w:val="0"/>
                <w:numId w:val="15"/>
              </w:numPr>
              <w:spacing w:line="300" w:lineRule="exact"/>
              <w:ind w:left="357" w:hanging="357"/>
              <w:contextualSpacing w:val="0"/>
            </w:pPr>
            <w:r w:rsidRPr="00872396">
              <w:rPr>
                <w:noProof/>
                <w:lang w:eastAsia="en-GB"/>
              </w:rPr>
              <w:drawing>
                <wp:anchor distT="0" distB="0" distL="114300" distR="114300" simplePos="0" relativeHeight="251766784" behindDoc="0" locked="0" layoutInCell="1" allowOverlap="1" wp14:anchorId="4A3C919E" wp14:editId="10AB2C13">
                  <wp:simplePos x="0" y="0"/>
                  <wp:positionH relativeFrom="column">
                    <wp:posOffset>4372832</wp:posOffset>
                  </wp:positionH>
                  <wp:positionV relativeFrom="paragraph">
                    <wp:posOffset>162722</wp:posOffset>
                  </wp:positionV>
                  <wp:extent cx="1944370" cy="105410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l="2150" t="4517"/>
                          <a:stretch>
                            <a:fillRect/>
                          </a:stretch>
                        </pic:blipFill>
                        <pic:spPr bwMode="auto">
                          <a:xfrm>
                            <a:off x="0" y="0"/>
                            <a:ext cx="1944370" cy="1054100"/>
                          </a:xfrm>
                          <a:prstGeom prst="rect">
                            <a:avLst/>
                          </a:prstGeom>
                          <a:noFill/>
                        </pic:spPr>
                      </pic:pic>
                    </a:graphicData>
                  </a:graphic>
                  <wp14:sizeRelH relativeFrom="page">
                    <wp14:pctWidth>0</wp14:pctWidth>
                  </wp14:sizeRelH>
                  <wp14:sizeRelV relativeFrom="page">
                    <wp14:pctHeight>0</wp14:pctHeight>
                  </wp14:sizeRelV>
                </wp:anchor>
              </w:drawing>
            </w:r>
            <w:r w:rsidR="0056277E" w:rsidRPr="00872396">
              <w:t>Nail samples (better taken by c</w:t>
            </w:r>
            <w:r w:rsidRPr="00872396">
              <w:t>linicians</w:t>
            </w:r>
            <w:r w:rsidR="0056277E" w:rsidRPr="00872396">
              <w:t>):</w:t>
            </w:r>
            <w:hyperlink w:anchor="Reference3" w:history="1">
              <w:r w:rsidR="004820B0" w:rsidRPr="00872396">
                <w:rPr>
                  <w:rStyle w:val="Hyperlink"/>
                  <w:u w:val="none"/>
                  <w:vertAlign w:val="superscript"/>
                </w:rPr>
                <w:t>3D</w:t>
              </w:r>
            </w:hyperlink>
          </w:p>
          <w:p w:rsidR="0056277E" w:rsidRDefault="0056277E" w:rsidP="003477C4">
            <w:pPr>
              <w:pStyle w:val="PHEBulletpoint"/>
              <w:numPr>
                <w:ilvl w:val="0"/>
                <w:numId w:val="16"/>
              </w:numPr>
              <w:spacing w:line="300" w:lineRule="exact"/>
              <w:ind w:left="714" w:hanging="357"/>
              <w:contextualSpacing w:val="0"/>
            </w:pPr>
            <w:r>
              <w:t>most viable fungi are usually found in the most proximal part of diseased nail</w:t>
            </w:r>
            <w:r w:rsidR="00EB10B9">
              <w:t>; sample with chiropody scissors</w:t>
            </w:r>
          </w:p>
          <w:p w:rsidR="0056277E" w:rsidRDefault="0056277E" w:rsidP="003477C4">
            <w:pPr>
              <w:pStyle w:val="PHEBulletpoint"/>
              <w:numPr>
                <w:ilvl w:val="0"/>
                <w:numId w:val="16"/>
              </w:numPr>
              <w:spacing w:line="300" w:lineRule="exact"/>
              <w:ind w:left="714" w:hanging="357"/>
              <w:contextualSpacing w:val="0"/>
            </w:pPr>
            <w:r>
              <w:t>include full thickness clippings of the diseased nail</w:t>
            </w:r>
          </w:p>
          <w:p w:rsidR="0056277E" w:rsidRDefault="0056277E" w:rsidP="003477C4">
            <w:pPr>
              <w:pStyle w:val="PHEBulletpoint"/>
              <w:numPr>
                <w:ilvl w:val="0"/>
                <w:numId w:val="16"/>
              </w:numPr>
              <w:spacing w:line="300" w:lineRule="exact"/>
              <w:ind w:left="714" w:hanging="357"/>
              <w:contextualSpacing w:val="0"/>
            </w:pPr>
            <w:r>
              <w:t xml:space="preserve">sample as far back from nail tip as possible, as this </w:t>
            </w:r>
            <w:r w:rsidR="00601EDA">
              <w:t>is where fungi are usually found; also sample debris from under the diseased part of the nail</w:t>
            </w:r>
          </w:p>
          <w:p w:rsidR="00601EDA" w:rsidRPr="00872396" w:rsidRDefault="00601EDA" w:rsidP="003477C4">
            <w:pPr>
              <w:pStyle w:val="PHEBulletpoint"/>
              <w:numPr>
                <w:ilvl w:val="0"/>
                <w:numId w:val="16"/>
              </w:numPr>
              <w:spacing w:line="300" w:lineRule="exact"/>
              <w:ind w:left="714" w:hanging="357"/>
              <w:contextualSpacing w:val="0"/>
            </w:pPr>
            <w:r>
              <w:t xml:space="preserve">in </w:t>
            </w:r>
            <w:r w:rsidRPr="00872396">
              <w:t>superficial infections, scrape surface of diseased nail plate with scalpel blade</w:t>
            </w:r>
          </w:p>
          <w:p w:rsidR="00601EDA" w:rsidRPr="00872396" w:rsidRDefault="00601EDA" w:rsidP="003477C4">
            <w:pPr>
              <w:pStyle w:val="PHEBulletpoint"/>
              <w:numPr>
                <w:ilvl w:val="0"/>
                <w:numId w:val="15"/>
              </w:numPr>
              <w:spacing w:line="300" w:lineRule="exact"/>
              <w:ind w:left="357" w:hanging="357"/>
              <w:contextualSpacing w:val="0"/>
            </w:pPr>
            <w:r w:rsidRPr="00872396">
              <w:t>Hair samples:</w:t>
            </w:r>
            <w:hyperlink w:anchor="Reference2" w:history="1">
              <w:r w:rsidR="004820B0" w:rsidRPr="00872396">
                <w:rPr>
                  <w:rStyle w:val="Hyperlink"/>
                  <w:u w:val="none"/>
                  <w:vertAlign w:val="superscript"/>
                </w:rPr>
                <w:t>2</w:t>
              </w:r>
              <w:r w:rsidR="00D96624" w:rsidRPr="00872396">
                <w:rPr>
                  <w:rStyle w:val="Hyperlink"/>
                  <w:u w:val="none"/>
                  <w:vertAlign w:val="superscript"/>
                </w:rPr>
                <w:t>A+</w:t>
              </w:r>
            </w:hyperlink>
            <w:r w:rsidR="004820B0" w:rsidRPr="00872396">
              <w:rPr>
                <w:vertAlign w:val="superscript"/>
              </w:rPr>
              <w:t>,</w:t>
            </w:r>
            <w:hyperlink w:anchor="Reference21" w:history="1">
              <w:r w:rsidR="00D4061D" w:rsidRPr="00D4061D">
                <w:rPr>
                  <w:rStyle w:val="Hyperlink"/>
                  <w:u w:val="none"/>
                  <w:vertAlign w:val="superscript"/>
                </w:rPr>
                <w:t>21</w:t>
              </w:r>
              <w:r w:rsidR="00D96624" w:rsidRPr="00D4061D">
                <w:rPr>
                  <w:rStyle w:val="Hyperlink"/>
                  <w:u w:val="none"/>
                  <w:vertAlign w:val="superscript"/>
                </w:rPr>
                <w:t>A-</w:t>
              </w:r>
            </w:hyperlink>
          </w:p>
          <w:p w:rsidR="00601EDA" w:rsidRPr="00872396" w:rsidRDefault="00601EDA" w:rsidP="003477C4">
            <w:pPr>
              <w:pStyle w:val="PHEBulletpoint"/>
              <w:numPr>
                <w:ilvl w:val="0"/>
                <w:numId w:val="17"/>
              </w:numPr>
              <w:spacing w:line="300" w:lineRule="exact"/>
              <w:ind w:left="714" w:hanging="357"/>
              <w:contextualSpacing w:val="0"/>
            </w:pPr>
            <w:r>
              <w:t>take scalp</w:t>
            </w:r>
            <w:r w:rsidR="00E70150">
              <w:t xml:space="preserve"> scrapings, as</w:t>
            </w:r>
            <w:r>
              <w:t xml:space="preserve"> this often pulls out infected hair stumps, which are critical for successful culture and microscopy</w:t>
            </w:r>
            <w:r w:rsidR="00E70150">
              <w:t>; hair plucking does n</w:t>
            </w:r>
            <w:r w:rsidR="00E70150" w:rsidRPr="00872396">
              <w:t>ot produce the best samples.</w:t>
            </w:r>
          </w:p>
          <w:p w:rsidR="00601EDA" w:rsidRPr="0056277E" w:rsidRDefault="00601EDA" w:rsidP="003477C4">
            <w:pPr>
              <w:pStyle w:val="PHEBulletpoint"/>
              <w:numPr>
                <w:ilvl w:val="0"/>
                <w:numId w:val="17"/>
              </w:numPr>
              <w:spacing w:after="10" w:line="300" w:lineRule="exact"/>
              <w:ind w:left="714" w:hanging="357"/>
              <w:contextualSpacing w:val="0"/>
            </w:pPr>
            <w:r w:rsidRPr="00872396">
              <w:t>a soft toothbrush can be used if scrapings are not possible</w:t>
            </w:r>
            <w:r w:rsidR="00E70150" w:rsidRPr="00D4061D">
              <w:t>.</w:t>
            </w:r>
            <w:hyperlink w:anchor="Reference21" w:history="1">
              <w:r w:rsidR="00D4061D" w:rsidRPr="00D4061D">
                <w:rPr>
                  <w:rStyle w:val="Hyperlink"/>
                  <w:u w:val="none"/>
                  <w:vertAlign w:val="superscript"/>
                </w:rPr>
                <w:t>21</w:t>
              </w:r>
              <w:r w:rsidR="005417A9" w:rsidRPr="00D4061D">
                <w:rPr>
                  <w:rStyle w:val="Hyperlink"/>
                  <w:u w:val="none"/>
                  <w:vertAlign w:val="superscript"/>
                </w:rPr>
                <w:t>A-</w:t>
              </w:r>
            </w:hyperlink>
          </w:p>
        </w:tc>
      </w:tr>
    </w:tbl>
    <w:p w:rsidR="004444E4" w:rsidRDefault="004444E4" w:rsidP="00FB29FC">
      <w:pPr>
        <w:spacing w:after="240" w:line="280" w:lineRule="exact"/>
      </w:pPr>
    </w:p>
    <w:p w:rsidR="00E70150" w:rsidRDefault="00E70150" w:rsidP="003477C4">
      <w:pPr>
        <w:spacing w:after="240" w:line="280" w:lineRule="exact"/>
      </w:pPr>
    </w:p>
    <w:tbl>
      <w:tblPr>
        <w:tblStyle w:val="TableGrid"/>
        <w:tblW w:w="10914" w:type="dxa"/>
        <w:tblInd w:w="-176" w:type="dxa"/>
        <w:tblLook w:val="04A0" w:firstRow="1" w:lastRow="0" w:firstColumn="1" w:lastColumn="0" w:noHBand="0" w:noVBand="1"/>
      </w:tblPr>
      <w:tblGrid>
        <w:gridCol w:w="851"/>
        <w:gridCol w:w="10063"/>
      </w:tblGrid>
      <w:tr w:rsidR="003477C4" w:rsidRPr="0026246E" w:rsidTr="002B1F46">
        <w:tc>
          <w:tcPr>
            <w:tcW w:w="10914" w:type="dxa"/>
            <w:gridSpan w:val="2"/>
            <w:tcBorders>
              <w:top w:val="single" w:sz="4" w:space="0" w:color="auto"/>
            </w:tcBorders>
            <w:shd w:val="clear" w:color="auto" w:fill="D9D9D9" w:themeFill="background1" w:themeFillShade="D9"/>
          </w:tcPr>
          <w:p w:rsidR="003477C4" w:rsidRPr="009962B8" w:rsidRDefault="003477C4" w:rsidP="00FB29FC">
            <w:pPr>
              <w:spacing w:before="10" w:after="10" w:line="300" w:lineRule="exact"/>
              <w:jc w:val="center"/>
              <w:rPr>
                <w:b/>
                <w:highlight w:val="yellow"/>
              </w:rPr>
            </w:pPr>
            <w:r>
              <w:rPr>
                <w:b/>
                <w:color w:val="98002E"/>
              </w:rPr>
              <w:t>INTERPRETING THE LABORATORY REPORT</w:t>
            </w:r>
          </w:p>
        </w:tc>
      </w:tr>
      <w:tr w:rsidR="003477C4" w:rsidRPr="0026246E" w:rsidTr="003477C4">
        <w:tc>
          <w:tcPr>
            <w:tcW w:w="851" w:type="dxa"/>
            <w:tcBorders>
              <w:top w:val="single" w:sz="4" w:space="0" w:color="auto"/>
              <w:right w:val="nil"/>
            </w:tcBorders>
            <w:shd w:val="clear" w:color="auto" w:fill="D9D9D9" w:themeFill="background1" w:themeFillShade="D9"/>
          </w:tcPr>
          <w:p w:rsidR="003477C4" w:rsidRDefault="003477C4" w:rsidP="003477C4">
            <w:pPr>
              <w:pStyle w:val="PHEBulletpoint"/>
              <w:numPr>
                <w:ilvl w:val="0"/>
                <w:numId w:val="0"/>
              </w:numPr>
              <w:spacing w:before="10" w:line="300" w:lineRule="exact"/>
              <w:contextualSpacing w:val="0"/>
            </w:pPr>
          </w:p>
        </w:tc>
        <w:tc>
          <w:tcPr>
            <w:tcW w:w="10063" w:type="dxa"/>
            <w:tcBorders>
              <w:top w:val="single" w:sz="4" w:space="0" w:color="auto"/>
              <w:right w:val="nil"/>
            </w:tcBorders>
          </w:tcPr>
          <w:p w:rsidR="003477C4" w:rsidRDefault="003477C4" w:rsidP="003477C4">
            <w:pPr>
              <w:pStyle w:val="PHEBulletpoint"/>
              <w:numPr>
                <w:ilvl w:val="0"/>
                <w:numId w:val="8"/>
              </w:numPr>
              <w:spacing w:before="10" w:line="300" w:lineRule="exact"/>
              <w:ind w:left="357" w:hanging="357"/>
              <w:contextualSpacing w:val="0"/>
            </w:pPr>
            <w:r>
              <w:t>When to treat:</w:t>
            </w:r>
          </w:p>
          <w:p w:rsidR="003477C4" w:rsidRDefault="003477C4" w:rsidP="003477C4">
            <w:pPr>
              <w:pStyle w:val="PHEBulletpoint"/>
              <w:numPr>
                <w:ilvl w:val="0"/>
                <w:numId w:val="18"/>
              </w:numPr>
              <w:spacing w:line="300" w:lineRule="exact"/>
              <w:ind w:left="714" w:hanging="357"/>
              <w:contextualSpacing w:val="0"/>
            </w:pPr>
            <w:r>
              <w:t>a positive microscopy (fungal elements seen) is sufficient to start antifungals</w:t>
            </w:r>
          </w:p>
          <w:p w:rsidR="003477C4" w:rsidRDefault="003477C4" w:rsidP="003477C4">
            <w:pPr>
              <w:pStyle w:val="PHEBulletpoint"/>
              <w:numPr>
                <w:ilvl w:val="0"/>
                <w:numId w:val="18"/>
              </w:numPr>
              <w:spacing w:line="300" w:lineRule="exact"/>
              <w:ind w:left="714" w:hanging="357"/>
              <w:contextualSpacing w:val="0"/>
            </w:pPr>
            <w:r>
              <w:t>a positive dermatophyte culture with negative microscopy is still significant</w:t>
            </w:r>
          </w:p>
          <w:p w:rsidR="003477C4" w:rsidRPr="00911727" w:rsidRDefault="003477C4" w:rsidP="003477C4">
            <w:pPr>
              <w:pStyle w:val="PHEBulletpoint"/>
              <w:numPr>
                <w:ilvl w:val="0"/>
                <w:numId w:val="18"/>
              </w:numPr>
              <w:spacing w:line="300" w:lineRule="exact"/>
              <w:ind w:left="714" w:hanging="357"/>
              <w:contextualSpacing w:val="0"/>
            </w:pPr>
            <w:r>
              <w:t>a negative microscopy</w:t>
            </w:r>
            <w:r w:rsidRPr="00911727">
              <w:t xml:space="preserve"> or culture does not rule out fungal infection, particularly with kerion and nail infections; if clinical appearance very suggestive of fungal infection, repeat sample and start treatment.</w:t>
            </w:r>
          </w:p>
          <w:p w:rsidR="003477C4" w:rsidRPr="00911727" w:rsidRDefault="003477C4" w:rsidP="001A7A2E">
            <w:pPr>
              <w:pStyle w:val="PHEBulletpoint"/>
              <w:numPr>
                <w:ilvl w:val="0"/>
                <w:numId w:val="8"/>
              </w:numPr>
              <w:spacing w:line="300" w:lineRule="exact"/>
              <w:ind w:left="357" w:hanging="357"/>
              <w:contextualSpacing w:val="0"/>
            </w:pPr>
            <w:r w:rsidRPr="00911727">
              <w:t>Significant fungi isolated and reported:</w:t>
            </w:r>
            <w:hyperlink w:anchor="Reference1" w:history="1">
              <w:r w:rsidR="00872396" w:rsidRPr="00911727">
                <w:rPr>
                  <w:rStyle w:val="Hyperlink"/>
                  <w:u w:val="none"/>
                  <w:vertAlign w:val="superscript"/>
                </w:rPr>
                <w:t>1B-</w:t>
              </w:r>
            </w:hyperlink>
          </w:p>
          <w:p w:rsidR="003477C4" w:rsidRPr="00911727" w:rsidRDefault="003477C4" w:rsidP="001A7A2E">
            <w:pPr>
              <w:pStyle w:val="PHEBulletpoint"/>
              <w:numPr>
                <w:ilvl w:val="0"/>
                <w:numId w:val="19"/>
              </w:numPr>
              <w:spacing w:line="300" w:lineRule="exact"/>
              <w:ind w:left="714" w:hanging="357"/>
              <w:contextualSpacing w:val="0"/>
            </w:pPr>
            <w:r w:rsidRPr="00911727">
              <w:t xml:space="preserve">the most common dermatophytes from foot or trunk infections are </w:t>
            </w:r>
            <w:r w:rsidRPr="00911727">
              <w:rPr>
                <w:i/>
              </w:rPr>
              <w:t>T. rubrum</w:t>
            </w:r>
            <w:r w:rsidRPr="00911727">
              <w:t xml:space="preserve"> (80%) and </w:t>
            </w:r>
            <w:r w:rsidRPr="00911727">
              <w:rPr>
                <w:i/>
              </w:rPr>
              <w:t>T. interdigitale</w:t>
            </w:r>
            <w:r w:rsidRPr="00911727">
              <w:t xml:space="preserve"> (15%)</w:t>
            </w:r>
            <w:hyperlink w:anchor="Reference1" w:history="1">
              <w:r w:rsidR="00872396" w:rsidRPr="00911727">
                <w:rPr>
                  <w:rStyle w:val="Hyperlink"/>
                  <w:u w:val="none"/>
                  <w:vertAlign w:val="superscript"/>
                </w:rPr>
                <w:t>1B-</w:t>
              </w:r>
            </w:hyperlink>
          </w:p>
          <w:p w:rsidR="003477C4" w:rsidRPr="00911727" w:rsidRDefault="003477C4" w:rsidP="001A7A2E">
            <w:pPr>
              <w:pStyle w:val="PHEBulletpoint"/>
              <w:numPr>
                <w:ilvl w:val="0"/>
                <w:numId w:val="19"/>
              </w:numPr>
              <w:spacing w:line="300" w:lineRule="exact"/>
              <w:ind w:left="714" w:hanging="357"/>
              <w:contextualSpacing w:val="0"/>
            </w:pPr>
            <w:r w:rsidRPr="00911727">
              <w:rPr>
                <w:i/>
              </w:rPr>
              <w:t>Epidermophyton floccosum</w:t>
            </w:r>
            <w:r w:rsidRPr="00911727">
              <w:t xml:space="preserve"> and </w:t>
            </w:r>
            <w:r w:rsidRPr="00911727">
              <w:rPr>
                <w:i/>
              </w:rPr>
              <w:t>Microsporum</w:t>
            </w:r>
            <w:r w:rsidRPr="00911727">
              <w:t xml:space="preserve"> species are also encountered</w:t>
            </w:r>
          </w:p>
          <w:p w:rsidR="003477C4" w:rsidRPr="00911727" w:rsidRDefault="003477C4" w:rsidP="001A7A2E">
            <w:pPr>
              <w:pStyle w:val="PHEBulletpoint"/>
              <w:numPr>
                <w:ilvl w:val="0"/>
                <w:numId w:val="19"/>
              </w:numPr>
              <w:spacing w:line="300" w:lineRule="exact"/>
              <w:ind w:left="714" w:hanging="357"/>
              <w:contextualSpacing w:val="0"/>
            </w:pPr>
            <w:r w:rsidRPr="00911727">
              <w:rPr>
                <w:i/>
              </w:rPr>
              <w:t>T. tonsurans</w:t>
            </w:r>
            <w:r w:rsidRPr="00911727">
              <w:t xml:space="preserve"> and </w:t>
            </w:r>
            <w:r w:rsidRPr="00911727">
              <w:rPr>
                <w:i/>
              </w:rPr>
              <w:t>T. violaceum</w:t>
            </w:r>
            <w:r w:rsidR="00872396" w:rsidRPr="00911727">
              <w:t xml:space="preserve"> cause 80% of scalp</w:t>
            </w:r>
            <w:r w:rsidRPr="00911727">
              <w:t xml:space="preserve"> infections in the UK</w:t>
            </w:r>
            <w:hyperlink w:anchor="Reference1" w:history="1">
              <w:r w:rsidR="00872396" w:rsidRPr="00911727">
                <w:rPr>
                  <w:rStyle w:val="Hyperlink"/>
                  <w:u w:val="none"/>
                  <w:vertAlign w:val="superscript"/>
                </w:rPr>
                <w:t>1B-</w:t>
              </w:r>
            </w:hyperlink>
          </w:p>
          <w:p w:rsidR="003477C4" w:rsidRPr="00F84009" w:rsidRDefault="003477C4" w:rsidP="001A7A2E">
            <w:pPr>
              <w:pStyle w:val="PHEBulletpoint"/>
              <w:numPr>
                <w:ilvl w:val="0"/>
                <w:numId w:val="19"/>
              </w:numPr>
              <w:spacing w:line="300" w:lineRule="exact"/>
              <w:ind w:left="714" w:hanging="357"/>
              <w:contextualSpacing w:val="0"/>
            </w:pPr>
            <w:r w:rsidRPr="00911727">
              <w:rPr>
                <w:i/>
              </w:rPr>
              <w:t xml:space="preserve">Scytalidium </w:t>
            </w:r>
            <w:r w:rsidRPr="00911727">
              <w:t xml:space="preserve">spp. are the </w:t>
            </w:r>
            <w:r w:rsidRPr="00F84009">
              <w:t>most common non-dermatophyte moulds that can cause both skin and nail infections</w:t>
            </w:r>
            <w:hyperlink w:anchor="Reference10" w:history="1">
              <w:r w:rsidR="00872396" w:rsidRPr="00F84009">
                <w:rPr>
                  <w:rStyle w:val="Hyperlink"/>
                  <w:u w:val="none"/>
                  <w:vertAlign w:val="superscript"/>
                </w:rPr>
                <w:t>10B+</w:t>
              </w:r>
            </w:hyperlink>
          </w:p>
          <w:p w:rsidR="003477C4" w:rsidRPr="00F84009" w:rsidRDefault="003477C4" w:rsidP="001A7A2E">
            <w:pPr>
              <w:pStyle w:val="PHEBulletpoint"/>
              <w:numPr>
                <w:ilvl w:val="0"/>
                <w:numId w:val="19"/>
              </w:numPr>
              <w:spacing w:line="300" w:lineRule="exact"/>
              <w:ind w:left="714" w:hanging="357"/>
              <w:contextualSpacing w:val="0"/>
            </w:pPr>
            <w:r w:rsidRPr="00F84009">
              <w:t xml:space="preserve">true nail infections with the yeasts </w:t>
            </w:r>
            <w:r w:rsidRPr="00F84009">
              <w:rPr>
                <w:i/>
              </w:rPr>
              <w:t>C. albicans</w:t>
            </w:r>
            <w:r w:rsidRPr="00F84009">
              <w:t xml:space="preserve"> and </w:t>
            </w:r>
            <w:r w:rsidRPr="00F84009">
              <w:rPr>
                <w:i/>
              </w:rPr>
              <w:t>C. parapsilosis</w:t>
            </w:r>
            <w:r w:rsidRPr="00F84009">
              <w:t xml:space="preserve"> are rare and are more likely to affect the finger nail or finger nail folds; other Candida spp. may very rarely cause paronychia</w:t>
            </w:r>
            <w:hyperlink w:anchor="Reference3" w:history="1">
              <w:r w:rsidR="00872396" w:rsidRPr="00F84009">
                <w:rPr>
                  <w:rStyle w:val="Hyperlink"/>
                  <w:u w:val="none"/>
                  <w:vertAlign w:val="superscript"/>
                </w:rPr>
                <w:t>3D</w:t>
              </w:r>
            </w:hyperlink>
            <w:r w:rsidR="00872396" w:rsidRPr="00F84009">
              <w:rPr>
                <w:vertAlign w:val="superscript"/>
              </w:rPr>
              <w:t>,</w:t>
            </w:r>
            <w:hyperlink w:anchor="Reference4" w:history="1">
              <w:r w:rsidR="00872396" w:rsidRPr="00F84009">
                <w:rPr>
                  <w:rStyle w:val="Hyperlink"/>
                  <w:u w:val="none"/>
                  <w:vertAlign w:val="superscript"/>
                </w:rPr>
                <w:t>4D</w:t>
              </w:r>
            </w:hyperlink>
            <w:r w:rsidR="00872396" w:rsidRPr="00F84009">
              <w:rPr>
                <w:vertAlign w:val="superscript"/>
              </w:rPr>
              <w:t>,</w:t>
            </w:r>
            <w:hyperlink w:anchor="Reference11" w:history="1">
              <w:r w:rsidR="00872396" w:rsidRPr="00F84009">
                <w:rPr>
                  <w:rStyle w:val="Hyperlink"/>
                  <w:u w:val="none"/>
                  <w:vertAlign w:val="superscript"/>
                </w:rPr>
                <w:t>11B+</w:t>
              </w:r>
            </w:hyperlink>
          </w:p>
          <w:p w:rsidR="003477C4" w:rsidRPr="00F84009" w:rsidRDefault="003477C4" w:rsidP="001A7A2E">
            <w:pPr>
              <w:pStyle w:val="PHEBulletpoint"/>
              <w:numPr>
                <w:ilvl w:val="0"/>
                <w:numId w:val="8"/>
              </w:numPr>
              <w:spacing w:line="300" w:lineRule="exact"/>
              <w:ind w:left="357" w:hanging="357"/>
              <w:contextualSpacing w:val="0"/>
            </w:pPr>
            <w:r w:rsidRPr="00F84009">
              <w:t>Fungi of uncertain clinical significance:</w:t>
            </w:r>
            <w:hyperlink w:anchor="Reference12" w:history="1">
              <w:r w:rsidR="00911727" w:rsidRPr="00F84009">
                <w:rPr>
                  <w:rStyle w:val="Hyperlink"/>
                  <w:u w:val="none"/>
                  <w:vertAlign w:val="superscript"/>
                </w:rPr>
                <w:t>12B-</w:t>
              </w:r>
            </w:hyperlink>
          </w:p>
          <w:p w:rsidR="003477C4" w:rsidRPr="00F84009" w:rsidRDefault="003477C4" w:rsidP="001A7A2E">
            <w:pPr>
              <w:pStyle w:val="PHEBulletpoint"/>
              <w:numPr>
                <w:ilvl w:val="0"/>
                <w:numId w:val="20"/>
              </w:numPr>
              <w:spacing w:line="300" w:lineRule="exact"/>
              <w:ind w:left="714" w:hanging="357"/>
              <w:contextualSpacing w:val="0"/>
            </w:pPr>
            <w:r w:rsidRPr="00F84009">
              <w:t xml:space="preserve">non-dermatophyte moulds (eg </w:t>
            </w:r>
            <w:r w:rsidRPr="00F84009">
              <w:rPr>
                <w:i/>
              </w:rPr>
              <w:t>Aspergillus</w:t>
            </w:r>
            <w:r w:rsidRPr="00F84009">
              <w:t xml:space="preserve"> spp., </w:t>
            </w:r>
            <w:r w:rsidRPr="00F84009">
              <w:rPr>
                <w:i/>
              </w:rPr>
              <w:t>Scopulariopsis</w:t>
            </w:r>
            <w:r w:rsidRPr="00F84009">
              <w:t xml:space="preserve"> spp., </w:t>
            </w:r>
            <w:r w:rsidRPr="00F84009">
              <w:rPr>
                <w:i/>
              </w:rPr>
              <w:t>Acremonium</w:t>
            </w:r>
            <w:r w:rsidRPr="00F84009">
              <w:t xml:space="preserve"> spp.) are very rare causes of nail infection, usually following nail trauma, immunosuppression, or underlying dermatophyte infection; discuss management with a local microbiologist or dermatologist</w:t>
            </w:r>
          </w:p>
          <w:p w:rsidR="003477C4" w:rsidRPr="00F84009" w:rsidRDefault="003477C4" w:rsidP="001A7A2E">
            <w:pPr>
              <w:pStyle w:val="PHEBulletpoint"/>
              <w:numPr>
                <w:ilvl w:val="0"/>
                <w:numId w:val="20"/>
              </w:numPr>
              <w:spacing w:line="300" w:lineRule="exact"/>
              <w:ind w:left="714" w:hanging="357"/>
              <w:contextualSpacing w:val="0"/>
            </w:pPr>
            <w:r w:rsidRPr="00F84009">
              <w:t>such a diagnosis requires positive direct microscopy, isolation of the organism in pure culture, and ideally, on repeated occasions</w:t>
            </w:r>
          </w:p>
          <w:p w:rsidR="003477C4" w:rsidRPr="00F84009" w:rsidRDefault="003477C4" w:rsidP="001A7A2E">
            <w:pPr>
              <w:pStyle w:val="PHEBulletpoint"/>
              <w:numPr>
                <w:ilvl w:val="0"/>
                <w:numId w:val="20"/>
              </w:numPr>
              <w:spacing w:line="300" w:lineRule="exact"/>
              <w:ind w:left="714" w:hanging="357"/>
              <w:contextualSpacing w:val="0"/>
            </w:pPr>
            <w:r w:rsidRPr="00F84009">
              <w:t>repeat sample usually requested to confirm significance of non-dermatophyte moulds</w:t>
            </w:r>
          </w:p>
          <w:p w:rsidR="003477C4" w:rsidRPr="00F84009" w:rsidRDefault="003477C4" w:rsidP="001A7A2E">
            <w:pPr>
              <w:pStyle w:val="PHEBulletpoint"/>
              <w:numPr>
                <w:ilvl w:val="0"/>
                <w:numId w:val="8"/>
              </w:numPr>
              <w:spacing w:line="300" w:lineRule="exact"/>
              <w:ind w:left="357" w:hanging="357"/>
              <w:contextualSpacing w:val="0"/>
            </w:pPr>
            <w:r w:rsidRPr="00F84009">
              <w:t>Antifungal susceptibilities:</w:t>
            </w:r>
            <w:hyperlink w:anchor="Reference4" w:history="1">
              <w:r w:rsidR="00911727" w:rsidRPr="00F84009">
                <w:rPr>
                  <w:rStyle w:val="Hyperlink"/>
                  <w:u w:val="none"/>
                  <w:vertAlign w:val="superscript"/>
                </w:rPr>
                <w:t>4D</w:t>
              </w:r>
            </w:hyperlink>
            <w:r w:rsidR="00911727" w:rsidRPr="00F84009">
              <w:rPr>
                <w:vertAlign w:val="superscript"/>
              </w:rPr>
              <w:t>,</w:t>
            </w:r>
            <w:hyperlink w:anchor="Reference13" w:history="1">
              <w:r w:rsidR="00911727" w:rsidRPr="00F84009">
                <w:rPr>
                  <w:rStyle w:val="Hyperlink"/>
                  <w:u w:val="none"/>
                  <w:vertAlign w:val="superscript"/>
                </w:rPr>
                <w:t>13D</w:t>
              </w:r>
            </w:hyperlink>
            <w:r w:rsidR="00911727" w:rsidRPr="00F84009">
              <w:rPr>
                <w:vertAlign w:val="superscript"/>
              </w:rPr>
              <w:t>,</w:t>
            </w:r>
            <w:hyperlink w:anchor="Reference14" w:history="1">
              <w:r w:rsidR="00911727" w:rsidRPr="00F84009">
                <w:rPr>
                  <w:rStyle w:val="Hyperlink"/>
                  <w:u w:val="none"/>
                  <w:vertAlign w:val="superscript"/>
                </w:rPr>
                <w:t>14B+</w:t>
              </w:r>
            </w:hyperlink>
            <w:r w:rsidR="00911727" w:rsidRPr="00F84009">
              <w:rPr>
                <w:vertAlign w:val="superscript"/>
              </w:rPr>
              <w:t>,</w:t>
            </w:r>
            <w:hyperlink w:anchor="Reference15" w:history="1">
              <w:r w:rsidR="00911727" w:rsidRPr="00F84009">
                <w:rPr>
                  <w:rStyle w:val="Hyperlink"/>
                  <w:u w:val="none"/>
                  <w:vertAlign w:val="superscript"/>
                </w:rPr>
                <w:t>15B+</w:t>
              </w:r>
            </w:hyperlink>
            <w:r w:rsidR="00911727" w:rsidRPr="00F84009">
              <w:rPr>
                <w:vertAlign w:val="superscript"/>
              </w:rPr>
              <w:t>,</w:t>
            </w:r>
            <w:hyperlink w:anchor="Reference16" w:history="1">
              <w:r w:rsidR="00911727" w:rsidRPr="00F84009">
                <w:rPr>
                  <w:rStyle w:val="Hyperlink"/>
                  <w:u w:val="none"/>
                  <w:vertAlign w:val="superscript"/>
                </w:rPr>
                <w:t>16A+</w:t>
              </w:r>
            </w:hyperlink>
          </w:p>
          <w:p w:rsidR="003477C4" w:rsidRPr="005878F0" w:rsidRDefault="003477C4" w:rsidP="003477C4">
            <w:pPr>
              <w:pStyle w:val="PHEBulletpoint"/>
              <w:numPr>
                <w:ilvl w:val="0"/>
                <w:numId w:val="21"/>
              </w:numPr>
              <w:spacing w:after="10" w:line="300" w:lineRule="exact"/>
              <w:ind w:left="714" w:hanging="357"/>
              <w:contextualSpacing w:val="0"/>
            </w:pPr>
            <w:r>
              <w:t>susceptibility testing of dermatophytes is not required, as antifungal resistance is rare, and there is no known correlation between antifungal susceptibilities and outcome</w:t>
            </w:r>
          </w:p>
        </w:tc>
      </w:tr>
      <w:tr w:rsidR="003477C4" w:rsidRPr="0026246E" w:rsidTr="002B1F46">
        <w:tc>
          <w:tcPr>
            <w:tcW w:w="10914" w:type="dxa"/>
            <w:gridSpan w:val="2"/>
            <w:shd w:val="clear" w:color="auto" w:fill="D9D9D9" w:themeFill="background1" w:themeFillShade="D9"/>
          </w:tcPr>
          <w:p w:rsidR="003477C4" w:rsidRPr="00163185" w:rsidRDefault="003477C4" w:rsidP="00163185">
            <w:pPr>
              <w:spacing w:before="10" w:after="10" w:line="300" w:lineRule="exact"/>
              <w:jc w:val="center"/>
              <w:rPr>
                <w:b/>
                <w:highlight w:val="yellow"/>
              </w:rPr>
            </w:pPr>
            <w:r>
              <w:rPr>
                <w:b/>
                <w:color w:val="98002E"/>
              </w:rPr>
              <w:t>TREATING FUNGAL SKIN AND NAIL INFECTIONS</w:t>
            </w:r>
          </w:p>
        </w:tc>
      </w:tr>
      <w:tr w:rsidR="003477C4" w:rsidRPr="0026246E" w:rsidTr="003477C4">
        <w:tc>
          <w:tcPr>
            <w:tcW w:w="851" w:type="dxa"/>
            <w:tcBorders>
              <w:bottom w:val="single" w:sz="4" w:space="0" w:color="auto"/>
              <w:right w:val="nil"/>
            </w:tcBorders>
            <w:shd w:val="clear" w:color="auto" w:fill="D9D9D9" w:themeFill="background1" w:themeFillShade="D9"/>
          </w:tcPr>
          <w:p w:rsidR="003477C4" w:rsidRPr="003477C4" w:rsidRDefault="003477C4" w:rsidP="003477C4">
            <w:pPr>
              <w:pStyle w:val="PHEBulletpoint"/>
              <w:numPr>
                <w:ilvl w:val="0"/>
                <w:numId w:val="0"/>
              </w:numPr>
              <w:spacing w:before="10" w:line="300" w:lineRule="exact"/>
              <w:contextualSpacing w:val="0"/>
              <w:jc w:val="center"/>
              <w:rPr>
                <w:noProof/>
                <w:lang w:eastAsia="en-GB"/>
              </w:rPr>
            </w:pPr>
            <w:r w:rsidRPr="003477C4">
              <w:rPr>
                <w:noProof/>
                <w:lang w:eastAsia="en-GB"/>
              </w:rPr>
              <w:sym w:font="Wingdings" w:char="F0FE"/>
            </w:r>
          </w:p>
        </w:tc>
        <w:tc>
          <w:tcPr>
            <w:tcW w:w="10063" w:type="dxa"/>
            <w:tcBorders>
              <w:bottom w:val="single" w:sz="4" w:space="0" w:color="auto"/>
              <w:right w:val="nil"/>
            </w:tcBorders>
            <w:shd w:val="clear" w:color="auto" w:fill="auto"/>
          </w:tcPr>
          <w:p w:rsidR="003477C4" w:rsidRPr="00F84009" w:rsidRDefault="003477C4" w:rsidP="003477C4">
            <w:pPr>
              <w:pStyle w:val="PHEBulletpoint"/>
              <w:numPr>
                <w:ilvl w:val="0"/>
                <w:numId w:val="8"/>
              </w:numPr>
              <w:spacing w:before="10" w:line="300" w:lineRule="exact"/>
              <w:ind w:left="357" w:hanging="357"/>
              <w:contextualSpacing w:val="0"/>
              <w:rPr>
                <w:b/>
              </w:rPr>
            </w:pPr>
            <w:r w:rsidRPr="003477C4">
              <w:rPr>
                <w:b/>
              </w:rPr>
              <w:t>For non-dermatophyte moulds other than Candida spp. seek the advice of a microbiologist or dermatologist.</w:t>
            </w:r>
          </w:p>
          <w:p w:rsidR="003477C4" w:rsidRPr="00F84009" w:rsidRDefault="003477C4" w:rsidP="003477C4">
            <w:pPr>
              <w:pStyle w:val="PHEBulletpoint"/>
              <w:numPr>
                <w:ilvl w:val="0"/>
                <w:numId w:val="8"/>
              </w:numPr>
              <w:spacing w:line="300" w:lineRule="exact"/>
              <w:ind w:left="357" w:hanging="357"/>
              <w:contextualSpacing w:val="0"/>
              <w:rPr>
                <w:b/>
              </w:rPr>
            </w:pPr>
            <w:r w:rsidRPr="00F84009">
              <w:t>Dermatophyte and candida infection of the fingernail or toenail:</w:t>
            </w:r>
            <w:hyperlink w:anchor="Reference17" w:history="1">
              <w:r w:rsidR="00911727" w:rsidRPr="00F84009">
                <w:rPr>
                  <w:rStyle w:val="Hyperlink"/>
                  <w:u w:val="none"/>
                  <w:vertAlign w:val="superscript"/>
                </w:rPr>
                <w:t>17A+</w:t>
              </w:r>
            </w:hyperlink>
            <w:r w:rsidR="00911727" w:rsidRPr="00F84009">
              <w:rPr>
                <w:vertAlign w:val="superscript"/>
              </w:rPr>
              <w:t>,</w:t>
            </w:r>
            <w:hyperlink w:anchor="Reference18" w:history="1">
              <w:r w:rsidR="00911727" w:rsidRPr="00F84009">
                <w:rPr>
                  <w:rStyle w:val="Hyperlink"/>
                  <w:u w:val="none"/>
                  <w:vertAlign w:val="superscript"/>
                </w:rPr>
                <w:t>18A+</w:t>
              </w:r>
            </w:hyperlink>
            <w:r w:rsidR="00911727" w:rsidRPr="00F84009">
              <w:rPr>
                <w:vertAlign w:val="superscript"/>
              </w:rPr>
              <w:t>,</w:t>
            </w:r>
            <w:hyperlink w:anchor="Reference19" w:history="1">
              <w:r w:rsidR="00911727" w:rsidRPr="00F84009">
                <w:rPr>
                  <w:rStyle w:val="Hyperlink"/>
                  <w:u w:val="none"/>
                  <w:vertAlign w:val="superscript"/>
                </w:rPr>
                <w:t>19A-</w:t>
              </w:r>
            </w:hyperlink>
          </w:p>
          <w:p w:rsidR="003477C4" w:rsidRPr="00F84009" w:rsidRDefault="003477C4" w:rsidP="001A7A2E">
            <w:pPr>
              <w:pStyle w:val="PHEBulletpoint"/>
              <w:numPr>
                <w:ilvl w:val="0"/>
                <w:numId w:val="21"/>
              </w:numPr>
              <w:spacing w:line="300" w:lineRule="exact"/>
              <w:ind w:left="714" w:hanging="357"/>
              <w:contextualSpacing w:val="0"/>
              <w:rPr>
                <w:b/>
              </w:rPr>
            </w:pPr>
            <w:r w:rsidRPr="00F84009">
              <w:t>treat only if infection confirmed by lab</w:t>
            </w:r>
            <w:r w:rsidR="00C51259">
              <w:t>oratory</w:t>
            </w:r>
            <w:r w:rsidRPr="00F84009">
              <w:t>; only use topical treatment if superficial infection of the top surface of nail plate; 5% amorolfine nail lacquer; 1-2 times weekly; 6 months on fingers; 12 months on toes</w:t>
            </w:r>
          </w:p>
          <w:p w:rsidR="003477C4" w:rsidRPr="00F84009" w:rsidRDefault="003477C4" w:rsidP="001A7A2E">
            <w:pPr>
              <w:pStyle w:val="PHEBulletpoint"/>
              <w:numPr>
                <w:ilvl w:val="0"/>
                <w:numId w:val="21"/>
              </w:numPr>
              <w:spacing w:line="300" w:lineRule="exact"/>
              <w:ind w:left="714" w:hanging="357"/>
              <w:contextualSpacing w:val="0"/>
              <w:rPr>
                <w:b/>
              </w:rPr>
            </w:pPr>
            <w:r w:rsidRPr="00F84009">
              <w:t>for infections with dermatophytes use oral terbinafine; 250mg OD; 6-12 weeks on fingers; 3-6 months on toes; or itraconazole; 200mg BD; 2 courses of 7 days a month for fingers; 3 courses of 7 days a month for toes</w:t>
            </w:r>
          </w:p>
          <w:p w:rsidR="003477C4" w:rsidRPr="00F84009" w:rsidRDefault="003477C4" w:rsidP="001A7A2E">
            <w:pPr>
              <w:pStyle w:val="PHEBulletpoint"/>
              <w:numPr>
                <w:ilvl w:val="0"/>
                <w:numId w:val="21"/>
              </w:numPr>
              <w:spacing w:line="300" w:lineRule="exact"/>
              <w:ind w:left="714" w:hanging="357"/>
              <w:contextualSpacing w:val="0"/>
              <w:rPr>
                <w:b/>
              </w:rPr>
            </w:pPr>
            <w:r w:rsidRPr="00F84009">
              <w:t>for infections with candida or non-dermatophyte moulds use oral itraconazole</w:t>
            </w:r>
          </w:p>
          <w:p w:rsidR="003477C4" w:rsidRPr="00F84009" w:rsidRDefault="003477C4" w:rsidP="001A7A2E">
            <w:pPr>
              <w:pStyle w:val="PHEBulletpoint"/>
              <w:numPr>
                <w:ilvl w:val="0"/>
                <w:numId w:val="21"/>
              </w:numPr>
              <w:spacing w:line="300" w:lineRule="exact"/>
              <w:ind w:left="714" w:hanging="357"/>
              <w:contextualSpacing w:val="0"/>
            </w:pPr>
            <w:r w:rsidRPr="00F84009">
              <w:t xml:space="preserve">idiosyncratic liver and other severe reactions occur very rarely with </w:t>
            </w:r>
            <w:r w:rsidR="00DB235C">
              <w:t>terbinafine and itraconazole</w:t>
            </w:r>
          </w:p>
          <w:p w:rsidR="003477C4" w:rsidRPr="00F84009" w:rsidRDefault="003477C4" w:rsidP="001A7A2E">
            <w:pPr>
              <w:pStyle w:val="PHEBulletpoint"/>
              <w:numPr>
                <w:ilvl w:val="0"/>
                <w:numId w:val="21"/>
              </w:numPr>
              <w:spacing w:line="300" w:lineRule="exact"/>
              <w:ind w:left="714" w:hanging="357"/>
              <w:contextualSpacing w:val="0"/>
            </w:pPr>
            <w:r w:rsidRPr="00F84009">
              <w:t>for children, seek specialist advice</w:t>
            </w:r>
          </w:p>
          <w:p w:rsidR="003477C4" w:rsidRPr="00F84009" w:rsidRDefault="003477C4" w:rsidP="001A7A2E">
            <w:pPr>
              <w:pStyle w:val="PHEBulletpoint"/>
              <w:numPr>
                <w:ilvl w:val="0"/>
                <w:numId w:val="22"/>
              </w:numPr>
              <w:spacing w:line="300" w:lineRule="exact"/>
              <w:ind w:left="357" w:hanging="357"/>
              <w:contextualSpacing w:val="0"/>
            </w:pPr>
            <w:r w:rsidRPr="00F84009">
              <w:t>Dermatophyte infection of the skin:</w:t>
            </w:r>
            <w:hyperlink w:anchor="Reference17" w:history="1">
              <w:r w:rsidR="00911727" w:rsidRPr="00F84009">
                <w:rPr>
                  <w:rStyle w:val="Hyperlink"/>
                  <w:u w:val="none"/>
                  <w:vertAlign w:val="superscript"/>
                </w:rPr>
                <w:t>17A+</w:t>
              </w:r>
            </w:hyperlink>
            <w:r w:rsidR="00911727" w:rsidRPr="00F84009">
              <w:rPr>
                <w:vertAlign w:val="superscript"/>
              </w:rPr>
              <w:t>,</w:t>
            </w:r>
            <w:hyperlink w:anchor="Reference19" w:history="1">
              <w:r w:rsidR="00911727" w:rsidRPr="00F84009">
                <w:rPr>
                  <w:rStyle w:val="Hyperlink"/>
                  <w:u w:val="none"/>
                  <w:vertAlign w:val="superscript"/>
                </w:rPr>
                <w:t>19A-</w:t>
              </w:r>
            </w:hyperlink>
            <w:r w:rsidR="00911727" w:rsidRPr="00F84009">
              <w:rPr>
                <w:vertAlign w:val="superscript"/>
              </w:rPr>
              <w:t>,</w:t>
            </w:r>
            <w:hyperlink w:anchor="Reference20" w:history="1">
              <w:r w:rsidR="00911727" w:rsidRPr="00F84009">
                <w:rPr>
                  <w:rStyle w:val="Hyperlink"/>
                  <w:u w:val="none"/>
                  <w:vertAlign w:val="superscript"/>
                </w:rPr>
                <w:t>20A-</w:t>
              </w:r>
            </w:hyperlink>
          </w:p>
          <w:p w:rsidR="003477C4" w:rsidRPr="00F84009" w:rsidRDefault="003477C4" w:rsidP="001A7A2E">
            <w:pPr>
              <w:pStyle w:val="PHEBulletpoint"/>
              <w:numPr>
                <w:ilvl w:val="0"/>
                <w:numId w:val="23"/>
              </w:numPr>
              <w:spacing w:line="300" w:lineRule="exact"/>
              <w:ind w:left="714" w:hanging="357"/>
              <w:contextualSpacing w:val="0"/>
            </w:pPr>
            <w:r w:rsidRPr="00F84009">
              <w:t>take skin scrapings for culture</w:t>
            </w:r>
          </w:p>
          <w:p w:rsidR="003477C4" w:rsidRPr="003477C4" w:rsidRDefault="003477C4" w:rsidP="00DB235C">
            <w:pPr>
              <w:pStyle w:val="PHEBulletpoint"/>
              <w:numPr>
                <w:ilvl w:val="0"/>
                <w:numId w:val="23"/>
              </w:numPr>
              <w:spacing w:after="10" w:line="300" w:lineRule="exact"/>
              <w:ind w:left="714" w:hanging="357"/>
              <w:contextualSpacing w:val="0"/>
            </w:pPr>
            <w:r>
              <w:t>as terbinafine is fungicidal, one week is as effective as 4 weeks azole which is fungistatic; topical 1% terbinafine; 1-2 times daily; 1 week</w:t>
            </w:r>
          </w:p>
        </w:tc>
      </w:tr>
    </w:tbl>
    <w:p w:rsidR="00A13253" w:rsidRDefault="00A13253" w:rsidP="00A13253">
      <w:pPr>
        <w:spacing w:after="120" w:line="280" w:lineRule="exact"/>
        <w:rPr>
          <w:b/>
          <w:color w:val="98002E"/>
        </w:rPr>
      </w:pPr>
    </w:p>
    <w:p w:rsidR="00C056FF" w:rsidRDefault="00C056FF" w:rsidP="003477C4">
      <w:pPr>
        <w:spacing w:after="240" w:line="280" w:lineRule="exact"/>
        <w:rPr>
          <w:b/>
          <w:color w:val="98002E"/>
        </w:rPr>
      </w:pPr>
    </w:p>
    <w:tbl>
      <w:tblPr>
        <w:tblStyle w:val="TableGrid"/>
        <w:tblW w:w="10914" w:type="dxa"/>
        <w:tblInd w:w="-176" w:type="dxa"/>
        <w:tblLook w:val="04A0" w:firstRow="1" w:lastRow="0" w:firstColumn="1" w:lastColumn="0" w:noHBand="0" w:noVBand="1"/>
      </w:tblPr>
      <w:tblGrid>
        <w:gridCol w:w="851"/>
        <w:gridCol w:w="10063"/>
      </w:tblGrid>
      <w:tr w:rsidR="003477C4" w:rsidRPr="0026246E" w:rsidTr="002B1F46">
        <w:tc>
          <w:tcPr>
            <w:tcW w:w="851" w:type="dxa"/>
            <w:tcBorders>
              <w:top w:val="single" w:sz="4" w:space="0" w:color="auto"/>
              <w:right w:val="nil"/>
            </w:tcBorders>
            <w:shd w:val="clear" w:color="auto" w:fill="D9D9D9" w:themeFill="background1" w:themeFillShade="D9"/>
          </w:tcPr>
          <w:p w:rsidR="003477C4" w:rsidRDefault="003477C4" w:rsidP="002B1F46">
            <w:pPr>
              <w:pStyle w:val="PHEBulletpoint"/>
              <w:numPr>
                <w:ilvl w:val="0"/>
                <w:numId w:val="0"/>
              </w:numPr>
              <w:spacing w:before="10" w:line="300" w:lineRule="exact"/>
              <w:contextualSpacing w:val="0"/>
            </w:pPr>
          </w:p>
          <w:p w:rsidR="003477C4" w:rsidRDefault="003477C4" w:rsidP="003477C4">
            <w:pPr>
              <w:pStyle w:val="PHEBulletpoint"/>
              <w:numPr>
                <w:ilvl w:val="0"/>
                <w:numId w:val="0"/>
              </w:numPr>
              <w:spacing w:line="300" w:lineRule="exact"/>
              <w:contextualSpacing w:val="0"/>
              <w:jc w:val="center"/>
            </w:pPr>
          </w:p>
          <w:p w:rsidR="003477C4" w:rsidRDefault="003477C4" w:rsidP="003477C4">
            <w:pPr>
              <w:pStyle w:val="PHEBulletpoint"/>
              <w:numPr>
                <w:ilvl w:val="0"/>
                <w:numId w:val="0"/>
              </w:numPr>
              <w:spacing w:line="300" w:lineRule="exact"/>
              <w:contextualSpacing w:val="0"/>
              <w:jc w:val="center"/>
            </w:pPr>
          </w:p>
          <w:p w:rsidR="003477C4" w:rsidRDefault="003477C4" w:rsidP="003477C4">
            <w:pPr>
              <w:pStyle w:val="PHEBulletpoint"/>
              <w:numPr>
                <w:ilvl w:val="0"/>
                <w:numId w:val="0"/>
              </w:numPr>
              <w:spacing w:line="300" w:lineRule="exact"/>
              <w:contextualSpacing w:val="0"/>
              <w:jc w:val="center"/>
            </w:pPr>
          </w:p>
          <w:p w:rsidR="003477C4" w:rsidRDefault="003477C4" w:rsidP="003477C4">
            <w:pPr>
              <w:pStyle w:val="PHEBulletpoint"/>
              <w:numPr>
                <w:ilvl w:val="0"/>
                <w:numId w:val="0"/>
              </w:numPr>
              <w:spacing w:line="300" w:lineRule="exact"/>
              <w:contextualSpacing w:val="0"/>
              <w:jc w:val="center"/>
            </w:pPr>
          </w:p>
          <w:p w:rsidR="003477C4" w:rsidRDefault="003477C4" w:rsidP="003477C4">
            <w:pPr>
              <w:pStyle w:val="PHEBulletpoint"/>
              <w:numPr>
                <w:ilvl w:val="0"/>
                <w:numId w:val="0"/>
              </w:numPr>
              <w:spacing w:line="300" w:lineRule="exact"/>
              <w:contextualSpacing w:val="0"/>
              <w:jc w:val="center"/>
            </w:pPr>
          </w:p>
          <w:p w:rsidR="003477C4" w:rsidRDefault="003477C4" w:rsidP="003477C4">
            <w:pPr>
              <w:pStyle w:val="PHEBulletpoint"/>
              <w:numPr>
                <w:ilvl w:val="0"/>
                <w:numId w:val="0"/>
              </w:numPr>
              <w:spacing w:line="300" w:lineRule="exact"/>
              <w:contextualSpacing w:val="0"/>
              <w:jc w:val="center"/>
            </w:pPr>
          </w:p>
          <w:p w:rsidR="003477C4" w:rsidRDefault="003477C4" w:rsidP="003477C4">
            <w:pPr>
              <w:pStyle w:val="PHEBulletpoint"/>
              <w:numPr>
                <w:ilvl w:val="0"/>
                <w:numId w:val="0"/>
              </w:numPr>
              <w:spacing w:line="300" w:lineRule="exact"/>
              <w:contextualSpacing w:val="0"/>
              <w:jc w:val="center"/>
            </w:pPr>
          </w:p>
          <w:p w:rsidR="003477C4" w:rsidRDefault="003477C4" w:rsidP="003477C4">
            <w:pPr>
              <w:pStyle w:val="PHEBulletpoint"/>
              <w:numPr>
                <w:ilvl w:val="0"/>
                <w:numId w:val="0"/>
              </w:numPr>
              <w:spacing w:line="300" w:lineRule="exact"/>
              <w:contextualSpacing w:val="0"/>
              <w:jc w:val="center"/>
            </w:pPr>
          </w:p>
          <w:p w:rsidR="003477C4" w:rsidRDefault="003477C4" w:rsidP="003477C4">
            <w:pPr>
              <w:pStyle w:val="PHEBulletpoint"/>
              <w:numPr>
                <w:ilvl w:val="0"/>
                <w:numId w:val="0"/>
              </w:numPr>
              <w:spacing w:line="300" w:lineRule="exact"/>
              <w:contextualSpacing w:val="0"/>
              <w:jc w:val="center"/>
            </w:pPr>
          </w:p>
          <w:p w:rsidR="003477C4" w:rsidRDefault="003477C4" w:rsidP="003477C4">
            <w:pPr>
              <w:pStyle w:val="PHEBulletpoint"/>
              <w:numPr>
                <w:ilvl w:val="0"/>
                <w:numId w:val="0"/>
              </w:numPr>
              <w:spacing w:line="300" w:lineRule="exact"/>
              <w:contextualSpacing w:val="0"/>
              <w:jc w:val="center"/>
            </w:pPr>
          </w:p>
          <w:p w:rsidR="003477C4" w:rsidRDefault="003477C4" w:rsidP="003477C4">
            <w:pPr>
              <w:pStyle w:val="PHEBulletpoint"/>
              <w:numPr>
                <w:ilvl w:val="0"/>
                <w:numId w:val="0"/>
              </w:numPr>
              <w:spacing w:line="300" w:lineRule="exact"/>
              <w:contextualSpacing w:val="0"/>
              <w:jc w:val="center"/>
            </w:pPr>
          </w:p>
          <w:p w:rsidR="003477C4" w:rsidRDefault="003477C4" w:rsidP="003477C4">
            <w:pPr>
              <w:pStyle w:val="PHEBulletpoint"/>
              <w:numPr>
                <w:ilvl w:val="0"/>
                <w:numId w:val="0"/>
              </w:numPr>
              <w:spacing w:line="300" w:lineRule="exact"/>
              <w:contextualSpacing w:val="0"/>
              <w:jc w:val="center"/>
            </w:pPr>
            <w:r>
              <w:sym w:font="Wingdings" w:char="F0FE"/>
            </w:r>
          </w:p>
        </w:tc>
        <w:tc>
          <w:tcPr>
            <w:tcW w:w="10063" w:type="dxa"/>
            <w:tcBorders>
              <w:top w:val="single" w:sz="4" w:space="0" w:color="auto"/>
              <w:right w:val="nil"/>
            </w:tcBorders>
          </w:tcPr>
          <w:p w:rsidR="00DB235C" w:rsidRDefault="00DB235C" w:rsidP="00DB235C">
            <w:pPr>
              <w:pStyle w:val="PHEBulletpoint"/>
              <w:numPr>
                <w:ilvl w:val="0"/>
                <w:numId w:val="23"/>
              </w:numPr>
              <w:spacing w:before="10" w:line="300" w:lineRule="exact"/>
              <w:ind w:left="714" w:hanging="357"/>
              <w:contextualSpacing w:val="0"/>
            </w:pPr>
            <w:r>
              <w:t>if intractable, consider oral terbinafine</w:t>
            </w:r>
          </w:p>
          <w:p w:rsidR="003477C4" w:rsidRDefault="003477C4" w:rsidP="00DB235C">
            <w:pPr>
              <w:pStyle w:val="PHEBulletpoint"/>
              <w:numPr>
                <w:ilvl w:val="0"/>
                <w:numId w:val="23"/>
              </w:numPr>
              <w:spacing w:line="300" w:lineRule="exact"/>
              <w:ind w:left="714" w:hanging="357"/>
              <w:contextualSpacing w:val="0"/>
            </w:pPr>
            <w:r>
              <w:t>discuss scalp infections with specialist</w:t>
            </w:r>
          </w:p>
          <w:p w:rsidR="003477C4" w:rsidRDefault="003477C4" w:rsidP="001A7A2E">
            <w:pPr>
              <w:pStyle w:val="PHEBulletpoint"/>
              <w:numPr>
                <w:ilvl w:val="0"/>
                <w:numId w:val="23"/>
              </w:numPr>
              <w:spacing w:line="300" w:lineRule="exact"/>
              <w:ind w:left="714" w:hanging="357"/>
              <w:contextualSpacing w:val="0"/>
            </w:pPr>
            <w:r>
              <w:t>use a 1% azole cream for groin infections; 1-2 times daily; 4-6 weeks</w:t>
            </w:r>
          </w:p>
          <w:p w:rsidR="003477C4" w:rsidRPr="00F84009" w:rsidRDefault="003477C4" w:rsidP="001A7A2E">
            <w:pPr>
              <w:pStyle w:val="PHEBulletpoint"/>
              <w:numPr>
                <w:ilvl w:val="0"/>
                <w:numId w:val="23"/>
              </w:numPr>
              <w:spacing w:line="300" w:lineRule="exact"/>
              <w:ind w:left="714" w:hanging="357"/>
              <w:contextualSpacing w:val="0"/>
            </w:pPr>
            <w:r>
              <w:t xml:space="preserve">topical </w:t>
            </w:r>
            <w:r w:rsidRPr="00F84009">
              <w:t>undecenoic acid or 1% azole; 1-2 times daily; 4-6 weeks</w:t>
            </w:r>
          </w:p>
          <w:p w:rsidR="003477C4" w:rsidRPr="00F84009" w:rsidRDefault="003477C4" w:rsidP="001A7A2E">
            <w:pPr>
              <w:pStyle w:val="PHEBulletpoint"/>
              <w:numPr>
                <w:ilvl w:val="0"/>
                <w:numId w:val="22"/>
              </w:numPr>
              <w:spacing w:line="300" w:lineRule="exact"/>
              <w:ind w:left="357" w:hanging="357"/>
              <w:contextualSpacing w:val="0"/>
            </w:pPr>
            <w:r w:rsidRPr="00F84009">
              <w:t>Candida infection of skin:</w:t>
            </w:r>
            <w:hyperlink w:anchor="Reference20" w:history="1">
              <w:r w:rsidR="00911727" w:rsidRPr="00F84009">
                <w:rPr>
                  <w:rStyle w:val="Hyperlink"/>
                  <w:u w:val="none"/>
                  <w:vertAlign w:val="superscript"/>
                </w:rPr>
                <w:t>20A-</w:t>
              </w:r>
            </w:hyperlink>
          </w:p>
          <w:p w:rsidR="003477C4" w:rsidRPr="00F84009" w:rsidRDefault="003477C4" w:rsidP="001A7A2E">
            <w:pPr>
              <w:pStyle w:val="PHEBulletpoint"/>
              <w:numPr>
                <w:ilvl w:val="0"/>
                <w:numId w:val="24"/>
              </w:numPr>
              <w:spacing w:line="300" w:lineRule="exact"/>
              <w:ind w:left="714" w:hanging="357"/>
              <w:contextualSpacing w:val="0"/>
            </w:pPr>
            <w:r w:rsidRPr="00F84009">
              <w:t>confirm by laboratory</w:t>
            </w:r>
          </w:p>
          <w:p w:rsidR="003477C4" w:rsidRPr="00F84009" w:rsidRDefault="003477C4" w:rsidP="001A7A2E">
            <w:pPr>
              <w:pStyle w:val="PHEBulletpoint"/>
              <w:numPr>
                <w:ilvl w:val="0"/>
                <w:numId w:val="24"/>
              </w:numPr>
              <w:spacing w:line="300" w:lineRule="exact"/>
              <w:ind w:left="714" w:hanging="357"/>
              <w:contextualSpacing w:val="0"/>
            </w:pPr>
            <w:r w:rsidRPr="00F84009">
              <w:t>treat with 1% azole cream; use lotion if treating paronychia; 1-2 times daily; 1 week, or in case of paronychia, until swelling goes</w:t>
            </w:r>
          </w:p>
          <w:p w:rsidR="003477C4" w:rsidRPr="00F84009" w:rsidRDefault="003477C4" w:rsidP="001A7A2E">
            <w:pPr>
              <w:pStyle w:val="PHEBulletpoint"/>
              <w:numPr>
                <w:ilvl w:val="0"/>
                <w:numId w:val="24"/>
              </w:numPr>
              <w:spacing w:line="300" w:lineRule="exact"/>
              <w:ind w:left="714" w:hanging="357"/>
              <w:contextualSpacing w:val="0"/>
            </w:pPr>
            <w:r w:rsidRPr="00F84009">
              <w:t>seek advice for nail infection</w:t>
            </w:r>
          </w:p>
          <w:p w:rsidR="003477C4" w:rsidRPr="00F84009" w:rsidRDefault="003477C4" w:rsidP="001A7A2E">
            <w:pPr>
              <w:pStyle w:val="PHEBulletpoint"/>
              <w:numPr>
                <w:ilvl w:val="0"/>
                <w:numId w:val="22"/>
              </w:numPr>
              <w:spacing w:line="300" w:lineRule="exact"/>
              <w:ind w:left="357" w:hanging="357"/>
              <w:contextualSpacing w:val="0"/>
            </w:pPr>
            <w:r w:rsidRPr="00F84009">
              <w:rPr>
                <w:i/>
              </w:rPr>
              <w:t>Pityriasis versicolor</w:t>
            </w:r>
            <w:r w:rsidRPr="00F84009">
              <w:t>:</w:t>
            </w:r>
            <w:hyperlink w:anchor="Reference20" w:history="1">
              <w:r w:rsidR="00911727" w:rsidRPr="00F84009">
                <w:rPr>
                  <w:rStyle w:val="Hyperlink"/>
                  <w:u w:val="none"/>
                  <w:vertAlign w:val="superscript"/>
                </w:rPr>
                <w:t>20A-</w:t>
              </w:r>
            </w:hyperlink>
          </w:p>
          <w:p w:rsidR="003477C4" w:rsidRPr="00F84009" w:rsidRDefault="003477C4" w:rsidP="001A7A2E">
            <w:pPr>
              <w:pStyle w:val="PHEBulletpoint"/>
              <w:numPr>
                <w:ilvl w:val="0"/>
                <w:numId w:val="25"/>
              </w:numPr>
              <w:spacing w:line="300" w:lineRule="exact"/>
              <w:ind w:left="714" w:hanging="357"/>
              <w:contextualSpacing w:val="0"/>
            </w:pPr>
            <w:r w:rsidRPr="00F84009">
              <w:t>scratching the surface of the lesion should demonstrate mild scaling</w:t>
            </w:r>
          </w:p>
          <w:p w:rsidR="003477C4" w:rsidRPr="00F84009" w:rsidRDefault="003477C4" w:rsidP="001A7A2E">
            <w:pPr>
              <w:pStyle w:val="PHEBulletpoint"/>
              <w:numPr>
                <w:ilvl w:val="0"/>
                <w:numId w:val="25"/>
              </w:numPr>
              <w:spacing w:line="300" w:lineRule="exact"/>
              <w:ind w:left="714" w:hanging="357"/>
              <w:contextualSpacing w:val="0"/>
            </w:pPr>
            <w:r w:rsidRPr="00F84009">
              <w:t>1% azole cream; 1% terbinafine or shampoo containing ketoconazole; 1-2 times daily; usually 1 week</w:t>
            </w:r>
          </w:p>
          <w:p w:rsidR="003477C4" w:rsidRPr="003477C4" w:rsidRDefault="003477C4" w:rsidP="001A7A2E">
            <w:pPr>
              <w:pStyle w:val="PHEBulletpoint"/>
              <w:numPr>
                <w:ilvl w:val="0"/>
                <w:numId w:val="22"/>
              </w:numPr>
              <w:spacing w:line="300" w:lineRule="exact"/>
              <w:ind w:left="357" w:hanging="357"/>
              <w:contextualSpacing w:val="0"/>
            </w:pPr>
            <w:r w:rsidRPr="00F84009">
              <w:rPr>
                <w:b/>
              </w:rPr>
              <w:t>Follow-up: unless there is underlying disease, eg psoriasis, eradication of the fungus generally restores the nail to its pre-infection state.</w:t>
            </w:r>
            <w:hyperlink w:anchor="Reference4" w:history="1">
              <w:r w:rsidR="00684102" w:rsidRPr="00F84009">
                <w:rPr>
                  <w:rStyle w:val="Hyperlink"/>
                  <w:u w:val="none"/>
                  <w:vertAlign w:val="superscript"/>
                </w:rPr>
                <w:t>4D</w:t>
              </w:r>
            </w:hyperlink>
            <w:r w:rsidRPr="00F84009">
              <w:rPr>
                <w:b/>
              </w:rPr>
              <w:t xml:space="preserve"> Siblings of children with scalp ringworm should be screened by scalp brushing.</w:t>
            </w:r>
            <w:r w:rsidR="00F84009" w:rsidRPr="00F84009">
              <w:rPr>
                <w:vertAlign w:val="superscript"/>
              </w:rPr>
              <w:t xml:space="preserve"> </w:t>
            </w:r>
            <w:hyperlink w:anchor="Reference21" w:history="1">
              <w:r w:rsidR="00F84009" w:rsidRPr="00F84009">
                <w:rPr>
                  <w:rStyle w:val="Hyperlink"/>
                  <w:u w:val="none"/>
                  <w:vertAlign w:val="superscript"/>
                </w:rPr>
                <w:t>21</w:t>
              </w:r>
              <w:r w:rsidR="00684102" w:rsidRPr="00F84009">
                <w:rPr>
                  <w:rStyle w:val="Hyperlink"/>
                  <w:u w:val="none"/>
                  <w:vertAlign w:val="superscript"/>
                </w:rPr>
                <w:t>A-</w:t>
              </w:r>
            </w:hyperlink>
          </w:p>
        </w:tc>
      </w:tr>
      <w:tr w:rsidR="003477C4" w:rsidRPr="0026246E" w:rsidTr="002B1F46">
        <w:tc>
          <w:tcPr>
            <w:tcW w:w="10914" w:type="dxa"/>
            <w:gridSpan w:val="2"/>
            <w:shd w:val="clear" w:color="auto" w:fill="D9D9D9" w:themeFill="background1" w:themeFillShade="D9"/>
          </w:tcPr>
          <w:p w:rsidR="003477C4" w:rsidRPr="00163185" w:rsidRDefault="003477C4" w:rsidP="003477C4">
            <w:pPr>
              <w:spacing w:before="10" w:after="10" w:line="300" w:lineRule="exact"/>
              <w:rPr>
                <w:b/>
                <w:highlight w:val="yellow"/>
              </w:rPr>
            </w:pPr>
            <w:r w:rsidRPr="000E0D5F">
              <w:rPr>
                <w:rFonts w:cs="Arial"/>
                <w:b/>
                <w:szCs w:val="24"/>
              </w:rPr>
              <w:t xml:space="preserve">KEY:   </w:t>
            </w:r>
            <w:r w:rsidRPr="008E3258">
              <w:rPr>
                <w:rFonts w:cs="Arial"/>
                <w:szCs w:val="24"/>
              </w:rPr>
              <w:sym w:font="Wingdings" w:char="F0FE"/>
            </w:r>
            <w:r w:rsidRPr="000E0D5F">
              <w:rPr>
                <w:rFonts w:cs="Arial"/>
                <w:b/>
                <w:szCs w:val="24"/>
              </w:rPr>
              <w:t xml:space="preserve"> </w:t>
            </w:r>
            <w:r>
              <w:rPr>
                <w:rFonts w:cs="Arial"/>
                <w:b/>
                <w:szCs w:val="24"/>
              </w:rPr>
              <w:t xml:space="preserve"> =  </w:t>
            </w:r>
            <w:r w:rsidRPr="000E0D5F">
              <w:rPr>
                <w:rFonts w:cs="Arial"/>
                <w:b/>
                <w:szCs w:val="24"/>
              </w:rPr>
              <w:t>good practice point</w:t>
            </w:r>
          </w:p>
        </w:tc>
      </w:tr>
    </w:tbl>
    <w:p w:rsidR="003477C4" w:rsidRDefault="003477C4" w:rsidP="008901DD">
      <w:pPr>
        <w:spacing w:after="120" w:line="280" w:lineRule="exact"/>
        <w:rPr>
          <w:b/>
          <w:color w:val="98002E"/>
        </w:rPr>
      </w:pPr>
    </w:p>
    <w:p w:rsidR="003477C4" w:rsidRDefault="003477C4" w:rsidP="008901DD">
      <w:pPr>
        <w:spacing w:after="120" w:line="280" w:lineRule="exact"/>
        <w:rPr>
          <w:b/>
          <w:color w:val="98002E"/>
        </w:rPr>
      </w:pPr>
    </w:p>
    <w:p w:rsidR="003477C4" w:rsidRDefault="003477C4" w:rsidP="008901DD">
      <w:pPr>
        <w:spacing w:after="120" w:line="280" w:lineRule="exact"/>
        <w:rPr>
          <w:b/>
          <w:color w:val="98002E"/>
        </w:rPr>
      </w:pPr>
    </w:p>
    <w:p w:rsidR="003477C4" w:rsidRDefault="003477C4" w:rsidP="008901DD">
      <w:pPr>
        <w:spacing w:after="120" w:line="280" w:lineRule="exact"/>
        <w:rPr>
          <w:b/>
          <w:color w:val="98002E"/>
        </w:rPr>
      </w:pPr>
    </w:p>
    <w:p w:rsidR="003477C4" w:rsidRDefault="003477C4" w:rsidP="008901DD">
      <w:pPr>
        <w:spacing w:after="120" w:line="280" w:lineRule="exact"/>
        <w:rPr>
          <w:b/>
          <w:color w:val="98002E"/>
        </w:rPr>
      </w:pPr>
    </w:p>
    <w:p w:rsidR="003477C4" w:rsidRDefault="003477C4" w:rsidP="008901DD">
      <w:pPr>
        <w:spacing w:after="120" w:line="280" w:lineRule="exact"/>
        <w:rPr>
          <w:b/>
          <w:color w:val="98002E"/>
        </w:rPr>
      </w:pPr>
    </w:p>
    <w:p w:rsidR="003477C4" w:rsidRDefault="003477C4" w:rsidP="008901DD">
      <w:pPr>
        <w:spacing w:after="120" w:line="280" w:lineRule="exact"/>
        <w:rPr>
          <w:b/>
          <w:color w:val="98002E"/>
        </w:rPr>
      </w:pPr>
    </w:p>
    <w:p w:rsidR="003477C4" w:rsidRDefault="003477C4" w:rsidP="008901DD">
      <w:pPr>
        <w:spacing w:after="120" w:line="280" w:lineRule="exact"/>
        <w:rPr>
          <w:b/>
          <w:color w:val="98002E"/>
        </w:rPr>
      </w:pPr>
    </w:p>
    <w:p w:rsidR="003477C4" w:rsidRDefault="003477C4" w:rsidP="008901DD">
      <w:pPr>
        <w:spacing w:after="120" w:line="280" w:lineRule="exact"/>
        <w:rPr>
          <w:b/>
          <w:color w:val="98002E"/>
        </w:rPr>
      </w:pPr>
    </w:p>
    <w:p w:rsidR="003477C4" w:rsidRDefault="003477C4" w:rsidP="008901DD">
      <w:pPr>
        <w:spacing w:after="120" w:line="280" w:lineRule="exact"/>
        <w:rPr>
          <w:b/>
          <w:color w:val="98002E"/>
        </w:rPr>
      </w:pPr>
    </w:p>
    <w:p w:rsidR="003477C4" w:rsidRDefault="003477C4" w:rsidP="008901DD">
      <w:pPr>
        <w:spacing w:after="120" w:line="280" w:lineRule="exact"/>
        <w:rPr>
          <w:b/>
          <w:color w:val="98002E"/>
        </w:rPr>
      </w:pPr>
    </w:p>
    <w:p w:rsidR="003477C4" w:rsidRDefault="003477C4" w:rsidP="008901DD">
      <w:pPr>
        <w:spacing w:after="120" w:line="280" w:lineRule="exact"/>
        <w:rPr>
          <w:b/>
          <w:color w:val="98002E"/>
        </w:rPr>
      </w:pPr>
    </w:p>
    <w:p w:rsidR="003477C4" w:rsidRDefault="003477C4" w:rsidP="008901DD">
      <w:pPr>
        <w:spacing w:after="120" w:line="280" w:lineRule="exact"/>
        <w:rPr>
          <w:b/>
          <w:color w:val="98002E"/>
        </w:rPr>
      </w:pPr>
    </w:p>
    <w:p w:rsidR="003477C4" w:rsidRDefault="003477C4" w:rsidP="008901DD">
      <w:pPr>
        <w:spacing w:after="120" w:line="280" w:lineRule="exact"/>
        <w:rPr>
          <w:b/>
          <w:color w:val="98002E"/>
        </w:rPr>
      </w:pPr>
    </w:p>
    <w:p w:rsidR="003477C4" w:rsidRDefault="003477C4" w:rsidP="008901DD">
      <w:pPr>
        <w:spacing w:after="120" w:line="280" w:lineRule="exact"/>
        <w:rPr>
          <w:b/>
          <w:color w:val="98002E"/>
        </w:rPr>
      </w:pPr>
    </w:p>
    <w:p w:rsidR="003477C4" w:rsidRDefault="003477C4" w:rsidP="003477C4">
      <w:pPr>
        <w:spacing w:after="120" w:line="280" w:lineRule="exact"/>
        <w:rPr>
          <w:b/>
          <w:color w:val="98002E"/>
        </w:rPr>
      </w:pPr>
    </w:p>
    <w:p w:rsidR="003477C4" w:rsidRDefault="003477C4" w:rsidP="003477C4">
      <w:pPr>
        <w:spacing w:after="120" w:line="280" w:lineRule="exact"/>
        <w:rPr>
          <w:b/>
          <w:color w:val="98002E"/>
        </w:rPr>
      </w:pPr>
    </w:p>
    <w:p w:rsidR="003477C4" w:rsidRDefault="003477C4" w:rsidP="003477C4">
      <w:pPr>
        <w:spacing w:after="120" w:line="280" w:lineRule="exact"/>
        <w:rPr>
          <w:b/>
          <w:color w:val="98002E"/>
        </w:rPr>
      </w:pPr>
    </w:p>
    <w:p w:rsidR="003477C4" w:rsidRDefault="003477C4" w:rsidP="003477C4">
      <w:pPr>
        <w:spacing w:after="120" w:line="280" w:lineRule="exact"/>
        <w:rPr>
          <w:b/>
          <w:color w:val="98002E"/>
        </w:rPr>
      </w:pPr>
    </w:p>
    <w:p w:rsidR="003477C4" w:rsidRDefault="003477C4" w:rsidP="003477C4">
      <w:pPr>
        <w:spacing w:after="120" w:line="280" w:lineRule="exact"/>
        <w:rPr>
          <w:b/>
          <w:color w:val="98002E"/>
        </w:rPr>
      </w:pPr>
    </w:p>
    <w:p w:rsidR="003477C4" w:rsidRDefault="003477C4" w:rsidP="003477C4">
      <w:pPr>
        <w:spacing w:after="120" w:line="280" w:lineRule="exact"/>
        <w:rPr>
          <w:b/>
          <w:color w:val="98002E"/>
        </w:rPr>
      </w:pPr>
    </w:p>
    <w:p w:rsidR="003477C4" w:rsidRDefault="003477C4" w:rsidP="003477C4">
      <w:pPr>
        <w:spacing w:after="120" w:line="280" w:lineRule="exact"/>
        <w:rPr>
          <w:b/>
          <w:color w:val="98002E"/>
        </w:rPr>
      </w:pPr>
    </w:p>
    <w:p w:rsidR="003477C4" w:rsidRDefault="003477C4" w:rsidP="003477C4">
      <w:pPr>
        <w:spacing w:after="120" w:line="280" w:lineRule="exact"/>
        <w:rPr>
          <w:b/>
          <w:color w:val="98002E"/>
        </w:rPr>
      </w:pPr>
    </w:p>
    <w:p w:rsidR="003477C4" w:rsidRDefault="003477C4" w:rsidP="003477C4">
      <w:pPr>
        <w:spacing w:after="120" w:line="280" w:lineRule="exact"/>
        <w:rPr>
          <w:b/>
          <w:color w:val="98002E"/>
        </w:rPr>
      </w:pPr>
    </w:p>
    <w:p w:rsidR="00845187" w:rsidRPr="00845187" w:rsidRDefault="00845187" w:rsidP="00845187">
      <w:pPr>
        <w:rPr>
          <w:b/>
          <w:color w:val="98002E"/>
        </w:rPr>
      </w:pPr>
      <w:r w:rsidRPr="00845187">
        <w:rPr>
          <w:b/>
          <w:color w:val="98002E"/>
        </w:rPr>
        <w:t>GRADING OF GUIDANCE RECOMMENDATIONS</w:t>
      </w:r>
    </w:p>
    <w:p w:rsidR="00845187" w:rsidRDefault="00845187" w:rsidP="00845187"/>
    <w:p w:rsidR="00845187" w:rsidRDefault="00845187" w:rsidP="00845187">
      <w:r>
        <w:t>The strength of each recommendation is qualified by a letter in parenthesis.</w:t>
      </w:r>
      <w:r w:rsidR="00D54E45">
        <w:t xml:space="preserve"> This is an altered </w:t>
      </w:r>
      <w:r w:rsidR="002D483F">
        <w:t>version of the grading recommendation system</w:t>
      </w:r>
      <w:r w:rsidR="00D54E45">
        <w:t xml:space="preserve"> used by </w:t>
      </w:r>
      <w:hyperlink r:id="rId28" w:history="1">
        <w:r w:rsidR="00D54E45" w:rsidRPr="00D54E45">
          <w:rPr>
            <w:rStyle w:val="Hyperlink"/>
            <w:color w:val="98002E"/>
            <w:u w:val="none"/>
          </w:rPr>
          <w:t>SIGN</w:t>
        </w:r>
      </w:hyperlink>
      <w:r w:rsidR="00D54E45">
        <w:t>.</w:t>
      </w:r>
    </w:p>
    <w:p w:rsidR="00845187" w:rsidRDefault="00845187" w:rsidP="00845187"/>
    <w:tbl>
      <w:tblPr>
        <w:tblStyle w:val="TableGrid"/>
        <w:tblW w:w="0" w:type="auto"/>
        <w:tblLook w:val="04A0" w:firstRow="1" w:lastRow="0" w:firstColumn="1" w:lastColumn="0" w:noHBand="0" w:noVBand="1"/>
      </w:tblPr>
      <w:tblGrid>
        <w:gridCol w:w="6912"/>
        <w:gridCol w:w="3622"/>
      </w:tblGrid>
      <w:tr w:rsidR="00845187" w:rsidRPr="0026246E" w:rsidTr="008E3258">
        <w:tc>
          <w:tcPr>
            <w:tcW w:w="6912" w:type="dxa"/>
            <w:shd w:val="clear" w:color="auto" w:fill="E5B8B7" w:themeFill="accent2" w:themeFillTint="66"/>
            <w:vAlign w:val="center"/>
          </w:tcPr>
          <w:p w:rsidR="00845187" w:rsidRPr="00E6343B" w:rsidRDefault="00845187" w:rsidP="008E3258">
            <w:pPr>
              <w:spacing w:before="10" w:after="10"/>
              <w:jc w:val="center"/>
              <w:rPr>
                <w:rFonts w:cs="Arial"/>
                <w:b/>
                <w:szCs w:val="24"/>
              </w:rPr>
            </w:pPr>
            <w:r w:rsidRPr="00E6343B">
              <w:rPr>
                <w:rFonts w:cs="Arial"/>
                <w:b/>
                <w:szCs w:val="24"/>
              </w:rPr>
              <w:t>STUDY DESIGN</w:t>
            </w:r>
          </w:p>
        </w:tc>
        <w:tc>
          <w:tcPr>
            <w:tcW w:w="3622" w:type="dxa"/>
            <w:shd w:val="clear" w:color="auto" w:fill="E5B8B7" w:themeFill="accent2" w:themeFillTint="66"/>
            <w:vAlign w:val="center"/>
          </w:tcPr>
          <w:p w:rsidR="00845187" w:rsidRPr="00E6343B" w:rsidRDefault="00845187" w:rsidP="008E3258">
            <w:pPr>
              <w:spacing w:before="10" w:after="10"/>
              <w:jc w:val="center"/>
              <w:rPr>
                <w:rFonts w:cs="Arial"/>
                <w:b/>
                <w:szCs w:val="24"/>
              </w:rPr>
            </w:pPr>
            <w:r w:rsidRPr="00E6343B">
              <w:rPr>
                <w:rFonts w:cs="Arial"/>
                <w:b/>
                <w:szCs w:val="24"/>
              </w:rPr>
              <w:t>RECOMMENDATION GRADE</w:t>
            </w:r>
          </w:p>
        </w:tc>
      </w:tr>
      <w:tr w:rsidR="00845187" w:rsidRPr="0026246E" w:rsidTr="008E3258">
        <w:tc>
          <w:tcPr>
            <w:tcW w:w="6912" w:type="dxa"/>
            <w:vAlign w:val="center"/>
          </w:tcPr>
          <w:p w:rsidR="00845187" w:rsidRPr="00E6343B" w:rsidRDefault="00845187" w:rsidP="008E3258">
            <w:pPr>
              <w:spacing w:before="10" w:after="10"/>
              <w:rPr>
                <w:rFonts w:cs="Arial"/>
                <w:szCs w:val="24"/>
              </w:rPr>
            </w:pPr>
            <w:r w:rsidRPr="00E6343B">
              <w:rPr>
                <w:rFonts w:cs="Arial"/>
                <w:szCs w:val="24"/>
              </w:rPr>
              <w:t>Good recent systematic review</w:t>
            </w:r>
            <w:r w:rsidR="00D54E45">
              <w:rPr>
                <w:rFonts w:cs="Arial"/>
                <w:szCs w:val="24"/>
              </w:rPr>
              <w:t xml:space="preserve"> and meta-analysis</w:t>
            </w:r>
            <w:r w:rsidRPr="00E6343B">
              <w:rPr>
                <w:rFonts w:cs="Arial"/>
                <w:szCs w:val="24"/>
              </w:rPr>
              <w:t xml:space="preserve"> of studies</w:t>
            </w:r>
          </w:p>
        </w:tc>
        <w:tc>
          <w:tcPr>
            <w:tcW w:w="3622" w:type="dxa"/>
            <w:vAlign w:val="center"/>
          </w:tcPr>
          <w:p w:rsidR="00845187" w:rsidRPr="00E6343B" w:rsidRDefault="00845187" w:rsidP="008E3258">
            <w:pPr>
              <w:spacing w:before="10" w:after="10"/>
              <w:jc w:val="center"/>
              <w:rPr>
                <w:rFonts w:cs="Arial"/>
                <w:szCs w:val="24"/>
              </w:rPr>
            </w:pPr>
            <w:r w:rsidRPr="00E6343B">
              <w:rPr>
                <w:rFonts w:cs="Arial"/>
                <w:szCs w:val="24"/>
              </w:rPr>
              <w:t>A+</w:t>
            </w:r>
          </w:p>
        </w:tc>
      </w:tr>
      <w:tr w:rsidR="00845187" w:rsidRPr="0026246E" w:rsidTr="008E3258">
        <w:tc>
          <w:tcPr>
            <w:tcW w:w="6912" w:type="dxa"/>
            <w:vAlign w:val="center"/>
          </w:tcPr>
          <w:p w:rsidR="00845187" w:rsidRPr="00E6343B" w:rsidRDefault="00845187" w:rsidP="00D54E45">
            <w:pPr>
              <w:spacing w:before="10" w:after="10"/>
              <w:rPr>
                <w:rFonts w:cs="Arial"/>
                <w:szCs w:val="24"/>
              </w:rPr>
            </w:pPr>
            <w:r w:rsidRPr="00E6343B">
              <w:rPr>
                <w:rFonts w:cs="Arial"/>
                <w:szCs w:val="24"/>
              </w:rPr>
              <w:t>One or more rigorous studies</w:t>
            </w:r>
            <w:r w:rsidR="00A23435">
              <w:rPr>
                <w:rFonts w:cs="Arial"/>
                <w:szCs w:val="24"/>
              </w:rPr>
              <w:t>;</w:t>
            </w:r>
            <w:r w:rsidR="00451C95">
              <w:rPr>
                <w:rFonts w:cs="Arial"/>
                <w:szCs w:val="24"/>
              </w:rPr>
              <w:t xml:space="preserve"> randomised controlled trials</w:t>
            </w:r>
          </w:p>
        </w:tc>
        <w:tc>
          <w:tcPr>
            <w:tcW w:w="3622" w:type="dxa"/>
            <w:vAlign w:val="center"/>
          </w:tcPr>
          <w:p w:rsidR="00845187" w:rsidRPr="00E6343B" w:rsidRDefault="00845187" w:rsidP="008E3258">
            <w:pPr>
              <w:spacing w:before="10" w:after="10"/>
              <w:jc w:val="center"/>
              <w:rPr>
                <w:rFonts w:cs="Arial"/>
                <w:szCs w:val="24"/>
              </w:rPr>
            </w:pPr>
            <w:r w:rsidRPr="00E6343B">
              <w:rPr>
                <w:rFonts w:cs="Arial"/>
                <w:szCs w:val="24"/>
              </w:rPr>
              <w:t>A-</w:t>
            </w:r>
          </w:p>
        </w:tc>
      </w:tr>
      <w:tr w:rsidR="00845187" w:rsidRPr="0026246E" w:rsidTr="008E3258">
        <w:tc>
          <w:tcPr>
            <w:tcW w:w="6912" w:type="dxa"/>
            <w:vAlign w:val="center"/>
          </w:tcPr>
          <w:p w:rsidR="00845187" w:rsidRPr="00E6343B" w:rsidRDefault="00845187" w:rsidP="008E3258">
            <w:pPr>
              <w:spacing w:before="10" w:after="10"/>
              <w:rPr>
                <w:rFonts w:cs="Arial"/>
                <w:szCs w:val="24"/>
              </w:rPr>
            </w:pPr>
            <w:r w:rsidRPr="00E6343B">
              <w:rPr>
                <w:rFonts w:cs="Arial"/>
                <w:szCs w:val="24"/>
              </w:rPr>
              <w:t>One or more prospective studies</w:t>
            </w:r>
          </w:p>
        </w:tc>
        <w:tc>
          <w:tcPr>
            <w:tcW w:w="3622" w:type="dxa"/>
            <w:vAlign w:val="center"/>
          </w:tcPr>
          <w:p w:rsidR="00845187" w:rsidRPr="00E6343B" w:rsidRDefault="00845187" w:rsidP="008E3258">
            <w:pPr>
              <w:spacing w:before="10" w:after="10"/>
              <w:jc w:val="center"/>
              <w:rPr>
                <w:rFonts w:cs="Arial"/>
                <w:szCs w:val="24"/>
              </w:rPr>
            </w:pPr>
            <w:r w:rsidRPr="00E6343B">
              <w:rPr>
                <w:rFonts w:cs="Arial"/>
                <w:szCs w:val="24"/>
              </w:rPr>
              <w:t>B+</w:t>
            </w:r>
          </w:p>
        </w:tc>
      </w:tr>
      <w:tr w:rsidR="00845187" w:rsidRPr="0026246E" w:rsidTr="008E3258">
        <w:tc>
          <w:tcPr>
            <w:tcW w:w="6912" w:type="dxa"/>
            <w:vAlign w:val="center"/>
          </w:tcPr>
          <w:p w:rsidR="00845187" w:rsidRPr="00E6343B" w:rsidRDefault="00845187" w:rsidP="008E3258">
            <w:pPr>
              <w:spacing w:before="10" w:after="10"/>
              <w:rPr>
                <w:rFonts w:cs="Arial"/>
                <w:szCs w:val="24"/>
              </w:rPr>
            </w:pPr>
            <w:r w:rsidRPr="00E6343B">
              <w:rPr>
                <w:rFonts w:cs="Arial"/>
                <w:szCs w:val="24"/>
              </w:rPr>
              <w:t>One or more retrospective studies</w:t>
            </w:r>
          </w:p>
        </w:tc>
        <w:tc>
          <w:tcPr>
            <w:tcW w:w="3622" w:type="dxa"/>
            <w:vAlign w:val="center"/>
          </w:tcPr>
          <w:p w:rsidR="00845187" w:rsidRPr="00E6343B" w:rsidRDefault="00845187" w:rsidP="008E3258">
            <w:pPr>
              <w:spacing w:before="10" w:after="10"/>
              <w:jc w:val="center"/>
              <w:rPr>
                <w:rFonts w:cs="Arial"/>
                <w:szCs w:val="24"/>
              </w:rPr>
            </w:pPr>
            <w:r w:rsidRPr="00E6343B">
              <w:rPr>
                <w:rFonts w:cs="Arial"/>
                <w:szCs w:val="24"/>
              </w:rPr>
              <w:t>B-</w:t>
            </w:r>
          </w:p>
        </w:tc>
      </w:tr>
      <w:tr w:rsidR="00845187" w:rsidRPr="0026246E" w:rsidTr="008E3258">
        <w:tc>
          <w:tcPr>
            <w:tcW w:w="6912" w:type="dxa"/>
            <w:vAlign w:val="center"/>
          </w:tcPr>
          <w:p w:rsidR="00845187" w:rsidRPr="00E6343B" w:rsidRDefault="00D54E45" w:rsidP="008E3258">
            <w:pPr>
              <w:spacing w:before="10" w:after="10"/>
              <w:rPr>
                <w:rFonts w:cs="Arial"/>
                <w:szCs w:val="24"/>
              </w:rPr>
            </w:pPr>
            <w:r>
              <w:rPr>
                <w:rFonts w:cs="Arial"/>
                <w:szCs w:val="24"/>
              </w:rPr>
              <w:t>N</w:t>
            </w:r>
            <w:r w:rsidR="008A60B5">
              <w:rPr>
                <w:rFonts w:cs="Arial"/>
                <w:szCs w:val="24"/>
              </w:rPr>
              <w:t>on-analytic studies, eg</w:t>
            </w:r>
            <w:r w:rsidR="00A23435">
              <w:rPr>
                <w:rFonts w:cs="Arial"/>
                <w:szCs w:val="24"/>
              </w:rPr>
              <w:t xml:space="preserve"> </w:t>
            </w:r>
            <w:r>
              <w:rPr>
                <w:rFonts w:cs="Arial"/>
                <w:szCs w:val="24"/>
              </w:rPr>
              <w:t>case reports or case series</w:t>
            </w:r>
          </w:p>
        </w:tc>
        <w:tc>
          <w:tcPr>
            <w:tcW w:w="3622" w:type="dxa"/>
            <w:vAlign w:val="center"/>
          </w:tcPr>
          <w:p w:rsidR="00845187" w:rsidRPr="00E6343B" w:rsidRDefault="00845187" w:rsidP="008E3258">
            <w:pPr>
              <w:spacing w:before="10" w:after="10"/>
              <w:jc w:val="center"/>
              <w:rPr>
                <w:rFonts w:cs="Arial"/>
                <w:szCs w:val="24"/>
              </w:rPr>
            </w:pPr>
            <w:r w:rsidRPr="00E6343B">
              <w:rPr>
                <w:rFonts w:cs="Arial"/>
                <w:szCs w:val="24"/>
              </w:rPr>
              <w:t>C</w:t>
            </w:r>
          </w:p>
        </w:tc>
      </w:tr>
      <w:tr w:rsidR="00845187" w:rsidRPr="0026246E" w:rsidTr="008E3258">
        <w:tc>
          <w:tcPr>
            <w:tcW w:w="6912" w:type="dxa"/>
            <w:vAlign w:val="center"/>
          </w:tcPr>
          <w:p w:rsidR="00845187" w:rsidRPr="00E6343B" w:rsidRDefault="00D54E45" w:rsidP="008E3258">
            <w:pPr>
              <w:spacing w:before="10" w:after="10"/>
              <w:rPr>
                <w:rFonts w:cs="Arial"/>
                <w:szCs w:val="24"/>
              </w:rPr>
            </w:pPr>
            <w:r>
              <w:rPr>
                <w:rFonts w:cs="Arial"/>
                <w:szCs w:val="24"/>
              </w:rPr>
              <w:t>Formal combination of expert opinion</w:t>
            </w:r>
          </w:p>
        </w:tc>
        <w:tc>
          <w:tcPr>
            <w:tcW w:w="3622" w:type="dxa"/>
            <w:vAlign w:val="center"/>
          </w:tcPr>
          <w:p w:rsidR="00845187" w:rsidRPr="00E6343B" w:rsidRDefault="00845187" w:rsidP="008E3258">
            <w:pPr>
              <w:spacing w:before="10" w:after="10"/>
              <w:jc w:val="center"/>
              <w:rPr>
                <w:rFonts w:cs="Arial"/>
                <w:szCs w:val="24"/>
              </w:rPr>
            </w:pPr>
            <w:r w:rsidRPr="00E6343B">
              <w:rPr>
                <w:rFonts w:cs="Arial"/>
                <w:szCs w:val="24"/>
              </w:rPr>
              <w:t>D</w:t>
            </w:r>
          </w:p>
        </w:tc>
      </w:tr>
    </w:tbl>
    <w:p w:rsidR="00845187" w:rsidRDefault="00845187" w:rsidP="00845187"/>
    <w:p w:rsidR="00845187" w:rsidRDefault="00845187" w:rsidP="00845187"/>
    <w:p w:rsidR="00845187" w:rsidRDefault="00845187" w:rsidP="00845187">
      <w:r>
        <w:t>This guidance</w:t>
      </w:r>
      <w:r w:rsidR="00DF19B3">
        <w:t xml:space="preserve"> was originally produced in 2009</w:t>
      </w:r>
      <w:r>
        <w:t xml:space="preserve"> by the South West GP Microbiology Laboratory Use Group, in collaboration with the Association of Medica</w:t>
      </w:r>
      <w:r w:rsidR="00D14635">
        <w:t>l Microbiologists, g</w:t>
      </w:r>
      <w:r w:rsidR="00451C95">
        <w:t xml:space="preserve">eneral </w:t>
      </w:r>
      <w:r w:rsidR="00D14635">
        <w:t>p</w:t>
      </w:r>
      <w:r w:rsidR="00451C95">
        <w:t>ractitioners</w:t>
      </w:r>
      <w:r>
        <w:t xml:space="preserve">, nurses and specialists in the field. This guidance </w:t>
      </w:r>
      <w:r w:rsidR="003477C4">
        <w:t>was reformatted in 2017 in line with PHE recommendations.</w:t>
      </w:r>
      <w:r>
        <w:t xml:space="preserve"> </w:t>
      </w:r>
      <w:r w:rsidR="00F82363">
        <w:t xml:space="preserve">For detailed information regarding the comments provided and action taken, please email </w:t>
      </w:r>
      <w:hyperlink r:id="rId29" w:history="1">
        <w:r w:rsidR="00F82363" w:rsidRPr="00316767">
          <w:rPr>
            <w:rStyle w:val="Hyperlink"/>
            <w:u w:val="none"/>
          </w:rPr>
          <w:t>sarah.alton@phe.gov.uk</w:t>
        </w:r>
      </w:hyperlink>
      <w:r w:rsidR="00F82363">
        <w:t xml:space="preserve">. </w:t>
      </w:r>
      <w:r>
        <w:t xml:space="preserve">Public Health England works closely with the authors of the </w:t>
      </w:r>
      <w:hyperlink r:id="rId30" w:history="1">
        <w:r w:rsidRPr="000A35A2">
          <w:rPr>
            <w:rStyle w:val="Hyperlink"/>
            <w:color w:val="98002E"/>
            <w:u w:val="none"/>
          </w:rPr>
          <w:t>Clinical Knowledge Summaries</w:t>
        </w:r>
      </w:hyperlink>
      <w:r>
        <w:t>.</w:t>
      </w:r>
    </w:p>
    <w:p w:rsidR="00845187" w:rsidRDefault="00845187" w:rsidP="00845187"/>
    <w:p w:rsidR="00845187" w:rsidRDefault="00845187" w:rsidP="00845187">
      <w:r>
        <w:t xml:space="preserve">If you would like to receive a copy of this guidance with the most recent changes highlighted, please email </w:t>
      </w:r>
      <w:hyperlink r:id="rId31" w:history="1">
        <w:r w:rsidR="008F5975" w:rsidRPr="008F5975">
          <w:rPr>
            <w:rStyle w:val="Hyperlink"/>
            <w:color w:val="98002E"/>
            <w:u w:val="none"/>
          </w:rPr>
          <w:t>sarah.alton@phe.gov.uk</w:t>
        </w:r>
      </w:hyperlink>
      <w:r>
        <w:t>.</w:t>
      </w:r>
    </w:p>
    <w:p w:rsidR="00F82363" w:rsidRDefault="00F82363" w:rsidP="00845187"/>
    <w:p w:rsidR="00F82363" w:rsidRDefault="00F82363" w:rsidP="00845187">
      <w:r>
        <w:t xml:space="preserve">For detailed information regarding the search strategies implemented and full literature search results, please email </w:t>
      </w:r>
      <w:hyperlink r:id="rId32" w:history="1">
        <w:r w:rsidRPr="00F82363">
          <w:rPr>
            <w:rStyle w:val="Hyperlink"/>
            <w:u w:val="none"/>
          </w:rPr>
          <w:t>sarah.alton@phe.gov.uk</w:t>
        </w:r>
      </w:hyperlink>
      <w:r>
        <w:t>.</w:t>
      </w:r>
    </w:p>
    <w:p w:rsidR="00845187" w:rsidRDefault="00845187" w:rsidP="00845187"/>
    <w:p w:rsidR="00845187" w:rsidRDefault="00845187" w:rsidP="00845187"/>
    <w:p w:rsidR="00845187" w:rsidRDefault="00845187" w:rsidP="00845187"/>
    <w:p w:rsidR="00845187" w:rsidRDefault="00845187" w:rsidP="00845187"/>
    <w:p w:rsidR="00845187" w:rsidRDefault="00845187" w:rsidP="00845187"/>
    <w:p w:rsidR="00845187" w:rsidRDefault="00845187" w:rsidP="00845187"/>
    <w:p w:rsidR="00845187" w:rsidRDefault="00845187" w:rsidP="00845187"/>
    <w:p w:rsidR="00845187" w:rsidRDefault="00845187" w:rsidP="00845187"/>
    <w:p w:rsidR="00845187" w:rsidRDefault="00845187" w:rsidP="00845187"/>
    <w:p w:rsidR="00845187" w:rsidRDefault="00845187" w:rsidP="00845187"/>
    <w:p w:rsidR="008901DD" w:rsidRDefault="008901DD" w:rsidP="008901DD">
      <w:pPr>
        <w:spacing w:line="280" w:lineRule="exact"/>
      </w:pPr>
    </w:p>
    <w:p w:rsidR="003477C4" w:rsidRDefault="003477C4" w:rsidP="008901DD">
      <w:pPr>
        <w:spacing w:line="280" w:lineRule="exact"/>
      </w:pPr>
    </w:p>
    <w:p w:rsidR="003477C4" w:rsidRDefault="003477C4" w:rsidP="008901DD">
      <w:pPr>
        <w:spacing w:line="280" w:lineRule="exact"/>
      </w:pPr>
    </w:p>
    <w:p w:rsidR="003477C4" w:rsidRDefault="003477C4" w:rsidP="008901DD">
      <w:pPr>
        <w:spacing w:line="280" w:lineRule="exact"/>
      </w:pPr>
    </w:p>
    <w:p w:rsidR="003477C4" w:rsidRDefault="003477C4" w:rsidP="008901DD">
      <w:pPr>
        <w:spacing w:line="280" w:lineRule="exact"/>
      </w:pPr>
    </w:p>
    <w:p w:rsidR="003477C4" w:rsidRDefault="003477C4" w:rsidP="008901DD">
      <w:pPr>
        <w:spacing w:line="280" w:lineRule="exact"/>
      </w:pPr>
    </w:p>
    <w:p w:rsidR="003477C4" w:rsidRDefault="003477C4" w:rsidP="008901DD">
      <w:pPr>
        <w:spacing w:line="280" w:lineRule="exact"/>
      </w:pPr>
    </w:p>
    <w:p w:rsidR="003477C4" w:rsidRDefault="003477C4" w:rsidP="008901DD">
      <w:pPr>
        <w:spacing w:line="280" w:lineRule="exact"/>
      </w:pPr>
    </w:p>
    <w:p w:rsidR="003477C4" w:rsidRDefault="003477C4" w:rsidP="008901DD">
      <w:pPr>
        <w:spacing w:line="280" w:lineRule="exact"/>
      </w:pPr>
    </w:p>
    <w:p w:rsidR="003477C4" w:rsidRDefault="003477C4" w:rsidP="008901DD">
      <w:pPr>
        <w:spacing w:line="280" w:lineRule="exact"/>
      </w:pPr>
    </w:p>
    <w:p w:rsidR="00845187" w:rsidRPr="00151217" w:rsidRDefault="00845187" w:rsidP="00845187">
      <w:pPr>
        <w:pStyle w:val="PHEHeading"/>
      </w:pPr>
      <w:bookmarkStart w:id="5" w:name="_Toc453254021"/>
      <w:r>
        <w:t>References</w:t>
      </w:r>
      <w:bookmarkEnd w:id="5"/>
    </w:p>
    <w:p w:rsidR="00D164A1" w:rsidRDefault="003477C4" w:rsidP="001A7A2E">
      <w:pPr>
        <w:pStyle w:val="PHEBulletpoint"/>
        <w:numPr>
          <w:ilvl w:val="0"/>
          <w:numId w:val="26"/>
        </w:numPr>
        <w:ind w:left="357" w:hanging="357"/>
      </w:pPr>
      <w:bookmarkStart w:id="6" w:name="Reference1"/>
      <w:bookmarkEnd w:id="6"/>
      <w:r>
        <w:t xml:space="preserve">Borman AM, Campbell CK, Fraser M, Johnson EM. Analysis of the dermatophyte species isolated in the British Isles between 1980 and 2005 and review of worldwide dermatophyte trends over the last three decades. </w:t>
      </w:r>
      <w:r>
        <w:rPr>
          <w:i/>
        </w:rPr>
        <w:t>Med Mycol</w:t>
      </w:r>
      <w:r>
        <w:t xml:space="preserve">. 2007 Mar; 45(2):131-141. Available from: </w:t>
      </w:r>
      <w:hyperlink r:id="rId33" w:history="1">
        <w:r w:rsidRPr="003477C4">
          <w:rPr>
            <w:rStyle w:val="Hyperlink"/>
            <w:u w:val="none"/>
          </w:rPr>
          <w:t>https://www.ncbi.nlm.nih.gov/pubmed/17365649</w:t>
        </w:r>
      </w:hyperlink>
      <w:r>
        <w:t>.</w:t>
      </w:r>
    </w:p>
    <w:p w:rsidR="003477C4" w:rsidRDefault="003477C4" w:rsidP="003477C4">
      <w:pPr>
        <w:pStyle w:val="PHEBulletpoint"/>
        <w:numPr>
          <w:ilvl w:val="0"/>
          <w:numId w:val="0"/>
        </w:numPr>
      </w:pPr>
    </w:p>
    <w:p w:rsidR="003477C4" w:rsidRDefault="003477C4" w:rsidP="001A7A2E">
      <w:pPr>
        <w:pStyle w:val="PHEBulletpoint"/>
        <w:numPr>
          <w:ilvl w:val="0"/>
          <w:numId w:val="26"/>
        </w:numPr>
        <w:ind w:left="357" w:hanging="357"/>
      </w:pPr>
      <w:bookmarkStart w:id="7" w:name="Reference2"/>
      <w:bookmarkEnd w:id="7"/>
      <w:r>
        <w:t xml:space="preserve">Fuller LC, Child FJ, Midgley G, Higgins EM. Diagnosis and management of scalp ringworm. </w:t>
      </w:r>
      <w:r>
        <w:rPr>
          <w:i/>
        </w:rPr>
        <w:t>BMJ</w:t>
      </w:r>
      <w:r>
        <w:t xml:space="preserve">. 2003 Mar; 326(7388):539-541. Available from: </w:t>
      </w:r>
      <w:hyperlink r:id="rId34" w:history="1">
        <w:r w:rsidRPr="003477C4">
          <w:rPr>
            <w:rStyle w:val="Hyperlink"/>
            <w:u w:val="none"/>
          </w:rPr>
          <w:t>https://www.ncbi.nlm.nih.gov/pmc/articles/PMC1125423/</w:t>
        </w:r>
      </w:hyperlink>
      <w:r>
        <w:t>.</w:t>
      </w:r>
    </w:p>
    <w:p w:rsidR="003477C4" w:rsidRDefault="003477C4" w:rsidP="003477C4"/>
    <w:p w:rsidR="003477C4" w:rsidRDefault="003477C4" w:rsidP="001A7A2E">
      <w:pPr>
        <w:pStyle w:val="PHEBulletpoint"/>
        <w:numPr>
          <w:ilvl w:val="0"/>
          <w:numId w:val="26"/>
        </w:numPr>
        <w:ind w:left="357" w:hanging="357"/>
      </w:pPr>
      <w:bookmarkStart w:id="8" w:name="Reference3"/>
      <w:bookmarkEnd w:id="8"/>
      <w:r>
        <w:t xml:space="preserve">Denning DW, Evans EG, Kibbler CC, Richardson MD, Roberts MM, Rogers TR et al. Fungal nail disease: a guide to good practice (report of a Working Group of the British Society for Medical Mycology). </w:t>
      </w:r>
      <w:r>
        <w:rPr>
          <w:i/>
        </w:rPr>
        <w:t>BMJ</w:t>
      </w:r>
      <w:r>
        <w:t xml:space="preserve">. 1995 Nov; 311(7015):1277-1281. Available from: </w:t>
      </w:r>
      <w:hyperlink r:id="rId35" w:history="1">
        <w:r w:rsidRPr="003477C4">
          <w:rPr>
            <w:rStyle w:val="Hyperlink"/>
            <w:u w:val="none"/>
          </w:rPr>
          <w:t>https://www.ncbi.nlm.nih.gov/pmc/articles/PMC2551187/</w:t>
        </w:r>
      </w:hyperlink>
      <w:r>
        <w:t>.</w:t>
      </w:r>
    </w:p>
    <w:p w:rsidR="003477C4" w:rsidRDefault="003477C4" w:rsidP="00847D9C"/>
    <w:p w:rsidR="003477C4" w:rsidRDefault="003477C4" w:rsidP="001A7A2E">
      <w:pPr>
        <w:pStyle w:val="PHEBulletpoint"/>
        <w:numPr>
          <w:ilvl w:val="0"/>
          <w:numId w:val="26"/>
        </w:numPr>
        <w:ind w:left="357" w:hanging="357"/>
      </w:pPr>
      <w:bookmarkStart w:id="9" w:name="Reference4"/>
      <w:bookmarkEnd w:id="9"/>
      <w:r>
        <w:t xml:space="preserve">Roberts DT, Taylor WD, Boyle J, British Association of Dermatologists. Guidelines for treatment of onychomycosis. </w:t>
      </w:r>
      <w:r>
        <w:rPr>
          <w:i/>
        </w:rPr>
        <w:t>Br J Dermatol</w:t>
      </w:r>
      <w:r>
        <w:t xml:space="preserve">. 2003 Mar; 148(3):402-410. Available from: </w:t>
      </w:r>
      <w:hyperlink r:id="rId36" w:history="1">
        <w:r w:rsidRPr="003477C4">
          <w:rPr>
            <w:rStyle w:val="Hyperlink"/>
            <w:u w:val="none"/>
          </w:rPr>
          <w:t>https://www.ncbi.nlm.nih.gov/pubmed/12653730</w:t>
        </w:r>
      </w:hyperlink>
      <w:r>
        <w:t>.</w:t>
      </w:r>
    </w:p>
    <w:p w:rsidR="003477C4" w:rsidRPr="003477C4" w:rsidRDefault="003477C4" w:rsidP="003477C4">
      <w:pPr>
        <w:pStyle w:val="PHEBulletpoint"/>
        <w:numPr>
          <w:ilvl w:val="0"/>
          <w:numId w:val="0"/>
        </w:numPr>
        <w:ind w:left="720"/>
      </w:pPr>
      <w:r>
        <w:rPr>
          <w:u w:val="single"/>
        </w:rPr>
        <w:t>RATIONALE:</w:t>
      </w:r>
      <w:r>
        <w:t xml:space="preserve"> An excellent well-referenced comprehensive review of the management of fungal skin and nail infections.</w:t>
      </w:r>
    </w:p>
    <w:p w:rsidR="003477C4" w:rsidRDefault="003477C4" w:rsidP="003477C4"/>
    <w:p w:rsidR="003477C4" w:rsidRDefault="003477C4" w:rsidP="001A7A2E">
      <w:pPr>
        <w:pStyle w:val="PHEBulletpoint"/>
        <w:numPr>
          <w:ilvl w:val="0"/>
          <w:numId w:val="26"/>
        </w:numPr>
        <w:ind w:left="357" w:hanging="357"/>
      </w:pPr>
      <w:bookmarkStart w:id="10" w:name="Reference5"/>
      <w:bookmarkEnd w:id="10"/>
      <w:r>
        <w:t xml:space="preserve">Clayton YM, Knight AG. A clinical double-blind trial of topical miconazole and clotrimazole against superficial fungal infections and erythrasma. </w:t>
      </w:r>
      <w:r>
        <w:rPr>
          <w:i/>
        </w:rPr>
        <w:t>Clin Exp Dermatol</w:t>
      </w:r>
      <w:r>
        <w:t xml:space="preserve">. 1976 Sep; 1(3):225-232. Available from: </w:t>
      </w:r>
      <w:hyperlink r:id="rId37" w:history="1">
        <w:r w:rsidRPr="003477C4">
          <w:rPr>
            <w:rStyle w:val="Hyperlink"/>
            <w:u w:val="none"/>
          </w:rPr>
          <w:t>https://www.ncbi.nlm.nih.gov/pubmed/788971</w:t>
        </w:r>
      </w:hyperlink>
      <w:r>
        <w:t>.</w:t>
      </w:r>
    </w:p>
    <w:p w:rsidR="003477C4" w:rsidRPr="003477C4" w:rsidRDefault="003477C4" w:rsidP="003477C4">
      <w:pPr>
        <w:pStyle w:val="PHEBulletpoint"/>
        <w:numPr>
          <w:ilvl w:val="0"/>
          <w:numId w:val="0"/>
        </w:numPr>
        <w:ind w:left="720"/>
      </w:pPr>
      <w:r>
        <w:rPr>
          <w:u w:val="single"/>
        </w:rPr>
        <w:t>RATIONALE:</w:t>
      </w:r>
      <w:r>
        <w:t xml:space="preserve"> Erythasma is due to a Gram-positive bacterium </w:t>
      </w:r>
      <w:r>
        <w:rPr>
          <w:i/>
        </w:rPr>
        <w:t>Corynebacterium minutissimum</w:t>
      </w:r>
      <w:r>
        <w:t xml:space="preserve"> that produces porphyrins and therefore fluoresces and characteristic coral-pink colour under a Wood’s light. Azoles are effective for the treatment of erythasma as they are active against Gram-positive bacteria.</w:t>
      </w:r>
    </w:p>
    <w:p w:rsidR="003477C4" w:rsidRDefault="003477C4" w:rsidP="003477C4">
      <w:pPr>
        <w:pStyle w:val="PHEBulletpoint"/>
        <w:numPr>
          <w:ilvl w:val="0"/>
          <w:numId w:val="0"/>
        </w:numPr>
      </w:pPr>
    </w:p>
    <w:p w:rsidR="003477C4" w:rsidRDefault="003477C4" w:rsidP="001A7A2E">
      <w:pPr>
        <w:pStyle w:val="PHEBulletpoint"/>
        <w:numPr>
          <w:ilvl w:val="0"/>
          <w:numId w:val="26"/>
        </w:numPr>
        <w:ind w:left="357" w:hanging="357"/>
      </w:pPr>
      <w:bookmarkStart w:id="11" w:name="Reference6"/>
      <w:bookmarkEnd w:id="11"/>
      <w:r>
        <w:t xml:space="preserve">Leydon JJ, Kligman AM. Interdigital athlete’s foot. The interaction of dermatophytes and resident bacteria. </w:t>
      </w:r>
      <w:r>
        <w:rPr>
          <w:i/>
        </w:rPr>
        <w:t>Arch Dermatol</w:t>
      </w:r>
      <w:r>
        <w:t xml:space="preserve">. 1978 Oct; 114(10):1466-1472. Available from: </w:t>
      </w:r>
      <w:hyperlink r:id="rId38" w:history="1">
        <w:r w:rsidRPr="003477C4">
          <w:rPr>
            <w:rStyle w:val="Hyperlink"/>
            <w:u w:val="none"/>
          </w:rPr>
          <w:t>https://www.ncbi.nlm.nih.gov/pubmed/718181</w:t>
        </w:r>
      </w:hyperlink>
      <w:r>
        <w:t>.</w:t>
      </w:r>
    </w:p>
    <w:p w:rsidR="007C3E53" w:rsidRDefault="007C3E53" w:rsidP="007C3E53">
      <w:pPr>
        <w:pStyle w:val="PHEBulletpoint"/>
        <w:numPr>
          <w:ilvl w:val="0"/>
          <w:numId w:val="0"/>
        </w:numPr>
      </w:pPr>
    </w:p>
    <w:p w:rsidR="007C3E53" w:rsidRDefault="007C3E53" w:rsidP="001A7A2E">
      <w:pPr>
        <w:pStyle w:val="PHEBulletpoint"/>
        <w:numPr>
          <w:ilvl w:val="0"/>
          <w:numId w:val="26"/>
        </w:numPr>
        <w:ind w:left="357" w:hanging="357"/>
      </w:pPr>
      <w:bookmarkStart w:id="12" w:name="Reference7"/>
      <w:bookmarkEnd w:id="12"/>
      <w:r>
        <w:t xml:space="preserve">Davey KG, Campbell CK, Warnock DW. Mycological techniques. </w:t>
      </w:r>
      <w:r>
        <w:rPr>
          <w:i/>
        </w:rPr>
        <w:t>J Clin Pathol</w:t>
      </w:r>
      <w:r>
        <w:t xml:space="preserve">. 1996 Feb; 49(2):95-99. Available from: </w:t>
      </w:r>
      <w:hyperlink r:id="rId39" w:history="1">
        <w:r w:rsidRPr="007C3E53">
          <w:rPr>
            <w:rStyle w:val="Hyperlink"/>
            <w:u w:val="none"/>
          </w:rPr>
          <w:t>https://www.ncbi.nlm.nih.gov/pmc/articles/PMC500337/pdf/jclinpath00239-0001.pdf</w:t>
        </w:r>
      </w:hyperlink>
      <w:r w:rsidRPr="007C3E53">
        <w:t>.</w:t>
      </w:r>
    </w:p>
    <w:p w:rsidR="003477C4" w:rsidRDefault="003477C4" w:rsidP="003477C4">
      <w:pPr>
        <w:pStyle w:val="PHEBulletpoint"/>
        <w:numPr>
          <w:ilvl w:val="0"/>
          <w:numId w:val="0"/>
        </w:numPr>
      </w:pPr>
    </w:p>
    <w:p w:rsidR="007C3E53" w:rsidRDefault="003477C4" w:rsidP="001A7A2E">
      <w:pPr>
        <w:pStyle w:val="PHEBulletpoint"/>
        <w:numPr>
          <w:ilvl w:val="0"/>
          <w:numId w:val="26"/>
        </w:numPr>
        <w:ind w:left="357" w:hanging="357"/>
      </w:pPr>
      <w:bookmarkStart w:id="13" w:name="Reference8"/>
      <w:bookmarkEnd w:id="13"/>
      <w:r>
        <w:t xml:space="preserve">Rebell G, Taplin D. </w:t>
      </w:r>
      <w:r w:rsidRPr="003477C4">
        <w:rPr>
          <w:i/>
        </w:rPr>
        <w:t>Dermatophytes: their recognition and identification</w:t>
      </w:r>
      <w:r w:rsidR="002B1F46">
        <w:t>. Miami: University of Miami Press; 1974.</w:t>
      </w:r>
      <w:r w:rsidR="007C3E53">
        <w:t xml:space="preserve"> Available from: </w:t>
      </w:r>
      <w:hyperlink r:id="rId40" w:history="1">
        <w:r w:rsidR="007C3E53" w:rsidRPr="007C3E53">
          <w:rPr>
            <w:rStyle w:val="Hyperlink"/>
            <w:u w:val="none"/>
          </w:rPr>
          <w:t>https://books.google.co.uk/books/about/Dermatophytes.ht ml?id=_vpUAAAAYAAJ&amp;redir_esc=y</w:t>
        </w:r>
      </w:hyperlink>
      <w:r w:rsidR="007C3E53">
        <w:t>.</w:t>
      </w:r>
    </w:p>
    <w:p w:rsidR="007C3E53" w:rsidRDefault="002B1F46" w:rsidP="002B1F46">
      <w:pPr>
        <w:pStyle w:val="PHEBulletpoint"/>
        <w:numPr>
          <w:ilvl w:val="0"/>
          <w:numId w:val="0"/>
        </w:numPr>
        <w:ind w:left="720"/>
        <w:rPr>
          <w:rFonts w:cstheme="minorBidi"/>
          <w:szCs w:val="22"/>
        </w:rPr>
      </w:pPr>
      <w:r>
        <w:rPr>
          <w:rFonts w:cstheme="minorBidi"/>
          <w:szCs w:val="22"/>
          <w:u w:val="single"/>
        </w:rPr>
        <w:t>RATIONALE:</w:t>
      </w:r>
      <w:r>
        <w:rPr>
          <w:rFonts w:cstheme="minorBidi"/>
          <w:szCs w:val="22"/>
        </w:rPr>
        <w:t xml:space="preserve"> There are three reasons for not refrigerating specimens. Firstly, it is important</w:t>
      </w:r>
      <w:r w:rsidR="007C3E53">
        <w:rPr>
          <w:rFonts w:cstheme="minorBidi"/>
          <w:szCs w:val="22"/>
        </w:rPr>
        <w:t xml:space="preserve"> to keep skin, hair, and nail samples dry as this reduces bacterial growth, and </w:t>
      </w:r>
    </w:p>
    <w:p w:rsidR="007C3E53" w:rsidRDefault="007C3E53" w:rsidP="007C3E53">
      <w:pPr>
        <w:pStyle w:val="PHEBulletpoint"/>
        <w:numPr>
          <w:ilvl w:val="0"/>
          <w:numId w:val="0"/>
        </w:numPr>
        <w:rPr>
          <w:rFonts w:cstheme="minorBidi"/>
          <w:szCs w:val="22"/>
        </w:rPr>
      </w:pPr>
    </w:p>
    <w:p w:rsidR="007C3E53" w:rsidRDefault="007C3E53" w:rsidP="007C3E53">
      <w:pPr>
        <w:pStyle w:val="PHEBulletpoint"/>
        <w:numPr>
          <w:ilvl w:val="0"/>
          <w:numId w:val="0"/>
        </w:numPr>
        <w:spacing w:after="120" w:line="280" w:lineRule="exact"/>
        <w:contextualSpacing w:val="0"/>
        <w:rPr>
          <w:rFonts w:cstheme="minorBidi"/>
          <w:szCs w:val="22"/>
        </w:rPr>
      </w:pPr>
    </w:p>
    <w:p w:rsidR="002B1F46" w:rsidRDefault="007C3E53" w:rsidP="002B1F46">
      <w:pPr>
        <w:pStyle w:val="PHEBulletpoint"/>
        <w:numPr>
          <w:ilvl w:val="0"/>
          <w:numId w:val="0"/>
        </w:numPr>
        <w:ind w:left="720"/>
        <w:rPr>
          <w:rFonts w:cstheme="minorBidi"/>
          <w:szCs w:val="22"/>
        </w:rPr>
      </w:pPr>
      <w:r>
        <w:rPr>
          <w:rFonts w:cstheme="minorBidi"/>
          <w:szCs w:val="22"/>
        </w:rPr>
        <w:t xml:space="preserve">refrigeration and warming to room temperature might increase humidity. Secondly, storage at room temperature is simpler, and most specimens are sent in the ordinary post, which is all at room temperature. Finally, low temperatures do affect the growth of some dermatophytes, </w:t>
      </w:r>
      <w:r w:rsidRPr="007C3E53">
        <w:rPr>
          <w:rFonts w:cstheme="minorBidi"/>
          <w:i/>
          <w:szCs w:val="22"/>
        </w:rPr>
        <w:t>Malassezia</w:t>
      </w:r>
      <w:r>
        <w:rPr>
          <w:rFonts w:cstheme="minorBidi"/>
          <w:szCs w:val="22"/>
        </w:rPr>
        <w:t xml:space="preserve"> species, and a very few candidas.</w:t>
      </w:r>
    </w:p>
    <w:p w:rsidR="00D4061D" w:rsidRDefault="00D4061D" w:rsidP="00D4061D">
      <w:pPr>
        <w:pStyle w:val="PHEBulletpoint"/>
        <w:numPr>
          <w:ilvl w:val="0"/>
          <w:numId w:val="0"/>
        </w:numPr>
        <w:rPr>
          <w:rFonts w:cstheme="minorBidi"/>
          <w:szCs w:val="22"/>
        </w:rPr>
      </w:pPr>
    </w:p>
    <w:p w:rsidR="00D4061D" w:rsidRDefault="00D4061D" w:rsidP="001A7A2E">
      <w:pPr>
        <w:pStyle w:val="PHEBulletpoint"/>
        <w:numPr>
          <w:ilvl w:val="0"/>
          <w:numId w:val="26"/>
        </w:numPr>
        <w:ind w:left="357" w:hanging="357"/>
        <w:rPr>
          <w:rFonts w:cstheme="minorBidi"/>
          <w:szCs w:val="22"/>
        </w:rPr>
      </w:pPr>
      <w:bookmarkStart w:id="14" w:name="Reference9"/>
      <w:bookmarkEnd w:id="14"/>
      <w:r>
        <w:rPr>
          <w:rFonts w:cstheme="minorBidi"/>
          <w:szCs w:val="22"/>
        </w:rPr>
        <w:t xml:space="preserve">Dermaco. </w:t>
      </w:r>
      <w:r>
        <w:rPr>
          <w:rFonts w:cstheme="minorBidi"/>
          <w:i/>
          <w:szCs w:val="22"/>
        </w:rPr>
        <w:t>Dermapak</w:t>
      </w:r>
      <w:r>
        <w:rPr>
          <w:rFonts w:cstheme="minorBidi"/>
          <w:szCs w:val="22"/>
        </w:rPr>
        <w:t xml:space="preserve">. Available from: </w:t>
      </w:r>
      <w:hyperlink r:id="rId41" w:history="1">
        <w:r w:rsidRPr="00D4061D">
          <w:rPr>
            <w:rStyle w:val="Hyperlink"/>
            <w:rFonts w:cstheme="minorBidi"/>
            <w:szCs w:val="22"/>
            <w:u w:val="none"/>
          </w:rPr>
          <w:t>http://www.dermapak.com/</w:t>
        </w:r>
      </w:hyperlink>
      <w:r>
        <w:rPr>
          <w:rFonts w:cstheme="minorBidi"/>
          <w:szCs w:val="22"/>
        </w:rPr>
        <w:t xml:space="preserve"> [Accessed: 16</w:t>
      </w:r>
      <w:r w:rsidRPr="00D4061D">
        <w:rPr>
          <w:rFonts w:cstheme="minorBidi"/>
          <w:szCs w:val="22"/>
          <w:vertAlign w:val="superscript"/>
        </w:rPr>
        <w:t>th</w:t>
      </w:r>
      <w:r>
        <w:rPr>
          <w:rFonts w:cstheme="minorBidi"/>
          <w:szCs w:val="22"/>
        </w:rPr>
        <w:t xml:space="preserve"> May, 2017].</w:t>
      </w:r>
    </w:p>
    <w:p w:rsidR="00832A52" w:rsidRDefault="00832A52" w:rsidP="00832A52">
      <w:pPr>
        <w:pStyle w:val="PHEBulletpoint"/>
        <w:numPr>
          <w:ilvl w:val="0"/>
          <w:numId w:val="0"/>
        </w:numPr>
        <w:rPr>
          <w:rFonts w:cstheme="minorBidi"/>
          <w:szCs w:val="22"/>
        </w:rPr>
      </w:pPr>
    </w:p>
    <w:p w:rsidR="00832A52" w:rsidRDefault="00832A52" w:rsidP="001A7A2E">
      <w:pPr>
        <w:pStyle w:val="PHEBulletpoint"/>
        <w:numPr>
          <w:ilvl w:val="0"/>
          <w:numId w:val="26"/>
        </w:numPr>
        <w:ind w:left="357" w:hanging="357"/>
      </w:pPr>
      <w:bookmarkStart w:id="15" w:name="Reference10"/>
      <w:bookmarkEnd w:id="15"/>
      <w:r>
        <w:t xml:space="preserve">Campbell CK, Mulder JL. Skin and nail infection by </w:t>
      </w:r>
      <w:r>
        <w:rPr>
          <w:i/>
        </w:rPr>
        <w:t>Scytalidium hyalinum</w:t>
      </w:r>
      <w:r>
        <w:t xml:space="preserve"> sp. nov. </w:t>
      </w:r>
      <w:r>
        <w:rPr>
          <w:i/>
        </w:rPr>
        <w:t>Sabouraudia</w:t>
      </w:r>
      <w:r>
        <w:t xml:space="preserve">. 1977 Jul; 15(2):161-166. Available from: </w:t>
      </w:r>
      <w:hyperlink r:id="rId42" w:history="1">
        <w:r w:rsidRPr="00832A52">
          <w:rPr>
            <w:rStyle w:val="Hyperlink"/>
            <w:u w:val="none"/>
          </w:rPr>
          <w:t>http://www.tandfonline.com/doi/abs/10.1080/00362177785190241</w:t>
        </w:r>
      </w:hyperlink>
      <w:r>
        <w:t>.</w:t>
      </w:r>
    </w:p>
    <w:p w:rsidR="00832A52" w:rsidRDefault="00832A52" w:rsidP="00832A52">
      <w:pPr>
        <w:pStyle w:val="PHEBulletpoint"/>
        <w:numPr>
          <w:ilvl w:val="0"/>
          <w:numId w:val="0"/>
        </w:numPr>
      </w:pPr>
    </w:p>
    <w:p w:rsidR="00832A52" w:rsidRDefault="00832A52" w:rsidP="001A7A2E">
      <w:pPr>
        <w:pStyle w:val="PHEBulletpoint"/>
        <w:numPr>
          <w:ilvl w:val="0"/>
          <w:numId w:val="26"/>
        </w:numPr>
        <w:ind w:left="357" w:hanging="357"/>
      </w:pPr>
      <w:bookmarkStart w:id="16" w:name="Reference11"/>
      <w:bookmarkEnd w:id="16"/>
      <w:r>
        <w:t xml:space="preserve">Hay RJ, Baran R, Moore MK, Wilkinson JD. Candida onychomycosis – an evaluation of the role of Candida species in nail disease. </w:t>
      </w:r>
      <w:r>
        <w:rPr>
          <w:i/>
        </w:rPr>
        <w:t>Br J Dermatol</w:t>
      </w:r>
      <w:r>
        <w:t xml:space="preserve">. 1988 Jan; 118(1):47-58. Available from: </w:t>
      </w:r>
      <w:hyperlink r:id="rId43" w:history="1">
        <w:r w:rsidRPr="00832A52">
          <w:rPr>
            <w:rStyle w:val="Hyperlink"/>
            <w:u w:val="none"/>
          </w:rPr>
          <w:t>http://onlinelibrary.wiley.com/doi/10.1111/j.1365-2133.1988.tb01749.x/abstract</w:t>
        </w:r>
      </w:hyperlink>
      <w:r>
        <w:t>.</w:t>
      </w:r>
    </w:p>
    <w:p w:rsidR="00832A52" w:rsidRDefault="00832A52" w:rsidP="00847D9C"/>
    <w:p w:rsidR="00832A52" w:rsidRDefault="00FB1AD4" w:rsidP="001A7A2E">
      <w:pPr>
        <w:pStyle w:val="PHEBulletpoint"/>
        <w:numPr>
          <w:ilvl w:val="0"/>
          <w:numId w:val="26"/>
        </w:numPr>
        <w:ind w:left="357" w:hanging="357"/>
      </w:pPr>
      <w:bookmarkStart w:id="17" w:name="Reference12"/>
      <w:bookmarkEnd w:id="17"/>
      <w:r>
        <w:t xml:space="preserve">Summerbell RC, Cooper E, Bunn U, Jamieson F, Gupta AK. Onychomycosis: a critical study of techniques and criteria for confirming the etiologic significance of nondermatophytes. </w:t>
      </w:r>
      <w:r>
        <w:rPr>
          <w:i/>
        </w:rPr>
        <w:t>Med Mycol</w:t>
      </w:r>
      <w:r>
        <w:t xml:space="preserve">. 2005 Feb; 43(1):39-59. Available from: </w:t>
      </w:r>
      <w:hyperlink r:id="rId44" w:history="1">
        <w:r w:rsidRPr="00FB1AD4">
          <w:rPr>
            <w:rStyle w:val="Hyperlink"/>
            <w:u w:val="none"/>
          </w:rPr>
          <w:t>https://www.ncbi.nlm.nih.gov/pubmed/15712607</w:t>
        </w:r>
      </w:hyperlink>
      <w:r>
        <w:t>.</w:t>
      </w:r>
    </w:p>
    <w:p w:rsidR="00FB1AD4" w:rsidRDefault="00FB1AD4" w:rsidP="00847D9C"/>
    <w:p w:rsidR="00FB1AD4" w:rsidRDefault="00FB1AD4" w:rsidP="001A7A2E">
      <w:pPr>
        <w:pStyle w:val="PHEBulletpoint"/>
        <w:numPr>
          <w:ilvl w:val="0"/>
          <w:numId w:val="26"/>
        </w:numPr>
        <w:ind w:left="357" w:hanging="357"/>
      </w:pPr>
      <w:bookmarkStart w:id="18" w:name="Reference13"/>
      <w:bookmarkEnd w:id="18"/>
      <w:r>
        <w:t xml:space="preserve">Santos DA, Hamdan JS. In vitro antifungal oral drug and drug-combination activity against onychomycosis causative dermatophytes. </w:t>
      </w:r>
      <w:r>
        <w:rPr>
          <w:i/>
        </w:rPr>
        <w:t>Med Mycol</w:t>
      </w:r>
      <w:r>
        <w:t>. 2006 Jun; 44(4):357-362. Available from</w:t>
      </w:r>
      <w:r w:rsidRPr="00FB1AD4">
        <w:t xml:space="preserve">: </w:t>
      </w:r>
      <w:hyperlink r:id="rId45" w:history="1">
        <w:r w:rsidRPr="00FB1AD4">
          <w:rPr>
            <w:rStyle w:val="Hyperlink"/>
            <w:u w:val="none"/>
          </w:rPr>
          <w:t>https://academic.oup.com/mmy/article/44/4/357/1035687/In-vitro-antifungal-oral-drug-and-drug-combination</w:t>
        </w:r>
      </w:hyperlink>
      <w:r>
        <w:t>.</w:t>
      </w:r>
    </w:p>
    <w:p w:rsidR="00FB1AD4" w:rsidRDefault="00FB1AD4" w:rsidP="00847D9C"/>
    <w:p w:rsidR="00FB1AD4" w:rsidRDefault="008A4126" w:rsidP="001A7A2E">
      <w:pPr>
        <w:pStyle w:val="PHEBulletpoint"/>
        <w:numPr>
          <w:ilvl w:val="0"/>
          <w:numId w:val="26"/>
        </w:numPr>
        <w:ind w:left="357" w:hanging="357"/>
      </w:pPr>
      <w:bookmarkStart w:id="19" w:name="Reference14"/>
      <w:bookmarkEnd w:id="19"/>
      <w:r>
        <w:t xml:space="preserve">Sheehan DJ, Hitchcock CA, Sibley CM. Current and emerging azole antifungal agents. </w:t>
      </w:r>
      <w:r>
        <w:rPr>
          <w:i/>
        </w:rPr>
        <w:t>Clin Microbiol Rev</w:t>
      </w:r>
      <w:r>
        <w:t xml:space="preserve">. 1999 Jan; 12(1):40-79. Available from: </w:t>
      </w:r>
      <w:hyperlink r:id="rId46" w:history="1">
        <w:r w:rsidRPr="008A4126">
          <w:rPr>
            <w:rStyle w:val="Hyperlink"/>
            <w:u w:val="none"/>
          </w:rPr>
          <w:t>https://www.ncbi.nlm.nih.gov/pmc/articles/PMC88906/pdf/cm000040.pdf</w:t>
        </w:r>
      </w:hyperlink>
      <w:r>
        <w:t>.</w:t>
      </w:r>
    </w:p>
    <w:p w:rsidR="008A4126" w:rsidRDefault="008A4126" w:rsidP="00847D9C"/>
    <w:p w:rsidR="008A4126" w:rsidRDefault="008A4126" w:rsidP="001A7A2E">
      <w:pPr>
        <w:pStyle w:val="PHEBulletpoint"/>
        <w:numPr>
          <w:ilvl w:val="0"/>
          <w:numId w:val="26"/>
        </w:numPr>
        <w:ind w:left="357" w:hanging="357"/>
      </w:pPr>
      <w:bookmarkStart w:id="20" w:name="Reference15"/>
      <w:bookmarkEnd w:id="20"/>
      <w:r>
        <w:t xml:space="preserve">Sarifakioglu E, Seckin D, Demirbilek M, Can F. In vitro antifungal susceptibility patterns of dermatophyte strains causing tinea unguium. </w:t>
      </w:r>
      <w:r>
        <w:rPr>
          <w:i/>
        </w:rPr>
        <w:t>Clin Exp Dermatol</w:t>
      </w:r>
      <w:r>
        <w:t xml:space="preserve">. 2007 Nov; 32(6):675-679. Available from: </w:t>
      </w:r>
      <w:hyperlink r:id="rId47" w:history="1">
        <w:r w:rsidRPr="008A4126">
          <w:rPr>
            <w:rStyle w:val="Hyperlink"/>
            <w:u w:val="none"/>
          </w:rPr>
          <w:t>https://www.ncbi.nlm.nih.gov/pubmed/17714532</w:t>
        </w:r>
      </w:hyperlink>
      <w:r>
        <w:t>.</w:t>
      </w:r>
    </w:p>
    <w:p w:rsidR="008A4126" w:rsidRDefault="008A4126" w:rsidP="00847D9C"/>
    <w:p w:rsidR="008A4126" w:rsidRDefault="008A4126" w:rsidP="001A7A2E">
      <w:pPr>
        <w:pStyle w:val="PHEBulletpoint"/>
        <w:numPr>
          <w:ilvl w:val="0"/>
          <w:numId w:val="26"/>
        </w:numPr>
        <w:ind w:left="357" w:hanging="357"/>
      </w:pPr>
      <w:bookmarkStart w:id="21" w:name="Reference16"/>
      <w:bookmarkEnd w:id="21"/>
      <w:r>
        <w:t xml:space="preserve">Kikuchi I, Tanuma H, Morimoto K, Kawana S. Usefulness and pharmacokinetic study of oral terbinafine for hyperkeratotic type tinea pedis. </w:t>
      </w:r>
      <w:r>
        <w:rPr>
          <w:i/>
        </w:rPr>
        <w:t>Mycoses</w:t>
      </w:r>
      <w:r>
        <w:t xml:space="preserve">. 2008 Jan; 51(1):7-13. Available from: </w:t>
      </w:r>
      <w:hyperlink r:id="rId48" w:history="1">
        <w:r w:rsidRPr="008A4126">
          <w:rPr>
            <w:rStyle w:val="Hyperlink"/>
            <w:u w:val="none"/>
          </w:rPr>
          <w:t>https://www.ncbi.nlm.nih.gov/pubmed/18076589</w:t>
        </w:r>
      </w:hyperlink>
      <w:r>
        <w:t>.</w:t>
      </w:r>
    </w:p>
    <w:p w:rsidR="008A4126" w:rsidRDefault="008A4126" w:rsidP="00847D9C"/>
    <w:p w:rsidR="008A4126" w:rsidRDefault="00847D9C" w:rsidP="001A7A2E">
      <w:pPr>
        <w:pStyle w:val="PHEBulletpoint"/>
        <w:numPr>
          <w:ilvl w:val="0"/>
          <w:numId w:val="26"/>
        </w:numPr>
        <w:ind w:left="357" w:hanging="357"/>
      </w:pPr>
      <w:bookmarkStart w:id="22" w:name="Reference17"/>
      <w:bookmarkEnd w:id="22"/>
      <w:r>
        <w:t xml:space="preserve">Crawford F. Athlete’s foot. </w:t>
      </w:r>
      <w:r>
        <w:rPr>
          <w:i/>
        </w:rPr>
        <w:t>BMJ Clin Evid</w:t>
      </w:r>
      <w:r>
        <w:t xml:space="preserve">. 2009 Jul; 7(11):1712-1725. Available from: </w:t>
      </w:r>
      <w:hyperlink r:id="rId49" w:history="1">
        <w:r w:rsidRPr="00847D9C">
          <w:rPr>
            <w:rStyle w:val="Hyperlink"/>
            <w:u w:val="none"/>
          </w:rPr>
          <w:t>https://www.ncbi.nlm.nih.gov/pmc/articles/PMC2907807/pdf/2009-1712.pdf</w:t>
        </w:r>
      </w:hyperlink>
      <w:r>
        <w:t>.</w:t>
      </w:r>
    </w:p>
    <w:p w:rsidR="00847D9C" w:rsidRDefault="00847D9C" w:rsidP="00847D9C"/>
    <w:p w:rsidR="00847D9C" w:rsidRDefault="00847D9C" w:rsidP="001A7A2E">
      <w:pPr>
        <w:pStyle w:val="PHEBulletpoint"/>
        <w:numPr>
          <w:ilvl w:val="0"/>
          <w:numId w:val="26"/>
        </w:numPr>
        <w:ind w:left="357" w:hanging="357"/>
      </w:pPr>
      <w:bookmarkStart w:id="23" w:name="Reference18"/>
      <w:bookmarkEnd w:id="23"/>
      <w:r>
        <w:t xml:space="preserve">Ferrari J. Fungal toenail infections. </w:t>
      </w:r>
      <w:r>
        <w:rPr>
          <w:i/>
        </w:rPr>
        <w:t>BMJ Clin Evid</w:t>
      </w:r>
      <w:r>
        <w:t xml:space="preserve">. 2011 Mar; 8(12):1715-1738. Available from: </w:t>
      </w:r>
      <w:hyperlink r:id="rId50" w:history="1">
        <w:r w:rsidRPr="00847D9C">
          <w:rPr>
            <w:rStyle w:val="Hyperlink"/>
            <w:u w:val="none"/>
          </w:rPr>
          <w:t>https://www.ncbi.nlm.nih.gov/pmc/articles/PMC3275109/pdf/2011-1715.pdf</w:t>
        </w:r>
      </w:hyperlink>
      <w:r>
        <w:t>.</w:t>
      </w:r>
    </w:p>
    <w:p w:rsidR="00847D9C" w:rsidRDefault="00847D9C" w:rsidP="00847D9C"/>
    <w:p w:rsidR="00D4061D" w:rsidRDefault="00847D9C" w:rsidP="001A7A2E">
      <w:pPr>
        <w:pStyle w:val="PHEBulletpoint"/>
        <w:numPr>
          <w:ilvl w:val="0"/>
          <w:numId w:val="26"/>
        </w:numPr>
        <w:ind w:left="357" w:hanging="357"/>
      </w:pPr>
      <w:bookmarkStart w:id="24" w:name="Reference19"/>
      <w:bookmarkEnd w:id="24"/>
      <w:r>
        <w:t xml:space="preserve">Crawford F, Hollis S. Topical treatments for fungal infections of the skin and nails of the foot </w:t>
      </w:r>
    </w:p>
    <w:p w:rsidR="00D4061D" w:rsidRDefault="00D4061D" w:rsidP="00D4061D"/>
    <w:p w:rsidR="00D4061D" w:rsidRDefault="00D4061D" w:rsidP="00D4061D">
      <w:pPr>
        <w:pStyle w:val="PHEBulletpoint"/>
        <w:numPr>
          <w:ilvl w:val="0"/>
          <w:numId w:val="0"/>
        </w:numPr>
        <w:spacing w:after="120" w:line="280" w:lineRule="exact"/>
        <w:ind w:left="782" w:hanging="357"/>
        <w:contextualSpacing w:val="0"/>
      </w:pPr>
    </w:p>
    <w:p w:rsidR="00847D9C" w:rsidRDefault="00847D9C" w:rsidP="001A7A2E">
      <w:pPr>
        <w:pStyle w:val="PHEBulletpoint"/>
        <w:numPr>
          <w:ilvl w:val="0"/>
          <w:numId w:val="0"/>
        </w:numPr>
        <w:ind w:left="357"/>
      </w:pPr>
      <w:r>
        <w:t xml:space="preserve">(Review). </w:t>
      </w:r>
      <w:r>
        <w:rPr>
          <w:i/>
        </w:rPr>
        <w:t>Cochrane Database Syst Rev</w:t>
      </w:r>
      <w:r>
        <w:t xml:space="preserve">. 2007 Jul; 18(3):1-161. Available from: </w:t>
      </w:r>
      <w:hyperlink r:id="rId51" w:history="1">
        <w:r w:rsidRPr="00847D9C">
          <w:rPr>
            <w:rStyle w:val="Hyperlink"/>
            <w:u w:val="none"/>
          </w:rPr>
          <w:t>http://onlinelibrary.wiley.com/doi/10.1002/14651858.CD001434.pub2/epdf</w:t>
        </w:r>
      </w:hyperlink>
      <w:r>
        <w:t>.</w:t>
      </w:r>
    </w:p>
    <w:p w:rsidR="00D4061D" w:rsidRDefault="00D4061D" w:rsidP="00D4061D">
      <w:pPr>
        <w:pStyle w:val="PHEBulletpoint"/>
        <w:numPr>
          <w:ilvl w:val="0"/>
          <w:numId w:val="0"/>
        </w:numPr>
      </w:pPr>
    </w:p>
    <w:p w:rsidR="00847D9C" w:rsidRDefault="00056170" w:rsidP="001A7A2E">
      <w:pPr>
        <w:pStyle w:val="PHEBulletpoint"/>
        <w:numPr>
          <w:ilvl w:val="0"/>
          <w:numId w:val="26"/>
        </w:numPr>
        <w:ind w:left="357" w:hanging="357"/>
      </w:pPr>
      <w:bookmarkStart w:id="25" w:name="Reference20"/>
      <w:bookmarkEnd w:id="25"/>
      <w:r>
        <w:t xml:space="preserve">Spiekermann PH, Young MD. Clinical evaluation of clotrimazole: a broad-spectrum antifungal agent. </w:t>
      </w:r>
      <w:r>
        <w:rPr>
          <w:i/>
        </w:rPr>
        <w:t>Arch Dermatol</w:t>
      </w:r>
      <w:r>
        <w:t xml:space="preserve">. 1976 Mar; 112(3):350-352. Available from: </w:t>
      </w:r>
      <w:hyperlink r:id="rId52" w:history="1">
        <w:r w:rsidRPr="00056170">
          <w:rPr>
            <w:rStyle w:val="Hyperlink"/>
            <w:u w:val="none"/>
          </w:rPr>
          <w:t>https://www.ncbi.nlm.nih.gov/pubmed/769697</w:t>
        </w:r>
      </w:hyperlink>
      <w:r>
        <w:t>.</w:t>
      </w:r>
    </w:p>
    <w:p w:rsidR="00056170" w:rsidRDefault="00056170" w:rsidP="00056170">
      <w:pPr>
        <w:pStyle w:val="PHEBulletpoint"/>
        <w:numPr>
          <w:ilvl w:val="0"/>
          <w:numId w:val="0"/>
        </w:numPr>
        <w:ind w:left="720"/>
      </w:pPr>
      <w:r>
        <w:rPr>
          <w:u w:val="single"/>
        </w:rPr>
        <w:t>RATIONALE:</w:t>
      </w:r>
      <w:r>
        <w:t xml:space="preserve"> This large study including 1,361 patients, includes the treatment of patients with dermatophytes, </w:t>
      </w:r>
      <w:r>
        <w:rPr>
          <w:i/>
        </w:rPr>
        <w:t>Candida albicans</w:t>
      </w:r>
      <w:r>
        <w:t xml:space="preserve">, and </w:t>
      </w:r>
      <w:r>
        <w:rPr>
          <w:i/>
        </w:rPr>
        <w:t>Malessezia furfur</w:t>
      </w:r>
      <w:r>
        <w:t xml:space="preserve"> (</w:t>
      </w:r>
      <w:r>
        <w:rPr>
          <w:i/>
        </w:rPr>
        <w:t>Pityrosporum orbiculare</w:t>
      </w:r>
      <w:r>
        <w:t xml:space="preserve">), the causative agent of </w:t>
      </w:r>
      <w:r>
        <w:rPr>
          <w:i/>
        </w:rPr>
        <w:t>Pityriasis versicolor</w:t>
      </w:r>
      <w:r>
        <w:t>.</w:t>
      </w:r>
    </w:p>
    <w:p w:rsidR="00056170" w:rsidRDefault="00056170" w:rsidP="00056170">
      <w:pPr>
        <w:pStyle w:val="PHEBulletpoint"/>
        <w:numPr>
          <w:ilvl w:val="0"/>
          <w:numId w:val="0"/>
        </w:numPr>
      </w:pPr>
    </w:p>
    <w:p w:rsidR="003477C4" w:rsidRDefault="00056170" w:rsidP="001A7A2E">
      <w:pPr>
        <w:pStyle w:val="PHEBulletpoint"/>
        <w:numPr>
          <w:ilvl w:val="0"/>
          <w:numId w:val="26"/>
        </w:numPr>
        <w:ind w:left="357" w:hanging="357"/>
      </w:pPr>
      <w:bookmarkStart w:id="26" w:name="Reference21"/>
      <w:bookmarkEnd w:id="26"/>
      <w:r>
        <w:t xml:space="preserve">White JM, Higgins EM, Fuller LC. Screening for asymptomatic carriage of </w:t>
      </w:r>
      <w:r>
        <w:rPr>
          <w:i/>
        </w:rPr>
        <w:t>Trichophyton tonsurans</w:t>
      </w:r>
      <w:r>
        <w:t xml:space="preserve"> in household contacts of patients with tinea capitis: results of 209 patients from South London. </w:t>
      </w:r>
      <w:r>
        <w:rPr>
          <w:i/>
        </w:rPr>
        <w:t>J Eur Acad Dermatol Venereol</w:t>
      </w:r>
      <w:r>
        <w:t>. 2007 Sep;</w:t>
      </w:r>
      <w:r w:rsidR="008F39D6">
        <w:t xml:space="preserve"> 21(8):1061-1064. Available from: </w:t>
      </w:r>
      <w:hyperlink r:id="rId53" w:history="1">
        <w:r w:rsidR="008F39D6" w:rsidRPr="008F39D6">
          <w:rPr>
            <w:rStyle w:val="Hyperlink"/>
            <w:u w:val="none"/>
          </w:rPr>
          <w:t>https://www.ncbi.nlm.nih.gov/pubmed/17714125</w:t>
        </w:r>
      </w:hyperlink>
      <w:r w:rsidR="008F39D6">
        <w:t>.</w:t>
      </w:r>
    </w:p>
    <w:p w:rsidR="003477C4" w:rsidRDefault="003477C4" w:rsidP="00D164A1">
      <w:pPr>
        <w:pStyle w:val="PHEBulletpoint"/>
        <w:numPr>
          <w:ilvl w:val="0"/>
          <w:numId w:val="0"/>
        </w:numPr>
      </w:pPr>
    </w:p>
    <w:p w:rsidR="006D1208" w:rsidRPr="00DB235C" w:rsidRDefault="00DB235C" w:rsidP="00DB235C">
      <w:r w:rsidRPr="00DB235C">
        <w:rPr>
          <w:i/>
        </w:rPr>
        <w:t>NOTE:</w:t>
      </w:r>
      <w:r>
        <w:t xml:space="preserve"> Brushes are available from Brushaway Products. Some GP stores will supply them to a local area. They are small, easy to use, and are robust enough to be posted without damage. They are very</w:t>
      </w:r>
      <w:r w:rsidR="000464AF">
        <w:t xml:space="preserve"> useful for screening family contacts, or when insufficient material can be obtained by scraping. They are not a direct alternative to scraping, as you have to wait for the culture result (2-3 weeks), whereas the microscopy result from a scrape should be available within 1-2 days.</w:t>
      </w:r>
    </w:p>
    <w:p w:rsidR="006D1208" w:rsidRPr="00DB235C" w:rsidRDefault="006D1208" w:rsidP="00F367A9">
      <w:pPr>
        <w:spacing w:line="280" w:lineRule="exact"/>
      </w:pPr>
    </w:p>
    <w:p w:rsidR="006D1208" w:rsidRDefault="006D1208" w:rsidP="00F367A9">
      <w:pPr>
        <w:spacing w:line="280" w:lineRule="exact"/>
      </w:pPr>
    </w:p>
    <w:p w:rsidR="006D1208" w:rsidRDefault="006D1208" w:rsidP="00F367A9">
      <w:pPr>
        <w:spacing w:line="280" w:lineRule="exact"/>
      </w:pPr>
    </w:p>
    <w:p w:rsidR="00BA0600" w:rsidRDefault="00BA0600" w:rsidP="00F367A9">
      <w:pPr>
        <w:spacing w:line="280" w:lineRule="exact"/>
      </w:pPr>
    </w:p>
    <w:p w:rsidR="008F39D6" w:rsidRDefault="008F39D6" w:rsidP="00F367A9">
      <w:pPr>
        <w:spacing w:line="280" w:lineRule="exact"/>
      </w:pPr>
    </w:p>
    <w:p w:rsidR="008F39D6" w:rsidRDefault="008F39D6" w:rsidP="00F367A9">
      <w:pPr>
        <w:spacing w:line="280" w:lineRule="exact"/>
      </w:pPr>
    </w:p>
    <w:p w:rsidR="008F39D6" w:rsidRDefault="008F39D6" w:rsidP="00F367A9">
      <w:pPr>
        <w:spacing w:line="280" w:lineRule="exact"/>
      </w:pPr>
    </w:p>
    <w:p w:rsidR="008F39D6" w:rsidRDefault="008F39D6" w:rsidP="00F367A9">
      <w:pPr>
        <w:spacing w:line="280" w:lineRule="exact"/>
      </w:pPr>
    </w:p>
    <w:p w:rsidR="008F39D6" w:rsidRDefault="008F39D6" w:rsidP="00F367A9">
      <w:pPr>
        <w:spacing w:line="280" w:lineRule="exact"/>
      </w:pPr>
    </w:p>
    <w:p w:rsidR="008F39D6" w:rsidRDefault="008F39D6" w:rsidP="00F367A9">
      <w:pPr>
        <w:spacing w:line="280" w:lineRule="exact"/>
      </w:pPr>
    </w:p>
    <w:p w:rsidR="008F39D6" w:rsidRDefault="008F39D6" w:rsidP="00F367A9">
      <w:pPr>
        <w:spacing w:line="280" w:lineRule="exact"/>
      </w:pPr>
    </w:p>
    <w:p w:rsidR="008F39D6" w:rsidRDefault="008F39D6" w:rsidP="00F367A9">
      <w:pPr>
        <w:spacing w:line="280" w:lineRule="exact"/>
      </w:pPr>
    </w:p>
    <w:p w:rsidR="008F39D6" w:rsidRDefault="008F39D6" w:rsidP="00F367A9">
      <w:pPr>
        <w:spacing w:line="280" w:lineRule="exact"/>
      </w:pPr>
    </w:p>
    <w:p w:rsidR="008F39D6" w:rsidRDefault="008F39D6" w:rsidP="00F367A9">
      <w:pPr>
        <w:spacing w:line="280" w:lineRule="exact"/>
      </w:pPr>
    </w:p>
    <w:p w:rsidR="008F39D6" w:rsidRDefault="008F39D6" w:rsidP="00F367A9">
      <w:pPr>
        <w:spacing w:line="280" w:lineRule="exact"/>
      </w:pPr>
    </w:p>
    <w:p w:rsidR="008F39D6" w:rsidRDefault="008F39D6" w:rsidP="00F367A9">
      <w:pPr>
        <w:spacing w:line="280" w:lineRule="exact"/>
      </w:pPr>
    </w:p>
    <w:p w:rsidR="008F39D6" w:rsidRDefault="008F39D6" w:rsidP="00F367A9">
      <w:pPr>
        <w:spacing w:line="280" w:lineRule="exact"/>
      </w:pPr>
    </w:p>
    <w:p w:rsidR="008F39D6" w:rsidRDefault="008F39D6" w:rsidP="00F367A9">
      <w:pPr>
        <w:spacing w:line="280" w:lineRule="exact"/>
      </w:pPr>
    </w:p>
    <w:p w:rsidR="008F39D6" w:rsidRDefault="008F39D6" w:rsidP="00F367A9">
      <w:pPr>
        <w:spacing w:line="280" w:lineRule="exact"/>
      </w:pPr>
    </w:p>
    <w:p w:rsidR="008F39D6" w:rsidRDefault="008F39D6" w:rsidP="00F367A9">
      <w:pPr>
        <w:spacing w:line="280" w:lineRule="exact"/>
      </w:pPr>
    </w:p>
    <w:p w:rsidR="008F39D6" w:rsidRDefault="008F39D6" w:rsidP="00F367A9">
      <w:pPr>
        <w:spacing w:line="280" w:lineRule="exact"/>
      </w:pPr>
    </w:p>
    <w:p w:rsidR="008F39D6" w:rsidRDefault="008F39D6" w:rsidP="00F367A9">
      <w:pPr>
        <w:spacing w:line="280" w:lineRule="exact"/>
      </w:pPr>
    </w:p>
    <w:p w:rsidR="008F39D6" w:rsidRDefault="008F39D6" w:rsidP="00F367A9">
      <w:pPr>
        <w:spacing w:line="280" w:lineRule="exact"/>
      </w:pPr>
    </w:p>
    <w:p w:rsidR="008F39D6" w:rsidRDefault="008F39D6" w:rsidP="00F367A9">
      <w:pPr>
        <w:spacing w:line="280" w:lineRule="exact"/>
      </w:pPr>
    </w:p>
    <w:p w:rsidR="008F39D6" w:rsidRDefault="008F39D6" w:rsidP="00F367A9">
      <w:pPr>
        <w:spacing w:line="280" w:lineRule="exact"/>
      </w:pPr>
    </w:p>
    <w:p w:rsidR="008F39D6" w:rsidRDefault="008F39D6" w:rsidP="00F367A9">
      <w:pPr>
        <w:spacing w:line="280" w:lineRule="exact"/>
      </w:pPr>
    </w:p>
    <w:p w:rsidR="008F39D6" w:rsidRDefault="008F39D6" w:rsidP="00F367A9">
      <w:pPr>
        <w:spacing w:line="280" w:lineRule="exact"/>
      </w:pPr>
    </w:p>
    <w:p w:rsidR="008F39D6" w:rsidRPr="00485EFA" w:rsidRDefault="008F39D6" w:rsidP="00F367A9">
      <w:pPr>
        <w:spacing w:line="280" w:lineRule="exact"/>
      </w:pPr>
    </w:p>
    <w:p w:rsidR="007023CA" w:rsidRPr="007023CA" w:rsidRDefault="00485EFA" w:rsidP="007023CA">
      <w:pPr>
        <w:pStyle w:val="PHEHeading"/>
      </w:pPr>
      <w:bookmarkStart w:id="27" w:name="_Toc453254022"/>
      <w:r w:rsidRPr="00CB7304">
        <w:t>Acknowledgements</w:t>
      </w:r>
      <w:bookmarkEnd w:id="27"/>
    </w:p>
    <w:p w:rsidR="00485EFA" w:rsidRPr="00485EFA" w:rsidRDefault="00485EFA" w:rsidP="00D54A68">
      <w:pPr>
        <w:rPr>
          <w:b/>
          <w:color w:val="98002E"/>
          <w:szCs w:val="24"/>
        </w:rPr>
      </w:pPr>
      <w:r w:rsidRPr="00485EFA">
        <w:rPr>
          <w:b/>
          <w:color w:val="98002E"/>
          <w:szCs w:val="24"/>
        </w:rPr>
        <w:t>QUICK REFERENCE GUIDE AUTHORS</w:t>
      </w:r>
    </w:p>
    <w:p w:rsidR="00485EFA" w:rsidRDefault="00485EFA" w:rsidP="00D54A68"/>
    <w:p w:rsidR="00485EFA" w:rsidRDefault="00485EFA" w:rsidP="00D54A68">
      <w:pPr>
        <w:spacing w:after="120"/>
      </w:pPr>
      <w:r>
        <w:rPr>
          <w:b/>
        </w:rPr>
        <w:t>Prof Cliodna McNulty</w:t>
      </w:r>
      <w:r>
        <w:t>, Head of Primary Care Unit and Honorary Visiting Professor, Public Health England and Cardiff University</w:t>
      </w:r>
    </w:p>
    <w:p w:rsidR="008F39D6" w:rsidRPr="008F39D6" w:rsidRDefault="008F39D6" w:rsidP="00D54A68">
      <w:pPr>
        <w:spacing w:after="120"/>
      </w:pPr>
      <w:r>
        <w:rPr>
          <w:b/>
        </w:rPr>
        <w:t>Emily Cooper</w:t>
      </w:r>
      <w:r>
        <w:t>, Project Manager, Public Health England</w:t>
      </w:r>
    </w:p>
    <w:p w:rsidR="00485EFA" w:rsidRDefault="00D54A68" w:rsidP="00D54A68">
      <w:pPr>
        <w:spacing w:after="120"/>
      </w:pPr>
      <w:r>
        <w:rPr>
          <w:b/>
        </w:rPr>
        <w:t>Sarah Alton</w:t>
      </w:r>
      <w:r w:rsidR="00485EFA">
        <w:t>, Guidance Research Assistant, Public Health England</w:t>
      </w:r>
    </w:p>
    <w:p w:rsidR="008F2E88" w:rsidRPr="008F2E88" w:rsidRDefault="008F2E88" w:rsidP="00D54A68">
      <w:pPr>
        <w:tabs>
          <w:tab w:val="center" w:pos="5159"/>
        </w:tabs>
      </w:pPr>
    </w:p>
    <w:p w:rsidR="008F2E88" w:rsidRPr="008F2E88" w:rsidRDefault="008F2E88" w:rsidP="00242D64">
      <w:pPr>
        <w:tabs>
          <w:tab w:val="center" w:pos="5159"/>
        </w:tabs>
        <w:spacing w:after="120" w:line="280" w:lineRule="exact"/>
      </w:pPr>
    </w:p>
    <w:p w:rsidR="00393263" w:rsidRDefault="00393263" w:rsidP="00393263">
      <w:pPr>
        <w:tabs>
          <w:tab w:val="center" w:pos="5159"/>
        </w:tabs>
        <w:rPr>
          <w:i/>
        </w:rPr>
      </w:pPr>
      <w:r>
        <w:rPr>
          <w:i/>
        </w:rPr>
        <w:t xml:space="preserve">For any further information regarding the review process and those involved in the development of this guidance, please email </w:t>
      </w:r>
      <w:hyperlink r:id="rId54" w:history="1">
        <w:r w:rsidRPr="001B68AE">
          <w:rPr>
            <w:rStyle w:val="Hyperlink"/>
            <w:i/>
            <w:u w:val="none"/>
          </w:rPr>
          <w:t>sarah.alton@phe.gov.uk</w:t>
        </w:r>
      </w:hyperlink>
      <w:r>
        <w:rPr>
          <w:i/>
        </w:rPr>
        <w:t>.</w:t>
      </w:r>
    </w:p>
    <w:p w:rsidR="00393263" w:rsidRDefault="00393263" w:rsidP="00393263">
      <w:pPr>
        <w:tabs>
          <w:tab w:val="center" w:pos="5159"/>
        </w:tabs>
        <w:rPr>
          <w:i/>
        </w:rPr>
      </w:pPr>
    </w:p>
    <w:p w:rsidR="00393263" w:rsidRDefault="00393263" w:rsidP="00393263">
      <w:pPr>
        <w:tabs>
          <w:tab w:val="center" w:pos="5159"/>
        </w:tabs>
        <w:rPr>
          <w:i/>
        </w:rPr>
      </w:pPr>
      <w:r>
        <w:rPr>
          <w:i/>
        </w:rPr>
        <w:t>Public Health England is an executive agency of the Department of Health, and is fully funded by the UK Government. The Primary Care Unit does not accept funding for the development of this guidance from pharmaceutical companies or other large businesses that could influence the development of the recommendations made.</w:t>
      </w:r>
    </w:p>
    <w:p w:rsidR="00393263" w:rsidRDefault="00393263" w:rsidP="00393263">
      <w:pPr>
        <w:tabs>
          <w:tab w:val="center" w:pos="5159"/>
        </w:tabs>
        <w:rPr>
          <w:i/>
        </w:rPr>
      </w:pPr>
    </w:p>
    <w:p w:rsidR="00266F51" w:rsidRDefault="00393263" w:rsidP="00393263">
      <w:pPr>
        <w:tabs>
          <w:tab w:val="center" w:pos="5159"/>
        </w:tabs>
      </w:pPr>
      <w:r>
        <w:rPr>
          <w:i/>
        </w:rPr>
        <w:t xml:space="preserve">Any conflicts of interest have been declared and considered prior to the development and dissemination of this guidance. For any detailed information regarding declared conflicts of interest, please email </w:t>
      </w:r>
      <w:hyperlink r:id="rId55" w:history="1">
        <w:r w:rsidRPr="001B68AE">
          <w:rPr>
            <w:rStyle w:val="Hyperlink"/>
            <w:i/>
            <w:u w:val="none"/>
          </w:rPr>
          <w:t>sarah.alton@phe.gov.uk</w:t>
        </w:r>
      </w:hyperlink>
      <w:r>
        <w:rPr>
          <w:i/>
        </w:rPr>
        <w:t>.</w:t>
      </w:r>
    </w:p>
    <w:p w:rsidR="00266F51" w:rsidRDefault="00266F51" w:rsidP="007023CA"/>
    <w:p w:rsidR="00266F51" w:rsidRDefault="00266F51" w:rsidP="007023CA"/>
    <w:p w:rsidR="00266F51" w:rsidRDefault="00266F51" w:rsidP="007023CA"/>
    <w:p w:rsidR="007023CA" w:rsidRDefault="007023CA" w:rsidP="007023CA"/>
    <w:p w:rsidR="007023CA" w:rsidRDefault="007023CA" w:rsidP="007023CA"/>
    <w:p w:rsidR="007023CA" w:rsidRDefault="007023CA" w:rsidP="007023CA"/>
    <w:p w:rsidR="00D86868" w:rsidRDefault="00D86868" w:rsidP="00B61861">
      <w:pPr>
        <w:spacing w:line="280" w:lineRule="exact"/>
      </w:pPr>
    </w:p>
    <w:p w:rsidR="00393263" w:rsidRDefault="00393263" w:rsidP="00393263">
      <w:pPr>
        <w:spacing w:line="280" w:lineRule="exact"/>
      </w:pPr>
    </w:p>
    <w:p w:rsidR="008F39D6" w:rsidRDefault="008F39D6" w:rsidP="00393263">
      <w:pPr>
        <w:spacing w:line="280" w:lineRule="exact"/>
      </w:pPr>
    </w:p>
    <w:p w:rsidR="008F39D6" w:rsidRDefault="008F39D6" w:rsidP="00393263">
      <w:pPr>
        <w:spacing w:line="280" w:lineRule="exact"/>
      </w:pPr>
    </w:p>
    <w:p w:rsidR="008F39D6" w:rsidRDefault="008F39D6" w:rsidP="00393263">
      <w:pPr>
        <w:spacing w:line="280" w:lineRule="exact"/>
      </w:pPr>
    </w:p>
    <w:p w:rsidR="008F39D6" w:rsidRDefault="008F39D6" w:rsidP="00393263">
      <w:pPr>
        <w:spacing w:line="280" w:lineRule="exact"/>
      </w:pPr>
    </w:p>
    <w:p w:rsidR="008F39D6" w:rsidRDefault="008F39D6" w:rsidP="00393263">
      <w:pPr>
        <w:spacing w:line="280" w:lineRule="exact"/>
      </w:pPr>
    </w:p>
    <w:p w:rsidR="008F39D6" w:rsidRDefault="008F39D6" w:rsidP="00393263">
      <w:pPr>
        <w:spacing w:line="280" w:lineRule="exact"/>
      </w:pPr>
    </w:p>
    <w:p w:rsidR="008F39D6" w:rsidRDefault="008F39D6" w:rsidP="00393263">
      <w:pPr>
        <w:spacing w:line="280" w:lineRule="exact"/>
      </w:pPr>
    </w:p>
    <w:p w:rsidR="008F39D6" w:rsidRDefault="008F39D6" w:rsidP="00393263">
      <w:pPr>
        <w:spacing w:line="280" w:lineRule="exact"/>
      </w:pPr>
    </w:p>
    <w:p w:rsidR="008F39D6" w:rsidRDefault="008F39D6" w:rsidP="00393263">
      <w:pPr>
        <w:spacing w:line="280" w:lineRule="exact"/>
      </w:pPr>
    </w:p>
    <w:p w:rsidR="008F39D6" w:rsidRDefault="008F39D6" w:rsidP="00393263">
      <w:pPr>
        <w:spacing w:line="280" w:lineRule="exact"/>
      </w:pPr>
    </w:p>
    <w:p w:rsidR="008F39D6" w:rsidRDefault="008F39D6" w:rsidP="00393263">
      <w:pPr>
        <w:spacing w:line="280" w:lineRule="exact"/>
      </w:pPr>
    </w:p>
    <w:p w:rsidR="008F39D6" w:rsidRDefault="008F39D6" w:rsidP="00393263">
      <w:pPr>
        <w:spacing w:line="280" w:lineRule="exact"/>
      </w:pPr>
    </w:p>
    <w:p w:rsidR="008F39D6" w:rsidRDefault="008F39D6" w:rsidP="00393263">
      <w:pPr>
        <w:spacing w:line="280" w:lineRule="exact"/>
      </w:pPr>
    </w:p>
    <w:p w:rsidR="008F39D6" w:rsidRDefault="008F39D6" w:rsidP="00393263">
      <w:pPr>
        <w:spacing w:line="280" w:lineRule="exact"/>
      </w:pPr>
    </w:p>
    <w:p w:rsidR="008F39D6" w:rsidRDefault="008F39D6" w:rsidP="00393263">
      <w:pPr>
        <w:spacing w:line="280" w:lineRule="exact"/>
      </w:pPr>
    </w:p>
    <w:p w:rsidR="00AF2A06" w:rsidRDefault="00AF2A06" w:rsidP="00393263">
      <w:pPr>
        <w:spacing w:line="280" w:lineRule="exact"/>
      </w:pPr>
    </w:p>
    <w:p w:rsidR="00AF2A06" w:rsidRPr="007023CA" w:rsidRDefault="00AF2A06" w:rsidP="00393263">
      <w:pPr>
        <w:spacing w:line="280" w:lineRule="exact"/>
      </w:pPr>
    </w:p>
    <w:p w:rsidR="00266F51" w:rsidRDefault="00266F51" w:rsidP="007023CA">
      <w:pPr>
        <w:pStyle w:val="PHEHeading"/>
      </w:pPr>
      <w:bookmarkStart w:id="28" w:name="_Toc453254023"/>
      <w:r w:rsidRPr="00CB7304">
        <w:t>A</w:t>
      </w:r>
      <w:r>
        <w:t>bbreviation</w:t>
      </w:r>
      <w:r w:rsidRPr="00CB7304">
        <w:t>s</w:t>
      </w:r>
      <w:bookmarkEnd w:id="28"/>
    </w:p>
    <w:p w:rsidR="00DB235C" w:rsidRPr="00DB235C" w:rsidRDefault="00DB235C" w:rsidP="001C3ECA">
      <w:pPr>
        <w:spacing w:after="120"/>
      </w:pPr>
      <w:r>
        <w:rPr>
          <w:b/>
        </w:rPr>
        <w:t>BD</w:t>
      </w:r>
      <w:r>
        <w:t xml:space="preserve"> = Twice daily</w:t>
      </w:r>
    </w:p>
    <w:p w:rsidR="00C51259" w:rsidRPr="00C51259" w:rsidRDefault="00C51259" w:rsidP="001C3ECA">
      <w:pPr>
        <w:spacing w:after="120"/>
        <w:rPr>
          <w:i/>
        </w:rPr>
      </w:pPr>
      <w:r w:rsidRPr="00C51259">
        <w:rPr>
          <w:b/>
          <w:i/>
        </w:rPr>
        <w:t>C. albicans</w:t>
      </w:r>
      <w:r>
        <w:t xml:space="preserve"> = </w:t>
      </w:r>
      <w:r>
        <w:rPr>
          <w:i/>
        </w:rPr>
        <w:t>Candida albicans</w:t>
      </w:r>
    </w:p>
    <w:p w:rsidR="00C51259" w:rsidRPr="00C51259" w:rsidRDefault="00C51259" w:rsidP="001C3ECA">
      <w:pPr>
        <w:spacing w:after="120"/>
        <w:rPr>
          <w:i/>
        </w:rPr>
      </w:pPr>
      <w:r w:rsidRPr="00C51259">
        <w:rPr>
          <w:b/>
          <w:i/>
        </w:rPr>
        <w:t>C. parapsilosis</w:t>
      </w:r>
      <w:r>
        <w:t xml:space="preserve"> = </w:t>
      </w:r>
      <w:r>
        <w:rPr>
          <w:i/>
        </w:rPr>
        <w:t>Candida parapsilosis</w:t>
      </w:r>
    </w:p>
    <w:p w:rsidR="00DB235C" w:rsidRPr="00DB235C" w:rsidRDefault="00DB235C" w:rsidP="001C3ECA">
      <w:pPr>
        <w:spacing w:after="120"/>
      </w:pPr>
      <w:r>
        <w:rPr>
          <w:b/>
        </w:rPr>
        <w:t>mg</w:t>
      </w:r>
      <w:r>
        <w:t xml:space="preserve"> = Milligram(s)</w:t>
      </w:r>
    </w:p>
    <w:p w:rsidR="00C55FDF" w:rsidRDefault="00F84009" w:rsidP="001C3ECA">
      <w:pPr>
        <w:spacing w:after="120"/>
      </w:pPr>
      <w:r>
        <w:rPr>
          <w:b/>
        </w:rPr>
        <w:t>mm</w:t>
      </w:r>
      <w:r w:rsidR="00C55FDF">
        <w:t xml:space="preserve"> = Milli</w:t>
      </w:r>
      <w:r>
        <w:t>metre</w:t>
      </w:r>
    </w:p>
    <w:p w:rsidR="00DB235C" w:rsidRPr="00DB235C" w:rsidRDefault="00DB235C" w:rsidP="001C3ECA">
      <w:pPr>
        <w:spacing w:after="120"/>
      </w:pPr>
      <w:r>
        <w:rPr>
          <w:b/>
        </w:rPr>
        <w:t>OD</w:t>
      </w:r>
      <w:r>
        <w:t xml:space="preserve"> = Once daily</w:t>
      </w:r>
    </w:p>
    <w:p w:rsidR="00C51259" w:rsidRPr="00C51259" w:rsidRDefault="00C51259" w:rsidP="001C3ECA">
      <w:pPr>
        <w:spacing w:after="120"/>
      </w:pPr>
      <w:r w:rsidRPr="00C51259">
        <w:rPr>
          <w:b/>
        </w:rPr>
        <w:t>spp.</w:t>
      </w:r>
      <w:r>
        <w:t xml:space="preserve"> = Species</w:t>
      </w:r>
    </w:p>
    <w:p w:rsidR="00F84009" w:rsidRPr="00F84009" w:rsidRDefault="00F84009" w:rsidP="001C3ECA">
      <w:pPr>
        <w:spacing w:after="120"/>
        <w:rPr>
          <w:i/>
        </w:rPr>
      </w:pPr>
      <w:r w:rsidRPr="00F84009">
        <w:rPr>
          <w:b/>
          <w:i/>
        </w:rPr>
        <w:t>T. interdigitale</w:t>
      </w:r>
      <w:r>
        <w:t xml:space="preserve"> = </w:t>
      </w:r>
      <w:r>
        <w:rPr>
          <w:i/>
        </w:rPr>
        <w:t>Trichophyton interdigitale</w:t>
      </w:r>
    </w:p>
    <w:p w:rsidR="00F84009" w:rsidRDefault="00F84009" w:rsidP="001C3ECA">
      <w:pPr>
        <w:spacing w:after="120"/>
        <w:rPr>
          <w:i/>
        </w:rPr>
      </w:pPr>
      <w:r w:rsidRPr="00F84009">
        <w:rPr>
          <w:b/>
          <w:i/>
        </w:rPr>
        <w:t>T. rubrum</w:t>
      </w:r>
      <w:r>
        <w:t xml:space="preserve"> = </w:t>
      </w:r>
      <w:r>
        <w:rPr>
          <w:i/>
        </w:rPr>
        <w:t>Trichophyton rubrum</w:t>
      </w:r>
    </w:p>
    <w:p w:rsidR="00F84009" w:rsidRDefault="00F84009" w:rsidP="001C3ECA">
      <w:pPr>
        <w:spacing w:after="120"/>
        <w:rPr>
          <w:i/>
        </w:rPr>
      </w:pPr>
      <w:r w:rsidRPr="00F84009">
        <w:rPr>
          <w:b/>
          <w:i/>
        </w:rPr>
        <w:t>T. tonsurans</w:t>
      </w:r>
      <w:r>
        <w:t xml:space="preserve"> = </w:t>
      </w:r>
      <w:r>
        <w:rPr>
          <w:i/>
        </w:rPr>
        <w:t>Trichophyton tonsurans</w:t>
      </w:r>
    </w:p>
    <w:p w:rsidR="007D7C10" w:rsidRPr="00C51259" w:rsidRDefault="00F84009" w:rsidP="001C3ECA">
      <w:pPr>
        <w:spacing w:after="120"/>
        <w:rPr>
          <w:i/>
        </w:rPr>
      </w:pPr>
      <w:r w:rsidRPr="00F84009">
        <w:rPr>
          <w:b/>
          <w:i/>
        </w:rPr>
        <w:t>T. violaceum</w:t>
      </w:r>
      <w:r>
        <w:t xml:space="preserve"> = </w:t>
      </w:r>
      <w:r>
        <w:rPr>
          <w:i/>
        </w:rPr>
        <w:t>Tricholosporum violaceum</w:t>
      </w:r>
    </w:p>
    <w:sectPr w:rsidR="007D7C10" w:rsidRPr="00C51259" w:rsidSect="00C5760C">
      <w:headerReference w:type="default" r:id="rId56"/>
      <w:footerReference w:type="default" r:id="rId57"/>
      <w:pgSz w:w="11906" w:h="16838"/>
      <w:pgMar w:top="907" w:right="794" w:bottom="567" w:left="794" w:header="56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1727" w:rsidRDefault="00911727" w:rsidP="00605685">
      <w:pPr>
        <w:spacing w:line="240" w:lineRule="auto"/>
      </w:pPr>
      <w:r>
        <w:separator/>
      </w:r>
    </w:p>
  </w:endnote>
  <w:endnote w:type="continuationSeparator" w:id="0">
    <w:p w:rsidR="00911727" w:rsidRDefault="00911727" w:rsidP="006056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727" w:rsidRDefault="00911727">
    <w:pPr>
      <w:pStyle w:val="Footer"/>
    </w:pPr>
    <w:r w:rsidRPr="006A4642">
      <w:rPr>
        <w:noProof/>
        <w:lang w:eastAsia="en-GB"/>
      </w:rPr>
      <mc:AlternateContent>
        <mc:Choice Requires="wps">
          <w:drawing>
            <wp:anchor distT="0" distB="0" distL="114300" distR="114300" simplePos="0" relativeHeight="251670528" behindDoc="0" locked="0" layoutInCell="1" allowOverlap="1" wp14:anchorId="6B370F70" wp14:editId="3A5829D5">
              <wp:simplePos x="0" y="0"/>
              <wp:positionH relativeFrom="column">
                <wp:posOffset>-726440</wp:posOffset>
              </wp:positionH>
              <wp:positionV relativeFrom="paragraph">
                <wp:posOffset>-278765</wp:posOffset>
              </wp:positionV>
              <wp:extent cx="7572375" cy="0"/>
              <wp:effectExtent l="0" t="38100" r="9525" b="57150"/>
              <wp:wrapNone/>
              <wp:docPr id="7" name="Straight Connector 7"/>
              <wp:cNvGraphicFramePr/>
              <a:graphic xmlns:a="http://schemas.openxmlformats.org/drawingml/2006/main">
                <a:graphicData uri="http://schemas.microsoft.com/office/word/2010/wordprocessingShape">
                  <wps:wsp>
                    <wps:cNvCnPr/>
                    <wps:spPr>
                      <a:xfrm>
                        <a:off x="0" y="0"/>
                        <a:ext cx="7572375" cy="0"/>
                      </a:xfrm>
                      <a:prstGeom prst="line">
                        <a:avLst/>
                      </a:prstGeom>
                      <a:ln w="88900">
                        <a:solidFill>
                          <a:srgbClr val="00AE9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2pt,-21.95pt" to="539.0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" strokecolor="#00ae9e" strokeweight="7pt"/>
          </w:pict>
        </mc:Fallback>
      </mc:AlternateContent>
    </w:r>
    <w:r w:rsidRPr="006A4642">
      <w:rPr>
        <w:noProof/>
        <w:lang w:eastAsia="en-GB"/>
      </w:rPr>
      <mc:AlternateContent>
        <mc:Choice Requires="wps">
          <w:drawing>
            <wp:anchor distT="0" distB="0" distL="114300" distR="114300" simplePos="0" relativeHeight="251669504" behindDoc="0" locked="0" layoutInCell="1" allowOverlap="1" wp14:anchorId="6349AAD1" wp14:editId="1C2AF6FC">
              <wp:simplePos x="0" y="0"/>
              <wp:positionH relativeFrom="column">
                <wp:posOffset>-724801</wp:posOffset>
              </wp:positionH>
              <wp:positionV relativeFrom="paragraph">
                <wp:posOffset>-235053</wp:posOffset>
              </wp:positionV>
              <wp:extent cx="7572375" cy="862641"/>
              <wp:effectExtent l="0" t="0" r="9525" b="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2375" cy="862641"/>
                      </a:xfrm>
                      <a:prstGeom prst="rect">
                        <a:avLst/>
                      </a:prstGeom>
                      <a:solidFill>
                        <a:srgbClr val="98002E"/>
                      </a:solidFill>
                      <a:ln w="82550">
                        <a:noFill/>
                        <a:headEnd/>
                        <a:tailEnd/>
                      </a:ln>
                    </wps:spPr>
                    <wps:style>
                      <a:lnRef idx="2">
                        <a:schemeClr val="accent5"/>
                      </a:lnRef>
                      <a:fillRef idx="1">
                        <a:schemeClr val="lt1"/>
                      </a:fillRef>
                      <a:effectRef idx="0">
                        <a:schemeClr val="accent5"/>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57.05pt;margin-top:-18.5pt;width:596.25pt;height:67.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" fillcolor="#98002e" stroked="f" strokeweight="6.5p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1129398"/>
      <w:docPartObj>
        <w:docPartGallery w:val="Page Numbers (Bottom of Page)"/>
        <w:docPartUnique/>
      </w:docPartObj>
    </w:sdtPr>
    <w:sdtEndPr>
      <w:rPr>
        <w:rFonts w:cs="Arial"/>
        <w:noProof/>
        <w:sz w:val="20"/>
        <w:szCs w:val="20"/>
      </w:rPr>
    </w:sdtEndPr>
    <w:sdtContent>
      <w:p w:rsidR="00911727" w:rsidRPr="008E1AD6" w:rsidRDefault="00911727" w:rsidP="00FB29FC">
        <w:pPr>
          <w:pStyle w:val="Footer"/>
          <w:spacing w:line="240" w:lineRule="exact"/>
          <w:jc w:val="center"/>
          <w:rPr>
            <w:rFonts w:cs="Arial"/>
            <w:sz w:val="20"/>
            <w:szCs w:val="20"/>
          </w:rPr>
        </w:pPr>
        <w:r w:rsidRPr="00D42454">
          <w:rPr>
            <w:noProof/>
            <w:sz w:val="16"/>
            <w:szCs w:val="16"/>
            <w:lang w:eastAsia="en-GB"/>
          </w:rPr>
          <w:drawing>
            <wp:anchor distT="0" distB="0" distL="114300" distR="114300" simplePos="0" relativeHeight="251671552" behindDoc="0" locked="0" layoutInCell="1" allowOverlap="1" wp14:anchorId="3751D9F8" wp14:editId="5A23D051">
              <wp:simplePos x="0" y="0"/>
              <wp:positionH relativeFrom="column">
                <wp:posOffset>4562475</wp:posOffset>
              </wp:positionH>
              <wp:positionV relativeFrom="paragraph">
                <wp:posOffset>144145</wp:posOffset>
              </wp:positionV>
              <wp:extent cx="827405" cy="237490"/>
              <wp:effectExtent l="0" t="0" r="0" b="0"/>
              <wp:wrapSquare wrapText="bothSides"/>
              <wp:docPr id="59" name="Picture 59" descr="BI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IA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l="3458" t="8571" r="3703" b="12857"/>
                      <a:stretch>
                        <a:fillRect/>
                      </a:stretch>
                    </pic:blipFill>
                    <pic:spPr bwMode="auto">
                      <a:xfrm>
                        <a:off x="0" y="0"/>
                        <a:ext cx="827405" cy="237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4DFE">
          <w:rPr>
            <w:rStyle w:val="PHEHeaderFooterChar"/>
            <w:noProof/>
            <w:lang w:eastAsia="en-GB"/>
          </w:rPr>
          <w:drawing>
            <wp:anchor distT="0" distB="0" distL="114300" distR="114300" simplePos="0" relativeHeight="251672576" behindDoc="0" locked="0" layoutInCell="1" allowOverlap="1" wp14:anchorId="2AFB895F" wp14:editId="0ED1C21A">
              <wp:simplePos x="0" y="0"/>
              <wp:positionH relativeFrom="column">
                <wp:posOffset>5473065</wp:posOffset>
              </wp:positionH>
              <wp:positionV relativeFrom="paragraph">
                <wp:posOffset>86995</wp:posOffset>
              </wp:positionV>
              <wp:extent cx="1130300" cy="356235"/>
              <wp:effectExtent l="0" t="0" r="0" b="5715"/>
              <wp:wrapSquare wrapText="bothSides"/>
              <wp:docPr id="58" name="Picture 58" descr="RCGP Logo  Std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RCGP Logo  Std -JPG.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30300" cy="356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4DFE">
          <w:rPr>
            <w:rStyle w:val="PHEHeaderFooterChar"/>
          </w:rPr>
          <w:fldChar w:fldCharType="begin"/>
        </w:r>
        <w:r w:rsidRPr="00124DFE">
          <w:rPr>
            <w:rStyle w:val="PHEHeaderFooterChar"/>
          </w:rPr>
          <w:instrText xml:space="preserve"> PAGE   \* MERGEFORMAT </w:instrText>
        </w:r>
        <w:r w:rsidRPr="00124DFE">
          <w:rPr>
            <w:rStyle w:val="PHEHeaderFooterChar"/>
          </w:rPr>
          <w:fldChar w:fldCharType="separate"/>
        </w:r>
        <w:r>
          <w:rPr>
            <w:rStyle w:val="PHEHeaderFooterChar"/>
            <w:noProof/>
          </w:rPr>
          <w:t>2</w:t>
        </w:r>
        <w:r w:rsidRPr="00124DFE">
          <w:rPr>
            <w:rStyle w:val="PHEHeaderFooterChar"/>
          </w:rPr>
          <w:fldChar w:fldCharType="end"/>
        </w:r>
      </w:p>
    </w:sdtContent>
  </w:sdt>
  <w:p w:rsidR="00911727" w:rsidRPr="006D0BCD" w:rsidRDefault="00911727" w:rsidP="00FB29FC">
    <w:pPr>
      <w:pStyle w:val="PHEHeaderFooter"/>
    </w:pPr>
    <w:r w:rsidRPr="00EA2E16">
      <w:t>Prod</w:t>
    </w:r>
    <w:r>
      <w:t>uced: 2006 – Latest Review</w:t>
    </w:r>
    <w:r w:rsidRPr="006D0BCD">
      <w:t xml:space="preserve">: </w:t>
    </w:r>
    <w:r w:rsidRPr="0040133D">
      <w:t>December 2015</w:t>
    </w:r>
    <w:r w:rsidRPr="006D0BCD">
      <w:t xml:space="preserve">                         Endorsed by:</w:t>
    </w:r>
    <w:r w:rsidRPr="006D0BCD">
      <w:rPr>
        <w:noProof/>
        <w:lang w:eastAsia="en-GB"/>
      </w:rPr>
      <w:t xml:space="preserve"> </w:t>
    </w:r>
  </w:p>
  <w:p w:rsidR="00911727" w:rsidRPr="00EA2E16" w:rsidRDefault="00911727" w:rsidP="00FB29FC">
    <w:pPr>
      <w:pStyle w:val="PHEHeaderFooter"/>
    </w:pPr>
    <w:r w:rsidRPr="006D0BCD">
      <w:t xml:space="preserve">Next Full Review: </w:t>
    </w:r>
    <w:r w:rsidRPr="0040133D">
      <w:t>December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7818073"/>
      <w:docPartObj>
        <w:docPartGallery w:val="Page Numbers (Bottom of Page)"/>
        <w:docPartUnique/>
      </w:docPartObj>
    </w:sdtPr>
    <w:sdtEndPr>
      <w:rPr>
        <w:rFonts w:cs="Arial"/>
        <w:noProof/>
        <w:sz w:val="20"/>
        <w:szCs w:val="20"/>
        <w:highlight w:val="yellow"/>
      </w:rPr>
    </w:sdtEndPr>
    <w:sdtContent>
      <w:p w:rsidR="00911727" w:rsidRDefault="00911727" w:rsidP="007442D9">
        <w:pPr>
          <w:pStyle w:val="Footer"/>
          <w:jc w:val="center"/>
          <w:rPr>
            <w:rFonts w:cs="Arial"/>
            <w:noProof/>
            <w:sz w:val="20"/>
            <w:szCs w:val="20"/>
          </w:rPr>
        </w:pPr>
        <w:r w:rsidRPr="00707874">
          <w:rPr>
            <w:rFonts w:cs="Arial"/>
            <w:sz w:val="20"/>
            <w:szCs w:val="20"/>
          </w:rPr>
          <w:fldChar w:fldCharType="begin"/>
        </w:r>
        <w:r w:rsidRPr="00707874">
          <w:rPr>
            <w:rFonts w:cs="Arial"/>
            <w:sz w:val="20"/>
            <w:szCs w:val="20"/>
          </w:rPr>
          <w:instrText xml:space="preserve"> PAGE   \* MERGEFORMAT </w:instrText>
        </w:r>
        <w:r w:rsidRPr="00707874">
          <w:rPr>
            <w:rFonts w:cs="Arial"/>
            <w:sz w:val="20"/>
            <w:szCs w:val="20"/>
          </w:rPr>
          <w:fldChar w:fldCharType="separate"/>
        </w:r>
        <w:r w:rsidR="00406EE5">
          <w:rPr>
            <w:rFonts w:cs="Arial"/>
            <w:noProof/>
            <w:sz w:val="20"/>
            <w:szCs w:val="20"/>
          </w:rPr>
          <w:t>2</w:t>
        </w:r>
        <w:r w:rsidRPr="00707874">
          <w:rPr>
            <w:rFonts w:cs="Arial"/>
            <w:noProof/>
            <w:sz w:val="20"/>
            <w:szCs w:val="20"/>
          </w:rPr>
          <w:fldChar w:fldCharType="end"/>
        </w:r>
      </w:p>
      <w:p w:rsidR="00911727" w:rsidRDefault="00911727" w:rsidP="00415376">
        <w:pPr>
          <w:pStyle w:val="Footer"/>
          <w:rPr>
            <w:rFonts w:cs="Arial"/>
            <w:noProof/>
            <w:sz w:val="20"/>
            <w:szCs w:val="20"/>
          </w:rPr>
        </w:pPr>
        <w:r w:rsidRPr="008957EC">
          <w:rPr>
            <w:rFonts w:cs="Arial"/>
            <w:noProof/>
            <w:sz w:val="20"/>
            <w:szCs w:val="20"/>
            <w:lang w:eastAsia="en-GB"/>
          </w:rPr>
          <w:drawing>
            <wp:anchor distT="0" distB="0" distL="114300" distR="114300" simplePos="0" relativeHeight="251675648" behindDoc="0" locked="0" layoutInCell="1" allowOverlap="1" wp14:anchorId="086501F3" wp14:editId="260882D9">
              <wp:simplePos x="0" y="0"/>
              <wp:positionH relativeFrom="column">
                <wp:posOffset>6076315</wp:posOffset>
              </wp:positionH>
              <wp:positionV relativeFrom="paragraph">
                <wp:posOffset>20320</wp:posOffset>
              </wp:positionV>
              <wp:extent cx="701675" cy="220345"/>
              <wp:effectExtent l="0" t="0" r="3175" b="8255"/>
              <wp:wrapSquare wrapText="bothSides"/>
              <wp:docPr id="26" name="Picture 26" descr="RCGP Logo  Std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RCGP Logo  Std -JPG.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1675" cy="220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7EC">
          <w:rPr>
            <w:rFonts w:cs="Arial"/>
            <w:noProof/>
            <w:sz w:val="20"/>
            <w:szCs w:val="20"/>
            <w:lang w:eastAsia="en-GB"/>
          </w:rPr>
          <w:drawing>
            <wp:anchor distT="0" distB="0" distL="114300" distR="114300" simplePos="0" relativeHeight="251677696" behindDoc="0" locked="0" layoutInCell="1" allowOverlap="1" wp14:anchorId="2F9081D2" wp14:editId="55D11799">
              <wp:simplePos x="0" y="0"/>
              <wp:positionH relativeFrom="column">
                <wp:posOffset>5316220</wp:posOffset>
              </wp:positionH>
              <wp:positionV relativeFrom="paragraph">
                <wp:posOffset>38100</wp:posOffset>
              </wp:positionV>
              <wp:extent cx="716280" cy="205105"/>
              <wp:effectExtent l="0" t="0" r="7620" b="4445"/>
              <wp:wrapSquare wrapText="bothSides"/>
              <wp:docPr id="25" name="Picture 25" descr="BI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IA 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l="3458" t="8571" r="3703" b="12857"/>
                      <a:stretch>
                        <a:fillRect/>
                      </a:stretch>
                    </pic:blipFill>
                    <pic:spPr bwMode="auto">
                      <a:xfrm>
                        <a:off x="0" y="0"/>
                        <a:ext cx="716280" cy="205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 w:val="20"/>
            <w:szCs w:val="20"/>
          </w:rPr>
          <w:t xml:space="preserve">Produced: 2009 – Reformat: </w:t>
        </w:r>
        <w:r w:rsidR="00250D15">
          <w:rPr>
            <w:rFonts w:cs="Arial"/>
            <w:noProof/>
            <w:sz w:val="20"/>
            <w:szCs w:val="20"/>
          </w:rPr>
          <w:t>June</w:t>
        </w:r>
        <w:r>
          <w:rPr>
            <w:rFonts w:cs="Arial"/>
            <w:noProof/>
            <w:sz w:val="20"/>
            <w:szCs w:val="20"/>
          </w:rPr>
          <w:t xml:space="preserve"> 2017</w:t>
        </w:r>
      </w:p>
      <w:p w:rsidR="00911727" w:rsidRPr="009644F3" w:rsidRDefault="00911727" w:rsidP="00415376">
        <w:pPr>
          <w:pStyle w:val="Footer"/>
          <w:rPr>
            <w:rFonts w:cs="Arial"/>
            <w:sz w:val="20"/>
            <w:szCs w:val="20"/>
          </w:rPr>
        </w:pPr>
        <w:r>
          <w:rPr>
            <w:rFonts w:cs="Arial"/>
            <w:sz w:val="20"/>
            <w:szCs w:val="20"/>
          </w:rPr>
          <w:t>Review Due: June 2013 – Next Full Review Scheduled: March 2018</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1727" w:rsidRDefault="00911727" w:rsidP="00605685">
      <w:pPr>
        <w:spacing w:line="240" w:lineRule="auto"/>
      </w:pPr>
      <w:r>
        <w:separator/>
      </w:r>
    </w:p>
  </w:footnote>
  <w:footnote w:type="continuationSeparator" w:id="0">
    <w:p w:rsidR="00911727" w:rsidRDefault="00911727" w:rsidP="0060568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727" w:rsidRDefault="00911727">
    <w:pPr>
      <w:pStyle w:val="Header"/>
    </w:pPr>
    <w:r>
      <w:rPr>
        <w:noProof/>
        <w:lang w:eastAsia="en-GB"/>
      </w:rPr>
      <w:drawing>
        <wp:anchor distT="0" distB="0" distL="114300" distR="114300" simplePos="0" relativeHeight="251668480" behindDoc="0" locked="0" layoutInCell="1" allowOverlap="1" wp14:anchorId="3435DCD1" wp14:editId="1165032A">
          <wp:simplePos x="0" y="0"/>
          <wp:positionH relativeFrom="column">
            <wp:posOffset>-657225</wp:posOffset>
          </wp:positionH>
          <wp:positionV relativeFrom="paragraph">
            <wp:posOffset>-163653</wp:posOffset>
          </wp:positionV>
          <wp:extent cx="4064400" cy="2012400"/>
          <wp:effectExtent l="0" t="0" r="0" b="6985"/>
          <wp:wrapNone/>
          <wp:docPr id="57" name="Picture 57" descr="PHE small logo for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E small logo for A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64400" cy="201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727" w:rsidRPr="00EA2E16" w:rsidRDefault="00911727" w:rsidP="00FB29FC">
    <w:pPr>
      <w:pStyle w:val="PHEHeaderFooter"/>
    </w:pPr>
    <w:r w:rsidRPr="00EA2E16">
      <w:t>Venous Leg Ulcers: Infe</w:t>
    </w:r>
    <w:r>
      <w:t>ction Diagnosis and Microbiological</w:t>
    </w:r>
    <w:r w:rsidRPr="00EA2E16">
      <w:t xml:space="preserve"> Investigation</w:t>
    </w:r>
  </w:p>
  <w:p w:rsidR="00911727" w:rsidRPr="00EA2E16" w:rsidRDefault="00911727" w:rsidP="00FB29FC">
    <w:pPr>
      <w:pStyle w:val="PHEHeaderFooter"/>
    </w:pPr>
    <w:r w:rsidRPr="00EA2E16">
      <w:t>Quick R</w:t>
    </w:r>
    <w:r>
      <w:t>eference Guide for Primary Care:</w:t>
    </w:r>
    <w:r w:rsidRPr="00EA2E16">
      <w:t xml:space="preserve"> for Consultation and Local Adaptation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727" w:rsidRPr="00551C93" w:rsidRDefault="00911727" w:rsidP="00C5760C">
    <w:pPr>
      <w:pStyle w:val="Header"/>
      <w:spacing w:line="240" w:lineRule="exact"/>
      <w:rPr>
        <w:rFonts w:cs="Arial"/>
        <w:sz w:val="20"/>
        <w:szCs w:val="20"/>
      </w:rPr>
    </w:pPr>
    <w:r>
      <w:rPr>
        <w:rFonts w:cs="Arial"/>
        <w:sz w:val="20"/>
        <w:szCs w:val="20"/>
      </w:rPr>
      <w:t>Fungal skin and nail infections: Diagnosis and laboratory investigation</w:t>
    </w:r>
  </w:p>
  <w:p w:rsidR="00911727" w:rsidRPr="00C5760C" w:rsidRDefault="00911727" w:rsidP="00C5760C">
    <w:pPr>
      <w:pStyle w:val="Header"/>
      <w:spacing w:line="240" w:lineRule="exact"/>
      <w:rPr>
        <w:rFonts w:cs="Arial"/>
        <w:sz w:val="20"/>
        <w:szCs w:val="20"/>
      </w:rPr>
    </w:pPr>
    <w:r>
      <w:rPr>
        <w:rFonts w:cs="Arial"/>
        <w:sz w:val="20"/>
        <w:szCs w:val="20"/>
      </w:rPr>
      <w:t>Quick reference guide for primary care: For consultation and local adaptation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74AE9"/>
    <w:multiLevelType w:val="hybridMultilevel"/>
    <w:tmpl w:val="0E72693E"/>
    <w:lvl w:ilvl="0" w:tplc="F6466B2A">
      <w:start w:val="1"/>
      <w:numFmt w:val="bullet"/>
      <w:lvlText w:val=""/>
      <w:lvlJc w:val="left"/>
      <w:pPr>
        <w:ind w:left="720" w:hanging="360"/>
      </w:pPr>
      <w:rPr>
        <w:rFonts w:ascii="Symbol" w:hAnsi="Symbol" w:hint="default"/>
        <w:color w:val="98002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612085"/>
    <w:multiLevelType w:val="hybridMultilevel"/>
    <w:tmpl w:val="AB66DC90"/>
    <w:lvl w:ilvl="0" w:tplc="F6466B2A">
      <w:start w:val="1"/>
      <w:numFmt w:val="bullet"/>
      <w:lvlText w:val=""/>
      <w:lvlJc w:val="left"/>
      <w:pPr>
        <w:ind w:left="720" w:hanging="360"/>
      </w:pPr>
      <w:rPr>
        <w:rFonts w:ascii="Symbol" w:hAnsi="Symbol" w:hint="default"/>
        <w:color w:val="98002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FF4734"/>
    <w:multiLevelType w:val="hybridMultilevel"/>
    <w:tmpl w:val="0EE2337E"/>
    <w:lvl w:ilvl="0" w:tplc="F6466B2A">
      <w:start w:val="1"/>
      <w:numFmt w:val="bullet"/>
      <w:lvlText w:val=""/>
      <w:lvlJc w:val="left"/>
      <w:pPr>
        <w:ind w:left="720" w:hanging="360"/>
      </w:pPr>
      <w:rPr>
        <w:rFonts w:ascii="Symbol" w:hAnsi="Symbol" w:hint="default"/>
        <w:color w:val="98002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F50BC6"/>
    <w:multiLevelType w:val="hybridMultilevel"/>
    <w:tmpl w:val="981ABA3A"/>
    <w:lvl w:ilvl="0" w:tplc="51464052">
      <w:start w:val="1"/>
      <w:numFmt w:val="bullet"/>
      <w:lvlText w:val=""/>
      <w:lvlJc w:val="left"/>
      <w:pPr>
        <w:ind w:left="720" w:hanging="360"/>
      </w:pPr>
      <w:rPr>
        <w:rFonts w:ascii="Symbol" w:hAnsi="Symbol" w:hint="default"/>
        <w:color w:val="9C00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8941AF6"/>
    <w:multiLevelType w:val="hybridMultilevel"/>
    <w:tmpl w:val="E9F29604"/>
    <w:lvl w:ilvl="0" w:tplc="51464052">
      <w:start w:val="1"/>
      <w:numFmt w:val="bullet"/>
      <w:lvlText w:val=""/>
      <w:lvlJc w:val="left"/>
      <w:pPr>
        <w:ind w:left="720" w:hanging="360"/>
      </w:pPr>
      <w:rPr>
        <w:rFonts w:ascii="Symbol" w:hAnsi="Symbol" w:hint="default"/>
        <w:color w:val="9C00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C4D6190"/>
    <w:multiLevelType w:val="hybridMultilevel"/>
    <w:tmpl w:val="A920C19C"/>
    <w:lvl w:ilvl="0" w:tplc="05640FF4">
      <w:start w:val="1"/>
      <w:numFmt w:val="bullet"/>
      <w:lvlText w:val=""/>
      <w:lvlJc w:val="left"/>
      <w:pPr>
        <w:ind w:left="360" w:hanging="360"/>
      </w:pPr>
      <w:rPr>
        <w:rFonts w:ascii="Wingdings" w:hAnsi="Wingdings" w:hint="default"/>
        <w:color w:val="98002E"/>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C7B520C"/>
    <w:multiLevelType w:val="hybridMultilevel"/>
    <w:tmpl w:val="990A90BC"/>
    <w:lvl w:ilvl="0" w:tplc="F6466B2A">
      <w:start w:val="1"/>
      <w:numFmt w:val="bullet"/>
      <w:lvlText w:val=""/>
      <w:lvlJc w:val="left"/>
      <w:pPr>
        <w:ind w:left="720" w:hanging="360"/>
      </w:pPr>
      <w:rPr>
        <w:rFonts w:ascii="Symbol" w:hAnsi="Symbol" w:hint="default"/>
        <w:color w:val="98002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4964DFC"/>
    <w:multiLevelType w:val="hybridMultilevel"/>
    <w:tmpl w:val="3956F448"/>
    <w:lvl w:ilvl="0" w:tplc="32D2F30C">
      <w:start w:val="1"/>
      <w:numFmt w:val="decimal"/>
      <w:lvlText w:val="%1."/>
      <w:lvlJc w:val="left"/>
      <w:pPr>
        <w:ind w:left="360" w:hanging="360"/>
      </w:pPr>
      <w:rPr>
        <w:rFonts w:hint="default"/>
        <w:i w:val="0"/>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2C22577D"/>
    <w:multiLevelType w:val="hybridMultilevel"/>
    <w:tmpl w:val="4592435A"/>
    <w:lvl w:ilvl="0" w:tplc="F6466B2A">
      <w:start w:val="1"/>
      <w:numFmt w:val="bullet"/>
      <w:lvlText w:val=""/>
      <w:lvlJc w:val="left"/>
      <w:pPr>
        <w:ind w:left="720" w:hanging="360"/>
      </w:pPr>
      <w:rPr>
        <w:rFonts w:ascii="Symbol" w:hAnsi="Symbol" w:hint="default"/>
        <w:color w:val="98002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A046D75"/>
    <w:multiLevelType w:val="hybridMultilevel"/>
    <w:tmpl w:val="DFC062DA"/>
    <w:lvl w:ilvl="0" w:tplc="F6466B2A">
      <w:start w:val="1"/>
      <w:numFmt w:val="bullet"/>
      <w:lvlText w:val=""/>
      <w:lvlJc w:val="left"/>
      <w:pPr>
        <w:ind w:left="720" w:hanging="360"/>
      </w:pPr>
      <w:rPr>
        <w:rFonts w:ascii="Symbol" w:hAnsi="Symbol" w:hint="default"/>
        <w:color w:val="98002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A0F1C7E"/>
    <w:multiLevelType w:val="hybridMultilevel"/>
    <w:tmpl w:val="6A9C59D0"/>
    <w:lvl w:ilvl="0" w:tplc="51464052">
      <w:start w:val="1"/>
      <w:numFmt w:val="bullet"/>
      <w:lvlText w:val=""/>
      <w:lvlJc w:val="left"/>
      <w:pPr>
        <w:ind w:left="720" w:hanging="360"/>
      </w:pPr>
      <w:rPr>
        <w:rFonts w:ascii="Symbol" w:hAnsi="Symbol" w:hint="default"/>
        <w:color w:val="9C00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E2845D7"/>
    <w:multiLevelType w:val="hybridMultilevel"/>
    <w:tmpl w:val="12F4703E"/>
    <w:lvl w:ilvl="0" w:tplc="05640FF4">
      <w:start w:val="1"/>
      <w:numFmt w:val="bullet"/>
      <w:lvlText w:val=""/>
      <w:lvlJc w:val="left"/>
      <w:pPr>
        <w:ind w:left="360" w:hanging="360"/>
      </w:pPr>
      <w:rPr>
        <w:rFonts w:ascii="Wingdings" w:hAnsi="Wingdings" w:hint="default"/>
        <w:color w:val="98002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4379492E"/>
    <w:multiLevelType w:val="hybridMultilevel"/>
    <w:tmpl w:val="81FE68C4"/>
    <w:lvl w:ilvl="0" w:tplc="51464052">
      <w:start w:val="1"/>
      <w:numFmt w:val="bullet"/>
      <w:lvlText w:val=""/>
      <w:lvlJc w:val="left"/>
      <w:pPr>
        <w:ind w:left="720" w:hanging="360"/>
      </w:pPr>
      <w:rPr>
        <w:rFonts w:ascii="Symbol" w:hAnsi="Symbol" w:hint="default"/>
        <w:color w:val="9C00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5FE6EE3"/>
    <w:multiLevelType w:val="hybridMultilevel"/>
    <w:tmpl w:val="A3CA1B0A"/>
    <w:lvl w:ilvl="0" w:tplc="51464052">
      <w:start w:val="1"/>
      <w:numFmt w:val="bullet"/>
      <w:lvlText w:val=""/>
      <w:lvlJc w:val="left"/>
      <w:pPr>
        <w:ind w:left="720" w:hanging="360"/>
      </w:pPr>
      <w:rPr>
        <w:rFonts w:ascii="Symbol" w:hAnsi="Symbol" w:hint="default"/>
        <w:color w:val="9C00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6F13EF5"/>
    <w:multiLevelType w:val="hybridMultilevel"/>
    <w:tmpl w:val="E9F030BC"/>
    <w:lvl w:ilvl="0" w:tplc="F6466B2A">
      <w:start w:val="1"/>
      <w:numFmt w:val="bullet"/>
      <w:lvlText w:val=""/>
      <w:lvlJc w:val="left"/>
      <w:pPr>
        <w:ind w:left="720" w:hanging="360"/>
      </w:pPr>
      <w:rPr>
        <w:rFonts w:ascii="Symbol" w:hAnsi="Symbol" w:hint="default"/>
        <w:color w:val="98002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B762247"/>
    <w:multiLevelType w:val="hybridMultilevel"/>
    <w:tmpl w:val="7F881498"/>
    <w:lvl w:ilvl="0" w:tplc="05640FF4">
      <w:start w:val="1"/>
      <w:numFmt w:val="bullet"/>
      <w:lvlText w:val=""/>
      <w:lvlJc w:val="left"/>
      <w:pPr>
        <w:ind w:left="360" w:hanging="360"/>
      </w:pPr>
      <w:rPr>
        <w:rFonts w:ascii="Wingdings" w:hAnsi="Wingdings" w:hint="default"/>
        <w:color w:val="98002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D236E7C"/>
    <w:multiLevelType w:val="hybridMultilevel"/>
    <w:tmpl w:val="CE96D498"/>
    <w:lvl w:ilvl="0" w:tplc="F6466B2A">
      <w:start w:val="1"/>
      <w:numFmt w:val="bullet"/>
      <w:lvlText w:val=""/>
      <w:lvlJc w:val="left"/>
      <w:pPr>
        <w:ind w:left="720" w:hanging="360"/>
      </w:pPr>
      <w:rPr>
        <w:rFonts w:ascii="Symbol" w:hAnsi="Symbol" w:hint="default"/>
        <w:color w:val="98002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4A32FAA"/>
    <w:multiLevelType w:val="hybridMultilevel"/>
    <w:tmpl w:val="937C6172"/>
    <w:lvl w:ilvl="0" w:tplc="51464052">
      <w:start w:val="1"/>
      <w:numFmt w:val="bullet"/>
      <w:lvlText w:val=""/>
      <w:lvlJc w:val="left"/>
      <w:pPr>
        <w:ind w:left="720" w:hanging="360"/>
      </w:pPr>
      <w:rPr>
        <w:rFonts w:ascii="Symbol" w:hAnsi="Symbol" w:hint="default"/>
        <w:color w:val="9C00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79B299B"/>
    <w:multiLevelType w:val="hybridMultilevel"/>
    <w:tmpl w:val="8F44BDDC"/>
    <w:lvl w:ilvl="0" w:tplc="F6466B2A">
      <w:start w:val="1"/>
      <w:numFmt w:val="bullet"/>
      <w:lvlText w:val=""/>
      <w:lvlJc w:val="left"/>
      <w:pPr>
        <w:ind w:left="720" w:hanging="360"/>
      </w:pPr>
      <w:rPr>
        <w:rFonts w:ascii="Symbol" w:hAnsi="Symbol" w:hint="default"/>
        <w:color w:val="98002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A967418"/>
    <w:multiLevelType w:val="hybridMultilevel"/>
    <w:tmpl w:val="3D2AD67E"/>
    <w:lvl w:ilvl="0" w:tplc="F6466B2A">
      <w:start w:val="1"/>
      <w:numFmt w:val="bullet"/>
      <w:lvlText w:val=""/>
      <w:lvlJc w:val="left"/>
      <w:pPr>
        <w:ind w:left="720" w:hanging="360"/>
      </w:pPr>
      <w:rPr>
        <w:rFonts w:ascii="Symbol" w:hAnsi="Symbol" w:hint="default"/>
        <w:color w:val="98002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0F15503"/>
    <w:multiLevelType w:val="hybridMultilevel"/>
    <w:tmpl w:val="F684D938"/>
    <w:lvl w:ilvl="0" w:tplc="CA162960">
      <w:start w:val="1"/>
      <w:numFmt w:val="bullet"/>
      <w:pStyle w:val="PHEBulletpoint"/>
      <w:lvlText w:val=""/>
      <w:lvlJc w:val="left"/>
      <w:pPr>
        <w:ind w:left="786" w:hanging="360"/>
      </w:pPr>
      <w:rPr>
        <w:rFonts w:ascii="Symbol" w:hAnsi="Symbol" w:hint="default"/>
        <w:color w:val="98002E"/>
      </w:rPr>
    </w:lvl>
    <w:lvl w:ilvl="1" w:tplc="08090001">
      <w:start w:val="1"/>
      <w:numFmt w:val="bullet"/>
      <w:lvlText w:val=""/>
      <w:lvlJc w:val="left"/>
      <w:pPr>
        <w:ind w:left="928" w:hanging="360"/>
      </w:pPr>
      <w:rPr>
        <w:rFonts w:ascii="Symbol" w:hAnsi="Symbol"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21">
    <w:nsid w:val="6A465159"/>
    <w:multiLevelType w:val="hybridMultilevel"/>
    <w:tmpl w:val="88EC331C"/>
    <w:lvl w:ilvl="0" w:tplc="F6466B2A">
      <w:start w:val="1"/>
      <w:numFmt w:val="bullet"/>
      <w:lvlText w:val=""/>
      <w:lvlJc w:val="left"/>
      <w:pPr>
        <w:ind w:left="720" w:hanging="360"/>
      </w:pPr>
      <w:rPr>
        <w:rFonts w:ascii="Symbol" w:hAnsi="Symbol" w:hint="default"/>
        <w:color w:val="98002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C426FAD"/>
    <w:multiLevelType w:val="hybridMultilevel"/>
    <w:tmpl w:val="318E8CFC"/>
    <w:lvl w:ilvl="0" w:tplc="F6466B2A">
      <w:start w:val="1"/>
      <w:numFmt w:val="bullet"/>
      <w:lvlText w:val=""/>
      <w:lvlJc w:val="left"/>
      <w:pPr>
        <w:ind w:left="720" w:hanging="360"/>
      </w:pPr>
      <w:rPr>
        <w:rFonts w:ascii="Symbol" w:hAnsi="Symbol" w:hint="default"/>
        <w:color w:val="98002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9853FAA"/>
    <w:multiLevelType w:val="hybridMultilevel"/>
    <w:tmpl w:val="7616A0F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7E705DE2"/>
    <w:multiLevelType w:val="hybridMultilevel"/>
    <w:tmpl w:val="4030EE92"/>
    <w:lvl w:ilvl="0" w:tplc="05640FF4">
      <w:start w:val="1"/>
      <w:numFmt w:val="bullet"/>
      <w:lvlText w:val=""/>
      <w:lvlJc w:val="left"/>
      <w:pPr>
        <w:ind w:left="360" w:hanging="360"/>
      </w:pPr>
      <w:rPr>
        <w:rFonts w:ascii="Wingdings" w:hAnsi="Wingdings" w:hint="default"/>
        <w:color w:val="98002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7F84511B"/>
    <w:multiLevelType w:val="hybridMultilevel"/>
    <w:tmpl w:val="A18AC648"/>
    <w:lvl w:ilvl="0" w:tplc="05640FF4">
      <w:start w:val="1"/>
      <w:numFmt w:val="bullet"/>
      <w:lvlText w:val=""/>
      <w:lvlJc w:val="left"/>
      <w:pPr>
        <w:ind w:left="360" w:hanging="360"/>
      </w:pPr>
      <w:rPr>
        <w:rFonts w:ascii="Wingdings" w:hAnsi="Wingdings" w:hint="default"/>
        <w:color w:val="98002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14"/>
  </w:num>
  <w:num w:numId="3">
    <w:abstractNumId w:val="19"/>
  </w:num>
  <w:num w:numId="4">
    <w:abstractNumId w:val="0"/>
  </w:num>
  <w:num w:numId="5">
    <w:abstractNumId w:val="1"/>
  </w:num>
  <w:num w:numId="6">
    <w:abstractNumId w:val="16"/>
  </w:num>
  <w:num w:numId="7">
    <w:abstractNumId w:val="20"/>
  </w:num>
  <w:num w:numId="8">
    <w:abstractNumId w:val="5"/>
  </w:num>
  <w:num w:numId="9">
    <w:abstractNumId w:val="11"/>
  </w:num>
  <w:num w:numId="10">
    <w:abstractNumId w:val="7"/>
  </w:num>
  <w:num w:numId="11">
    <w:abstractNumId w:val="25"/>
  </w:num>
  <w:num w:numId="12">
    <w:abstractNumId w:val="4"/>
  </w:num>
  <w:num w:numId="13">
    <w:abstractNumId w:val="12"/>
  </w:num>
  <w:num w:numId="14">
    <w:abstractNumId w:val="17"/>
  </w:num>
  <w:num w:numId="15">
    <w:abstractNumId w:val="24"/>
  </w:num>
  <w:num w:numId="16">
    <w:abstractNumId w:val="10"/>
  </w:num>
  <w:num w:numId="17">
    <w:abstractNumId w:val="3"/>
  </w:num>
  <w:num w:numId="18">
    <w:abstractNumId w:val="13"/>
  </w:num>
  <w:num w:numId="19">
    <w:abstractNumId w:val="18"/>
  </w:num>
  <w:num w:numId="20">
    <w:abstractNumId w:val="8"/>
  </w:num>
  <w:num w:numId="21">
    <w:abstractNumId w:val="2"/>
  </w:num>
  <w:num w:numId="22">
    <w:abstractNumId w:val="15"/>
  </w:num>
  <w:num w:numId="23">
    <w:abstractNumId w:val="21"/>
  </w:num>
  <w:num w:numId="24">
    <w:abstractNumId w:val="9"/>
  </w:num>
  <w:num w:numId="25">
    <w:abstractNumId w:val="22"/>
  </w:num>
  <w:num w:numId="26">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hdrShapeDefaults>
    <o:shapedefaults v:ext="edit" spidmax="972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5685"/>
    <w:rsid w:val="0000243A"/>
    <w:rsid w:val="0001279C"/>
    <w:rsid w:val="0002734B"/>
    <w:rsid w:val="000402FF"/>
    <w:rsid w:val="0004126B"/>
    <w:rsid w:val="000464AF"/>
    <w:rsid w:val="00056170"/>
    <w:rsid w:val="00063650"/>
    <w:rsid w:val="0006367F"/>
    <w:rsid w:val="000753E2"/>
    <w:rsid w:val="00080B73"/>
    <w:rsid w:val="0008120C"/>
    <w:rsid w:val="00082514"/>
    <w:rsid w:val="000874B4"/>
    <w:rsid w:val="00090CBD"/>
    <w:rsid w:val="00097412"/>
    <w:rsid w:val="000A35A2"/>
    <w:rsid w:val="000B3F09"/>
    <w:rsid w:val="000C12EF"/>
    <w:rsid w:val="000C1491"/>
    <w:rsid w:val="000C47C6"/>
    <w:rsid w:val="000C5684"/>
    <w:rsid w:val="000E14D4"/>
    <w:rsid w:val="000F71CC"/>
    <w:rsid w:val="0010407D"/>
    <w:rsid w:val="00111CDB"/>
    <w:rsid w:val="00112F5B"/>
    <w:rsid w:val="00115A7E"/>
    <w:rsid w:val="00116451"/>
    <w:rsid w:val="00122CBD"/>
    <w:rsid w:val="00123182"/>
    <w:rsid w:val="0012593C"/>
    <w:rsid w:val="00126ED7"/>
    <w:rsid w:val="00131DA6"/>
    <w:rsid w:val="00140232"/>
    <w:rsid w:val="00154737"/>
    <w:rsid w:val="0016196E"/>
    <w:rsid w:val="00161E5B"/>
    <w:rsid w:val="00163185"/>
    <w:rsid w:val="00163E36"/>
    <w:rsid w:val="0016609C"/>
    <w:rsid w:val="001660D6"/>
    <w:rsid w:val="001677C3"/>
    <w:rsid w:val="001718C2"/>
    <w:rsid w:val="001760BD"/>
    <w:rsid w:val="00182465"/>
    <w:rsid w:val="00186FFC"/>
    <w:rsid w:val="0019549A"/>
    <w:rsid w:val="001958FA"/>
    <w:rsid w:val="001A282C"/>
    <w:rsid w:val="001A345A"/>
    <w:rsid w:val="001A3461"/>
    <w:rsid w:val="001A7A2E"/>
    <w:rsid w:val="001B1273"/>
    <w:rsid w:val="001B48A0"/>
    <w:rsid w:val="001B79F9"/>
    <w:rsid w:val="001C1A64"/>
    <w:rsid w:val="001C3ECA"/>
    <w:rsid w:val="001D0A92"/>
    <w:rsid w:val="001D2760"/>
    <w:rsid w:val="001D7EE8"/>
    <w:rsid w:val="001E79D4"/>
    <w:rsid w:val="001F083A"/>
    <w:rsid w:val="002033EE"/>
    <w:rsid w:val="0020461F"/>
    <w:rsid w:val="00206BEF"/>
    <w:rsid w:val="00207CBE"/>
    <w:rsid w:val="00210FEB"/>
    <w:rsid w:val="0021406C"/>
    <w:rsid w:val="0022198D"/>
    <w:rsid w:val="002229F5"/>
    <w:rsid w:val="00224EF5"/>
    <w:rsid w:val="0023206E"/>
    <w:rsid w:val="0023283E"/>
    <w:rsid w:val="002348BA"/>
    <w:rsid w:val="002404F7"/>
    <w:rsid w:val="00242D64"/>
    <w:rsid w:val="00243005"/>
    <w:rsid w:val="00245DD2"/>
    <w:rsid w:val="00250D15"/>
    <w:rsid w:val="00251AD3"/>
    <w:rsid w:val="002527EF"/>
    <w:rsid w:val="00257129"/>
    <w:rsid w:val="00257D48"/>
    <w:rsid w:val="00266F51"/>
    <w:rsid w:val="002673AC"/>
    <w:rsid w:val="002757D0"/>
    <w:rsid w:val="0027661D"/>
    <w:rsid w:val="0029494A"/>
    <w:rsid w:val="002A7447"/>
    <w:rsid w:val="002B1208"/>
    <w:rsid w:val="002B1F46"/>
    <w:rsid w:val="002B3687"/>
    <w:rsid w:val="002B63FA"/>
    <w:rsid w:val="002D3A16"/>
    <w:rsid w:val="002D483F"/>
    <w:rsid w:val="002E0707"/>
    <w:rsid w:val="002F27A7"/>
    <w:rsid w:val="002F3653"/>
    <w:rsid w:val="002F662E"/>
    <w:rsid w:val="003001AA"/>
    <w:rsid w:val="00301DE8"/>
    <w:rsid w:val="00303156"/>
    <w:rsid w:val="00306E63"/>
    <w:rsid w:val="00316063"/>
    <w:rsid w:val="003475E4"/>
    <w:rsid w:val="003477C4"/>
    <w:rsid w:val="003512D1"/>
    <w:rsid w:val="00351995"/>
    <w:rsid w:val="00354F45"/>
    <w:rsid w:val="00356A9A"/>
    <w:rsid w:val="00361834"/>
    <w:rsid w:val="00362E87"/>
    <w:rsid w:val="00373065"/>
    <w:rsid w:val="00375C1B"/>
    <w:rsid w:val="00380058"/>
    <w:rsid w:val="00380947"/>
    <w:rsid w:val="00380FA7"/>
    <w:rsid w:val="00391C05"/>
    <w:rsid w:val="00393263"/>
    <w:rsid w:val="0039600D"/>
    <w:rsid w:val="003A02FE"/>
    <w:rsid w:val="003B3F24"/>
    <w:rsid w:val="003B5259"/>
    <w:rsid w:val="003B6FC1"/>
    <w:rsid w:val="003C738D"/>
    <w:rsid w:val="003D119E"/>
    <w:rsid w:val="003E6FEE"/>
    <w:rsid w:val="00406EE5"/>
    <w:rsid w:val="0041246A"/>
    <w:rsid w:val="00414651"/>
    <w:rsid w:val="0041465B"/>
    <w:rsid w:val="00415376"/>
    <w:rsid w:val="00422B9C"/>
    <w:rsid w:val="004276DA"/>
    <w:rsid w:val="00427B70"/>
    <w:rsid w:val="00433C50"/>
    <w:rsid w:val="00435949"/>
    <w:rsid w:val="00440C32"/>
    <w:rsid w:val="004444E4"/>
    <w:rsid w:val="00451C95"/>
    <w:rsid w:val="0046303A"/>
    <w:rsid w:val="00474968"/>
    <w:rsid w:val="00474D6B"/>
    <w:rsid w:val="0048111E"/>
    <w:rsid w:val="004820B0"/>
    <w:rsid w:val="00485EFA"/>
    <w:rsid w:val="00491D89"/>
    <w:rsid w:val="004960D4"/>
    <w:rsid w:val="00497618"/>
    <w:rsid w:val="004A0C22"/>
    <w:rsid w:val="004A40C4"/>
    <w:rsid w:val="004B3364"/>
    <w:rsid w:val="004B48CC"/>
    <w:rsid w:val="004B641B"/>
    <w:rsid w:val="004B7580"/>
    <w:rsid w:val="004C014B"/>
    <w:rsid w:val="004C22AB"/>
    <w:rsid w:val="004C68A2"/>
    <w:rsid w:val="004C73E1"/>
    <w:rsid w:val="004F0AC6"/>
    <w:rsid w:val="004F23C4"/>
    <w:rsid w:val="0050002D"/>
    <w:rsid w:val="00501540"/>
    <w:rsid w:val="005032F8"/>
    <w:rsid w:val="00505945"/>
    <w:rsid w:val="00511BB9"/>
    <w:rsid w:val="00516F59"/>
    <w:rsid w:val="005174F5"/>
    <w:rsid w:val="00520E65"/>
    <w:rsid w:val="00523323"/>
    <w:rsid w:val="00524504"/>
    <w:rsid w:val="00530A54"/>
    <w:rsid w:val="00534E3D"/>
    <w:rsid w:val="00541738"/>
    <w:rsid w:val="005417A9"/>
    <w:rsid w:val="00546D76"/>
    <w:rsid w:val="00551C93"/>
    <w:rsid w:val="00552067"/>
    <w:rsid w:val="00552315"/>
    <w:rsid w:val="00554B29"/>
    <w:rsid w:val="0055534C"/>
    <w:rsid w:val="0055623A"/>
    <w:rsid w:val="0056277E"/>
    <w:rsid w:val="00563553"/>
    <w:rsid w:val="005661AE"/>
    <w:rsid w:val="00566A3F"/>
    <w:rsid w:val="00567EE5"/>
    <w:rsid w:val="0057073D"/>
    <w:rsid w:val="00577D86"/>
    <w:rsid w:val="00587317"/>
    <w:rsid w:val="005879D0"/>
    <w:rsid w:val="005907DA"/>
    <w:rsid w:val="00590B02"/>
    <w:rsid w:val="005917B9"/>
    <w:rsid w:val="00596646"/>
    <w:rsid w:val="005A215B"/>
    <w:rsid w:val="005B21E3"/>
    <w:rsid w:val="005C26BC"/>
    <w:rsid w:val="005D139F"/>
    <w:rsid w:val="005D5EF6"/>
    <w:rsid w:val="005E1323"/>
    <w:rsid w:val="005E1CB9"/>
    <w:rsid w:val="005E1EA9"/>
    <w:rsid w:val="005E226C"/>
    <w:rsid w:val="005E4C59"/>
    <w:rsid w:val="005F437A"/>
    <w:rsid w:val="005F4758"/>
    <w:rsid w:val="005F6D92"/>
    <w:rsid w:val="0060085F"/>
    <w:rsid w:val="0060109F"/>
    <w:rsid w:val="00601EDA"/>
    <w:rsid w:val="00605685"/>
    <w:rsid w:val="00622838"/>
    <w:rsid w:val="0062470A"/>
    <w:rsid w:val="00624B7E"/>
    <w:rsid w:val="00630D09"/>
    <w:rsid w:val="006327E7"/>
    <w:rsid w:val="00636EBD"/>
    <w:rsid w:val="00647D17"/>
    <w:rsid w:val="00652379"/>
    <w:rsid w:val="00653634"/>
    <w:rsid w:val="006571E8"/>
    <w:rsid w:val="0067343F"/>
    <w:rsid w:val="00684102"/>
    <w:rsid w:val="00693724"/>
    <w:rsid w:val="00695F1C"/>
    <w:rsid w:val="006A4412"/>
    <w:rsid w:val="006B3140"/>
    <w:rsid w:val="006B67D0"/>
    <w:rsid w:val="006C1D47"/>
    <w:rsid w:val="006D1208"/>
    <w:rsid w:val="006D4343"/>
    <w:rsid w:val="006F112B"/>
    <w:rsid w:val="007023CA"/>
    <w:rsid w:val="00702875"/>
    <w:rsid w:val="007028F1"/>
    <w:rsid w:val="00704D05"/>
    <w:rsid w:val="00707874"/>
    <w:rsid w:val="00712F32"/>
    <w:rsid w:val="00715525"/>
    <w:rsid w:val="00717995"/>
    <w:rsid w:val="0073175C"/>
    <w:rsid w:val="00731E75"/>
    <w:rsid w:val="00732DD0"/>
    <w:rsid w:val="00733D89"/>
    <w:rsid w:val="00734883"/>
    <w:rsid w:val="007442D9"/>
    <w:rsid w:val="00753D82"/>
    <w:rsid w:val="0075536A"/>
    <w:rsid w:val="00764620"/>
    <w:rsid w:val="00786C9D"/>
    <w:rsid w:val="007A7BD3"/>
    <w:rsid w:val="007B2E8A"/>
    <w:rsid w:val="007C1F0A"/>
    <w:rsid w:val="007C3E53"/>
    <w:rsid w:val="007C6DE9"/>
    <w:rsid w:val="007D5641"/>
    <w:rsid w:val="007D7C10"/>
    <w:rsid w:val="007E50E3"/>
    <w:rsid w:val="007F0F27"/>
    <w:rsid w:val="007F6C8B"/>
    <w:rsid w:val="0080025E"/>
    <w:rsid w:val="008006EE"/>
    <w:rsid w:val="008237E3"/>
    <w:rsid w:val="00827424"/>
    <w:rsid w:val="008275D6"/>
    <w:rsid w:val="00831EAE"/>
    <w:rsid w:val="00832A52"/>
    <w:rsid w:val="00836561"/>
    <w:rsid w:val="008376B6"/>
    <w:rsid w:val="0084256F"/>
    <w:rsid w:val="00845187"/>
    <w:rsid w:val="00847D9C"/>
    <w:rsid w:val="00850700"/>
    <w:rsid w:val="0085144C"/>
    <w:rsid w:val="00853896"/>
    <w:rsid w:val="00864168"/>
    <w:rsid w:val="00866932"/>
    <w:rsid w:val="00867FF5"/>
    <w:rsid w:val="00872396"/>
    <w:rsid w:val="00877CFA"/>
    <w:rsid w:val="008813BD"/>
    <w:rsid w:val="00887BD8"/>
    <w:rsid w:val="008901DD"/>
    <w:rsid w:val="00891966"/>
    <w:rsid w:val="00892A87"/>
    <w:rsid w:val="008957EC"/>
    <w:rsid w:val="008966A8"/>
    <w:rsid w:val="008A1058"/>
    <w:rsid w:val="008A4126"/>
    <w:rsid w:val="008A4ECE"/>
    <w:rsid w:val="008A60B5"/>
    <w:rsid w:val="008A6E4F"/>
    <w:rsid w:val="008B4C20"/>
    <w:rsid w:val="008B7A8D"/>
    <w:rsid w:val="008C02AD"/>
    <w:rsid w:val="008C19B7"/>
    <w:rsid w:val="008C1A74"/>
    <w:rsid w:val="008C249F"/>
    <w:rsid w:val="008E03DD"/>
    <w:rsid w:val="008E17D0"/>
    <w:rsid w:val="008E3258"/>
    <w:rsid w:val="008F2876"/>
    <w:rsid w:val="008F2E88"/>
    <w:rsid w:val="008F39D6"/>
    <w:rsid w:val="008F51BB"/>
    <w:rsid w:val="008F5975"/>
    <w:rsid w:val="0090398D"/>
    <w:rsid w:val="00905264"/>
    <w:rsid w:val="00906DC7"/>
    <w:rsid w:val="0090701E"/>
    <w:rsid w:val="00910969"/>
    <w:rsid w:val="00911727"/>
    <w:rsid w:val="00913150"/>
    <w:rsid w:val="0092460E"/>
    <w:rsid w:val="0093381E"/>
    <w:rsid w:val="009365B4"/>
    <w:rsid w:val="009415BB"/>
    <w:rsid w:val="00941946"/>
    <w:rsid w:val="00952823"/>
    <w:rsid w:val="00955B58"/>
    <w:rsid w:val="00963A2C"/>
    <w:rsid w:val="009644F3"/>
    <w:rsid w:val="00965747"/>
    <w:rsid w:val="009731AE"/>
    <w:rsid w:val="00974AA1"/>
    <w:rsid w:val="00985E09"/>
    <w:rsid w:val="009863F5"/>
    <w:rsid w:val="009938DD"/>
    <w:rsid w:val="00995EF5"/>
    <w:rsid w:val="009962B8"/>
    <w:rsid w:val="009978AA"/>
    <w:rsid w:val="009A1170"/>
    <w:rsid w:val="009A4DA7"/>
    <w:rsid w:val="009A6F2B"/>
    <w:rsid w:val="009A70DD"/>
    <w:rsid w:val="009B1F35"/>
    <w:rsid w:val="009B471D"/>
    <w:rsid w:val="009B7E0B"/>
    <w:rsid w:val="009C08F7"/>
    <w:rsid w:val="009C5F31"/>
    <w:rsid w:val="009C79BA"/>
    <w:rsid w:val="009D3EB3"/>
    <w:rsid w:val="009E0C89"/>
    <w:rsid w:val="009E1133"/>
    <w:rsid w:val="009E64F3"/>
    <w:rsid w:val="009E7B38"/>
    <w:rsid w:val="009F322C"/>
    <w:rsid w:val="00A13253"/>
    <w:rsid w:val="00A166D3"/>
    <w:rsid w:val="00A23435"/>
    <w:rsid w:val="00A259B3"/>
    <w:rsid w:val="00A26CBA"/>
    <w:rsid w:val="00A275E2"/>
    <w:rsid w:val="00A31689"/>
    <w:rsid w:val="00A37E91"/>
    <w:rsid w:val="00A436D9"/>
    <w:rsid w:val="00A447B8"/>
    <w:rsid w:val="00A45047"/>
    <w:rsid w:val="00A56895"/>
    <w:rsid w:val="00A61CAF"/>
    <w:rsid w:val="00A65D31"/>
    <w:rsid w:val="00A71394"/>
    <w:rsid w:val="00A81087"/>
    <w:rsid w:val="00A81DA3"/>
    <w:rsid w:val="00A91830"/>
    <w:rsid w:val="00A92061"/>
    <w:rsid w:val="00A94B92"/>
    <w:rsid w:val="00A97A26"/>
    <w:rsid w:val="00A97D66"/>
    <w:rsid w:val="00AA06F2"/>
    <w:rsid w:val="00AA6432"/>
    <w:rsid w:val="00AB095A"/>
    <w:rsid w:val="00AB26C2"/>
    <w:rsid w:val="00AB2B79"/>
    <w:rsid w:val="00AB570B"/>
    <w:rsid w:val="00AC1E5D"/>
    <w:rsid w:val="00AD20F4"/>
    <w:rsid w:val="00AF23A7"/>
    <w:rsid w:val="00AF2A06"/>
    <w:rsid w:val="00AF649B"/>
    <w:rsid w:val="00B008F4"/>
    <w:rsid w:val="00B03B74"/>
    <w:rsid w:val="00B10D07"/>
    <w:rsid w:val="00B175DB"/>
    <w:rsid w:val="00B219B9"/>
    <w:rsid w:val="00B2307A"/>
    <w:rsid w:val="00B35C16"/>
    <w:rsid w:val="00B47E45"/>
    <w:rsid w:val="00B61861"/>
    <w:rsid w:val="00B67AEC"/>
    <w:rsid w:val="00B725AC"/>
    <w:rsid w:val="00B752EA"/>
    <w:rsid w:val="00B76BE8"/>
    <w:rsid w:val="00B93282"/>
    <w:rsid w:val="00B94F1B"/>
    <w:rsid w:val="00B963DF"/>
    <w:rsid w:val="00BA0600"/>
    <w:rsid w:val="00BB4558"/>
    <w:rsid w:val="00BD3719"/>
    <w:rsid w:val="00BE087A"/>
    <w:rsid w:val="00BE5EF3"/>
    <w:rsid w:val="00BF17EA"/>
    <w:rsid w:val="00C03755"/>
    <w:rsid w:val="00C056FF"/>
    <w:rsid w:val="00C1255D"/>
    <w:rsid w:val="00C130FB"/>
    <w:rsid w:val="00C159FB"/>
    <w:rsid w:val="00C168B8"/>
    <w:rsid w:val="00C20384"/>
    <w:rsid w:val="00C253A1"/>
    <w:rsid w:val="00C313CC"/>
    <w:rsid w:val="00C327D4"/>
    <w:rsid w:val="00C41056"/>
    <w:rsid w:val="00C45A4B"/>
    <w:rsid w:val="00C47F09"/>
    <w:rsid w:val="00C51259"/>
    <w:rsid w:val="00C55FDF"/>
    <w:rsid w:val="00C565D7"/>
    <w:rsid w:val="00C5760C"/>
    <w:rsid w:val="00C73071"/>
    <w:rsid w:val="00C846F7"/>
    <w:rsid w:val="00C86367"/>
    <w:rsid w:val="00C87116"/>
    <w:rsid w:val="00C97548"/>
    <w:rsid w:val="00CA24E5"/>
    <w:rsid w:val="00CA4B0C"/>
    <w:rsid w:val="00CA5B58"/>
    <w:rsid w:val="00CB46A7"/>
    <w:rsid w:val="00CB7653"/>
    <w:rsid w:val="00CC1353"/>
    <w:rsid w:val="00CC68CF"/>
    <w:rsid w:val="00CC7A70"/>
    <w:rsid w:val="00CD070D"/>
    <w:rsid w:val="00CD0F6C"/>
    <w:rsid w:val="00CD12CD"/>
    <w:rsid w:val="00CD13F9"/>
    <w:rsid w:val="00CD4C73"/>
    <w:rsid w:val="00CD53D1"/>
    <w:rsid w:val="00CD652B"/>
    <w:rsid w:val="00CD6DE1"/>
    <w:rsid w:val="00CD7F0D"/>
    <w:rsid w:val="00CE77CD"/>
    <w:rsid w:val="00D01060"/>
    <w:rsid w:val="00D04C8D"/>
    <w:rsid w:val="00D051C5"/>
    <w:rsid w:val="00D14635"/>
    <w:rsid w:val="00D164A1"/>
    <w:rsid w:val="00D211D4"/>
    <w:rsid w:val="00D26DCE"/>
    <w:rsid w:val="00D313E4"/>
    <w:rsid w:val="00D34312"/>
    <w:rsid w:val="00D40407"/>
    <w:rsid w:val="00D4061D"/>
    <w:rsid w:val="00D412D4"/>
    <w:rsid w:val="00D41AD9"/>
    <w:rsid w:val="00D44C4A"/>
    <w:rsid w:val="00D503A6"/>
    <w:rsid w:val="00D517F2"/>
    <w:rsid w:val="00D54A68"/>
    <w:rsid w:val="00D54E45"/>
    <w:rsid w:val="00D63535"/>
    <w:rsid w:val="00D65769"/>
    <w:rsid w:val="00D67CBE"/>
    <w:rsid w:val="00D751CD"/>
    <w:rsid w:val="00D86868"/>
    <w:rsid w:val="00D91D41"/>
    <w:rsid w:val="00D96624"/>
    <w:rsid w:val="00DA0AFC"/>
    <w:rsid w:val="00DB235C"/>
    <w:rsid w:val="00DB3EF2"/>
    <w:rsid w:val="00DB557D"/>
    <w:rsid w:val="00DB756A"/>
    <w:rsid w:val="00DC0E18"/>
    <w:rsid w:val="00DE310B"/>
    <w:rsid w:val="00DE541D"/>
    <w:rsid w:val="00DF11CC"/>
    <w:rsid w:val="00DF19B3"/>
    <w:rsid w:val="00DF27AA"/>
    <w:rsid w:val="00DF4F6D"/>
    <w:rsid w:val="00E048ED"/>
    <w:rsid w:val="00E10F5B"/>
    <w:rsid w:val="00E145DE"/>
    <w:rsid w:val="00E1644D"/>
    <w:rsid w:val="00E2120F"/>
    <w:rsid w:val="00E254A3"/>
    <w:rsid w:val="00E26C1B"/>
    <w:rsid w:val="00E330FA"/>
    <w:rsid w:val="00E3390E"/>
    <w:rsid w:val="00E3479D"/>
    <w:rsid w:val="00E40D13"/>
    <w:rsid w:val="00E54015"/>
    <w:rsid w:val="00E603B1"/>
    <w:rsid w:val="00E6197B"/>
    <w:rsid w:val="00E70150"/>
    <w:rsid w:val="00E70C57"/>
    <w:rsid w:val="00E725D9"/>
    <w:rsid w:val="00E72F18"/>
    <w:rsid w:val="00E733AF"/>
    <w:rsid w:val="00E7521B"/>
    <w:rsid w:val="00E7794E"/>
    <w:rsid w:val="00E826BF"/>
    <w:rsid w:val="00E8443B"/>
    <w:rsid w:val="00E848F7"/>
    <w:rsid w:val="00E93A4D"/>
    <w:rsid w:val="00E9729B"/>
    <w:rsid w:val="00EB10B9"/>
    <w:rsid w:val="00EB5731"/>
    <w:rsid w:val="00EC444B"/>
    <w:rsid w:val="00EC4C4B"/>
    <w:rsid w:val="00EC6A17"/>
    <w:rsid w:val="00EC7E63"/>
    <w:rsid w:val="00ED3D97"/>
    <w:rsid w:val="00ED43F2"/>
    <w:rsid w:val="00ED77AC"/>
    <w:rsid w:val="00ED79ED"/>
    <w:rsid w:val="00EE13D3"/>
    <w:rsid w:val="00EF1CD5"/>
    <w:rsid w:val="00F00D25"/>
    <w:rsid w:val="00F04AB2"/>
    <w:rsid w:val="00F0771B"/>
    <w:rsid w:val="00F200CA"/>
    <w:rsid w:val="00F21BF8"/>
    <w:rsid w:val="00F239EE"/>
    <w:rsid w:val="00F23A5C"/>
    <w:rsid w:val="00F24F29"/>
    <w:rsid w:val="00F367A9"/>
    <w:rsid w:val="00F45F7A"/>
    <w:rsid w:val="00F537FE"/>
    <w:rsid w:val="00F67363"/>
    <w:rsid w:val="00F76EA3"/>
    <w:rsid w:val="00F82363"/>
    <w:rsid w:val="00F82BF0"/>
    <w:rsid w:val="00F84009"/>
    <w:rsid w:val="00F87024"/>
    <w:rsid w:val="00F94541"/>
    <w:rsid w:val="00FA0128"/>
    <w:rsid w:val="00FB1AD4"/>
    <w:rsid w:val="00FB29FC"/>
    <w:rsid w:val="00FB30F0"/>
    <w:rsid w:val="00FB458B"/>
    <w:rsid w:val="00FC3259"/>
    <w:rsid w:val="00FC4F09"/>
    <w:rsid w:val="00FE5026"/>
    <w:rsid w:val="00FF1E6B"/>
    <w:rsid w:val="00FF25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72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7EC"/>
    <w:pPr>
      <w:spacing w:after="0" w:line="320" w:lineRule="exact"/>
    </w:pPr>
    <w:rPr>
      <w:rFonts w:ascii="Arial" w:hAnsi="Arial"/>
      <w:sz w:val="24"/>
    </w:rPr>
  </w:style>
  <w:style w:type="paragraph" w:styleId="Heading1">
    <w:name w:val="heading 1"/>
    <w:basedOn w:val="Normal"/>
    <w:link w:val="Heading1Char"/>
    <w:uiPriority w:val="9"/>
    <w:qFormat/>
    <w:rsid w:val="003477C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5685"/>
    <w:pPr>
      <w:tabs>
        <w:tab w:val="center" w:pos="4513"/>
        <w:tab w:val="right" w:pos="9026"/>
      </w:tabs>
      <w:spacing w:line="240" w:lineRule="auto"/>
    </w:pPr>
  </w:style>
  <w:style w:type="character" w:customStyle="1" w:styleId="HeaderChar">
    <w:name w:val="Header Char"/>
    <w:basedOn w:val="DefaultParagraphFont"/>
    <w:link w:val="Header"/>
    <w:uiPriority w:val="99"/>
    <w:rsid w:val="00605685"/>
  </w:style>
  <w:style w:type="paragraph" w:styleId="Footer">
    <w:name w:val="footer"/>
    <w:basedOn w:val="Normal"/>
    <w:link w:val="FooterChar"/>
    <w:uiPriority w:val="99"/>
    <w:unhideWhenUsed/>
    <w:rsid w:val="00605685"/>
    <w:pPr>
      <w:tabs>
        <w:tab w:val="center" w:pos="4513"/>
        <w:tab w:val="right" w:pos="9026"/>
      </w:tabs>
      <w:spacing w:line="240" w:lineRule="auto"/>
    </w:pPr>
  </w:style>
  <w:style w:type="character" w:customStyle="1" w:styleId="FooterChar">
    <w:name w:val="Footer Char"/>
    <w:basedOn w:val="DefaultParagraphFont"/>
    <w:link w:val="Footer"/>
    <w:uiPriority w:val="99"/>
    <w:rsid w:val="00605685"/>
  </w:style>
  <w:style w:type="character" w:styleId="Hyperlink">
    <w:name w:val="Hyperlink"/>
    <w:basedOn w:val="DefaultParagraphFont"/>
    <w:uiPriority w:val="99"/>
    <w:unhideWhenUsed/>
    <w:rsid w:val="00EC4C4B"/>
    <w:rPr>
      <w:color w:val="98002E" w:themeColor="hyperlink"/>
      <w:u w:val="single"/>
    </w:rPr>
  </w:style>
  <w:style w:type="character" w:styleId="FollowedHyperlink">
    <w:name w:val="FollowedHyperlink"/>
    <w:basedOn w:val="DefaultParagraphFont"/>
    <w:uiPriority w:val="99"/>
    <w:semiHidden/>
    <w:unhideWhenUsed/>
    <w:rsid w:val="009644F3"/>
    <w:rPr>
      <w:color w:val="98002E" w:themeColor="followedHyperlink"/>
      <w:u w:val="single"/>
    </w:rPr>
  </w:style>
  <w:style w:type="paragraph" w:customStyle="1" w:styleId="PHEContentsTable">
    <w:name w:val="PHE Contents Table"/>
    <w:basedOn w:val="TOC1"/>
    <w:link w:val="PHEContentsTableChar"/>
    <w:rsid w:val="007442D9"/>
    <w:pPr>
      <w:tabs>
        <w:tab w:val="right" w:pos="9299"/>
      </w:tabs>
    </w:pPr>
    <w:rPr>
      <w:rFonts w:eastAsia="Times New Roman" w:cs="Times New Roman"/>
      <w:noProof/>
      <w:szCs w:val="20"/>
      <w:lang w:val="x-none"/>
    </w:rPr>
  </w:style>
  <w:style w:type="character" w:customStyle="1" w:styleId="PHEContentsTableChar">
    <w:name w:val="PHE Contents Table Char"/>
    <w:basedOn w:val="DefaultParagraphFont"/>
    <w:link w:val="PHEContentsTable"/>
    <w:rsid w:val="007442D9"/>
    <w:rPr>
      <w:rFonts w:ascii="Arial" w:eastAsia="Times New Roman" w:hAnsi="Arial" w:cs="Times New Roman"/>
      <w:noProof/>
      <w:sz w:val="24"/>
      <w:szCs w:val="20"/>
      <w:lang w:val="x-none"/>
    </w:rPr>
  </w:style>
  <w:style w:type="paragraph" w:styleId="TOC1">
    <w:name w:val="toc 1"/>
    <w:basedOn w:val="Normal"/>
    <w:next w:val="Normal"/>
    <w:autoRedefine/>
    <w:uiPriority w:val="39"/>
    <w:unhideWhenUsed/>
    <w:rsid w:val="00E254A3"/>
    <w:pPr>
      <w:tabs>
        <w:tab w:val="right" w:pos="10308"/>
      </w:tabs>
      <w:spacing w:after="120"/>
    </w:pPr>
  </w:style>
  <w:style w:type="paragraph" w:customStyle="1" w:styleId="PHEHeaderFooter">
    <w:name w:val="PHE Header / Footer"/>
    <w:basedOn w:val="Normal"/>
    <w:link w:val="PHEHeaderFooterChar"/>
    <w:rsid w:val="00415376"/>
    <w:rPr>
      <w:rFonts w:cs="Arial"/>
      <w:b/>
      <w:sz w:val="48"/>
      <w:szCs w:val="20"/>
    </w:rPr>
  </w:style>
  <w:style w:type="character" w:customStyle="1" w:styleId="PHEHeaderFooterChar">
    <w:name w:val="PHE Header / Footer Char"/>
    <w:basedOn w:val="DefaultParagraphFont"/>
    <w:link w:val="PHEHeaderFooter"/>
    <w:rsid w:val="00415376"/>
    <w:rPr>
      <w:rFonts w:ascii="Arial" w:hAnsi="Arial" w:cs="Arial"/>
      <w:b/>
      <w:sz w:val="48"/>
      <w:szCs w:val="20"/>
    </w:rPr>
  </w:style>
  <w:style w:type="paragraph" w:customStyle="1" w:styleId="PHEFrontPageMainTitle">
    <w:name w:val="PHE Front Page Main Title"/>
    <w:basedOn w:val="Normal"/>
    <w:link w:val="PHEFrontPageMainTitleChar"/>
    <w:rsid w:val="008957EC"/>
    <w:pPr>
      <w:spacing w:line="660" w:lineRule="exact"/>
    </w:pPr>
    <w:rPr>
      <w:rFonts w:cs="Arial"/>
      <w:b/>
      <w:color w:val="98002E"/>
      <w:sz w:val="52"/>
      <w:szCs w:val="52"/>
    </w:rPr>
  </w:style>
  <w:style w:type="character" w:customStyle="1" w:styleId="PHEFrontPageMainTitleChar">
    <w:name w:val="PHE Front Page Main Title Char"/>
    <w:basedOn w:val="DefaultParagraphFont"/>
    <w:link w:val="PHEFrontPageMainTitle"/>
    <w:rsid w:val="008957EC"/>
    <w:rPr>
      <w:rFonts w:ascii="Arial" w:hAnsi="Arial" w:cs="Arial"/>
      <w:b/>
      <w:color w:val="98002E"/>
      <w:sz w:val="52"/>
      <w:szCs w:val="52"/>
    </w:rPr>
  </w:style>
  <w:style w:type="paragraph" w:customStyle="1" w:styleId="PHEHeading">
    <w:name w:val="PHE Heading"/>
    <w:basedOn w:val="Normal"/>
    <w:link w:val="PHEHeadingChar"/>
    <w:rsid w:val="008957EC"/>
    <w:pPr>
      <w:spacing w:after="360" w:line="660" w:lineRule="exact"/>
      <w:ind w:right="794"/>
      <w:outlineLvl w:val="0"/>
    </w:pPr>
    <w:rPr>
      <w:rFonts w:eastAsia="Times New Roman" w:cs="Times New Roman"/>
      <w:color w:val="98002E"/>
      <w:sz w:val="48"/>
      <w:szCs w:val="48"/>
    </w:rPr>
  </w:style>
  <w:style w:type="character" w:customStyle="1" w:styleId="PHEHeadingChar">
    <w:name w:val="PHE Heading Char"/>
    <w:basedOn w:val="DefaultParagraphFont"/>
    <w:link w:val="PHEHeading"/>
    <w:rsid w:val="008957EC"/>
    <w:rPr>
      <w:rFonts w:ascii="Arial" w:eastAsia="Times New Roman" w:hAnsi="Arial" w:cs="Times New Roman"/>
      <w:color w:val="98002E"/>
      <w:sz w:val="48"/>
      <w:szCs w:val="48"/>
    </w:rPr>
  </w:style>
  <w:style w:type="paragraph" w:styleId="ListParagraph">
    <w:name w:val="List Paragraph"/>
    <w:basedOn w:val="Normal"/>
    <w:link w:val="ListParagraphChar"/>
    <w:uiPriority w:val="34"/>
    <w:qFormat/>
    <w:rsid w:val="008957EC"/>
    <w:pPr>
      <w:ind w:left="720"/>
      <w:contextualSpacing/>
    </w:pPr>
  </w:style>
  <w:style w:type="table" w:styleId="TableGrid">
    <w:name w:val="Table Grid"/>
    <w:basedOn w:val="TableNormal"/>
    <w:uiPriority w:val="59"/>
    <w:rsid w:val="004444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EHyperlink">
    <w:name w:val="PHE Hyperlink"/>
    <w:basedOn w:val="Normal"/>
    <w:link w:val="PHEHyperlinkChar"/>
    <w:rsid w:val="004444E4"/>
    <w:rPr>
      <w:color w:val="98002E"/>
    </w:rPr>
  </w:style>
  <w:style w:type="character" w:customStyle="1" w:styleId="PHEHyperlinkChar">
    <w:name w:val="PHE Hyperlink Char"/>
    <w:basedOn w:val="DefaultParagraphFont"/>
    <w:link w:val="PHEHyperlink"/>
    <w:rsid w:val="004444E4"/>
    <w:rPr>
      <w:rFonts w:ascii="Arial" w:hAnsi="Arial"/>
      <w:color w:val="98002E"/>
      <w:sz w:val="24"/>
    </w:rPr>
  </w:style>
  <w:style w:type="paragraph" w:customStyle="1" w:styleId="PHEBulletpoint">
    <w:name w:val="PHE Bulletpoint"/>
    <w:basedOn w:val="ListParagraph"/>
    <w:link w:val="PHEBulletpointChar"/>
    <w:rsid w:val="004444E4"/>
    <w:pPr>
      <w:numPr>
        <w:numId w:val="7"/>
      </w:numPr>
    </w:pPr>
    <w:rPr>
      <w:rFonts w:cs="Arial"/>
      <w:szCs w:val="24"/>
    </w:rPr>
  </w:style>
  <w:style w:type="character" w:customStyle="1" w:styleId="PHEBulletpointChar">
    <w:name w:val="PHE Bulletpoint Char"/>
    <w:basedOn w:val="DefaultParagraphFont"/>
    <w:link w:val="PHEBulletpoint"/>
    <w:rsid w:val="004444E4"/>
    <w:rPr>
      <w:rFonts w:ascii="Arial" w:hAnsi="Arial" w:cs="Arial"/>
      <w:sz w:val="24"/>
      <w:szCs w:val="24"/>
    </w:rPr>
  </w:style>
  <w:style w:type="character" w:customStyle="1" w:styleId="ListParagraphChar">
    <w:name w:val="List Paragraph Char"/>
    <w:basedOn w:val="DefaultParagraphFont"/>
    <w:link w:val="ListParagraph"/>
    <w:uiPriority w:val="34"/>
    <w:rsid w:val="00362E87"/>
    <w:rPr>
      <w:rFonts w:ascii="Arial" w:hAnsi="Arial"/>
      <w:sz w:val="24"/>
    </w:rPr>
  </w:style>
  <w:style w:type="paragraph" w:customStyle="1" w:styleId="PHESecondaryHeading">
    <w:name w:val="PHE Secondary Heading"/>
    <w:basedOn w:val="Normal"/>
    <w:link w:val="PHESecondaryHeadingChar"/>
    <w:rsid w:val="00485EFA"/>
    <w:rPr>
      <w:rFonts w:cs="Arial"/>
      <w:color w:val="98002E"/>
      <w:sz w:val="28"/>
      <w:szCs w:val="28"/>
    </w:rPr>
  </w:style>
  <w:style w:type="character" w:customStyle="1" w:styleId="PHESecondaryHeadingChar">
    <w:name w:val="PHE Secondary Heading Char"/>
    <w:basedOn w:val="DefaultParagraphFont"/>
    <w:link w:val="PHESecondaryHeading"/>
    <w:rsid w:val="00485EFA"/>
    <w:rPr>
      <w:rFonts w:ascii="Arial" w:hAnsi="Arial" w:cs="Arial"/>
      <w:color w:val="98002E"/>
      <w:sz w:val="28"/>
      <w:szCs w:val="28"/>
    </w:rPr>
  </w:style>
  <w:style w:type="character" w:styleId="CommentReference">
    <w:name w:val="annotation reference"/>
    <w:basedOn w:val="DefaultParagraphFont"/>
    <w:uiPriority w:val="99"/>
    <w:semiHidden/>
    <w:unhideWhenUsed/>
    <w:rsid w:val="00AF649B"/>
    <w:rPr>
      <w:sz w:val="16"/>
      <w:szCs w:val="16"/>
    </w:rPr>
  </w:style>
  <w:style w:type="paragraph" w:styleId="CommentText">
    <w:name w:val="annotation text"/>
    <w:basedOn w:val="Normal"/>
    <w:link w:val="CommentTextChar"/>
    <w:uiPriority w:val="99"/>
    <w:semiHidden/>
    <w:unhideWhenUsed/>
    <w:rsid w:val="00AF649B"/>
    <w:pPr>
      <w:spacing w:line="240" w:lineRule="auto"/>
    </w:pPr>
    <w:rPr>
      <w:sz w:val="20"/>
      <w:szCs w:val="20"/>
    </w:rPr>
  </w:style>
  <w:style w:type="character" w:customStyle="1" w:styleId="CommentTextChar">
    <w:name w:val="Comment Text Char"/>
    <w:basedOn w:val="DefaultParagraphFont"/>
    <w:link w:val="CommentText"/>
    <w:uiPriority w:val="99"/>
    <w:semiHidden/>
    <w:rsid w:val="00AF649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F649B"/>
    <w:rPr>
      <w:b/>
      <w:bCs/>
    </w:rPr>
  </w:style>
  <w:style w:type="character" w:customStyle="1" w:styleId="CommentSubjectChar">
    <w:name w:val="Comment Subject Char"/>
    <w:basedOn w:val="CommentTextChar"/>
    <w:link w:val="CommentSubject"/>
    <w:uiPriority w:val="99"/>
    <w:semiHidden/>
    <w:rsid w:val="00AF649B"/>
    <w:rPr>
      <w:rFonts w:ascii="Arial" w:hAnsi="Arial"/>
      <w:b/>
      <w:bCs/>
      <w:sz w:val="20"/>
      <w:szCs w:val="20"/>
    </w:rPr>
  </w:style>
  <w:style w:type="paragraph" w:styleId="BalloonText">
    <w:name w:val="Balloon Text"/>
    <w:basedOn w:val="Normal"/>
    <w:link w:val="BalloonTextChar"/>
    <w:uiPriority w:val="99"/>
    <w:semiHidden/>
    <w:unhideWhenUsed/>
    <w:rsid w:val="00AF649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649B"/>
    <w:rPr>
      <w:rFonts w:ascii="Segoe UI" w:hAnsi="Segoe UI" w:cs="Segoe UI"/>
      <w:sz w:val="18"/>
      <w:szCs w:val="18"/>
    </w:rPr>
  </w:style>
  <w:style w:type="character" w:customStyle="1" w:styleId="Heading1Char">
    <w:name w:val="Heading 1 Char"/>
    <w:basedOn w:val="DefaultParagraphFont"/>
    <w:link w:val="Heading1"/>
    <w:uiPriority w:val="9"/>
    <w:rsid w:val="003477C4"/>
    <w:rPr>
      <w:rFonts w:ascii="Times New Roman" w:eastAsia="Times New Roman" w:hAnsi="Times New Roman" w:cs="Times New Roman"/>
      <w:b/>
      <w:bCs/>
      <w:kern w:val="36"/>
      <w:sz w:val="48"/>
      <w:szCs w:val="48"/>
      <w:lang w:eastAsia="en-GB"/>
    </w:rPr>
  </w:style>
  <w:style w:type="character" w:customStyle="1" w:styleId="apple-converted-space">
    <w:name w:val="apple-converted-space"/>
    <w:basedOn w:val="DefaultParagraphFont"/>
    <w:rsid w:val="003477C4"/>
  </w:style>
  <w:style w:type="character" w:customStyle="1" w:styleId="cit">
    <w:name w:val="cit"/>
    <w:basedOn w:val="DefaultParagraphFont"/>
    <w:rsid w:val="003477C4"/>
  </w:style>
  <w:style w:type="character" w:customStyle="1" w:styleId="fm-citation-ids-label">
    <w:name w:val="fm-citation-ids-label"/>
    <w:basedOn w:val="DefaultParagraphFont"/>
    <w:rsid w:val="003477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7EC"/>
    <w:pPr>
      <w:spacing w:after="0" w:line="320" w:lineRule="exact"/>
    </w:pPr>
    <w:rPr>
      <w:rFonts w:ascii="Arial" w:hAnsi="Arial"/>
      <w:sz w:val="24"/>
    </w:rPr>
  </w:style>
  <w:style w:type="paragraph" w:styleId="Heading1">
    <w:name w:val="heading 1"/>
    <w:basedOn w:val="Normal"/>
    <w:link w:val="Heading1Char"/>
    <w:uiPriority w:val="9"/>
    <w:qFormat/>
    <w:rsid w:val="003477C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5685"/>
    <w:pPr>
      <w:tabs>
        <w:tab w:val="center" w:pos="4513"/>
        <w:tab w:val="right" w:pos="9026"/>
      </w:tabs>
      <w:spacing w:line="240" w:lineRule="auto"/>
    </w:pPr>
  </w:style>
  <w:style w:type="character" w:customStyle="1" w:styleId="HeaderChar">
    <w:name w:val="Header Char"/>
    <w:basedOn w:val="DefaultParagraphFont"/>
    <w:link w:val="Header"/>
    <w:uiPriority w:val="99"/>
    <w:rsid w:val="00605685"/>
  </w:style>
  <w:style w:type="paragraph" w:styleId="Footer">
    <w:name w:val="footer"/>
    <w:basedOn w:val="Normal"/>
    <w:link w:val="FooterChar"/>
    <w:uiPriority w:val="99"/>
    <w:unhideWhenUsed/>
    <w:rsid w:val="00605685"/>
    <w:pPr>
      <w:tabs>
        <w:tab w:val="center" w:pos="4513"/>
        <w:tab w:val="right" w:pos="9026"/>
      </w:tabs>
      <w:spacing w:line="240" w:lineRule="auto"/>
    </w:pPr>
  </w:style>
  <w:style w:type="character" w:customStyle="1" w:styleId="FooterChar">
    <w:name w:val="Footer Char"/>
    <w:basedOn w:val="DefaultParagraphFont"/>
    <w:link w:val="Footer"/>
    <w:uiPriority w:val="99"/>
    <w:rsid w:val="00605685"/>
  </w:style>
  <w:style w:type="character" w:styleId="Hyperlink">
    <w:name w:val="Hyperlink"/>
    <w:basedOn w:val="DefaultParagraphFont"/>
    <w:uiPriority w:val="99"/>
    <w:unhideWhenUsed/>
    <w:rsid w:val="00EC4C4B"/>
    <w:rPr>
      <w:color w:val="98002E" w:themeColor="hyperlink"/>
      <w:u w:val="single"/>
    </w:rPr>
  </w:style>
  <w:style w:type="character" w:styleId="FollowedHyperlink">
    <w:name w:val="FollowedHyperlink"/>
    <w:basedOn w:val="DefaultParagraphFont"/>
    <w:uiPriority w:val="99"/>
    <w:semiHidden/>
    <w:unhideWhenUsed/>
    <w:rsid w:val="009644F3"/>
    <w:rPr>
      <w:color w:val="98002E" w:themeColor="followedHyperlink"/>
      <w:u w:val="single"/>
    </w:rPr>
  </w:style>
  <w:style w:type="paragraph" w:customStyle="1" w:styleId="PHEContentsTable">
    <w:name w:val="PHE Contents Table"/>
    <w:basedOn w:val="TOC1"/>
    <w:link w:val="PHEContentsTableChar"/>
    <w:rsid w:val="007442D9"/>
    <w:pPr>
      <w:tabs>
        <w:tab w:val="right" w:pos="9299"/>
      </w:tabs>
    </w:pPr>
    <w:rPr>
      <w:rFonts w:eastAsia="Times New Roman" w:cs="Times New Roman"/>
      <w:noProof/>
      <w:szCs w:val="20"/>
      <w:lang w:val="x-none"/>
    </w:rPr>
  </w:style>
  <w:style w:type="character" w:customStyle="1" w:styleId="PHEContentsTableChar">
    <w:name w:val="PHE Contents Table Char"/>
    <w:basedOn w:val="DefaultParagraphFont"/>
    <w:link w:val="PHEContentsTable"/>
    <w:rsid w:val="007442D9"/>
    <w:rPr>
      <w:rFonts w:ascii="Arial" w:eastAsia="Times New Roman" w:hAnsi="Arial" w:cs="Times New Roman"/>
      <w:noProof/>
      <w:sz w:val="24"/>
      <w:szCs w:val="20"/>
      <w:lang w:val="x-none"/>
    </w:rPr>
  </w:style>
  <w:style w:type="paragraph" w:styleId="TOC1">
    <w:name w:val="toc 1"/>
    <w:basedOn w:val="Normal"/>
    <w:next w:val="Normal"/>
    <w:autoRedefine/>
    <w:uiPriority w:val="39"/>
    <w:unhideWhenUsed/>
    <w:rsid w:val="00E254A3"/>
    <w:pPr>
      <w:tabs>
        <w:tab w:val="right" w:pos="10308"/>
      </w:tabs>
      <w:spacing w:after="120"/>
    </w:pPr>
  </w:style>
  <w:style w:type="paragraph" w:customStyle="1" w:styleId="PHEHeaderFooter">
    <w:name w:val="PHE Header / Footer"/>
    <w:basedOn w:val="Normal"/>
    <w:link w:val="PHEHeaderFooterChar"/>
    <w:rsid w:val="00415376"/>
    <w:rPr>
      <w:rFonts w:cs="Arial"/>
      <w:b/>
      <w:sz w:val="48"/>
      <w:szCs w:val="20"/>
    </w:rPr>
  </w:style>
  <w:style w:type="character" w:customStyle="1" w:styleId="PHEHeaderFooterChar">
    <w:name w:val="PHE Header / Footer Char"/>
    <w:basedOn w:val="DefaultParagraphFont"/>
    <w:link w:val="PHEHeaderFooter"/>
    <w:rsid w:val="00415376"/>
    <w:rPr>
      <w:rFonts w:ascii="Arial" w:hAnsi="Arial" w:cs="Arial"/>
      <w:b/>
      <w:sz w:val="48"/>
      <w:szCs w:val="20"/>
    </w:rPr>
  </w:style>
  <w:style w:type="paragraph" w:customStyle="1" w:styleId="PHEFrontPageMainTitle">
    <w:name w:val="PHE Front Page Main Title"/>
    <w:basedOn w:val="Normal"/>
    <w:link w:val="PHEFrontPageMainTitleChar"/>
    <w:rsid w:val="008957EC"/>
    <w:pPr>
      <w:spacing w:line="660" w:lineRule="exact"/>
    </w:pPr>
    <w:rPr>
      <w:rFonts w:cs="Arial"/>
      <w:b/>
      <w:color w:val="98002E"/>
      <w:sz w:val="52"/>
      <w:szCs w:val="52"/>
    </w:rPr>
  </w:style>
  <w:style w:type="character" w:customStyle="1" w:styleId="PHEFrontPageMainTitleChar">
    <w:name w:val="PHE Front Page Main Title Char"/>
    <w:basedOn w:val="DefaultParagraphFont"/>
    <w:link w:val="PHEFrontPageMainTitle"/>
    <w:rsid w:val="008957EC"/>
    <w:rPr>
      <w:rFonts w:ascii="Arial" w:hAnsi="Arial" w:cs="Arial"/>
      <w:b/>
      <w:color w:val="98002E"/>
      <w:sz w:val="52"/>
      <w:szCs w:val="52"/>
    </w:rPr>
  </w:style>
  <w:style w:type="paragraph" w:customStyle="1" w:styleId="PHEHeading">
    <w:name w:val="PHE Heading"/>
    <w:basedOn w:val="Normal"/>
    <w:link w:val="PHEHeadingChar"/>
    <w:rsid w:val="008957EC"/>
    <w:pPr>
      <w:spacing w:after="360" w:line="660" w:lineRule="exact"/>
      <w:ind w:right="794"/>
      <w:outlineLvl w:val="0"/>
    </w:pPr>
    <w:rPr>
      <w:rFonts w:eastAsia="Times New Roman" w:cs="Times New Roman"/>
      <w:color w:val="98002E"/>
      <w:sz w:val="48"/>
      <w:szCs w:val="48"/>
    </w:rPr>
  </w:style>
  <w:style w:type="character" w:customStyle="1" w:styleId="PHEHeadingChar">
    <w:name w:val="PHE Heading Char"/>
    <w:basedOn w:val="DefaultParagraphFont"/>
    <w:link w:val="PHEHeading"/>
    <w:rsid w:val="008957EC"/>
    <w:rPr>
      <w:rFonts w:ascii="Arial" w:eastAsia="Times New Roman" w:hAnsi="Arial" w:cs="Times New Roman"/>
      <w:color w:val="98002E"/>
      <w:sz w:val="48"/>
      <w:szCs w:val="48"/>
    </w:rPr>
  </w:style>
  <w:style w:type="paragraph" w:styleId="ListParagraph">
    <w:name w:val="List Paragraph"/>
    <w:basedOn w:val="Normal"/>
    <w:link w:val="ListParagraphChar"/>
    <w:uiPriority w:val="34"/>
    <w:qFormat/>
    <w:rsid w:val="008957EC"/>
    <w:pPr>
      <w:ind w:left="720"/>
      <w:contextualSpacing/>
    </w:pPr>
  </w:style>
  <w:style w:type="table" w:styleId="TableGrid">
    <w:name w:val="Table Grid"/>
    <w:basedOn w:val="TableNormal"/>
    <w:uiPriority w:val="59"/>
    <w:rsid w:val="004444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EHyperlink">
    <w:name w:val="PHE Hyperlink"/>
    <w:basedOn w:val="Normal"/>
    <w:link w:val="PHEHyperlinkChar"/>
    <w:rsid w:val="004444E4"/>
    <w:rPr>
      <w:color w:val="98002E"/>
    </w:rPr>
  </w:style>
  <w:style w:type="character" w:customStyle="1" w:styleId="PHEHyperlinkChar">
    <w:name w:val="PHE Hyperlink Char"/>
    <w:basedOn w:val="DefaultParagraphFont"/>
    <w:link w:val="PHEHyperlink"/>
    <w:rsid w:val="004444E4"/>
    <w:rPr>
      <w:rFonts w:ascii="Arial" w:hAnsi="Arial"/>
      <w:color w:val="98002E"/>
      <w:sz w:val="24"/>
    </w:rPr>
  </w:style>
  <w:style w:type="paragraph" w:customStyle="1" w:styleId="PHEBulletpoint">
    <w:name w:val="PHE Bulletpoint"/>
    <w:basedOn w:val="ListParagraph"/>
    <w:link w:val="PHEBulletpointChar"/>
    <w:rsid w:val="004444E4"/>
    <w:pPr>
      <w:numPr>
        <w:numId w:val="7"/>
      </w:numPr>
    </w:pPr>
    <w:rPr>
      <w:rFonts w:cs="Arial"/>
      <w:szCs w:val="24"/>
    </w:rPr>
  </w:style>
  <w:style w:type="character" w:customStyle="1" w:styleId="PHEBulletpointChar">
    <w:name w:val="PHE Bulletpoint Char"/>
    <w:basedOn w:val="DefaultParagraphFont"/>
    <w:link w:val="PHEBulletpoint"/>
    <w:rsid w:val="004444E4"/>
    <w:rPr>
      <w:rFonts w:ascii="Arial" w:hAnsi="Arial" w:cs="Arial"/>
      <w:sz w:val="24"/>
      <w:szCs w:val="24"/>
    </w:rPr>
  </w:style>
  <w:style w:type="character" w:customStyle="1" w:styleId="ListParagraphChar">
    <w:name w:val="List Paragraph Char"/>
    <w:basedOn w:val="DefaultParagraphFont"/>
    <w:link w:val="ListParagraph"/>
    <w:uiPriority w:val="34"/>
    <w:rsid w:val="00362E87"/>
    <w:rPr>
      <w:rFonts w:ascii="Arial" w:hAnsi="Arial"/>
      <w:sz w:val="24"/>
    </w:rPr>
  </w:style>
  <w:style w:type="paragraph" w:customStyle="1" w:styleId="PHESecondaryHeading">
    <w:name w:val="PHE Secondary Heading"/>
    <w:basedOn w:val="Normal"/>
    <w:link w:val="PHESecondaryHeadingChar"/>
    <w:rsid w:val="00485EFA"/>
    <w:rPr>
      <w:rFonts w:cs="Arial"/>
      <w:color w:val="98002E"/>
      <w:sz w:val="28"/>
      <w:szCs w:val="28"/>
    </w:rPr>
  </w:style>
  <w:style w:type="character" w:customStyle="1" w:styleId="PHESecondaryHeadingChar">
    <w:name w:val="PHE Secondary Heading Char"/>
    <w:basedOn w:val="DefaultParagraphFont"/>
    <w:link w:val="PHESecondaryHeading"/>
    <w:rsid w:val="00485EFA"/>
    <w:rPr>
      <w:rFonts w:ascii="Arial" w:hAnsi="Arial" w:cs="Arial"/>
      <w:color w:val="98002E"/>
      <w:sz w:val="28"/>
      <w:szCs w:val="28"/>
    </w:rPr>
  </w:style>
  <w:style w:type="character" w:styleId="CommentReference">
    <w:name w:val="annotation reference"/>
    <w:basedOn w:val="DefaultParagraphFont"/>
    <w:uiPriority w:val="99"/>
    <w:semiHidden/>
    <w:unhideWhenUsed/>
    <w:rsid w:val="00AF649B"/>
    <w:rPr>
      <w:sz w:val="16"/>
      <w:szCs w:val="16"/>
    </w:rPr>
  </w:style>
  <w:style w:type="paragraph" w:styleId="CommentText">
    <w:name w:val="annotation text"/>
    <w:basedOn w:val="Normal"/>
    <w:link w:val="CommentTextChar"/>
    <w:uiPriority w:val="99"/>
    <w:semiHidden/>
    <w:unhideWhenUsed/>
    <w:rsid w:val="00AF649B"/>
    <w:pPr>
      <w:spacing w:line="240" w:lineRule="auto"/>
    </w:pPr>
    <w:rPr>
      <w:sz w:val="20"/>
      <w:szCs w:val="20"/>
    </w:rPr>
  </w:style>
  <w:style w:type="character" w:customStyle="1" w:styleId="CommentTextChar">
    <w:name w:val="Comment Text Char"/>
    <w:basedOn w:val="DefaultParagraphFont"/>
    <w:link w:val="CommentText"/>
    <w:uiPriority w:val="99"/>
    <w:semiHidden/>
    <w:rsid w:val="00AF649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F649B"/>
    <w:rPr>
      <w:b/>
      <w:bCs/>
    </w:rPr>
  </w:style>
  <w:style w:type="character" w:customStyle="1" w:styleId="CommentSubjectChar">
    <w:name w:val="Comment Subject Char"/>
    <w:basedOn w:val="CommentTextChar"/>
    <w:link w:val="CommentSubject"/>
    <w:uiPriority w:val="99"/>
    <w:semiHidden/>
    <w:rsid w:val="00AF649B"/>
    <w:rPr>
      <w:rFonts w:ascii="Arial" w:hAnsi="Arial"/>
      <w:b/>
      <w:bCs/>
      <w:sz w:val="20"/>
      <w:szCs w:val="20"/>
    </w:rPr>
  </w:style>
  <w:style w:type="paragraph" w:styleId="BalloonText">
    <w:name w:val="Balloon Text"/>
    <w:basedOn w:val="Normal"/>
    <w:link w:val="BalloonTextChar"/>
    <w:uiPriority w:val="99"/>
    <w:semiHidden/>
    <w:unhideWhenUsed/>
    <w:rsid w:val="00AF649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649B"/>
    <w:rPr>
      <w:rFonts w:ascii="Segoe UI" w:hAnsi="Segoe UI" w:cs="Segoe UI"/>
      <w:sz w:val="18"/>
      <w:szCs w:val="18"/>
    </w:rPr>
  </w:style>
  <w:style w:type="character" w:customStyle="1" w:styleId="Heading1Char">
    <w:name w:val="Heading 1 Char"/>
    <w:basedOn w:val="DefaultParagraphFont"/>
    <w:link w:val="Heading1"/>
    <w:uiPriority w:val="9"/>
    <w:rsid w:val="003477C4"/>
    <w:rPr>
      <w:rFonts w:ascii="Times New Roman" w:eastAsia="Times New Roman" w:hAnsi="Times New Roman" w:cs="Times New Roman"/>
      <w:b/>
      <w:bCs/>
      <w:kern w:val="36"/>
      <w:sz w:val="48"/>
      <w:szCs w:val="48"/>
      <w:lang w:eastAsia="en-GB"/>
    </w:rPr>
  </w:style>
  <w:style w:type="character" w:customStyle="1" w:styleId="apple-converted-space">
    <w:name w:val="apple-converted-space"/>
    <w:basedOn w:val="DefaultParagraphFont"/>
    <w:rsid w:val="003477C4"/>
  </w:style>
  <w:style w:type="character" w:customStyle="1" w:styleId="cit">
    <w:name w:val="cit"/>
    <w:basedOn w:val="DefaultParagraphFont"/>
    <w:rsid w:val="003477C4"/>
  </w:style>
  <w:style w:type="character" w:customStyle="1" w:styleId="fm-citation-ids-label">
    <w:name w:val="fm-citation-ids-label"/>
    <w:basedOn w:val="DefaultParagraphFont"/>
    <w:rsid w:val="003477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791753">
      <w:bodyDiv w:val="1"/>
      <w:marLeft w:val="0"/>
      <w:marRight w:val="0"/>
      <w:marTop w:val="0"/>
      <w:marBottom w:val="0"/>
      <w:divBdr>
        <w:top w:val="none" w:sz="0" w:space="0" w:color="auto"/>
        <w:left w:val="none" w:sz="0" w:space="0" w:color="auto"/>
        <w:bottom w:val="none" w:sz="0" w:space="0" w:color="auto"/>
        <w:right w:val="none" w:sz="0" w:space="0" w:color="auto"/>
      </w:divBdr>
    </w:div>
    <w:div w:id="666174919">
      <w:bodyDiv w:val="1"/>
      <w:marLeft w:val="0"/>
      <w:marRight w:val="0"/>
      <w:marTop w:val="0"/>
      <w:marBottom w:val="0"/>
      <w:divBdr>
        <w:top w:val="none" w:sz="0" w:space="0" w:color="auto"/>
        <w:left w:val="none" w:sz="0" w:space="0" w:color="auto"/>
        <w:bottom w:val="none" w:sz="0" w:space="0" w:color="auto"/>
        <w:right w:val="none" w:sz="0" w:space="0" w:color="auto"/>
      </w:divBdr>
    </w:div>
    <w:div w:id="944112810">
      <w:bodyDiv w:val="1"/>
      <w:marLeft w:val="0"/>
      <w:marRight w:val="0"/>
      <w:marTop w:val="0"/>
      <w:marBottom w:val="0"/>
      <w:divBdr>
        <w:top w:val="none" w:sz="0" w:space="0" w:color="auto"/>
        <w:left w:val="none" w:sz="0" w:space="0" w:color="auto"/>
        <w:bottom w:val="none" w:sz="0" w:space="0" w:color="auto"/>
        <w:right w:val="none" w:sz="0" w:space="0" w:color="auto"/>
      </w:divBdr>
    </w:div>
    <w:div w:id="1039166851">
      <w:bodyDiv w:val="1"/>
      <w:marLeft w:val="0"/>
      <w:marRight w:val="0"/>
      <w:marTop w:val="0"/>
      <w:marBottom w:val="0"/>
      <w:divBdr>
        <w:top w:val="none" w:sz="0" w:space="0" w:color="auto"/>
        <w:left w:val="none" w:sz="0" w:space="0" w:color="auto"/>
        <w:bottom w:val="none" w:sz="0" w:space="0" w:color="auto"/>
        <w:right w:val="none" w:sz="0" w:space="0" w:color="auto"/>
      </w:divBdr>
    </w:div>
    <w:div w:id="1226332823">
      <w:bodyDiv w:val="1"/>
      <w:marLeft w:val="0"/>
      <w:marRight w:val="0"/>
      <w:marTop w:val="0"/>
      <w:marBottom w:val="0"/>
      <w:divBdr>
        <w:top w:val="none" w:sz="0" w:space="0" w:color="auto"/>
        <w:left w:val="none" w:sz="0" w:space="0" w:color="auto"/>
        <w:bottom w:val="none" w:sz="0" w:space="0" w:color="auto"/>
        <w:right w:val="none" w:sz="0" w:space="0" w:color="auto"/>
      </w:divBdr>
      <w:divsChild>
        <w:div w:id="1234704761">
          <w:marLeft w:val="0"/>
          <w:marRight w:val="0"/>
          <w:marTop w:val="0"/>
          <w:marBottom w:val="166"/>
          <w:divBdr>
            <w:top w:val="none" w:sz="0" w:space="0" w:color="auto"/>
            <w:left w:val="none" w:sz="0" w:space="0" w:color="auto"/>
            <w:bottom w:val="none" w:sz="0" w:space="0" w:color="auto"/>
            <w:right w:val="none" w:sz="0" w:space="0" w:color="auto"/>
          </w:divBdr>
          <w:divsChild>
            <w:div w:id="1221401133">
              <w:marLeft w:val="0"/>
              <w:marRight w:val="0"/>
              <w:marTop w:val="0"/>
              <w:marBottom w:val="0"/>
              <w:divBdr>
                <w:top w:val="none" w:sz="0" w:space="0" w:color="auto"/>
                <w:left w:val="none" w:sz="0" w:space="0" w:color="auto"/>
                <w:bottom w:val="none" w:sz="0" w:space="0" w:color="auto"/>
                <w:right w:val="none" w:sz="0" w:space="0" w:color="auto"/>
              </w:divBdr>
              <w:divsChild>
                <w:div w:id="717439250">
                  <w:marLeft w:val="0"/>
                  <w:marRight w:val="0"/>
                  <w:marTop w:val="0"/>
                  <w:marBottom w:val="0"/>
                  <w:divBdr>
                    <w:top w:val="none" w:sz="0" w:space="0" w:color="auto"/>
                    <w:left w:val="none" w:sz="0" w:space="0" w:color="auto"/>
                    <w:bottom w:val="none" w:sz="0" w:space="0" w:color="auto"/>
                    <w:right w:val="none" w:sz="0" w:space="0" w:color="auto"/>
                  </w:divBdr>
                  <w:divsChild>
                    <w:div w:id="1932926939">
                      <w:marLeft w:val="0"/>
                      <w:marRight w:val="0"/>
                      <w:marTop w:val="0"/>
                      <w:marBottom w:val="0"/>
                      <w:divBdr>
                        <w:top w:val="none" w:sz="0" w:space="0" w:color="auto"/>
                        <w:left w:val="none" w:sz="0" w:space="0" w:color="auto"/>
                        <w:bottom w:val="none" w:sz="0" w:space="0" w:color="auto"/>
                        <w:right w:val="none" w:sz="0" w:space="0" w:color="auto"/>
                      </w:divBdr>
                      <w:divsChild>
                        <w:div w:id="34906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18324">
                  <w:marLeft w:val="0"/>
                  <w:marRight w:val="0"/>
                  <w:marTop w:val="0"/>
                  <w:marBottom w:val="0"/>
                  <w:divBdr>
                    <w:top w:val="none" w:sz="0" w:space="0" w:color="auto"/>
                    <w:left w:val="none" w:sz="0" w:space="0" w:color="auto"/>
                    <w:bottom w:val="none" w:sz="0" w:space="0" w:color="auto"/>
                    <w:right w:val="none" w:sz="0" w:space="0" w:color="auto"/>
                  </w:divBdr>
                  <w:divsChild>
                    <w:div w:id="203302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69080">
          <w:marLeft w:val="0"/>
          <w:marRight w:val="0"/>
          <w:marTop w:val="166"/>
          <w:marBottom w:val="166"/>
          <w:divBdr>
            <w:top w:val="none" w:sz="0" w:space="0" w:color="auto"/>
            <w:left w:val="none" w:sz="0" w:space="0" w:color="auto"/>
            <w:bottom w:val="none" w:sz="0" w:space="0" w:color="auto"/>
            <w:right w:val="none" w:sz="0" w:space="0" w:color="auto"/>
          </w:divBdr>
          <w:divsChild>
            <w:div w:id="130439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v.uk/phe" TargetMode="External"/><Relationship Id="rId18" Type="http://schemas.openxmlformats.org/officeDocument/2006/relationships/hyperlink" Target="https://www.nationalarchives.gov.uk/doc/open-government-licence/version/2/" TargetMode="External"/><Relationship Id="rId26" Type="http://schemas.openxmlformats.org/officeDocument/2006/relationships/hyperlink" Target="mailto:cliodna.mcnulty@phe.gov.uk?subject=Comments:%20Fungal%20skin%20and%20nail%20infections" TargetMode="External"/><Relationship Id="rId39" Type="http://schemas.openxmlformats.org/officeDocument/2006/relationships/hyperlink" Target="https://www.ncbi.nlm.nih.gov/pmc/articles/PMC500337/pdf/jclinpath00239-0001.pdf" TargetMode="External"/><Relationship Id="rId21" Type="http://schemas.openxmlformats.org/officeDocument/2006/relationships/hyperlink" Target="mailto:sarah.alton@phe.gov.uk?subject=Other%20Format:%20Fungal%20skin%20and%20nail%20infections" TargetMode="External"/><Relationship Id="rId34" Type="http://schemas.openxmlformats.org/officeDocument/2006/relationships/hyperlink" Target="https://www.ncbi.nlm.nih.gov/pmc/articles/PMC1125423/" TargetMode="External"/><Relationship Id="rId42" Type="http://schemas.openxmlformats.org/officeDocument/2006/relationships/hyperlink" Target="http://www.tandfonline.com/doi/abs/10.1080/00362177785190241" TargetMode="External"/><Relationship Id="rId47" Type="http://schemas.openxmlformats.org/officeDocument/2006/relationships/hyperlink" Target="https://www.ncbi.nlm.nih.gov/pubmed/17714532" TargetMode="External"/><Relationship Id="rId50" Type="http://schemas.openxmlformats.org/officeDocument/2006/relationships/hyperlink" Target="https://www.ncbi.nlm.nih.gov/pmc/articles/PMC3275109/pdf/2011-1715.pdf" TargetMode="External"/><Relationship Id="rId55" Type="http://schemas.openxmlformats.org/officeDocument/2006/relationships/hyperlink" Target="mailto:sarah.alton@phe.gov.uk?subject=Conflicts%20of%20Interest:%20Fungal%20skin%20and%20nail%20infections"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sarah.alton@phe.gov.uk?subject=Query:%20Fungal%20skin%20and%20nail%20infections" TargetMode="External"/><Relationship Id="rId25" Type="http://schemas.openxmlformats.org/officeDocument/2006/relationships/hyperlink" Target="http://www.nice.org.uk/" TargetMode="External"/><Relationship Id="rId33" Type="http://schemas.openxmlformats.org/officeDocument/2006/relationships/hyperlink" Target="https://www.ncbi.nlm.nih.gov/pubmed/17365649" TargetMode="External"/><Relationship Id="rId38" Type="http://schemas.openxmlformats.org/officeDocument/2006/relationships/hyperlink" Target="https://www.ncbi.nlm.nih.gov/pubmed/718181" TargetMode="External"/><Relationship Id="rId46" Type="http://schemas.openxmlformats.org/officeDocument/2006/relationships/hyperlink" Target="https://www.ncbi.nlm.nih.gov/pmc/articles/PMC88906/pdf/cm000040.pdf"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liodna.mcnulty@phe.gov.uk?subject=Query:%20Fungal%20skin%20and%20nail%20infections" TargetMode="External"/><Relationship Id="rId20" Type="http://schemas.openxmlformats.org/officeDocument/2006/relationships/hyperlink" Target="mailto:cliodna.mcnulty@phe.gov.uk?subject=Enquiry:%20Fungal%20skin%20and%20nail%20infections" TargetMode="External"/><Relationship Id="rId29" Type="http://schemas.openxmlformats.org/officeDocument/2006/relationships/hyperlink" Target="mailto:sarah.alton@phe.gov.uk?subject=Received%20Comments:%20Fungal%20skin%20and%20nail%20infections" TargetMode="External"/><Relationship Id="rId41" Type="http://schemas.openxmlformats.org/officeDocument/2006/relationships/hyperlink" Target="http://www.dermapak.com/" TargetMode="External"/><Relationship Id="rId54" Type="http://schemas.openxmlformats.org/officeDocument/2006/relationships/hyperlink" Target="mailto:sarah.alton@phe.gov.uk?subject=Review%20and%20Development:%20Fungal%20skin%20and%20nail%20infection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sign.ac.uk/" TargetMode="External"/><Relationship Id="rId32" Type="http://schemas.openxmlformats.org/officeDocument/2006/relationships/hyperlink" Target="mailto:sarah.alton@phe.gov.uk?subject=Search%20Strategies:%20Fungal%20skin%20and%20nail%20infections" TargetMode="External"/><Relationship Id="rId37" Type="http://schemas.openxmlformats.org/officeDocument/2006/relationships/hyperlink" Target="https://www.ncbi.nlm.nih.gov/pubmed/788971" TargetMode="External"/><Relationship Id="rId40" Type="http://schemas.openxmlformats.org/officeDocument/2006/relationships/hyperlink" Target="https://books.google.co.uk/books/about/Dermatophytes.ht%20ml?id=_vpUAAAAYAAJ&amp;redir_esc=y" TargetMode="External"/><Relationship Id="rId45" Type="http://schemas.openxmlformats.org/officeDocument/2006/relationships/hyperlink" Target="https://academic.oup.com/mmy/article/44/4/357/1035687/In-vitro-antifungal-oral-drug-and-drug-combination" TargetMode="External"/><Relationship Id="rId53" Type="http://schemas.openxmlformats.org/officeDocument/2006/relationships/hyperlink" Target="https://www.ncbi.nlm.nih.gov/pubmed/17714125"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facebook.com/PublicHealthEngland" TargetMode="External"/><Relationship Id="rId23" Type="http://schemas.openxmlformats.org/officeDocument/2006/relationships/hyperlink" Target="http://cks.nice.org.uk/" TargetMode="External"/><Relationship Id="rId28" Type="http://schemas.openxmlformats.org/officeDocument/2006/relationships/hyperlink" Target="http://www.sign.ac.uk/pdf/qrg50.pdf" TargetMode="External"/><Relationship Id="rId36" Type="http://schemas.openxmlformats.org/officeDocument/2006/relationships/hyperlink" Target="https://www.ncbi.nlm.nih.gov/pubmed/12653730" TargetMode="External"/><Relationship Id="rId49" Type="http://schemas.openxmlformats.org/officeDocument/2006/relationships/hyperlink" Target="https://www.ncbi.nlm.nih.gov/pmc/articles/PMC2907807/pdf/2009-1712.pdf" TargetMode="External"/><Relationship Id="rId57"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mailto:psi@nationalarchives.gsi.gov.uk?subject=Open%20Government%20License" TargetMode="External"/><Relationship Id="rId31" Type="http://schemas.openxmlformats.org/officeDocument/2006/relationships/hyperlink" Target="mailto:sarah.alton@phe.gov.uk?subject=Highlighted%20Changes:%20Fungal%20skin%20and%20nail%20infections" TargetMode="External"/><Relationship Id="rId44" Type="http://schemas.openxmlformats.org/officeDocument/2006/relationships/hyperlink" Target="https://www.ncbi.nlm.nih.gov/pubmed/15712607" TargetMode="External"/><Relationship Id="rId52" Type="http://schemas.openxmlformats.org/officeDocument/2006/relationships/hyperlink" Target="https://www.ncbi.nlm.nih.gov/pubmed/769697"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twitter.com/PHE_uk" TargetMode="External"/><Relationship Id="rId22" Type="http://schemas.openxmlformats.org/officeDocument/2006/relationships/image" Target="media/image4.jpeg"/><Relationship Id="rId27" Type="http://schemas.openxmlformats.org/officeDocument/2006/relationships/image" Target="media/image5.jpeg"/><Relationship Id="rId30" Type="http://schemas.openxmlformats.org/officeDocument/2006/relationships/hyperlink" Target="http://cks.nice.org.uk/" TargetMode="External"/><Relationship Id="rId35" Type="http://schemas.openxmlformats.org/officeDocument/2006/relationships/hyperlink" Target="https://www.ncbi.nlm.nih.gov/pmc/articles/PMC2551187/" TargetMode="External"/><Relationship Id="rId43" Type="http://schemas.openxmlformats.org/officeDocument/2006/relationships/hyperlink" Target="http://onlinelibrary.wiley.com/doi/10.1111/j.1365-2133.1988.tb01749.x/abstract" TargetMode="External"/><Relationship Id="rId48" Type="http://schemas.openxmlformats.org/officeDocument/2006/relationships/hyperlink" Target="https://www.ncbi.nlm.nih.gov/pubmed/18076589" TargetMode="External"/><Relationship Id="rId5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onlinelibrary.wiley.com/doi/10.1002/14651858.CD001434.pub2/epdf"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6">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98002E"/>
      </a:hlink>
      <a:folHlink>
        <a:srgbClr val="98002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72824-5171-4CE4-A42D-5862B556A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2998</TotalTime>
  <Pages>13</Pages>
  <Words>3639</Words>
  <Characters>20746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Sarah.L Stevens</dc:creator>
  <cp:lastModifiedBy>Sarah Alton</cp:lastModifiedBy>
  <cp:revision>12</cp:revision>
  <cp:lastPrinted>2017-06-15T15:36:00Z</cp:lastPrinted>
  <dcterms:created xsi:type="dcterms:W3CDTF">2017-05-02T16:02:00Z</dcterms:created>
  <dcterms:modified xsi:type="dcterms:W3CDTF">2017-06-15T15:37:00Z</dcterms:modified>
</cp:coreProperties>
</file>