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5220"/>
        <w:gridCol w:w="180"/>
        <w:gridCol w:w="4045"/>
      </w:tblGrid>
      <w:tr w:rsidR="00AF6F11" w:rsidRPr="00B70C24" w:rsidTr="0092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/>
        </w:trPr>
        <w:tc>
          <w:tcPr>
            <w:tcW w:w="6434" w:type="dxa"/>
            <w:gridSpan w:val="2"/>
            <w:tcBorders>
              <w:top w:val="nil"/>
            </w:tcBorders>
          </w:tcPr>
          <w:p w:rsidR="00AF6F11" w:rsidRPr="00B70C24" w:rsidRDefault="00AF6F11" w:rsidP="00CF776B">
            <w:pPr>
              <w:rPr>
                <w:rFonts w:ascii="Arial" w:hAnsi="Arial"/>
                <w:sz w:val="22"/>
              </w:rPr>
            </w:pPr>
            <w:r w:rsidRPr="00B70C24">
              <w:rPr>
                <w:rFonts w:ascii="Arial" w:hAnsi="Arial"/>
                <w:sz w:val="22"/>
              </w:rPr>
              <w:t xml:space="preserve">   </w:t>
            </w:r>
            <w:r w:rsidR="00505FAF" w:rsidRPr="00644D84">
              <w:rPr>
                <w:rFonts w:ascii="Arial" w:hAnsi="Arial"/>
                <w:noProof/>
                <w:color w:val="000000"/>
                <w:sz w:val="22"/>
              </w:rPr>
              <w:drawing>
                <wp:inline distT="0" distB="0" distL="0" distR="0">
                  <wp:extent cx="1419225" cy="1114425"/>
                  <wp:effectExtent l="0" t="0" r="9525" b="9525"/>
                  <wp:docPr id="1" name="Picture 1" descr="MoJ_BLK_S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BLK_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AF6F11" w:rsidRPr="00B70C24" w:rsidRDefault="00AF6F11" w:rsidP="00CF776B">
            <w:pPr>
              <w:pStyle w:val="MOJnormal"/>
              <w:rPr>
                <w:sz w:val="22"/>
              </w:rPr>
            </w:pPr>
          </w:p>
        </w:tc>
        <w:tc>
          <w:tcPr>
            <w:tcW w:w="4045" w:type="dxa"/>
            <w:vMerge w:val="restart"/>
            <w:tcBorders>
              <w:top w:val="nil"/>
            </w:tcBorders>
          </w:tcPr>
          <w:p w:rsidR="00AF6F11" w:rsidRPr="009272F8" w:rsidRDefault="00AF6F11" w:rsidP="00505FAF">
            <w:pPr>
              <w:tabs>
                <w:tab w:val="left" w:pos="-1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F6F11" w:rsidRPr="00B70C24" w:rsidTr="0092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9"/>
        </w:trPr>
        <w:tc>
          <w:tcPr>
            <w:tcW w:w="1214" w:type="dxa"/>
          </w:tcPr>
          <w:p w:rsidR="00AF6F11" w:rsidRPr="00B70C24" w:rsidRDefault="00AF6F11" w:rsidP="00CF776B">
            <w:pPr>
              <w:pStyle w:val="MOJtext-otheraddress"/>
              <w:rPr>
                <w:sz w:val="22"/>
              </w:rPr>
            </w:pPr>
          </w:p>
        </w:tc>
        <w:tc>
          <w:tcPr>
            <w:tcW w:w="5220" w:type="dxa"/>
          </w:tcPr>
          <w:p w:rsidR="00617825" w:rsidRDefault="00617825" w:rsidP="0027487B">
            <w:pPr>
              <w:spacing w:line="280" w:lineRule="atLeast"/>
              <w:rPr>
                <w:rFonts w:ascii="Arial" w:hAnsi="Arial"/>
                <w:b/>
                <w:sz w:val="22"/>
                <w:szCs w:val="22"/>
              </w:rPr>
            </w:pPr>
          </w:p>
          <w:p w:rsidR="00617825" w:rsidRDefault="00617825" w:rsidP="0027487B">
            <w:pPr>
              <w:spacing w:line="280" w:lineRule="atLeast"/>
              <w:rPr>
                <w:rFonts w:ascii="Arial" w:hAnsi="Arial"/>
                <w:b/>
                <w:sz w:val="22"/>
                <w:szCs w:val="22"/>
              </w:rPr>
            </w:pPr>
          </w:p>
          <w:p w:rsidR="00650889" w:rsidRPr="00452E02" w:rsidRDefault="00650889" w:rsidP="0034001D">
            <w:pPr>
              <w:spacing w:line="28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AF6F11" w:rsidRPr="00B70C24" w:rsidRDefault="00AF6F11" w:rsidP="00CF776B">
            <w:pPr>
              <w:pStyle w:val="MOJnormal"/>
              <w:rPr>
                <w:sz w:val="22"/>
                <w:szCs w:val="22"/>
              </w:rPr>
            </w:pPr>
          </w:p>
        </w:tc>
        <w:tc>
          <w:tcPr>
            <w:tcW w:w="4045" w:type="dxa"/>
            <w:vMerge/>
          </w:tcPr>
          <w:p w:rsidR="00AF6F11" w:rsidRPr="009272F8" w:rsidRDefault="00AF6F11" w:rsidP="00CF776B">
            <w:pPr>
              <w:pStyle w:val="MOJtext-otheraddress"/>
              <w:rPr>
                <w:sz w:val="22"/>
                <w:szCs w:val="22"/>
              </w:rPr>
            </w:pPr>
          </w:p>
        </w:tc>
      </w:tr>
      <w:tr w:rsidR="00AF6F11" w:rsidRPr="00B70C24" w:rsidTr="0092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"/>
        </w:trPr>
        <w:tc>
          <w:tcPr>
            <w:tcW w:w="1214" w:type="dxa"/>
          </w:tcPr>
          <w:p w:rsidR="00204CC3" w:rsidRPr="00204CC3" w:rsidRDefault="00204CC3" w:rsidP="00204CC3">
            <w:pPr>
              <w:rPr>
                <w:lang w:eastAsia="en-US"/>
              </w:rPr>
            </w:pPr>
          </w:p>
        </w:tc>
        <w:tc>
          <w:tcPr>
            <w:tcW w:w="5220" w:type="dxa"/>
          </w:tcPr>
          <w:p w:rsidR="00204CC3" w:rsidRDefault="00204CC3" w:rsidP="00204CC3">
            <w:pPr>
              <w:spacing w:line="280" w:lineRule="atLeast"/>
              <w:rPr>
                <w:rFonts w:ascii="Arial" w:hAnsi="Arial"/>
                <w:b/>
                <w:sz w:val="22"/>
                <w:szCs w:val="22"/>
              </w:rPr>
            </w:pPr>
          </w:p>
          <w:p w:rsidR="00AF6F11" w:rsidRPr="003164F4" w:rsidRDefault="00AF6F11" w:rsidP="00204CC3">
            <w:pPr>
              <w:spacing w:line="280" w:lineRule="atLeast"/>
              <w:rPr>
                <w:rFonts w:ascii="Arial" w:hAnsi="Arial"/>
                <w:sz w:val="22"/>
                <w:szCs w:val="22"/>
              </w:rPr>
            </w:pPr>
            <w:r w:rsidRPr="00B70C24">
              <w:rPr>
                <w:rFonts w:ascii="Arial" w:hAnsi="Arial"/>
                <w:b/>
                <w:sz w:val="22"/>
                <w:szCs w:val="22"/>
              </w:rPr>
              <w:t>Our Reference:</w:t>
            </w:r>
            <w:r w:rsidRPr="00B70C24">
              <w:rPr>
                <w:rFonts w:ascii="Arial" w:hAnsi="Arial"/>
                <w:sz w:val="22"/>
                <w:szCs w:val="22"/>
              </w:rPr>
              <w:t xml:space="preserve"> </w:t>
            </w:r>
            <w:r w:rsidR="00415880">
              <w:rPr>
                <w:rFonts w:ascii="Arial" w:hAnsi="Arial"/>
                <w:sz w:val="22"/>
                <w:szCs w:val="22"/>
              </w:rPr>
              <w:t xml:space="preserve">628-16 </w:t>
            </w:r>
            <w:r w:rsidR="003164F4" w:rsidRPr="003164F4">
              <w:rPr>
                <w:rFonts w:ascii="Arial" w:hAnsi="Arial"/>
                <w:sz w:val="22"/>
                <w:szCs w:val="22"/>
              </w:rPr>
              <w:t xml:space="preserve">FOI </w:t>
            </w:r>
            <w:r w:rsidR="001620F9">
              <w:rPr>
                <w:rFonts w:ascii="Arial" w:hAnsi="Arial"/>
                <w:sz w:val="22"/>
                <w:szCs w:val="22"/>
              </w:rPr>
              <w:t>1</w:t>
            </w:r>
            <w:r w:rsidR="00113ACE">
              <w:rPr>
                <w:rFonts w:ascii="Arial" w:hAnsi="Arial"/>
                <w:sz w:val="22"/>
                <w:szCs w:val="22"/>
              </w:rPr>
              <w:t>08635</w:t>
            </w:r>
          </w:p>
        </w:tc>
        <w:tc>
          <w:tcPr>
            <w:tcW w:w="180" w:type="dxa"/>
          </w:tcPr>
          <w:p w:rsidR="00AF6F11" w:rsidRPr="00B70C24" w:rsidRDefault="00AF6F11" w:rsidP="00CF776B">
            <w:pPr>
              <w:spacing w:line="280" w:lineRule="atLeast"/>
              <w:rPr>
                <w:rFonts w:ascii="Arial" w:hAnsi="Arial"/>
                <w:sz w:val="22"/>
                <w:szCs w:val="22"/>
              </w:rPr>
            </w:pPr>
            <w:r w:rsidRPr="00B70C24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4045" w:type="dxa"/>
          </w:tcPr>
          <w:p w:rsidR="00204CC3" w:rsidRDefault="00204CC3" w:rsidP="004426DF">
            <w:pPr>
              <w:pStyle w:val="MOJnormal"/>
              <w:rPr>
                <w:sz w:val="22"/>
                <w:szCs w:val="22"/>
              </w:rPr>
            </w:pPr>
          </w:p>
          <w:p w:rsidR="00AF6F11" w:rsidRPr="009272F8" w:rsidRDefault="007A12C6" w:rsidP="004426DF">
            <w:pPr>
              <w:pStyle w:val="MOJ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2017</w:t>
            </w:r>
          </w:p>
        </w:tc>
      </w:tr>
    </w:tbl>
    <w:p w:rsidR="00E36BAC" w:rsidRDefault="00E36BAC"/>
    <w:p w:rsidR="008B3114" w:rsidRPr="00B70C24" w:rsidRDefault="008B3114"/>
    <w:p w:rsidR="00837883" w:rsidRPr="00B70C24" w:rsidRDefault="00837883" w:rsidP="00690FC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70C24">
        <w:rPr>
          <w:rFonts w:ascii="Arial" w:hAnsi="Arial" w:cs="Arial"/>
          <w:b/>
          <w:sz w:val="22"/>
          <w:szCs w:val="22"/>
        </w:rPr>
        <w:t xml:space="preserve">Freedom of Information </w:t>
      </w:r>
      <w:r w:rsidR="00672C95" w:rsidRPr="00B70C24">
        <w:rPr>
          <w:rFonts w:ascii="Arial" w:hAnsi="Arial" w:cs="Arial"/>
          <w:b/>
          <w:sz w:val="22"/>
          <w:szCs w:val="22"/>
        </w:rPr>
        <w:t xml:space="preserve">Request </w:t>
      </w:r>
    </w:p>
    <w:p w:rsidR="005D0A14" w:rsidRPr="00B70C24" w:rsidRDefault="005D0A14" w:rsidP="0081625B">
      <w:pPr>
        <w:rPr>
          <w:rFonts w:ascii="Arial" w:hAnsi="Arial" w:cs="Arial"/>
          <w:sz w:val="22"/>
          <w:szCs w:val="22"/>
        </w:rPr>
      </w:pPr>
    </w:p>
    <w:p w:rsidR="00E90CE7" w:rsidRPr="00B70C24" w:rsidRDefault="00E90CE7" w:rsidP="0081625B">
      <w:pPr>
        <w:rPr>
          <w:rFonts w:ascii="Arial" w:hAnsi="Arial" w:cs="Arial"/>
          <w:sz w:val="22"/>
          <w:szCs w:val="22"/>
        </w:rPr>
      </w:pPr>
    </w:p>
    <w:p w:rsidR="00505FAF" w:rsidRPr="005D4171" w:rsidRDefault="00505FAF" w:rsidP="00505F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Pr="005D4171">
        <w:rPr>
          <w:rFonts w:ascii="Arial" w:hAnsi="Arial" w:cs="Arial"/>
          <w:sz w:val="22"/>
          <w:szCs w:val="22"/>
        </w:rPr>
        <w:t>ou ask</w:t>
      </w:r>
      <w:r>
        <w:rPr>
          <w:rFonts w:ascii="Arial" w:hAnsi="Arial" w:cs="Arial"/>
          <w:sz w:val="22"/>
          <w:szCs w:val="22"/>
        </w:rPr>
        <w:t>ed</w:t>
      </w:r>
      <w:r w:rsidRPr="005D4171">
        <w:rPr>
          <w:rFonts w:ascii="Arial" w:hAnsi="Arial" w:cs="Arial"/>
          <w:sz w:val="22"/>
          <w:szCs w:val="22"/>
        </w:rPr>
        <w:t xml:space="preserve"> for the following information from the Ministry of Justice</w:t>
      </w:r>
      <w:r>
        <w:rPr>
          <w:rFonts w:ascii="Arial" w:hAnsi="Arial" w:cs="Arial"/>
          <w:sz w:val="22"/>
          <w:szCs w:val="22"/>
        </w:rPr>
        <w:t xml:space="preserve"> (MoJ)</w:t>
      </w:r>
      <w:r w:rsidRPr="005D4171">
        <w:rPr>
          <w:rFonts w:ascii="Arial" w:hAnsi="Arial" w:cs="Arial"/>
          <w:sz w:val="22"/>
          <w:szCs w:val="22"/>
        </w:rPr>
        <w:t>:</w:t>
      </w:r>
    </w:p>
    <w:p w:rsidR="008B3114" w:rsidRDefault="008B3114" w:rsidP="007C42FF">
      <w:pPr>
        <w:rPr>
          <w:rFonts w:ascii="Arial" w:hAnsi="Arial" w:cs="Arial"/>
          <w:b/>
          <w:i/>
          <w:sz w:val="22"/>
          <w:szCs w:val="22"/>
        </w:rPr>
      </w:pPr>
    </w:p>
    <w:p w:rsidR="00113ACE" w:rsidRPr="00113ACE" w:rsidRDefault="00113ACE" w:rsidP="00113ACE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113ACE">
        <w:rPr>
          <w:rFonts w:ascii="Arial" w:hAnsi="Arial" w:cs="Arial"/>
          <w:b/>
          <w:bCs/>
          <w:sz w:val="22"/>
          <w:szCs w:val="22"/>
        </w:rPr>
        <w:t>Could you please give me a court by court breakdown of the number of community sentences imposed on women in each of the past five years and include these as a percentage of the total sentences imposed on women</w:t>
      </w:r>
    </w:p>
    <w:p w:rsidR="004426DF" w:rsidRPr="009E4610" w:rsidRDefault="004426DF" w:rsidP="009E4610">
      <w:pPr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F2D87" w:rsidRDefault="005F2D87" w:rsidP="00690FC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request has been handled under the Freedom of Information Act 2000 (FOIA)</w:t>
      </w:r>
      <w:r w:rsidR="007A12C6">
        <w:rPr>
          <w:rFonts w:ascii="Arial" w:hAnsi="Arial" w:cs="Arial"/>
          <w:sz w:val="22"/>
          <w:szCs w:val="22"/>
        </w:rPr>
        <w:t>, and we apologise for the delay in response, which was due to administrative errors.</w:t>
      </w:r>
    </w:p>
    <w:p w:rsidR="00690FC6" w:rsidRPr="00914F7E" w:rsidRDefault="00690FC6" w:rsidP="00690FC6">
      <w:pPr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5589E" w:rsidRDefault="005F2D87" w:rsidP="005F2D8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96841">
        <w:rPr>
          <w:rFonts w:ascii="Arial" w:hAnsi="Arial" w:cs="Arial"/>
          <w:sz w:val="22"/>
          <w:szCs w:val="22"/>
        </w:rPr>
        <w:t>I can confirm tha</w:t>
      </w:r>
      <w:r w:rsidR="00C5589E">
        <w:rPr>
          <w:rFonts w:ascii="Arial" w:hAnsi="Arial" w:cs="Arial"/>
          <w:sz w:val="22"/>
          <w:szCs w:val="22"/>
        </w:rPr>
        <w:t xml:space="preserve">t the </w:t>
      </w:r>
      <w:r w:rsidR="00FF44F7">
        <w:rPr>
          <w:rFonts w:ascii="Arial" w:hAnsi="Arial" w:cs="Arial"/>
          <w:sz w:val="22"/>
          <w:szCs w:val="22"/>
        </w:rPr>
        <w:t>MoJ</w:t>
      </w:r>
      <w:r w:rsidR="00C5589E">
        <w:rPr>
          <w:rFonts w:ascii="Arial" w:hAnsi="Arial" w:cs="Arial"/>
          <w:sz w:val="22"/>
          <w:szCs w:val="22"/>
        </w:rPr>
        <w:t xml:space="preserve"> holds</w:t>
      </w:r>
      <w:r w:rsidR="007B37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Pr="00596841">
        <w:rPr>
          <w:rFonts w:ascii="Arial" w:hAnsi="Arial" w:cs="Arial"/>
          <w:sz w:val="22"/>
          <w:szCs w:val="22"/>
        </w:rPr>
        <w:t xml:space="preserve">information </w:t>
      </w:r>
      <w:r>
        <w:rPr>
          <w:rFonts w:ascii="Arial" w:hAnsi="Arial" w:cs="Arial"/>
          <w:sz w:val="22"/>
          <w:szCs w:val="22"/>
        </w:rPr>
        <w:t>that</w:t>
      </w:r>
      <w:r w:rsidRPr="00596841">
        <w:rPr>
          <w:rFonts w:ascii="Arial" w:hAnsi="Arial" w:cs="Arial"/>
          <w:sz w:val="22"/>
          <w:szCs w:val="22"/>
        </w:rPr>
        <w:t xml:space="preserve"> you have asked for </w:t>
      </w:r>
      <w:r w:rsidR="00680887">
        <w:rPr>
          <w:rFonts w:ascii="Arial" w:hAnsi="Arial" w:cs="Arial"/>
          <w:sz w:val="22"/>
          <w:szCs w:val="22"/>
        </w:rPr>
        <w:t>a</w:t>
      </w:r>
      <w:r w:rsidR="00C5589E">
        <w:rPr>
          <w:rFonts w:ascii="Arial" w:hAnsi="Arial" w:cs="Arial"/>
          <w:sz w:val="22"/>
          <w:szCs w:val="22"/>
        </w:rPr>
        <w:t xml:space="preserve">nd </w:t>
      </w:r>
      <w:r w:rsidR="00F3647C">
        <w:rPr>
          <w:rFonts w:ascii="Arial" w:hAnsi="Arial" w:cs="Arial"/>
          <w:sz w:val="22"/>
          <w:szCs w:val="22"/>
        </w:rPr>
        <w:t>it is provide</w:t>
      </w:r>
      <w:r w:rsidR="00680887">
        <w:rPr>
          <w:rFonts w:ascii="Arial" w:hAnsi="Arial" w:cs="Arial"/>
          <w:sz w:val="22"/>
          <w:szCs w:val="22"/>
        </w:rPr>
        <w:t xml:space="preserve"> to you</w:t>
      </w:r>
      <w:r w:rsidR="00F3647C">
        <w:rPr>
          <w:rFonts w:ascii="Arial" w:hAnsi="Arial" w:cs="Arial"/>
          <w:sz w:val="22"/>
          <w:szCs w:val="22"/>
        </w:rPr>
        <w:t xml:space="preserve"> in the attached table</w:t>
      </w:r>
      <w:r w:rsidR="00680887">
        <w:rPr>
          <w:rFonts w:ascii="Arial" w:hAnsi="Arial" w:cs="Arial"/>
          <w:sz w:val="22"/>
          <w:szCs w:val="22"/>
        </w:rPr>
        <w:t xml:space="preserve">. </w:t>
      </w:r>
      <w:r w:rsidR="00C5589E">
        <w:rPr>
          <w:rFonts w:ascii="Arial" w:hAnsi="Arial" w:cs="Arial"/>
          <w:sz w:val="22"/>
          <w:szCs w:val="22"/>
        </w:rPr>
        <w:t xml:space="preserve"> </w:t>
      </w:r>
    </w:p>
    <w:p w:rsidR="00C5589E" w:rsidRDefault="00C5589E" w:rsidP="005F2D8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737C4" w:rsidRDefault="007B371B" w:rsidP="00DA5F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number of</w:t>
      </w:r>
      <w:r w:rsidR="00113ACE">
        <w:rPr>
          <w:rFonts w:ascii="Arial" w:hAnsi="Arial" w:cs="Arial"/>
          <w:sz w:val="22"/>
          <w:szCs w:val="22"/>
        </w:rPr>
        <w:t xml:space="preserve"> adult female</w:t>
      </w:r>
      <w:r>
        <w:rPr>
          <w:rFonts w:ascii="Arial" w:hAnsi="Arial" w:cs="Arial"/>
          <w:sz w:val="22"/>
          <w:szCs w:val="22"/>
        </w:rPr>
        <w:t xml:space="preserve"> </w:t>
      </w:r>
      <w:r w:rsidR="001620F9">
        <w:rPr>
          <w:rFonts w:ascii="Arial" w:hAnsi="Arial" w:cs="Arial"/>
          <w:sz w:val="22"/>
          <w:szCs w:val="22"/>
        </w:rPr>
        <w:t xml:space="preserve">offenders </w:t>
      </w:r>
      <w:r w:rsidR="00113ACE">
        <w:rPr>
          <w:rFonts w:ascii="Arial" w:hAnsi="Arial" w:cs="Arial"/>
          <w:sz w:val="22"/>
          <w:szCs w:val="22"/>
        </w:rPr>
        <w:t>sentenced at all courts, by reporting area, and with community sentence rate</w:t>
      </w:r>
      <w:r w:rsidR="00B05C56">
        <w:rPr>
          <w:rFonts w:ascii="Arial" w:hAnsi="Arial" w:cs="Arial"/>
          <w:sz w:val="22"/>
          <w:szCs w:val="22"/>
        </w:rPr>
        <w:t>,</w:t>
      </w:r>
      <w:r w:rsidR="00113ACE">
        <w:rPr>
          <w:rFonts w:ascii="Arial" w:hAnsi="Arial" w:cs="Arial"/>
          <w:sz w:val="22"/>
          <w:szCs w:val="22"/>
        </w:rPr>
        <w:t xml:space="preserve"> in England and Wales, from 2011</w:t>
      </w:r>
      <w:r w:rsidR="00B05C56">
        <w:rPr>
          <w:rFonts w:ascii="Arial" w:hAnsi="Arial" w:cs="Arial"/>
          <w:sz w:val="22"/>
          <w:szCs w:val="22"/>
        </w:rPr>
        <w:t xml:space="preserve"> to 2015</w:t>
      </w:r>
      <w:r>
        <w:rPr>
          <w:rFonts w:ascii="Arial" w:hAnsi="Arial" w:cs="Arial"/>
          <w:sz w:val="22"/>
          <w:szCs w:val="22"/>
        </w:rPr>
        <w:t xml:space="preserve"> can be viewed in the table. </w:t>
      </w:r>
    </w:p>
    <w:p w:rsidR="00113ACE" w:rsidRDefault="00113ACE" w:rsidP="00DA5F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12BC" w:rsidRPr="00871B6A" w:rsidRDefault="005212BC" w:rsidP="005212BC">
      <w:pPr>
        <w:pStyle w:val="Default"/>
        <w:rPr>
          <w:iCs/>
          <w:sz w:val="22"/>
          <w:szCs w:val="22"/>
        </w:rPr>
      </w:pPr>
      <w:r>
        <w:rPr>
          <w:sz w:val="22"/>
          <w:szCs w:val="22"/>
        </w:rPr>
        <w:t>Please be aware that with regard to magistrates’ courts data we have presented local justice areas rather than individual courts as t</w:t>
      </w:r>
      <w:r w:rsidRPr="00871B6A">
        <w:rPr>
          <w:iCs/>
          <w:sz w:val="22"/>
          <w:szCs w:val="22"/>
        </w:rPr>
        <w:t>he codes</w:t>
      </w:r>
      <w:r>
        <w:rPr>
          <w:iCs/>
          <w:sz w:val="22"/>
          <w:szCs w:val="22"/>
        </w:rPr>
        <w:t xml:space="preserve"> within the </w:t>
      </w:r>
      <w:r w:rsidR="00FF44F7">
        <w:rPr>
          <w:iCs/>
          <w:sz w:val="22"/>
          <w:szCs w:val="22"/>
        </w:rPr>
        <w:t>MoJ</w:t>
      </w:r>
      <w:r>
        <w:rPr>
          <w:iCs/>
          <w:sz w:val="22"/>
          <w:szCs w:val="22"/>
        </w:rPr>
        <w:t xml:space="preserve"> Court Proceedings Database which identify these</w:t>
      </w:r>
      <w:r w:rsidRPr="00871B6A">
        <w:rPr>
          <w:iCs/>
          <w:sz w:val="22"/>
          <w:szCs w:val="22"/>
        </w:rPr>
        <w:t xml:space="preserve"> are unique identifiers for a court as part of the judicial structure.</w:t>
      </w:r>
      <w:r w:rsidR="00081BC6">
        <w:rPr>
          <w:iCs/>
          <w:sz w:val="22"/>
          <w:szCs w:val="22"/>
        </w:rPr>
        <w:t xml:space="preserve"> For example, data is provided for the LJA of Norfolk which includes data from the magistrates’ Courts of Norwich, Kings Lynn and Great Yarmouth.</w:t>
      </w:r>
      <w:r w:rsidR="00CF3B87">
        <w:rPr>
          <w:bCs/>
          <w:iCs/>
          <w:color w:val="auto"/>
          <w:sz w:val="22"/>
          <w:szCs w:val="22"/>
        </w:rPr>
        <w:t xml:space="preserve"> </w:t>
      </w:r>
      <w:r w:rsidRPr="00081BC6">
        <w:rPr>
          <w:bCs/>
          <w:iCs/>
          <w:color w:val="auto"/>
          <w:sz w:val="22"/>
          <w:szCs w:val="22"/>
        </w:rPr>
        <w:t>L</w:t>
      </w:r>
      <w:r w:rsidR="00CF3B87">
        <w:rPr>
          <w:bCs/>
          <w:iCs/>
          <w:color w:val="auto"/>
          <w:sz w:val="22"/>
          <w:szCs w:val="22"/>
        </w:rPr>
        <w:t>ocal Justice Areas can</w:t>
      </w:r>
      <w:r w:rsidRPr="00081BC6">
        <w:rPr>
          <w:bCs/>
          <w:iCs/>
          <w:color w:val="auto"/>
          <w:sz w:val="22"/>
          <w:szCs w:val="22"/>
        </w:rPr>
        <w:t xml:space="preserve"> change over time.</w:t>
      </w:r>
    </w:p>
    <w:p w:rsidR="004B328B" w:rsidRPr="005114FB" w:rsidRDefault="004B328B" w:rsidP="004B32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4B328B" w:rsidRPr="005114FB" w:rsidSect="002179DD">
      <w:footerReference w:type="default" r:id="rId8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31" w:rsidRDefault="005D0C31">
      <w:r>
        <w:separator/>
      </w:r>
    </w:p>
  </w:endnote>
  <w:endnote w:type="continuationSeparator" w:id="0">
    <w:p w:rsidR="005D0C31" w:rsidRDefault="005D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1B" w:rsidRPr="002179DD" w:rsidRDefault="007B371B" w:rsidP="002179DD">
    <w:pPr>
      <w:pStyle w:val="Footer"/>
      <w:jc w:val="center"/>
      <w:rPr>
        <w:rFonts w:ascii="Arial" w:hAnsi="Arial" w:cs="Arial"/>
        <w:b/>
      </w:rPr>
    </w:pPr>
    <w:r w:rsidRPr="002179DD">
      <w:rPr>
        <w:rFonts w:ascii="Arial" w:hAnsi="Arial" w:cs="Arial"/>
        <w:b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31" w:rsidRDefault="005D0C31">
      <w:r>
        <w:separator/>
      </w:r>
    </w:p>
  </w:footnote>
  <w:footnote w:type="continuationSeparator" w:id="0">
    <w:p w:rsidR="005D0C31" w:rsidRDefault="005D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FD70E2"/>
    <w:multiLevelType w:val="hybridMultilevel"/>
    <w:tmpl w:val="149893E8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246E1"/>
    <w:multiLevelType w:val="multilevel"/>
    <w:tmpl w:val="B43A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0D20F0"/>
    <w:multiLevelType w:val="hybridMultilevel"/>
    <w:tmpl w:val="D83AA7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63F15"/>
    <w:multiLevelType w:val="multilevel"/>
    <w:tmpl w:val="A346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802E8"/>
    <w:multiLevelType w:val="multilevel"/>
    <w:tmpl w:val="525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2266C1"/>
    <w:multiLevelType w:val="hybridMultilevel"/>
    <w:tmpl w:val="5C349F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F53F88"/>
    <w:multiLevelType w:val="hybridMultilevel"/>
    <w:tmpl w:val="DDF6B9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F2E0F"/>
    <w:multiLevelType w:val="multilevel"/>
    <w:tmpl w:val="6300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C51DC2"/>
    <w:multiLevelType w:val="hybridMultilevel"/>
    <w:tmpl w:val="D526A210"/>
    <w:lvl w:ilvl="0" w:tplc="8B0A81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021DC"/>
    <w:rsid w:val="00010B2A"/>
    <w:rsid w:val="00015609"/>
    <w:rsid w:val="00035C1E"/>
    <w:rsid w:val="00043C1B"/>
    <w:rsid w:val="000479B9"/>
    <w:rsid w:val="00054E51"/>
    <w:rsid w:val="00060314"/>
    <w:rsid w:val="00074DF8"/>
    <w:rsid w:val="00076AEF"/>
    <w:rsid w:val="00081BC6"/>
    <w:rsid w:val="000829FA"/>
    <w:rsid w:val="000900D8"/>
    <w:rsid w:val="000A2BCA"/>
    <w:rsid w:val="000A315C"/>
    <w:rsid w:val="000B2262"/>
    <w:rsid w:val="000B5E48"/>
    <w:rsid w:val="000B65FD"/>
    <w:rsid w:val="000C2D3C"/>
    <w:rsid w:val="000C6C99"/>
    <w:rsid w:val="000E1033"/>
    <w:rsid w:val="000E6148"/>
    <w:rsid w:val="000F03BA"/>
    <w:rsid w:val="000F18AC"/>
    <w:rsid w:val="000F26B8"/>
    <w:rsid w:val="00101D6B"/>
    <w:rsid w:val="00113ACE"/>
    <w:rsid w:val="00117608"/>
    <w:rsid w:val="001222A7"/>
    <w:rsid w:val="00135B5C"/>
    <w:rsid w:val="00135BCE"/>
    <w:rsid w:val="00136527"/>
    <w:rsid w:val="0013675E"/>
    <w:rsid w:val="001372DB"/>
    <w:rsid w:val="00137DA9"/>
    <w:rsid w:val="00140FB2"/>
    <w:rsid w:val="00150A41"/>
    <w:rsid w:val="00161007"/>
    <w:rsid w:val="001620F9"/>
    <w:rsid w:val="00181174"/>
    <w:rsid w:val="00187163"/>
    <w:rsid w:val="00194F98"/>
    <w:rsid w:val="001A2BA5"/>
    <w:rsid w:val="001A485D"/>
    <w:rsid w:val="001A6C9B"/>
    <w:rsid w:val="001B53CD"/>
    <w:rsid w:val="001C27E9"/>
    <w:rsid w:val="001C373A"/>
    <w:rsid w:val="001D01A8"/>
    <w:rsid w:val="001D0D46"/>
    <w:rsid w:val="001D3BE5"/>
    <w:rsid w:val="001D7BC6"/>
    <w:rsid w:val="001E764B"/>
    <w:rsid w:val="00204CC3"/>
    <w:rsid w:val="0020749B"/>
    <w:rsid w:val="0021011C"/>
    <w:rsid w:val="002104E5"/>
    <w:rsid w:val="002141B6"/>
    <w:rsid w:val="00214B0A"/>
    <w:rsid w:val="002179DD"/>
    <w:rsid w:val="0022089E"/>
    <w:rsid w:val="002234BF"/>
    <w:rsid w:val="00237F86"/>
    <w:rsid w:val="00244CDB"/>
    <w:rsid w:val="00245442"/>
    <w:rsid w:val="00245B87"/>
    <w:rsid w:val="00245FF0"/>
    <w:rsid w:val="00252CA1"/>
    <w:rsid w:val="00261B0E"/>
    <w:rsid w:val="00263E16"/>
    <w:rsid w:val="0027487B"/>
    <w:rsid w:val="002A20EF"/>
    <w:rsid w:val="002A3AA7"/>
    <w:rsid w:val="002A3C45"/>
    <w:rsid w:val="002A52F7"/>
    <w:rsid w:val="002B6B18"/>
    <w:rsid w:val="002B75AD"/>
    <w:rsid w:val="002C2D6A"/>
    <w:rsid w:val="002C6D64"/>
    <w:rsid w:val="002D6092"/>
    <w:rsid w:val="002E2BCE"/>
    <w:rsid w:val="002E6053"/>
    <w:rsid w:val="002F1E16"/>
    <w:rsid w:val="002F5F3E"/>
    <w:rsid w:val="003036CA"/>
    <w:rsid w:val="0030591F"/>
    <w:rsid w:val="003164F4"/>
    <w:rsid w:val="00330322"/>
    <w:rsid w:val="0034001D"/>
    <w:rsid w:val="0034084B"/>
    <w:rsid w:val="00344217"/>
    <w:rsid w:val="0034783F"/>
    <w:rsid w:val="00347A9E"/>
    <w:rsid w:val="0035720C"/>
    <w:rsid w:val="00371524"/>
    <w:rsid w:val="00377547"/>
    <w:rsid w:val="00386925"/>
    <w:rsid w:val="00386B33"/>
    <w:rsid w:val="00386C87"/>
    <w:rsid w:val="003952A0"/>
    <w:rsid w:val="003A1F3B"/>
    <w:rsid w:val="003B1972"/>
    <w:rsid w:val="003B3019"/>
    <w:rsid w:val="003B40A1"/>
    <w:rsid w:val="003B6810"/>
    <w:rsid w:val="003B7EFA"/>
    <w:rsid w:val="003C0D6F"/>
    <w:rsid w:val="003D0A4C"/>
    <w:rsid w:val="003D0F2D"/>
    <w:rsid w:val="003E40EF"/>
    <w:rsid w:val="003E653C"/>
    <w:rsid w:val="003F381B"/>
    <w:rsid w:val="003F6C63"/>
    <w:rsid w:val="00400975"/>
    <w:rsid w:val="00405507"/>
    <w:rsid w:val="0041442B"/>
    <w:rsid w:val="00415880"/>
    <w:rsid w:val="004253BB"/>
    <w:rsid w:val="0042717A"/>
    <w:rsid w:val="00432657"/>
    <w:rsid w:val="00434DCA"/>
    <w:rsid w:val="004426DF"/>
    <w:rsid w:val="004509A5"/>
    <w:rsid w:val="00452719"/>
    <w:rsid w:val="00452E02"/>
    <w:rsid w:val="00460164"/>
    <w:rsid w:val="00473032"/>
    <w:rsid w:val="004734B5"/>
    <w:rsid w:val="0048587E"/>
    <w:rsid w:val="0049113D"/>
    <w:rsid w:val="00493AD7"/>
    <w:rsid w:val="0049497D"/>
    <w:rsid w:val="004B328B"/>
    <w:rsid w:val="004B4D5C"/>
    <w:rsid w:val="004D569D"/>
    <w:rsid w:val="004E1E0A"/>
    <w:rsid w:val="004E1E12"/>
    <w:rsid w:val="005038EB"/>
    <w:rsid w:val="00505FAF"/>
    <w:rsid w:val="00507D21"/>
    <w:rsid w:val="00516361"/>
    <w:rsid w:val="005202DD"/>
    <w:rsid w:val="005212BC"/>
    <w:rsid w:val="00524A2C"/>
    <w:rsid w:val="00524D40"/>
    <w:rsid w:val="00526CA6"/>
    <w:rsid w:val="00526E5F"/>
    <w:rsid w:val="00536262"/>
    <w:rsid w:val="00540DB5"/>
    <w:rsid w:val="005427F0"/>
    <w:rsid w:val="0054673A"/>
    <w:rsid w:val="00553B50"/>
    <w:rsid w:val="00557E87"/>
    <w:rsid w:val="0056706D"/>
    <w:rsid w:val="005737C4"/>
    <w:rsid w:val="00583BC5"/>
    <w:rsid w:val="005846B4"/>
    <w:rsid w:val="005A04DC"/>
    <w:rsid w:val="005A0A8F"/>
    <w:rsid w:val="005A367B"/>
    <w:rsid w:val="005B1D9E"/>
    <w:rsid w:val="005B1DE0"/>
    <w:rsid w:val="005B7296"/>
    <w:rsid w:val="005C28D7"/>
    <w:rsid w:val="005C2AFE"/>
    <w:rsid w:val="005C3805"/>
    <w:rsid w:val="005C3A12"/>
    <w:rsid w:val="005C4796"/>
    <w:rsid w:val="005C675A"/>
    <w:rsid w:val="005C79D6"/>
    <w:rsid w:val="005D0A14"/>
    <w:rsid w:val="005D0C31"/>
    <w:rsid w:val="005E18D6"/>
    <w:rsid w:val="005E674D"/>
    <w:rsid w:val="005E75CE"/>
    <w:rsid w:val="005E7E18"/>
    <w:rsid w:val="005F2D87"/>
    <w:rsid w:val="00605EA5"/>
    <w:rsid w:val="00617825"/>
    <w:rsid w:val="006201B1"/>
    <w:rsid w:val="006269C1"/>
    <w:rsid w:val="006300CD"/>
    <w:rsid w:val="00630673"/>
    <w:rsid w:val="00633EBE"/>
    <w:rsid w:val="006360C6"/>
    <w:rsid w:val="00650889"/>
    <w:rsid w:val="00652AB6"/>
    <w:rsid w:val="0066078E"/>
    <w:rsid w:val="00663C5A"/>
    <w:rsid w:val="006656FB"/>
    <w:rsid w:val="006663DB"/>
    <w:rsid w:val="00666AA0"/>
    <w:rsid w:val="00672C95"/>
    <w:rsid w:val="00680887"/>
    <w:rsid w:val="00690466"/>
    <w:rsid w:val="00690FC6"/>
    <w:rsid w:val="00692EB5"/>
    <w:rsid w:val="006A5A10"/>
    <w:rsid w:val="006C1247"/>
    <w:rsid w:val="006C5F8A"/>
    <w:rsid w:val="006D5FFA"/>
    <w:rsid w:val="006E0113"/>
    <w:rsid w:val="006E4F5C"/>
    <w:rsid w:val="006E60A0"/>
    <w:rsid w:val="006F0C09"/>
    <w:rsid w:val="00703669"/>
    <w:rsid w:val="00703CCE"/>
    <w:rsid w:val="00705BC7"/>
    <w:rsid w:val="00707F63"/>
    <w:rsid w:val="00710A03"/>
    <w:rsid w:val="00715FB1"/>
    <w:rsid w:val="007209A7"/>
    <w:rsid w:val="00722DD5"/>
    <w:rsid w:val="007315A6"/>
    <w:rsid w:val="00732A15"/>
    <w:rsid w:val="007334AE"/>
    <w:rsid w:val="00742418"/>
    <w:rsid w:val="00747668"/>
    <w:rsid w:val="0076479F"/>
    <w:rsid w:val="00765A57"/>
    <w:rsid w:val="0078612E"/>
    <w:rsid w:val="00790A0C"/>
    <w:rsid w:val="007A12C6"/>
    <w:rsid w:val="007B371B"/>
    <w:rsid w:val="007B643E"/>
    <w:rsid w:val="007C0BBC"/>
    <w:rsid w:val="007C3FF9"/>
    <w:rsid w:val="007C42FF"/>
    <w:rsid w:val="007E2409"/>
    <w:rsid w:val="007E7BAF"/>
    <w:rsid w:val="007E7F0F"/>
    <w:rsid w:val="007F2CB3"/>
    <w:rsid w:val="008052A2"/>
    <w:rsid w:val="0081414F"/>
    <w:rsid w:val="0081625B"/>
    <w:rsid w:val="00833691"/>
    <w:rsid w:val="00837883"/>
    <w:rsid w:val="0084730F"/>
    <w:rsid w:val="00847F5F"/>
    <w:rsid w:val="00857763"/>
    <w:rsid w:val="00861CA2"/>
    <w:rsid w:val="00872ECE"/>
    <w:rsid w:val="00875158"/>
    <w:rsid w:val="00881630"/>
    <w:rsid w:val="0088574B"/>
    <w:rsid w:val="008907A6"/>
    <w:rsid w:val="008A5C16"/>
    <w:rsid w:val="008B1A92"/>
    <w:rsid w:val="008B3114"/>
    <w:rsid w:val="008E498A"/>
    <w:rsid w:val="00914667"/>
    <w:rsid w:val="00914F7E"/>
    <w:rsid w:val="009272F8"/>
    <w:rsid w:val="009303F3"/>
    <w:rsid w:val="00931B2E"/>
    <w:rsid w:val="00936939"/>
    <w:rsid w:val="0093795D"/>
    <w:rsid w:val="00943684"/>
    <w:rsid w:val="009446C0"/>
    <w:rsid w:val="0095013C"/>
    <w:rsid w:val="00956C03"/>
    <w:rsid w:val="00960780"/>
    <w:rsid w:val="009627A7"/>
    <w:rsid w:val="00962F0F"/>
    <w:rsid w:val="009645A9"/>
    <w:rsid w:val="00971DF9"/>
    <w:rsid w:val="0098515C"/>
    <w:rsid w:val="0099365A"/>
    <w:rsid w:val="00993991"/>
    <w:rsid w:val="009A3121"/>
    <w:rsid w:val="009A6CDE"/>
    <w:rsid w:val="009B01FA"/>
    <w:rsid w:val="009B267F"/>
    <w:rsid w:val="009B624A"/>
    <w:rsid w:val="009D0820"/>
    <w:rsid w:val="009D106A"/>
    <w:rsid w:val="009D3338"/>
    <w:rsid w:val="009D4253"/>
    <w:rsid w:val="009D6DE9"/>
    <w:rsid w:val="009E4610"/>
    <w:rsid w:val="009E501C"/>
    <w:rsid w:val="009F143A"/>
    <w:rsid w:val="00A14A52"/>
    <w:rsid w:val="00A15836"/>
    <w:rsid w:val="00A33C39"/>
    <w:rsid w:val="00A34BEC"/>
    <w:rsid w:val="00A4070B"/>
    <w:rsid w:val="00A41BF0"/>
    <w:rsid w:val="00A42161"/>
    <w:rsid w:val="00A42355"/>
    <w:rsid w:val="00A5615E"/>
    <w:rsid w:val="00A6373B"/>
    <w:rsid w:val="00A650B5"/>
    <w:rsid w:val="00A665A8"/>
    <w:rsid w:val="00A66617"/>
    <w:rsid w:val="00A70170"/>
    <w:rsid w:val="00A7263D"/>
    <w:rsid w:val="00A86841"/>
    <w:rsid w:val="00A91C6A"/>
    <w:rsid w:val="00A972B8"/>
    <w:rsid w:val="00AA3A3A"/>
    <w:rsid w:val="00AB3456"/>
    <w:rsid w:val="00AB3DC4"/>
    <w:rsid w:val="00AB700F"/>
    <w:rsid w:val="00AC56F9"/>
    <w:rsid w:val="00AC778A"/>
    <w:rsid w:val="00AE2D17"/>
    <w:rsid w:val="00AF2704"/>
    <w:rsid w:val="00AF46FA"/>
    <w:rsid w:val="00AF6F11"/>
    <w:rsid w:val="00B03BAF"/>
    <w:rsid w:val="00B05C56"/>
    <w:rsid w:val="00B15857"/>
    <w:rsid w:val="00B215F1"/>
    <w:rsid w:val="00B27CC9"/>
    <w:rsid w:val="00B346AB"/>
    <w:rsid w:val="00B436CA"/>
    <w:rsid w:val="00B55A9E"/>
    <w:rsid w:val="00B70C24"/>
    <w:rsid w:val="00B764D2"/>
    <w:rsid w:val="00B7761A"/>
    <w:rsid w:val="00B80179"/>
    <w:rsid w:val="00B81932"/>
    <w:rsid w:val="00BB16AF"/>
    <w:rsid w:val="00BC3D86"/>
    <w:rsid w:val="00BC4EE2"/>
    <w:rsid w:val="00BD1779"/>
    <w:rsid w:val="00BE3BFA"/>
    <w:rsid w:val="00BE5629"/>
    <w:rsid w:val="00BE6DD9"/>
    <w:rsid w:val="00BF1E18"/>
    <w:rsid w:val="00BF247F"/>
    <w:rsid w:val="00BF4FCF"/>
    <w:rsid w:val="00C00996"/>
    <w:rsid w:val="00C052C6"/>
    <w:rsid w:val="00C17FA3"/>
    <w:rsid w:val="00C21D91"/>
    <w:rsid w:val="00C40064"/>
    <w:rsid w:val="00C442B9"/>
    <w:rsid w:val="00C448D0"/>
    <w:rsid w:val="00C519AC"/>
    <w:rsid w:val="00C5589E"/>
    <w:rsid w:val="00C707EB"/>
    <w:rsid w:val="00C7691C"/>
    <w:rsid w:val="00C902AD"/>
    <w:rsid w:val="00C95168"/>
    <w:rsid w:val="00C96840"/>
    <w:rsid w:val="00C97C8D"/>
    <w:rsid w:val="00C97F31"/>
    <w:rsid w:val="00CA02D2"/>
    <w:rsid w:val="00CA03F9"/>
    <w:rsid w:val="00CA7307"/>
    <w:rsid w:val="00CB7109"/>
    <w:rsid w:val="00CC642D"/>
    <w:rsid w:val="00CC6F36"/>
    <w:rsid w:val="00CE1523"/>
    <w:rsid w:val="00CF3B87"/>
    <w:rsid w:val="00CF647F"/>
    <w:rsid w:val="00CF776B"/>
    <w:rsid w:val="00D02DEF"/>
    <w:rsid w:val="00D030F6"/>
    <w:rsid w:val="00D1279D"/>
    <w:rsid w:val="00D26EC2"/>
    <w:rsid w:val="00D31A00"/>
    <w:rsid w:val="00D42A45"/>
    <w:rsid w:val="00D44F98"/>
    <w:rsid w:val="00D46459"/>
    <w:rsid w:val="00D47CA7"/>
    <w:rsid w:val="00D54AB0"/>
    <w:rsid w:val="00D55BE0"/>
    <w:rsid w:val="00D66024"/>
    <w:rsid w:val="00D70117"/>
    <w:rsid w:val="00D70EDE"/>
    <w:rsid w:val="00D71F9D"/>
    <w:rsid w:val="00D77AA0"/>
    <w:rsid w:val="00D8325C"/>
    <w:rsid w:val="00D9292A"/>
    <w:rsid w:val="00DA0311"/>
    <w:rsid w:val="00DA5F8A"/>
    <w:rsid w:val="00DA70C2"/>
    <w:rsid w:val="00DB6C76"/>
    <w:rsid w:val="00DE1149"/>
    <w:rsid w:val="00DE72DF"/>
    <w:rsid w:val="00DE78E2"/>
    <w:rsid w:val="00DE7938"/>
    <w:rsid w:val="00DF2387"/>
    <w:rsid w:val="00DF315F"/>
    <w:rsid w:val="00DF4FFE"/>
    <w:rsid w:val="00E015A9"/>
    <w:rsid w:val="00E03CFA"/>
    <w:rsid w:val="00E0591C"/>
    <w:rsid w:val="00E11F0F"/>
    <w:rsid w:val="00E1544C"/>
    <w:rsid w:val="00E266B8"/>
    <w:rsid w:val="00E341FC"/>
    <w:rsid w:val="00E36BAC"/>
    <w:rsid w:val="00E400CB"/>
    <w:rsid w:val="00E55F22"/>
    <w:rsid w:val="00E70ED4"/>
    <w:rsid w:val="00E7144F"/>
    <w:rsid w:val="00E73EA0"/>
    <w:rsid w:val="00E76C3A"/>
    <w:rsid w:val="00E83A0A"/>
    <w:rsid w:val="00E86687"/>
    <w:rsid w:val="00E873AE"/>
    <w:rsid w:val="00E90CE7"/>
    <w:rsid w:val="00E92498"/>
    <w:rsid w:val="00E9646D"/>
    <w:rsid w:val="00EB07F0"/>
    <w:rsid w:val="00EB2588"/>
    <w:rsid w:val="00EB4FB8"/>
    <w:rsid w:val="00EB5EEF"/>
    <w:rsid w:val="00EB7DC6"/>
    <w:rsid w:val="00EC0299"/>
    <w:rsid w:val="00ED1E55"/>
    <w:rsid w:val="00ED3B99"/>
    <w:rsid w:val="00ED7C29"/>
    <w:rsid w:val="00EE13BD"/>
    <w:rsid w:val="00EE1911"/>
    <w:rsid w:val="00EF3EFA"/>
    <w:rsid w:val="00F00C35"/>
    <w:rsid w:val="00F04D96"/>
    <w:rsid w:val="00F06E63"/>
    <w:rsid w:val="00F13553"/>
    <w:rsid w:val="00F158B0"/>
    <w:rsid w:val="00F2523A"/>
    <w:rsid w:val="00F25AB5"/>
    <w:rsid w:val="00F317B0"/>
    <w:rsid w:val="00F3519E"/>
    <w:rsid w:val="00F35B4A"/>
    <w:rsid w:val="00F3647C"/>
    <w:rsid w:val="00F67108"/>
    <w:rsid w:val="00F74547"/>
    <w:rsid w:val="00F80D88"/>
    <w:rsid w:val="00F9166D"/>
    <w:rsid w:val="00FA05AE"/>
    <w:rsid w:val="00FA660B"/>
    <w:rsid w:val="00FE031F"/>
    <w:rsid w:val="00FE2A2E"/>
    <w:rsid w:val="00FE3912"/>
    <w:rsid w:val="00FE71FB"/>
    <w:rsid w:val="00FF1360"/>
    <w:rsid w:val="00FF143D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5B54A3-1C6A-4ED4-8E26-AFC0D91D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89"/>
    <w:rPr>
      <w:sz w:val="24"/>
      <w:szCs w:val="24"/>
    </w:rPr>
  </w:style>
  <w:style w:type="paragraph" w:styleId="Heading1">
    <w:name w:val="heading 1"/>
    <w:basedOn w:val="Normal"/>
    <w:next w:val="Normal"/>
    <w:qFormat/>
    <w:rsid w:val="00E03C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uiPriority w:val="99"/>
    <w:rsid w:val="00ED7C29"/>
    <w:rPr>
      <w:color w:val="0000FF"/>
      <w:u w:val="single"/>
    </w:rPr>
  </w:style>
  <w:style w:type="character" w:styleId="FollowedHyperlink">
    <w:name w:val="FollowedHyperlink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rsid w:val="00434DCA"/>
  </w:style>
  <w:style w:type="character" w:customStyle="1" w:styleId="legdslegrhslegp2text">
    <w:name w:val="legds legrhs legp2text"/>
    <w:basedOn w:val="DefaultParagraphFont"/>
    <w:rsid w:val="00434DCA"/>
  </w:style>
  <w:style w:type="character" w:customStyle="1" w:styleId="legdsleglhslegp3no">
    <w:name w:val="legds leglhs legp3no"/>
    <w:basedOn w:val="DefaultParagraphFont"/>
    <w:rsid w:val="00434DCA"/>
  </w:style>
  <w:style w:type="character" w:customStyle="1" w:styleId="legdslegrhslegp3text">
    <w:name w:val="legds legrhs legp3text"/>
    <w:basedOn w:val="DefaultParagraphFont"/>
    <w:rsid w:val="00434DCA"/>
  </w:style>
  <w:style w:type="character" w:customStyle="1" w:styleId="legdsleglhslegp4no">
    <w:name w:val="legds leglhs legp4no"/>
    <w:basedOn w:val="DefaultParagraphFont"/>
    <w:rsid w:val="00434DCA"/>
  </w:style>
  <w:style w:type="character" w:customStyle="1" w:styleId="legdslegrhslegp4text">
    <w:name w:val="legds legrhs legp4text"/>
    <w:basedOn w:val="DefaultParagraphFont"/>
    <w:rsid w:val="00434DCA"/>
  </w:style>
  <w:style w:type="character" w:customStyle="1" w:styleId="legterm">
    <w:name w:val="legterm"/>
    <w:basedOn w:val="DefaultParagraphFont"/>
    <w:rsid w:val="00434DCA"/>
  </w:style>
  <w:style w:type="paragraph" w:styleId="BalloonText">
    <w:name w:val="Balloon Text"/>
    <w:basedOn w:val="Normal"/>
    <w:semiHidden/>
    <w:rsid w:val="00261B0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36939"/>
    <w:rPr>
      <w:sz w:val="16"/>
      <w:szCs w:val="16"/>
    </w:rPr>
  </w:style>
  <w:style w:type="paragraph" w:styleId="CommentText">
    <w:name w:val="annotation text"/>
    <w:basedOn w:val="Normal"/>
    <w:semiHidden/>
    <w:rsid w:val="009369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36939"/>
    <w:rPr>
      <w:b/>
      <w:bCs/>
    </w:rPr>
  </w:style>
  <w:style w:type="paragraph" w:customStyle="1" w:styleId="msolistparagraph0">
    <w:name w:val="msolistparagraph"/>
    <w:basedOn w:val="Normal"/>
    <w:rsid w:val="00747668"/>
    <w:pPr>
      <w:ind w:left="720"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rsid w:val="005F2D87"/>
    <w:rPr>
      <w:rFonts w:ascii="Arial" w:hAnsi="Arial"/>
      <w:i/>
      <w:sz w:val="22"/>
    </w:rPr>
  </w:style>
  <w:style w:type="paragraph" w:styleId="DocumentMap">
    <w:name w:val="Document Map"/>
    <w:basedOn w:val="Normal"/>
    <w:semiHidden/>
    <w:rsid w:val="00690F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ighlightedterm0">
    <w:name w:val="highlightedterm0"/>
    <w:basedOn w:val="DefaultParagraphFont"/>
    <w:rsid w:val="000E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6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9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2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8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8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2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79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1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1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15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303000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0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9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8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87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55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7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83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4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0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23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108635 Community Sentences Imposed on Women</vt:lpstr>
    </vt:vector>
  </TitlesOfParts>
  <Company>Ministry of Justice</Company>
  <LinksUpToDate>false</LinksUpToDate>
  <CharactersWithSpaces>1327</CharactersWithSpaces>
  <SharedDoc>false</SharedDoc>
  <HLinks>
    <vt:vector size="36" baseType="variant">
      <vt:variant>
        <vt:i4>2883679</vt:i4>
      </vt:variant>
      <vt:variant>
        <vt:i4>15</vt:i4>
      </vt:variant>
      <vt:variant>
        <vt:i4>0</vt:i4>
      </vt:variant>
      <vt:variant>
        <vt:i4>5</vt:i4>
      </vt:variant>
      <vt:variant>
        <vt:lpwstr>https://www.ico.gov.uk/Global/contact_us.aspx</vt:lpwstr>
      </vt:variant>
      <vt:variant>
        <vt:lpwstr/>
      </vt:variant>
      <vt:variant>
        <vt:i4>5636139</vt:i4>
      </vt:variant>
      <vt:variant>
        <vt:i4>12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4653132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http://www.legislation.gov.uk/ukpga/2000/36/contents</vt:lpwstr>
      </vt:variant>
      <vt:variant>
        <vt:lpwstr/>
      </vt:variant>
      <vt:variant>
        <vt:i4>5963810</vt:i4>
      </vt:variant>
      <vt:variant>
        <vt:i4>6</vt:i4>
      </vt:variant>
      <vt:variant>
        <vt:i4>0</vt:i4>
      </vt:variant>
      <vt:variant>
        <vt:i4>5</vt:i4>
      </vt:variant>
      <vt:variant>
        <vt:lpwstr>mailto:Frances.Crook@howardleague.org</vt:lpwstr>
      </vt:variant>
      <vt:variant>
        <vt:lpwstr/>
      </vt:variant>
      <vt:variant>
        <vt:i4>6291578</vt:i4>
      </vt:variant>
      <vt:variant>
        <vt:i4>3</vt:i4>
      </vt:variant>
      <vt:variant>
        <vt:i4>0</vt:i4>
      </vt:variant>
      <vt:variant>
        <vt:i4>5</vt:i4>
      </vt:variant>
      <vt:variant>
        <vt:lpwstr>http://www.gov.uk/</vt:lpwstr>
      </vt:variant>
      <vt:variant>
        <vt:lpwstr/>
      </vt:variant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mailto:statistics.enquiries@justice.gsi.gov.uk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108635 Community Sentences Imposed on Women</dc:title>
  <dc:subject>FOI Release</dc:subject>
  <dc:creator>MoJ</dc:creator>
  <cp:keywords/>
  <dc:description/>
  <cp:lastModifiedBy>Cox, Allan</cp:lastModifiedBy>
  <cp:revision>2</cp:revision>
  <cp:lastPrinted>2014-06-11T08:28:00Z</cp:lastPrinted>
  <dcterms:created xsi:type="dcterms:W3CDTF">2017-02-16T14:54:00Z</dcterms:created>
  <dcterms:modified xsi:type="dcterms:W3CDTF">2017-02-16T14:54:00Z</dcterms:modified>
</cp:coreProperties>
</file>