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4" w:rsidRDefault="003D3464" w:rsidP="003D3464">
      <w:pPr>
        <w:spacing w:after="60"/>
      </w:pPr>
      <w:bookmarkStart w:id="0" w:name="_GoBack"/>
      <w:bookmarkEnd w:id="0"/>
    </w:p>
    <w:p w:rsidR="00324F52" w:rsidRDefault="00324F52" w:rsidP="003D3464">
      <w:pPr>
        <w:spacing w:after="60"/>
      </w:pPr>
    </w:p>
    <w:p w:rsidR="00324F52" w:rsidRDefault="00324F52" w:rsidP="003D3464">
      <w:pPr>
        <w:spacing w:after="60"/>
      </w:pPr>
    </w:p>
    <w:p w:rsidR="00324F52" w:rsidRDefault="00324F52" w:rsidP="003D3464">
      <w:pPr>
        <w:spacing w:after="60"/>
      </w:pPr>
    </w:p>
    <w:p w:rsidR="00324F52" w:rsidRDefault="00324F52" w:rsidP="003D3464">
      <w:pPr>
        <w:spacing w:after="60"/>
      </w:pPr>
    </w:p>
    <w:p w:rsidR="00324F52" w:rsidRDefault="00324F52" w:rsidP="003D3464">
      <w:pPr>
        <w:spacing w:after="60"/>
      </w:pPr>
    </w:p>
    <w:p w:rsidR="00324F52" w:rsidRDefault="00324F52" w:rsidP="003D3464">
      <w:pPr>
        <w:spacing w:after="60"/>
      </w:pPr>
    </w:p>
    <w:p w:rsidR="00324F52" w:rsidRDefault="00324F52" w:rsidP="003D3464">
      <w:pPr>
        <w:spacing w:after="60"/>
      </w:pPr>
    </w:p>
    <w:p w:rsidR="00324F52" w:rsidRDefault="00324F52" w:rsidP="003D3464">
      <w:pPr>
        <w:spacing w:after="60"/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  <w:r w:rsidRPr="00137F62">
        <w:rPr>
          <w:b/>
          <w:sz w:val="24"/>
          <w:lang w:val="en"/>
        </w:rPr>
        <w:t>Guidance Note</w:t>
      </w:r>
      <w:r w:rsidR="006E6C72">
        <w:rPr>
          <w:b/>
          <w:sz w:val="24"/>
          <w:lang w:val="en"/>
        </w:rPr>
        <w:t xml:space="preserve"> 12: White Light Emitting Diode Lighting Units</w:t>
      </w:r>
      <w:r w:rsidRPr="00137F62">
        <w:rPr>
          <w:b/>
          <w:sz w:val="24"/>
          <w:lang w:val="en"/>
        </w:rPr>
        <w:t xml:space="preserve"> </w:t>
      </w:r>
      <w:r w:rsidR="006E6C72">
        <w:rPr>
          <w:b/>
          <w:sz w:val="24"/>
          <w:lang w:val="en"/>
        </w:rPr>
        <w:br/>
      </w:r>
      <w:r w:rsidRPr="00137F62">
        <w:rPr>
          <w:b/>
          <w:sz w:val="24"/>
          <w:lang w:val="en"/>
        </w:rPr>
        <w:t xml:space="preserve">Checklist and Statement template </w:t>
      </w:r>
    </w:p>
    <w:p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  <w:r w:rsidRPr="00137F62">
        <w:rPr>
          <w:b/>
          <w:sz w:val="24"/>
          <w:lang w:val="en"/>
        </w:rPr>
        <w:t xml:space="preserve">Energy Technology List (ETL)  </w:t>
      </w:r>
    </w:p>
    <w:p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  <w:r w:rsidRPr="00137F62">
        <w:rPr>
          <w:b/>
          <w:sz w:val="24"/>
          <w:lang w:val="en"/>
        </w:rPr>
        <w:t>Issue 1</w:t>
      </w:r>
    </w:p>
    <w:p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:rsidR="00137F62" w:rsidRPr="00137F62" w:rsidRDefault="00137F62" w:rsidP="00137F62">
      <w:pPr>
        <w:spacing w:after="160" w:line="259" w:lineRule="auto"/>
        <w:rPr>
          <w:rFonts w:ascii="Calibri" w:eastAsia="Calibri" w:hAnsi="Calibri"/>
          <w:sz w:val="22"/>
          <w:szCs w:val="20"/>
          <w:lang w:eastAsia="en-US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pStyle w:val="ReportTitle"/>
        <w:rPr>
          <w:sz w:val="20"/>
          <w:szCs w:val="20"/>
        </w:rPr>
      </w:pPr>
    </w:p>
    <w:p w:rsidR="00324F52" w:rsidRDefault="00324F52" w:rsidP="00324F52">
      <w:pPr>
        <w:rPr>
          <w:szCs w:val="20"/>
        </w:rPr>
      </w:pPr>
    </w:p>
    <w:p w:rsidR="00324F52" w:rsidRDefault="00324F52" w:rsidP="00324F52">
      <w:pPr>
        <w:rPr>
          <w:szCs w:val="20"/>
        </w:rPr>
      </w:pPr>
      <w:r>
        <w:rPr>
          <w:szCs w:val="20"/>
        </w:rPr>
        <w:br w:type="page"/>
      </w:r>
    </w:p>
    <w:p w:rsidR="00324F52" w:rsidRDefault="00137F62" w:rsidP="00324F52">
      <w:pPr>
        <w:rPr>
          <w:szCs w:val="20"/>
        </w:rPr>
      </w:pPr>
      <w:r>
        <w:rPr>
          <w:szCs w:val="20"/>
        </w:rPr>
        <w:lastRenderedPageBreak/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</w:p>
    <w:p w:rsidR="00137F62" w:rsidRPr="00137F62" w:rsidRDefault="00137F62" w:rsidP="00137F62">
      <w:pPr>
        <w:keepNext/>
        <w:spacing w:after="160" w:line="259" w:lineRule="auto"/>
        <w:jc w:val="center"/>
        <w:outlineLvl w:val="1"/>
        <w:rPr>
          <w:rFonts w:ascii="Calibri" w:eastAsia="Calibri" w:hAnsi="Calibri"/>
          <w:b/>
          <w:sz w:val="24"/>
          <w:u w:val="single"/>
          <w:lang w:eastAsia="en-US"/>
        </w:rPr>
      </w:pPr>
      <w:r w:rsidRPr="00137F62">
        <w:rPr>
          <w:rFonts w:ascii="Calibri" w:eastAsia="Calibri" w:hAnsi="Calibri"/>
          <w:b/>
          <w:sz w:val="24"/>
          <w:u w:val="single"/>
          <w:lang w:eastAsia="en-US"/>
        </w:rPr>
        <w:t xml:space="preserve">White LED </w:t>
      </w:r>
      <w:r w:rsidR="006E6C72">
        <w:rPr>
          <w:rFonts w:ascii="Calibri" w:eastAsia="Calibri" w:hAnsi="Calibri"/>
          <w:b/>
          <w:sz w:val="24"/>
          <w:u w:val="single"/>
          <w:lang w:eastAsia="en-US"/>
        </w:rPr>
        <w:t xml:space="preserve">Lighting Units </w:t>
      </w:r>
      <w:r w:rsidR="006E6C72">
        <w:rPr>
          <w:rFonts w:ascii="Calibri" w:eastAsia="Calibri" w:hAnsi="Calibri"/>
          <w:b/>
          <w:sz w:val="24"/>
          <w:u w:val="single"/>
          <w:lang w:eastAsia="en-US"/>
        </w:rPr>
        <w:br/>
      </w:r>
      <w:r w:rsidRPr="00137F62">
        <w:rPr>
          <w:rFonts w:ascii="Calibri" w:eastAsia="Calibri" w:hAnsi="Calibri"/>
          <w:b/>
          <w:sz w:val="24"/>
          <w:u w:val="single"/>
          <w:lang w:eastAsia="en-US"/>
        </w:rPr>
        <w:t>Checklist and Statement</w:t>
      </w:r>
      <w:r w:rsidR="006E6C72">
        <w:rPr>
          <w:rFonts w:ascii="Calibri" w:eastAsia="Calibri" w:hAnsi="Calibri"/>
          <w:b/>
          <w:sz w:val="24"/>
          <w:u w:val="single"/>
          <w:lang w:eastAsia="en-US"/>
        </w:rPr>
        <w:t xml:space="preserve"> template</w:t>
      </w:r>
    </w:p>
    <w:p w:rsidR="00137F62" w:rsidRPr="00137F62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br/>
        <w:t>There are 3 categories of lighting on the Energy Technology List:</w:t>
      </w:r>
    </w:p>
    <w:p w:rsidR="00137F62" w:rsidRPr="00137F62" w:rsidRDefault="00137F62" w:rsidP="00137F6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>White Light Emitting Diode</w:t>
      </w:r>
      <w:r w:rsidR="007603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E6C72">
        <w:rPr>
          <w:rFonts w:ascii="Calibri" w:eastAsia="Calibri" w:hAnsi="Calibri"/>
          <w:sz w:val="22"/>
          <w:szCs w:val="22"/>
          <w:lang w:eastAsia="en-US"/>
        </w:rPr>
        <w:t>(</w:t>
      </w:r>
      <w:r w:rsidR="00936558">
        <w:rPr>
          <w:rFonts w:ascii="Calibri" w:eastAsia="Calibri" w:hAnsi="Calibri"/>
          <w:sz w:val="22"/>
          <w:szCs w:val="22"/>
          <w:lang w:eastAsia="en-US"/>
        </w:rPr>
        <w:t xml:space="preserve">White </w:t>
      </w:r>
      <w:r w:rsidR="006E6C72">
        <w:rPr>
          <w:rFonts w:ascii="Calibri" w:eastAsia="Calibri" w:hAnsi="Calibri"/>
          <w:sz w:val="22"/>
          <w:szCs w:val="22"/>
          <w:lang w:eastAsia="en-US"/>
        </w:rPr>
        <w:t xml:space="preserve">LED) </w:t>
      </w:r>
      <w:r w:rsidR="00760318">
        <w:rPr>
          <w:rFonts w:ascii="Calibri" w:eastAsia="Calibri" w:hAnsi="Calibri"/>
          <w:sz w:val="22"/>
          <w:szCs w:val="22"/>
          <w:lang w:eastAsia="en-US"/>
        </w:rPr>
        <w:t>Lighting Units</w:t>
      </w:r>
    </w:p>
    <w:p w:rsidR="00137F62" w:rsidRPr="00137F62" w:rsidRDefault="00137F62" w:rsidP="00137F6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>High Efficiency Lighting Units (HELUs)</w:t>
      </w:r>
    </w:p>
    <w:p w:rsidR="00137F62" w:rsidRPr="00137F62" w:rsidRDefault="00137F62" w:rsidP="00137F6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>Lighting Controls</w:t>
      </w:r>
    </w:p>
    <w:p w:rsidR="00137F62" w:rsidRPr="00137F62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br/>
        <w:t xml:space="preserve">This guidance note provides a Checklist and Statement template that can be used by manufacturers to demonstrate their products’ compliance against the ETL criteria of the White LED category. Manufacturers should review products against </w:t>
      </w:r>
      <w:r w:rsidR="006E6C72">
        <w:rPr>
          <w:rFonts w:ascii="Calibri" w:eastAsia="Calibri" w:hAnsi="Calibri"/>
          <w:sz w:val="22"/>
          <w:szCs w:val="22"/>
          <w:lang w:eastAsia="en-US"/>
        </w:rPr>
        <w:t>the c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hecklist and insert the names of those products that they </w:t>
      </w:r>
      <w:r w:rsidR="00760318">
        <w:rPr>
          <w:rFonts w:ascii="Calibri" w:eastAsia="Calibri" w:hAnsi="Calibri"/>
          <w:sz w:val="22"/>
          <w:szCs w:val="22"/>
          <w:lang w:eastAsia="en-US"/>
        </w:rPr>
        <w:t xml:space="preserve">can confirm </w:t>
      </w:r>
      <w:r w:rsidRPr="00137F62">
        <w:rPr>
          <w:rFonts w:ascii="Calibri" w:eastAsia="Calibri" w:hAnsi="Calibri"/>
          <w:sz w:val="22"/>
          <w:szCs w:val="22"/>
          <w:lang w:eastAsia="en-US"/>
        </w:rPr>
        <w:t>meet th</w:t>
      </w:r>
      <w:r w:rsidR="006E6C72">
        <w:rPr>
          <w:rFonts w:ascii="Calibri" w:eastAsia="Calibri" w:hAnsi="Calibri"/>
          <w:sz w:val="22"/>
          <w:szCs w:val="22"/>
          <w:lang w:eastAsia="en-US"/>
        </w:rPr>
        <w:t>e ETL criteria. The compliance statement should support the c</w:t>
      </w:r>
      <w:r w:rsidRPr="00137F62">
        <w:rPr>
          <w:rFonts w:ascii="Calibri" w:eastAsia="Calibri" w:hAnsi="Calibri"/>
          <w:sz w:val="22"/>
          <w:szCs w:val="22"/>
          <w:lang w:eastAsia="en-US"/>
        </w:rPr>
        <w:t>hecklist, be made on letter headed paper and accompanied by technical datasheets for the products.</w:t>
      </w:r>
    </w:p>
    <w:p w:rsidR="00137F62" w:rsidRPr="00137F62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Manufacturers do not have to use the template, </w:t>
      </w:r>
      <w:r w:rsidR="00E9357E">
        <w:rPr>
          <w:rFonts w:ascii="Calibri" w:eastAsia="Calibri" w:hAnsi="Calibri"/>
          <w:sz w:val="22"/>
          <w:szCs w:val="22"/>
          <w:lang w:eastAsia="en-US"/>
        </w:rPr>
        <w:t xml:space="preserve">but they will, as a minimum, need 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to make a </w:t>
      </w:r>
      <w:r w:rsidR="00760318">
        <w:rPr>
          <w:rFonts w:ascii="Calibri" w:eastAsia="Calibri" w:hAnsi="Calibri"/>
          <w:sz w:val="22"/>
          <w:szCs w:val="22"/>
          <w:lang w:eastAsia="en-US"/>
        </w:rPr>
        <w:t>s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tatement on letter headed paper </w:t>
      </w:r>
      <w:r w:rsidR="00E9357E">
        <w:rPr>
          <w:rFonts w:ascii="Calibri" w:eastAsia="Calibri" w:hAnsi="Calibri"/>
          <w:sz w:val="22"/>
          <w:szCs w:val="22"/>
          <w:lang w:eastAsia="en-US"/>
        </w:rPr>
        <w:t xml:space="preserve">that their products meet the ETL criteria </w:t>
      </w:r>
      <w:r w:rsidR="00E9357E" w:rsidRPr="00137F62">
        <w:rPr>
          <w:rFonts w:ascii="Calibri" w:eastAsia="Calibri" w:hAnsi="Calibri"/>
          <w:sz w:val="22"/>
          <w:szCs w:val="22"/>
          <w:lang w:eastAsia="en-US"/>
        </w:rPr>
        <w:t>for the Purchaser to be able to make a claim for an Enhanced Capital Allowance (ECA</w:t>
      </w:r>
      <w:r w:rsidR="00E9357E">
        <w:rPr>
          <w:rFonts w:ascii="Calibri" w:eastAsia="Calibri" w:hAnsi="Calibri"/>
          <w:sz w:val="22"/>
          <w:szCs w:val="22"/>
          <w:lang w:eastAsia="en-US"/>
        </w:rPr>
        <w:t xml:space="preserve">). They will need to 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support </w:t>
      </w:r>
      <w:r w:rsidR="00E9357E">
        <w:rPr>
          <w:rFonts w:ascii="Calibri" w:eastAsia="Calibri" w:hAnsi="Calibri"/>
          <w:sz w:val="22"/>
          <w:szCs w:val="22"/>
          <w:lang w:eastAsia="en-US"/>
        </w:rPr>
        <w:t xml:space="preserve">this </w:t>
      </w:r>
      <w:r w:rsidR="00760318">
        <w:rPr>
          <w:rFonts w:ascii="Calibri" w:eastAsia="Calibri" w:hAnsi="Calibri"/>
          <w:sz w:val="22"/>
          <w:szCs w:val="22"/>
          <w:lang w:eastAsia="en-US"/>
        </w:rPr>
        <w:t xml:space="preserve">statement </w:t>
      </w:r>
      <w:r w:rsidRPr="00137F62">
        <w:rPr>
          <w:rFonts w:ascii="Calibri" w:eastAsia="Calibri" w:hAnsi="Calibri"/>
          <w:sz w:val="22"/>
          <w:szCs w:val="22"/>
          <w:lang w:eastAsia="en-US"/>
        </w:rPr>
        <w:t>with techni</w:t>
      </w:r>
      <w:r w:rsidR="00E9357E">
        <w:rPr>
          <w:rFonts w:ascii="Calibri" w:eastAsia="Calibri" w:hAnsi="Calibri"/>
          <w:sz w:val="22"/>
          <w:szCs w:val="22"/>
          <w:lang w:eastAsia="en-US"/>
        </w:rPr>
        <w:t>cal datasheets for the products</w:t>
      </w:r>
      <w:r w:rsidRPr="00137F6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37F62" w:rsidRPr="00137F62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A copy of the </w:t>
      </w:r>
      <w:r w:rsidR="006E6C72">
        <w:rPr>
          <w:rFonts w:ascii="Calibri" w:eastAsia="Calibri" w:hAnsi="Calibri"/>
          <w:sz w:val="22"/>
          <w:szCs w:val="22"/>
          <w:lang w:eastAsia="en-US"/>
        </w:rPr>
        <w:t>s</w:t>
      </w:r>
      <w:r w:rsidR="006E6C72" w:rsidRPr="00137F62">
        <w:rPr>
          <w:rFonts w:ascii="Calibri" w:eastAsia="Calibri" w:hAnsi="Calibri"/>
          <w:sz w:val="22"/>
          <w:szCs w:val="22"/>
          <w:lang w:eastAsia="en-US"/>
        </w:rPr>
        <w:t xml:space="preserve">tatement </w:t>
      </w:r>
      <w:r w:rsidR="00C31BBC">
        <w:rPr>
          <w:rFonts w:ascii="Calibri" w:eastAsia="Calibri" w:hAnsi="Calibri"/>
          <w:sz w:val="22"/>
          <w:szCs w:val="22"/>
          <w:lang w:eastAsia="en-US"/>
        </w:rPr>
        <w:t xml:space="preserve">should 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be retained by the Purchaser, to back up the claim for an ECA. </w:t>
      </w:r>
    </w:p>
    <w:p w:rsidR="00137F62" w:rsidRPr="00137F62" w:rsidRDefault="00137F62" w:rsidP="00137F6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>For a copy of the ETL Criteria for White LED</w:t>
      </w:r>
      <w:r w:rsidR="006E6C72">
        <w:rPr>
          <w:rFonts w:ascii="Calibri" w:eastAsia="Calibri" w:hAnsi="Calibri"/>
          <w:sz w:val="22"/>
          <w:szCs w:val="22"/>
          <w:lang w:eastAsia="en-US"/>
        </w:rPr>
        <w:t xml:space="preserve"> Lighting Unit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s please see: </w:t>
      </w:r>
      <w:hyperlink r:id="rId11" w:history="1">
        <w:r w:rsidRPr="00137F6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https://www.gov.uk/government/publications/white-light-emitting-diode-lighting-units</w:t>
        </w:r>
      </w:hyperlink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37F62" w:rsidRPr="00137F62" w:rsidRDefault="00137F62" w:rsidP="00137F6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Further information relating to lighting on the ETL can be found here: </w:t>
      </w:r>
      <w:hyperlink r:id="rId12" w:history="1">
        <w:r w:rsidRPr="00137F6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https://www.gov.uk/government/publications/lighting-guidance-note-for-the-energy-technology-list-etl</w:t>
        </w:r>
      </w:hyperlink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37F62" w:rsidRPr="00137F62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37F62" w:rsidRPr="00137F62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br/>
        <w:t xml:space="preserve">For any questions relating to the above, please contact: </w:t>
      </w:r>
      <w:hyperlink r:id="rId13" w:history="1">
        <w:r w:rsidRPr="00137F62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ECAQuestions@carbontrust.co.uk</w:t>
        </w:r>
      </w:hyperlink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7F62">
        <w:rPr>
          <w:rFonts w:ascii="Calibri" w:eastAsia="Calibri" w:hAnsi="Calibri"/>
          <w:sz w:val="22"/>
          <w:szCs w:val="22"/>
          <w:lang w:eastAsia="en-US"/>
        </w:rPr>
        <w:br/>
        <w:t>(or telephone: 0300 3300657)</w:t>
      </w:r>
    </w:p>
    <w:p w:rsidR="00137F62" w:rsidRPr="00137F62" w:rsidRDefault="00137F62" w:rsidP="00137F62">
      <w:pPr>
        <w:spacing w:after="160" w:line="259" w:lineRule="auto"/>
        <w:jc w:val="both"/>
        <w:rPr>
          <w:rFonts w:ascii="Calibri Light" w:hAnsi="Calibri Light"/>
          <w:color w:val="2E74B5"/>
          <w:sz w:val="32"/>
          <w:szCs w:val="3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601F81" w:rsidRPr="00601F81" w:rsidRDefault="00601F81" w:rsidP="00601F81">
      <w:pPr>
        <w:keepNext/>
        <w:keepLines/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  <w:lang w:eastAsia="en-US"/>
        </w:rPr>
      </w:pPr>
      <w:r w:rsidRPr="00601F81">
        <w:rPr>
          <w:rFonts w:ascii="Calibri Light" w:hAnsi="Calibri Light"/>
          <w:color w:val="2E74B5"/>
          <w:sz w:val="32"/>
          <w:szCs w:val="32"/>
          <w:lang w:eastAsia="en-US"/>
        </w:rPr>
        <w:t xml:space="preserve">White LED Lighting Units </w:t>
      </w:r>
      <w:r w:rsidR="006E6C72">
        <w:rPr>
          <w:rFonts w:ascii="Calibri Light" w:hAnsi="Calibri Light"/>
          <w:color w:val="2E74B5"/>
          <w:sz w:val="32"/>
          <w:szCs w:val="32"/>
          <w:lang w:eastAsia="en-US"/>
        </w:rPr>
        <w:t xml:space="preserve">- </w:t>
      </w:r>
      <w:r w:rsidRPr="00601F81">
        <w:rPr>
          <w:rFonts w:ascii="Calibri Light" w:hAnsi="Calibri Light"/>
          <w:color w:val="2E74B5"/>
          <w:sz w:val="32"/>
          <w:szCs w:val="32"/>
          <w:lang w:eastAsia="en-US"/>
        </w:rPr>
        <w:t xml:space="preserve">Product </w:t>
      </w:r>
      <w:r w:rsidR="00760318">
        <w:rPr>
          <w:rFonts w:ascii="Calibri Light" w:hAnsi="Calibri Light"/>
          <w:color w:val="2E74B5"/>
          <w:sz w:val="32"/>
          <w:szCs w:val="32"/>
          <w:lang w:eastAsia="en-US"/>
        </w:rPr>
        <w:t xml:space="preserve">Compliance </w:t>
      </w:r>
      <w:r w:rsidRPr="00601F81">
        <w:rPr>
          <w:rFonts w:ascii="Calibri Light" w:hAnsi="Calibri Light"/>
          <w:color w:val="2E74B5"/>
          <w:sz w:val="32"/>
          <w:szCs w:val="32"/>
          <w:lang w:eastAsia="en-US"/>
        </w:rPr>
        <w:t>Checklist</w:t>
      </w:r>
    </w:p>
    <w:p w:rsidR="00601F81" w:rsidRDefault="00601F81" w:rsidP="00601F8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This </w:t>
      </w:r>
      <w:r w:rsidR="0046458D">
        <w:rPr>
          <w:rFonts w:ascii="Calibri" w:eastAsia="Calibri" w:hAnsi="Calibri"/>
          <w:sz w:val="22"/>
          <w:szCs w:val="22"/>
          <w:lang w:eastAsia="en-US"/>
        </w:rPr>
        <w:t>checklist</w:t>
      </w:r>
      <w:r w:rsidR="0046458D"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when completed in full can be used as evidence to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confirm that the products </w:t>
      </w:r>
      <w:r w:rsidR="00C44816">
        <w:rPr>
          <w:rFonts w:ascii="Calibri" w:eastAsia="Calibri" w:hAnsi="Calibri"/>
          <w:sz w:val="22"/>
          <w:szCs w:val="22"/>
          <w:lang w:eastAsia="en-US"/>
        </w:rPr>
        <w:t xml:space="preserve">presented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within it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meet all </w:t>
      </w:r>
      <w:r w:rsidR="00C44816">
        <w:rPr>
          <w:rFonts w:ascii="Calibri" w:eastAsia="Calibri" w:hAnsi="Calibri"/>
          <w:sz w:val="22"/>
          <w:szCs w:val="22"/>
          <w:lang w:eastAsia="en-US"/>
        </w:rPr>
        <w:t xml:space="preserve">eligibility requirements of the </w:t>
      </w:r>
      <w:r w:rsidR="0046458D" w:rsidRPr="00601F81">
        <w:rPr>
          <w:rFonts w:ascii="Calibri" w:eastAsia="Calibri" w:hAnsi="Calibri"/>
          <w:sz w:val="22"/>
          <w:szCs w:val="22"/>
          <w:lang w:eastAsia="en-US"/>
        </w:rPr>
        <w:t xml:space="preserve">Energy Technology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List </w:t>
      </w:r>
      <w:r w:rsidR="00C44816" w:rsidRPr="00C44816">
        <w:rPr>
          <w:rFonts w:ascii="Calibri" w:eastAsia="Calibri" w:hAnsi="Calibri"/>
          <w:sz w:val="22"/>
          <w:szCs w:val="22"/>
          <w:lang w:eastAsia="en-US"/>
        </w:rPr>
        <w:t xml:space="preserve">White Light Emitting Diode </w:t>
      </w:r>
      <w:r w:rsidR="00936558">
        <w:rPr>
          <w:rFonts w:ascii="Calibri" w:eastAsia="Calibri" w:hAnsi="Calibri"/>
          <w:sz w:val="22"/>
          <w:szCs w:val="22"/>
          <w:lang w:eastAsia="en-US"/>
        </w:rPr>
        <w:br/>
      </w:r>
      <w:r w:rsidR="00903E2B">
        <w:rPr>
          <w:rFonts w:ascii="Calibri" w:eastAsia="Calibri" w:hAnsi="Calibri"/>
          <w:sz w:val="22"/>
          <w:szCs w:val="22"/>
          <w:lang w:eastAsia="en-US"/>
        </w:rPr>
        <w:t xml:space="preserve">(i.e. White LED) </w:t>
      </w:r>
      <w:r w:rsidR="00C44816" w:rsidRPr="00C44816">
        <w:rPr>
          <w:rFonts w:ascii="Calibri" w:eastAsia="Calibri" w:hAnsi="Calibri"/>
          <w:sz w:val="22"/>
          <w:szCs w:val="22"/>
          <w:lang w:eastAsia="en-US"/>
        </w:rPr>
        <w:t>Lighting Unit</w:t>
      </w:r>
      <w:r w:rsidR="0046458D">
        <w:rPr>
          <w:rFonts w:ascii="Calibri" w:eastAsia="Calibri" w:hAnsi="Calibri"/>
          <w:sz w:val="22"/>
          <w:szCs w:val="22"/>
          <w:lang w:eastAsia="en-US"/>
        </w:rPr>
        <w:t>s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qualifying </w:t>
      </w:r>
      <w:r w:rsidR="0046458D">
        <w:t>c</w:t>
      </w:r>
      <w:r w:rsidRPr="00601F81">
        <w:rPr>
          <w:rFonts w:ascii="Calibri" w:eastAsia="Calibri" w:hAnsi="Calibri"/>
          <w:sz w:val="22"/>
          <w:szCs w:val="22"/>
          <w:lang w:eastAsia="en-US"/>
        </w:rPr>
        <w:t>riteria.</w:t>
      </w:r>
      <w:r w:rsidR="00691BD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01F81" w:rsidRPr="00601F81" w:rsidRDefault="00C44816" w:rsidP="00601F8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6"/>
        <w:gridCol w:w="2118"/>
        <w:gridCol w:w="1717"/>
        <w:gridCol w:w="1780"/>
        <w:gridCol w:w="1657"/>
      </w:tblGrid>
      <w:tr w:rsidR="00601F81" w:rsidRPr="00601F81" w:rsidTr="00601F81">
        <w:tc>
          <w:tcPr>
            <w:tcW w:w="2356" w:type="dxa"/>
          </w:tcPr>
          <w:p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Product details, e.g.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Pr="00601F81">
              <w:rPr>
                <w:rFonts w:ascii="Calibri" w:hAnsi="Calibri"/>
                <w:bCs/>
                <w:i/>
                <w:szCs w:val="22"/>
              </w:rPr>
              <w:t>Manufacturer (&amp; supplier if applicable)</w:t>
            </w:r>
          </w:p>
        </w:tc>
        <w:tc>
          <w:tcPr>
            <w:tcW w:w="2118" w:type="dxa"/>
          </w:tcPr>
          <w:p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Product name</w:t>
            </w:r>
          </w:p>
        </w:tc>
        <w:tc>
          <w:tcPr>
            <w:tcW w:w="1717" w:type="dxa"/>
          </w:tcPr>
          <w:p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Model</w:t>
            </w:r>
          </w:p>
        </w:tc>
        <w:tc>
          <w:tcPr>
            <w:tcW w:w="1780" w:type="dxa"/>
          </w:tcPr>
          <w:p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Part number</w:t>
            </w:r>
          </w:p>
        </w:tc>
        <w:tc>
          <w:tcPr>
            <w:tcW w:w="1657" w:type="dxa"/>
          </w:tcPr>
          <w:p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Product Category*</w:t>
            </w:r>
          </w:p>
        </w:tc>
      </w:tr>
      <w:tr w:rsidR="00601F81" w:rsidRPr="00601F81" w:rsidTr="00601F81">
        <w:tc>
          <w:tcPr>
            <w:tcW w:w="2356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Example 1</w:t>
            </w:r>
          </w:p>
        </w:tc>
        <w:tc>
          <w:tcPr>
            <w:tcW w:w="2118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Product1</w:t>
            </w:r>
          </w:p>
        </w:tc>
        <w:tc>
          <w:tcPr>
            <w:tcW w:w="171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Widget1</w:t>
            </w:r>
          </w:p>
        </w:tc>
        <w:tc>
          <w:tcPr>
            <w:tcW w:w="1780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XXX-XXX</w:t>
            </w:r>
          </w:p>
        </w:tc>
        <w:tc>
          <w:tcPr>
            <w:tcW w:w="165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Display</w:t>
            </w:r>
          </w:p>
        </w:tc>
      </w:tr>
      <w:tr w:rsidR="00601F81" w:rsidRPr="00601F81" w:rsidTr="00601F81">
        <w:tc>
          <w:tcPr>
            <w:tcW w:w="2356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Example 2</w:t>
            </w:r>
          </w:p>
        </w:tc>
        <w:tc>
          <w:tcPr>
            <w:tcW w:w="2118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Product2</w:t>
            </w:r>
          </w:p>
        </w:tc>
        <w:tc>
          <w:tcPr>
            <w:tcW w:w="171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Widget2</w:t>
            </w:r>
          </w:p>
        </w:tc>
        <w:tc>
          <w:tcPr>
            <w:tcW w:w="1780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YYY-TTT</w:t>
            </w:r>
          </w:p>
        </w:tc>
        <w:tc>
          <w:tcPr>
            <w:tcW w:w="165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Accent</w:t>
            </w:r>
          </w:p>
        </w:tc>
      </w:tr>
      <w:tr w:rsidR="00601F81" w:rsidRPr="00601F81" w:rsidTr="00601F81">
        <w:tc>
          <w:tcPr>
            <w:tcW w:w="2356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18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1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80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5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601F81" w:rsidRPr="00601F81" w:rsidTr="00601F81">
        <w:tc>
          <w:tcPr>
            <w:tcW w:w="2356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18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1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80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5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601F81" w:rsidRPr="00601F81" w:rsidTr="00601F81">
        <w:tc>
          <w:tcPr>
            <w:tcW w:w="2356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18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1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80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57" w:type="dxa"/>
          </w:tcPr>
          <w:p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</w:tbl>
    <w:p w:rsidR="00601F81" w:rsidRPr="00601F81" w:rsidRDefault="00601F81" w:rsidP="00601F81">
      <w:pPr>
        <w:spacing w:before="24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bCs/>
          <w:sz w:val="22"/>
          <w:szCs w:val="22"/>
          <w:lang w:eastAsia="en-US"/>
        </w:rPr>
        <w:t>*</w:t>
      </w:r>
      <w:r w:rsidRPr="00601F81">
        <w:rPr>
          <w:rFonts w:ascii="Calibri" w:eastAsia="Calibri" w:hAnsi="Calibri"/>
          <w:sz w:val="22"/>
          <w:szCs w:val="22"/>
          <w:lang w:eastAsia="en-US"/>
        </w:rPr>
        <w:t>Products fall into one of the following categories: Amenity, Display, Accent, General interior, Exterior area, Exterior floodlighting.</w:t>
      </w:r>
    </w:p>
    <w:p w:rsidR="00601F81" w:rsidRPr="00601F81" w:rsidRDefault="00601F81" w:rsidP="00601F81">
      <w:pPr>
        <w:spacing w:before="24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All White LED products listed above must meet all requirements listed below</w:t>
      </w:r>
      <w:r w:rsidR="003905CE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:rsidR="00601F81" w:rsidRPr="00601F81" w:rsidRDefault="00601F81" w:rsidP="00601F81">
      <w:pPr>
        <w:spacing w:before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Product characteristics</w:t>
      </w:r>
    </w:p>
    <w:p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Products are:</w:t>
      </w:r>
    </w:p>
    <w:p w:rsidR="00601F81" w:rsidRPr="00601F81" w:rsidRDefault="00601F81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A complete luminaire containing one or more solid-state LED devices, optics, housing and associated control gear</w:t>
      </w:r>
    </w:p>
    <w:p w:rsidR="00601F81" w:rsidRPr="00601F81" w:rsidRDefault="00601F81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Capable of producing white light</w:t>
      </w:r>
    </w:p>
    <w:p w:rsidR="00601F81" w:rsidRPr="00601F81" w:rsidRDefault="00601F81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CE marked</w:t>
      </w:r>
    </w:p>
    <w:p w:rsidR="00601F81" w:rsidRPr="00601F81" w:rsidRDefault="00601F81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A complete product that does not, and cannot, use replacement LED lamps designed for retrofit use in traditional lamp sockets</w:t>
      </w:r>
    </w:p>
    <w:p w:rsidR="00601F81" w:rsidRPr="00601F81" w:rsidRDefault="00601F81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Is not emergency lighting (for further information see the </w:t>
      </w:r>
      <w:hyperlink r:id="rId14" w:history="1">
        <w:r w:rsidRPr="00601F81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lighting guidance note</w:t>
        </w:r>
      </w:hyperlink>
      <w:r w:rsidRPr="00601F81">
        <w:rPr>
          <w:rFonts w:ascii="Calibri" w:eastAsia="Calibri" w:hAnsi="Calibri"/>
          <w:sz w:val="22"/>
          <w:szCs w:val="22"/>
          <w:lang w:eastAsia="en-US"/>
        </w:rPr>
        <w:t>)</w:t>
      </w:r>
    </w:p>
    <w:p w:rsidR="00601F81" w:rsidRPr="00601F81" w:rsidRDefault="00601F81" w:rsidP="00601F81">
      <w:pPr>
        <w:spacing w:before="32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Product compliance</w:t>
      </w:r>
    </w:p>
    <w:p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Products comply with:</w:t>
      </w:r>
    </w:p>
    <w:p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luminaire efficacy threshold for the relevant product category (as stated in Table 1 of the White LED lighting criteria)</w:t>
      </w:r>
    </w:p>
    <w:p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lumen output requirement after 100 hours of continuous operation</w:t>
      </w:r>
    </w:p>
    <w:p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requirement to produce at least 90% of its initial lumen output after 6000 hours of continuous use</w:t>
      </w:r>
    </w:p>
    <w:p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colour rendering index (CRI) requirement (see Section 2.2 of Commission Regulation (EU) no 1194/2012)</w:t>
      </w:r>
    </w:p>
    <w:p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minimum power factor requirement for all levels of product light output</w:t>
      </w:r>
    </w:p>
    <w:p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glare and angular exclusion zone recommendations (interior lighting only)</w:t>
      </w:r>
    </w:p>
    <w:p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individual control gear standby requirements, if the unit is electronically addressed</w:t>
      </w:r>
    </w:p>
    <w:p w:rsidR="00601F81" w:rsidRPr="00601F81" w:rsidRDefault="00601F81" w:rsidP="00601F81">
      <w:pPr>
        <w:spacing w:before="3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Standards</w:t>
      </w:r>
    </w:p>
    <w:p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Products have been tested to:</w:t>
      </w:r>
    </w:p>
    <w:p w:rsidR="00601F81" w:rsidRPr="00601F81" w:rsidRDefault="00601F81" w:rsidP="00601F81">
      <w:pPr>
        <w:numPr>
          <w:ilvl w:val="0"/>
          <w:numId w:val="3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relevant performance standards for control gear (as stated in the White LED lighting criteria)</w:t>
      </w:r>
    </w:p>
    <w:p w:rsidR="00601F81" w:rsidRPr="00601F81" w:rsidRDefault="00601F81" w:rsidP="00601F81">
      <w:pPr>
        <w:numPr>
          <w:ilvl w:val="0"/>
          <w:numId w:val="3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relevant test procedures (as stated in the White LED lighting criteria)</w:t>
      </w:r>
    </w:p>
    <w:p w:rsidR="00601F81" w:rsidRPr="00601F81" w:rsidRDefault="00601F81" w:rsidP="00601F81">
      <w:pPr>
        <w:spacing w:before="3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Other</w:t>
      </w:r>
    </w:p>
    <w:p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This product checklist is accompanied by:</w:t>
      </w:r>
    </w:p>
    <w:p w:rsidR="00601F81" w:rsidRPr="00601F81" w:rsidRDefault="00601F81" w:rsidP="00601F81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A statement of compliance on company letter headed paper (see recommended wording below)</w:t>
      </w:r>
    </w:p>
    <w:p w:rsidR="00601F81" w:rsidRPr="00601F81" w:rsidRDefault="00601F81" w:rsidP="00601F81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A technical datasheet to support the compliance claims (EU1194/2012 details the product data requirements that must be made available upon request)</w:t>
      </w: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[INSERT COMPANY LETTERHEAD / LOGO]</w:t>
      </w: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760318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Statement of compliance </w:t>
      </w: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2946C7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[Company name] confirms that product</w:t>
      </w:r>
      <w:r w:rsidR="002946C7">
        <w:rPr>
          <w:rFonts w:ascii="Calibri" w:eastAsia="Calibri" w:hAnsi="Calibri"/>
          <w:sz w:val="22"/>
          <w:szCs w:val="22"/>
          <w:lang w:eastAsia="en-US"/>
        </w:rPr>
        <w:t>(s)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46C7" w:rsidRPr="00601F81">
        <w:rPr>
          <w:rFonts w:ascii="Calibri" w:eastAsia="Calibri" w:hAnsi="Calibri"/>
          <w:sz w:val="22"/>
          <w:szCs w:val="22"/>
          <w:lang w:eastAsia="en-US"/>
        </w:rPr>
        <w:t>name</w:t>
      </w:r>
      <w:r w:rsidR="002946C7">
        <w:rPr>
          <w:rFonts w:ascii="Calibri" w:eastAsia="Calibri" w:hAnsi="Calibri"/>
          <w:sz w:val="22"/>
          <w:szCs w:val="22"/>
          <w:lang w:eastAsia="en-US"/>
        </w:rPr>
        <w:t>d</w:t>
      </w:r>
      <w:r w:rsidR="002946C7"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46C7">
        <w:rPr>
          <w:rFonts w:ascii="Calibri" w:eastAsia="Calibri" w:hAnsi="Calibri"/>
          <w:sz w:val="22"/>
          <w:szCs w:val="22"/>
          <w:lang w:eastAsia="en-US"/>
        </w:rPr>
        <w:t xml:space="preserve">on the White LED Lighting Units </w:t>
      </w:r>
      <w:r w:rsidR="002946C7" w:rsidRPr="004B6D8B">
        <w:rPr>
          <w:rFonts w:ascii="Calibri" w:eastAsia="Calibri" w:hAnsi="Calibri"/>
          <w:sz w:val="22"/>
          <w:szCs w:val="22"/>
          <w:lang w:eastAsia="en-US"/>
        </w:rPr>
        <w:t>Product Compliance Checklist</w:t>
      </w:r>
      <w:r w:rsidR="002946C7">
        <w:rPr>
          <w:rFonts w:ascii="Calibri" w:eastAsia="Calibri" w:hAnsi="Calibri"/>
          <w:sz w:val="22"/>
          <w:szCs w:val="22"/>
          <w:lang w:eastAsia="en-US"/>
        </w:rPr>
        <w:t xml:space="preserve"> meet all </w:t>
      </w:r>
      <w:r w:rsidR="00760318">
        <w:rPr>
          <w:rFonts w:ascii="Calibri" w:eastAsia="Calibri" w:hAnsi="Calibri"/>
          <w:sz w:val="22"/>
          <w:szCs w:val="22"/>
          <w:lang w:eastAsia="en-US"/>
        </w:rPr>
        <w:t xml:space="preserve">eligibility requirements of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the Energy Technology List White LED lighting criteria. </w:t>
      </w:r>
    </w:p>
    <w:p w:rsidR="002946C7" w:rsidRDefault="002946C7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2946C7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</w:t>
      </w:r>
      <w:r w:rsidRPr="00601F81">
        <w:rPr>
          <w:rFonts w:ascii="Calibri" w:eastAsia="Calibri" w:hAnsi="Calibri"/>
          <w:sz w:val="22"/>
          <w:szCs w:val="22"/>
          <w:lang w:eastAsia="en-US"/>
        </w:rPr>
        <w:t>echnical datasheets have been provided to support this statement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of compliance and the White LED Lighting Units</w:t>
      </w:r>
      <w:r w:rsidR="004B6D8B" w:rsidRPr="004B6D8B">
        <w:rPr>
          <w:rFonts w:ascii="Calibri" w:eastAsia="Calibri" w:hAnsi="Calibri"/>
          <w:sz w:val="22"/>
          <w:szCs w:val="22"/>
          <w:lang w:eastAsia="en-US"/>
        </w:rPr>
        <w:t xml:space="preserve"> Product Compliance Checklist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>We confirm that the relevant CE Mark Certificates of Conformity are available and will be provided on request.</w:t>
      </w: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Signed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>Date</w:t>
      </w:r>
    </w:p>
    <w:p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>_________________________________</w:t>
      </w:r>
    </w:p>
    <w:p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Print name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 xml:space="preserve">Job title 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</w:p>
    <w:p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>_________________________________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</w:p>
    <w:p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i/>
          <w:iCs/>
          <w:color w:val="808080"/>
          <w:sz w:val="22"/>
          <w:szCs w:val="22"/>
          <w:lang w:eastAsia="en-US"/>
        </w:rPr>
      </w:pPr>
    </w:p>
    <w:p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>(</w:t>
      </w:r>
      <w:r w:rsidR="00936558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>A</w:t>
      </w:r>
      <w:r w:rsidRPr="00601F81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 xml:space="preserve"> statement of compliance is required for an Enhanced Capital Allowance claim. The customer must retain a copy of </w:t>
      </w:r>
      <w:r w:rsidR="00936558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>the</w:t>
      </w:r>
      <w:r w:rsidRPr="00601F81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 xml:space="preserve"> statement, the supporting evidence and proof of purchase.</w:t>
      </w:r>
      <w:r w:rsidR="00936558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>)</w:t>
      </w:r>
      <w:r w:rsidRPr="00601F81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 xml:space="preserve"> </w:t>
      </w:r>
    </w:p>
    <w:p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ab/>
      </w:r>
    </w:p>
    <w:p w:rsidR="00601F81" w:rsidRPr="00601F81" w:rsidRDefault="00601F81" w:rsidP="00601F81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24F52" w:rsidRDefault="00324F52" w:rsidP="00324F52">
      <w:pPr>
        <w:jc w:val="both"/>
        <w:rPr>
          <w:szCs w:val="20"/>
        </w:rPr>
      </w:pPr>
    </w:p>
    <w:sectPr w:rsidR="00324F52" w:rsidSect="001D2CA7">
      <w:headerReference w:type="default" r:id="rId15"/>
      <w:headerReference w:type="first" r:id="rId16"/>
      <w:footerReference w:type="first" r:id="rId17"/>
      <w:pgSz w:w="11906" w:h="16838" w:code="9"/>
      <w:pgMar w:top="1077" w:right="1134" w:bottom="3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35" w:rsidRDefault="00DE0A35">
      <w:r>
        <w:separator/>
      </w:r>
    </w:p>
  </w:endnote>
  <w:endnote w:type="continuationSeparator" w:id="0">
    <w:p w:rsidR="00DE0A35" w:rsidRDefault="00DE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76"/>
    </w:tblGrid>
    <w:tr w:rsidR="008C141B" w:rsidTr="000B3A29">
      <w:tc>
        <w:tcPr>
          <w:tcW w:w="10576" w:type="dxa"/>
        </w:tcPr>
        <w:p w:rsidR="008C141B" w:rsidRPr="00003914" w:rsidRDefault="008C141B" w:rsidP="00324F52">
          <w:pPr>
            <w:pStyle w:val="Footer"/>
            <w:rPr>
              <w:sz w:val="10"/>
              <w:szCs w:val="10"/>
            </w:rPr>
          </w:pPr>
        </w:p>
      </w:tc>
    </w:tr>
  </w:tbl>
  <w:p w:rsidR="008C141B" w:rsidRPr="00AB331E" w:rsidRDefault="008C141B" w:rsidP="000B3A29">
    <w:pPr>
      <w:pStyle w:val="Footer"/>
      <w:jc w:val="center"/>
      <w:rPr>
        <w:sz w:val="8"/>
        <w:szCs w:val="8"/>
      </w:rPr>
    </w:pPr>
    <w:r>
      <w:rPr>
        <w:noProof/>
        <w:szCs w:val="20"/>
      </w:rPr>
      <w:drawing>
        <wp:anchor distT="0" distB="0" distL="114300" distR="114300" simplePos="0" relativeHeight="251658752" behindDoc="1" locked="1" layoutInCell="1" allowOverlap="1" wp14:anchorId="6EB8CFAF" wp14:editId="43045746">
          <wp:simplePos x="0" y="0"/>
          <wp:positionH relativeFrom="page">
            <wp:posOffset>540385</wp:posOffset>
          </wp:positionH>
          <wp:positionV relativeFrom="page">
            <wp:posOffset>10020935</wp:posOffset>
          </wp:positionV>
          <wp:extent cx="6480175" cy="567055"/>
          <wp:effectExtent l="0" t="0" r="0" b="4445"/>
          <wp:wrapNone/>
          <wp:docPr id="19" name="Picture 19" descr="FINAL_RIBBON–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INAL_RIBBON–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41B" w:rsidRPr="00AB331E" w:rsidRDefault="008C141B" w:rsidP="000B3A29">
    <w:pPr>
      <w:pStyle w:val="Footer"/>
      <w:jc w:val="center"/>
      <w:rPr>
        <w:sz w:val="8"/>
        <w:szCs w:val="8"/>
      </w:rPr>
    </w:pPr>
  </w:p>
  <w:p w:rsidR="008C141B" w:rsidRPr="00AB331E" w:rsidRDefault="008C141B" w:rsidP="000B3A29">
    <w:pPr>
      <w:pStyle w:val="Footer"/>
      <w:jc w:val="center"/>
      <w:rPr>
        <w:sz w:val="8"/>
        <w:szCs w:val="8"/>
      </w:rPr>
    </w:pPr>
  </w:p>
  <w:p w:rsidR="008C141B" w:rsidRPr="00AB331E" w:rsidRDefault="008C141B" w:rsidP="000B3A29">
    <w:pPr>
      <w:pStyle w:val="Footer"/>
      <w:jc w:val="center"/>
      <w:rPr>
        <w:sz w:val="8"/>
        <w:szCs w:val="8"/>
      </w:rPr>
    </w:pPr>
  </w:p>
  <w:p w:rsidR="008C141B" w:rsidRPr="00AB331E" w:rsidRDefault="008C141B" w:rsidP="000B3A29">
    <w:pPr>
      <w:pStyle w:val="Footer"/>
      <w:jc w:val="center"/>
      <w:rPr>
        <w:sz w:val="8"/>
        <w:szCs w:val="8"/>
      </w:rPr>
    </w:pPr>
  </w:p>
  <w:p w:rsidR="008C141B" w:rsidRPr="000B3A29" w:rsidRDefault="008C141B" w:rsidP="000B3A29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35" w:rsidRDefault="00DE0A35">
      <w:r>
        <w:separator/>
      </w:r>
    </w:p>
  </w:footnote>
  <w:footnote w:type="continuationSeparator" w:id="0">
    <w:p w:rsidR="00DE0A35" w:rsidRDefault="00DE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B" w:rsidRDefault="008C141B" w:rsidP="000B3A29">
    <w:pPr>
      <w:pStyle w:val="Header"/>
      <w:jc w:val="right"/>
    </w:pPr>
  </w:p>
  <w:p w:rsidR="00760318" w:rsidRDefault="00137F62" w:rsidP="00324F52">
    <w:pPr>
      <w:pStyle w:val="Header"/>
      <w:rPr>
        <w:sz w:val="16"/>
        <w:szCs w:val="16"/>
      </w:rPr>
    </w:pPr>
    <w:r>
      <w:rPr>
        <w:sz w:val="16"/>
        <w:szCs w:val="16"/>
      </w:rPr>
      <w:t xml:space="preserve">Guidance Note 12: </w:t>
    </w:r>
  </w:p>
  <w:p w:rsidR="00324F52" w:rsidRPr="002A3874" w:rsidRDefault="00137F62" w:rsidP="00324F52">
    <w:pPr>
      <w:pStyle w:val="Header"/>
      <w:rPr>
        <w:sz w:val="16"/>
        <w:szCs w:val="16"/>
      </w:rPr>
    </w:pPr>
    <w:r>
      <w:rPr>
        <w:sz w:val="16"/>
        <w:szCs w:val="16"/>
      </w:rPr>
      <w:t xml:space="preserve">White LED </w:t>
    </w:r>
    <w:r w:rsidR="006E6C72">
      <w:rPr>
        <w:sz w:val="16"/>
        <w:szCs w:val="16"/>
      </w:rPr>
      <w:t xml:space="preserve">Lighting Units </w:t>
    </w:r>
    <w:r>
      <w:rPr>
        <w:sz w:val="16"/>
        <w:szCs w:val="16"/>
      </w:rPr>
      <w:t>Checklist and Statement</w:t>
    </w:r>
    <w:r w:rsidR="00324F52" w:rsidRPr="002A3874">
      <w:rPr>
        <w:sz w:val="16"/>
        <w:szCs w:val="16"/>
      </w:rPr>
      <w:t xml:space="preserve"> </w:t>
    </w:r>
    <w:r w:rsidR="002A3874" w:rsidRPr="002A3874">
      <w:rPr>
        <w:sz w:val="16"/>
        <w:szCs w:val="16"/>
      </w:rPr>
      <w:br/>
    </w:r>
    <w:r w:rsidR="00324F52" w:rsidRPr="002A3874">
      <w:rPr>
        <w:sz w:val="16"/>
        <w:szCs w:val="16"/>
      </w:rPr>
      <w:t>Energy Tec</w:t>
    </w:r>
    <w:r w:rsidR="00AE5F2F">
      <w:rPr>
        <w:sz w:val="16"/>
        <w:szCs w:val="16"/>
      </w:rPr>
      <w:t>hnology List (ETL</w:t>
    </w:r>
    <w:r w:rsidR="00D008E4">
      <w:rPr>
        <w:sz w:val="16"/>
        <w:szCs w:val="16"/>
      </w:rPr>
      <w:t xml:space="preserve">) </w:t>
    </w:r>
    <w:r w:rsidR="00AE5F2F">
      <w:rPr>
        <w:sz w:val="16"/>
        <w:szCs w:val="16"/>
      </w:rPr>
      <w:br/>
      <w:t>V.1. January 2017</w:t>
    </w:r>
  </w:p>
  <w:p w:rsidR="008C141B" w:rsidRPr="007A4BAC" w:rsidRDefault="008C141B" w:rsidP="000B3A2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B" w:rsidRDefault="008C141B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741C7269" wp14:editId="025E1784">
          <wp:simplePos x="0" y="0"/>
          <wp:positionH relativeFrom="page">
            <wp:posOffset>5796915</wp:posOffset>
          </wp:positionH>
          <wp:positionV relativeFrom="page">
            <wp:posOffset>521970</wp:posOffset>
          </wp:positionV>
          <wp:extent cx="1303020" cy="828040"/>
          <wp:effectExtent l="0" t="0" r="0" b="0"/>
          <wp:wrapNone/>
          <wp:docPr id="17" name="Picture 17" descr="CT_master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T_master_logo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C72" w:rsidRDefault="006E6C72" w:rsidP="006E6C72">
    <w:pPr>
      <w:pStyle w:val="Header"/>
      <w:rPr>
        <w:sz w:val="16"/>
        <w:szCs w:val="16"/>
      </w:rPr>
    </w:pPr>
    <w:r>
      <w:rPr>
        <w:sz w:val="16"/>
        <w:szCs w:val="16"/>
      </w:rPr>
      <w:t xml:space="preserve">Guidance Note 12: </w:t>
    </w:r>
  </w:p>
  <w:p w:rsidR="006E6C72" w:rsidRPr="002A3874" w:rsidRDefault="006E6C72" w:rsidP="006E6C72">
    <w:pPr>
      <w:pStyle w:val="Header"/>
      <w:rPr>
        <w:sz w:val="16"/>
        <w:szCs w:val="16"/>
      </w:rPr>
    </w:pPr>
    <w:r>
      <w:rPr>
        <w:sz w:val="16"/>
        <w:szCs w:val="16"/>
      </w:rPr>
      <w:t>White LED Lighting Units Checklist and Statement</w:t>
    </w:r>
    <w:r w:rsidRPr="002A3874">
      <w:rPr>
        <w:sz w:val="16"/>
        <w:szCs w:val="16"/>
      </w:rPr>
      <w:t xml:space="preserve"> </w:t>
    </w:r>
    <w:r w:rsidRPr="002A3874">
      <w:rPr>
        <w:sz w:val="16"/>
        <w:szCs w:val="16"/>
      </w:rPr>
      <w:br/>
      <w:t>Energy Tec</w:t>
    </w:r>
    <w:r>
      <w:rPr>
        <w:sz w:val="16"/>
        <w:szCs w:val="16"/>
      </w:rPr>
      <w:t>hnology List (ETL</w:t>
    </w:r>
    <w:r w:rsidR="00D008E4">
      <w:rPr>
        <w:sz w:val="16"/>
        <w:szCs w:val="16"/>
      </w:rPr>
      <w:t xml:space="preserve">) </w:t>
    </w:r>
    <w:r>
      <w:rPr>
        <w:sz w:val="16"/>
        <w:szCs w:val="16"/>
      </w:rPr>
      <w:br/>
      <w:t>V.1. January 2017</w:t>
    </w:r>
  </w:p>
  <w:p w:rsidR="008C141B" w:rsidRPr="000B3A29" w:rsidRDefault="008C141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5pt;height:180.5pt" o:bullet="t">
        <v:imagedata r:id="rId1" o:title="art2C"/>
      </v:shape>
    </w:pict>
  </w:numPicBullet>
  <w:abstractNum w:abstractNumId="0" w15:restartNumberingAfterBreak="0">
    <w:nsid w:val="02B162F7"/>
    <w:multiLevelType w:val="hybridMultilevel"/>
    <w:tmpl w:val="D4B0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F25"/>
    <w:multiLevelType w:val="hybridMultilevel"/>
    <w:tmpl w:val="B47A49FC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0263"/>
    <w:multiLevelType w:val="hybridMultilevel"/>
    <w:tmpl w:val="64C6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B8A"/>
    <w:multiLevelType w:val="multilevel"/>
    <w:tmpl w:val="1A2C581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87"/>
        </w:tabs>
        <w:ind w:left="299" w:hanging="432"/>
      </w:pPr>
      <w:rPr>
        <w:rFonts w:ascii="Trebuchet MS" w:hAnsi="Trebuchet MS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47"/>
        </w:tabs>
        <w:ind w:left="731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7"/>
        </w:tabs>
        <w:ind w:left="1235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87"/>
        </w:tabs>
        <w:ind w:left="1739" w:hanging="792"/>
      </w:pPr>
      <w:rPr>
        <w:rFonts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47"/>
        </w:tabs>
        <w:ind w:left="22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7"/>
        </w:tabs>
        <w:ind w:left="27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2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7"/>
        </w:tabs>
        <w:ind w:left="3827" w:hanging="1440"/>
      </w:pPr>
      <w:rPr>
        <w:rFonts w:cs="Times New Roman" w:hint="default"/>
      </w:rPr>
    </w:lvl>
  </w:abstractNum>
  <w:abstractNum w:abstractNumId="4" w15:restartNumberingAfterBreak="0">
    <w:nsid w:val="0C80432A"/>
    <w:multiLevelType w:val="hybridMultilevel"/>
    <w:tmpl w:val="5C361DE8"/>
    <w:lvl w:ilvl="0" w:tplc="ADD09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43B"/>
    <w:multiLevelType w:val="hybridMultilevel"/>
    <w:tmpl w:val="D7741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3639"/>
    <w:multiLevelType w:val="hybridMultilevel"/>
    <w:tmpl w:val="C73A9B4A"/>
    <w:lvl w:ilvl="0" w:tplc="C7208A42">
      <w:start w:val="1"/>
      <w:numFmt w:val="bullet"/>
      <w:pStyle w:val="List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D18"/>
    <w:multiLevelType w:val="hybridMultilevel"/>
    <w:tmpl w:val="C954519C"/>
    <w:lvl w:ilvl="0" w:tplc="629462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631A0"/>
    <w:multiLevelType w:val="hybridMultilevel"/>
    <w:tmpl w:val="352C55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3123A"/>
    <w:multiLevelType w:val="hybridMultilevel"/>
    <w:tmpl w:val="DAEE9C0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B7622"/>
    <w:multiLevelType w:val="hybridMultilevel"/>
    <w:tmpl w:val="7AFECA04"/>
    <w:lvl w:ilvl="0" w:tplc="980A54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043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896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656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A0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87D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8A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C71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6C2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0F4373"/>
    <w:multiLevelType w:val="hybridMultilevel"/>
    <w:tmpl w:val="C89C8650"/>
    <w:lvl w:ilvl="0" w:tplc="FC0C1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1B6"/>
    <w:multiLevelType w:val="hybridMultilevel"/>
    <w:tmpl w:val="2CF6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F58B2"/>
    <w:multiLevelType w:val="hybridMultilevel"/>
    <w:tmpl w:val="CAC6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7F8"/>
    <w:multiLevelType w:val="hybridMultilevel"/>
    <w:tmpl w:val="84588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7732A"/>
    <w:multiLevelType w:val="multilevel"/>
    <w:tmpl w:val="B7B8A2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4724739E"/>
    <w:multiLevelType w:val="hybridMultilevel"/>
    <w:tmpl w:val="99643DA2"/>
    <w:lvl w:ilvl="0" w:tplc="E5208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C1A02">
      <w:start w:val="35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603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C30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1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AF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FAC0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073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056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A40FD9"/>
    <w:multiLevelType w:val="hybridMultilevel"/>
    <w:tmpl w:val="43E4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4FF"/>
    <w:multiLevelType w:val="hybridMultilevel"/>
    <w:tmpl w:val="A29E014A"/>
    <w:lvl w:ilvl="0" w:tplc="EF9A80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F65D01"/>
    <w:multiLevelType w:val="hybridMultilevel"/>
    <w:tmpl w:val="ED2AE792"/>
    <w:lvl w:ilvl="0" w:tplc="D1C8922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F05B54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12089B"/>
    <w:multiLevelType w:val="hybridMultilevel"/>
    <w:tmpl w:val="13FAD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6E71"/>
    <w:multiLevelType w:val="hybridMultilevel"/>
    <w:tmpl w:val="7714A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94DFF"/>
    <w:multiLevelType w:val="hybridMultilevel"/>
    <w:tmpl w:val="D5A2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7AB2"/>
    <w:multiLevelType w:val="hybridMultilevel"/>
    <w:tmpl w:val="99E0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39AE"/>
    <w:multiLevelType w:val="hybridMultilevel"/>
    <w:tmpl w:val="0B2AA590"/>
    <w:lvl w:ilvl="0" w:tplc="BA666F82">
      <w:start w:val="1"/>
      <w:numFmt w:val="bullet"/>
      <w:lvlText w:val="•"/>
      <w:lvlJc w:val="left"/>
      <w:pPr>
        <w:ind w:left="360" w:hanging="360"/>
      </w:pPr>
      <w:rPr>
        <w:rFonts w:ascii="Verdana" w:hAnsi="Verdana" w:hint="default"/>
        <w:b w:val="0"/>
        <w:i w:val="0"/>
        <w:color w:val="F79646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15748"/>
    <w:multiLevelType w:val="hybridMultilevel"/>
    <w:tmpl w:val="C548F85A"/>
    <w:lvl w:ilvl="0" w:tplc="E34C98B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388"/>
    <w:multiLevelType w:val="hybridMultilevel"/>
    <w:tmpl w:val="DF6E3224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742EB"/>
    <w:multiLevelType w:val="hybridMultilevel"/>
    <w:tmpl w:val="AADC3672"/>
    <w:lvl w:ilvl="0" w:tplc="130AB44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7040"/>
    <w:multiLevelType w:val="hybridMultilevel"/>
    <w:tmpl w:val="2B42D99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56F77"/>
    <w:multiLevelType w:val="hybridMultilevel"/>
    <w:tmpl w:val="E660A58E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42B17"/>
    <w:multiLevelType w:val="hybridMultilevel"/>
    <w:tmpl w:val="9A4CF2F8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E63CC"/>
    <w:multiLevelType w:val="hybridMultilevel"/>
    <w:tmpl w:val="C06C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2B7F"/>
    <w:multiLevelType w:val="hybridMultilevel"/>
    <w:tmpl w:val="C520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11ECE"/>
    <w:multiLevelType w:val="hybridMultilevel"/>
    <w:tmpl w:val="F21A72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77377"/>
    <w:multiLevelType w:val="hybridMultilevel"/>
    <w:tmpl w:val="F30A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0B55"/>
    <w:multiLevelType w:val="hybridMultilevel"/>
    <w:tmpl w:val="5394D588"/>
    <w:lvl w:ilvl="0" w:tplc="BA666F82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F79646"/>
        <w:sz w:val="24"/>
      </w:rPr>
    </w:lvl>
    <w:lvl w:ilvl="1" w:tplc="BA666F82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b w:val="0"/>
        <w:i w:val="0"/>
        <w:color w:val="F79646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328E1"/>
    <w:multiLevelType w:val="hybridMultilevel"/>
    <w:tmpl w:val="EB8AA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20"/>
  </w:num>
  <w:num w:numId="5">
    <w:abstractNumId w:val="16"/>
  </w:num>
  <w:num w:numId="6">
    <w:abstractNumId w:val="25"/>
  </w:num>
  <w:num w:numId="7">
    <w:abstractNumId w:val="10"/>
  </w:num>
  <w:num w:numId="8">
    <w:abstractNumId w:val="0"/>
  </w:num>
  <w:num w:numId="9">
    <w:abstractNumId w:val="17"/>
  </w:num>
  <w:num w:numId="10">
    <w:abstractNumId w:val="31"/>
  </w:num>
  <w:num w:numId="11">
    <w:abstractNumId w:val="5"/>
  </w:num>
  <w:num w:numId="12">
    <w:abstractNumId w:val="3"/>
  </w:num>
  <w:num w:numId="13">
    <w:abstractNumId w:val="6"/>
  </w:num>
  <w:num w:numId="14">
    <w:abstractNumId w:val="35"/>
  </w:num>
  <w:num w:numId="15">
    <w:abstractNumId w:val="8"/>
  </w:num>
  <w:num w:numId="16">
    <w:abstractNumId w:val="24"/>
  </w:num>
  <w:num w:numId="17">
    <w:abstractNumId w:val="9"/>
  </w:num>
  <w:num w:numId="18">
    <w:abstractNumId w:val="21"/>
  </w:num>
  <w:num w:numId="19">
    <w:abstractNumId w:val="14"/>
  </w:num>
  <w:num w:numId="20">
    <w:abstractNumId w:val="19"/>
  </w:num>
  <w:num w:numId="21">
    <w:abstractNumId w:val="18"/>
  </w:num>
  <w:num w:numId="22">
    <w:abstractNumId w:val="34"/>
  </w:num>
  <w:num w:numId="23">
    <w:abstractNumId w:val="12"/>
  </w:num>
  <w:num w:numId="24">
    <w:abstractNumId w:val="23"/>
  </w:num>
  <w:num w:numId="25">
    <w:abstractNumId w:val="4"/>
  </w:num>
  <w:num w:numId="26">
    <w:abstractNumId w:val="27"/>
  </w:num>
  <w:num w:numId="27">
    <w:abstractNumId w:val="2"/>
  </w:num>
  <w:num w:numId="28">
    <w:abstractNumId w:val="22"/>
  </w:num>
  <w:num w:numId="29">
    <w:abstractNumId w:val="33"/>
  </w:num>
  <w:num w:numId="30">
    <w:abstractNumId w:val="36"/>
  </w:num>
  <w:num w:numId="31">
    <w:abstractNumId w:val="13"/>
  </w:num>
  <w:num w:numId="32">
    <w:abstractNumId w:val="32"/>
  </w:num>
  <w:num w:numId="33">
    <w:abstractNumId w:val="7"/>
  </w:num>
  <w:num w:numId="34">
    <w:abstractNumId w:val="1"/>
  </w:num>
  <w:num w:numId="35">
    <w:abstractNumId w:val="2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0E"/>
    <w:rsid w:val="00000E44"/>
    <w:rsid w:val="0000567A"/>
    <w:rsid w:val="00016DE5"/>
    <w:rsid w:val="00021F1F"/>
    <w:rsid w:val="00041CBD"/>
    <w:rsid w:val="0005179C"/>
    <w:rsid w:val="00057311"/>
    <w:rsid w:val="000A1FB1"/>
    <w:rsid w:val="000B1D1E"/>
    <w:rsid w:val="000B1F91"/>
    <w:rsid w:val="000B3A29"/>
    <w:rsid w:val="000B4841"/>
    <w:rsid w:val="000B51A1"/>
    <w:rsid w:val="000C0161"/>
    <w:rsid w:val="000C2678"/>
    <w:rsid w:val="000C55EC"/>
    <w:rsid w:val="000E415E"/>
    <w:rsid w:val="000F6921"/>
    <w:rsid w:val="000F72AD"/>
    <w:rsid w:val="00103608"/>
    <w:rsid w:val="001113EA"/>
    <w:rsid w:val="001115BC"/>
    <w:rsid w:val="00113717"/>
    <w:rsid w:val="001156E8"/>
    <w:rsid w:val="00121E57"/>
    <w:rsid w:val="00130242"/>
    <w:rsid w:val="00130C3B"/>
    <w:rsid w:val="00137F62"/>
    <w:rsid w:val="00140E33"/>
    <w:rsid w:val="001421D1"/>
    <w:rsid w:val="00152936"/>
    <w:rsid w:val="001615B2"/>
    <w:rsid w:val="00163DA5"/>
    <w:rsid w:val="00177D4F"/>
    <w:rsid w:val="00181AB3"/>
    <w:rsid w:val="001A5640"/>
    <w:rsid w:val="001A5EF9"/>
    <w:rsid w:val="001B4414"/>
    <w:rsid w:val="001C5BCB"/>
    <w:rsid w:val="001D2CA7"/>
    <w:rsid w:val="00213E29"/>
    <w:rsid w:val="0021559D"/>
    <w:rsid w:val="0023223E"/>
    <w:rsid w:val="002358E8"/>
    <w:rsid w:val="00260F60"/>
    <w:rsid w:val="00277C62"/>
    <w:rsid w:val="00283B92"/>
    <w:rsid w:val="002904E7"/>
    <w:rsid w:val="00291D08"/>
    <w:rsid w:val="002935AB"/>
    <w:rsid w:val="00294272"/>
    <w:rsid w:val="002946C7"/>
    <w:rsid w:val="002A3874"/>
    <w:rsid w:val="002A5237"/>
    <w:rsid w:val="002A5B63"/>
    <w:rsid w:val="002B101B"/>
    <w:rsid w:val="002B4620"/>
    <w:rsid w:val="002C30E3"/>
    <w:rsid w:val="002C61AD"/>
    <w:rsid w:val="002C7C87"/>
    <w:rsid w:val="002D5FE7"/>
    <w:rsid w:val="002E33A3"/>
    <w:rsid w:val="00301122"/>
    <w:rsid w:val="00312332"/>
    <w:rsid w:val="00315A8E"/>
    <w:rsid w:val="00324F52"/>
    <w:rsid w:val="003272C1"/>
    <w:rsid w:val="003321B7"/>
    <w:rsid w:val="00337143"/>
    <w:rsid w:val="003500F1"/>
    <w:rsid w:val="00362A75"/>
    <w:rsid w:val="00363F91"/>
    <w:rsid w:val="0038201A"/>
    <w:rsid w:val="00384776"/>
    <w:rsid w:val="003905CE"/>
    <w:rsid w:val="003C657A"/>
    <w:rsid w:val="003D338B"/>
    <w:rsid w:val="003D3464"/>
    <w:rsid w:val="003E2879"/>
    <w:rsid w:val="003F075A"/>
    <w:rsid w:val="004008B7"/>
    <w:rsid w:val="00401750"/>
    <w:rsid w:val="00402343"/>
    <w:rsid w:val="00404582"/>
    <w:rsid w:val="00410268"/>
    <w:rsid w:val="00410E3E"/>
    <w:rsid w:val="004132E7"/>
    <w:rsid w:val="00414B06"/>
    <w:rsid w:val="00432BCC"/>
    <w:rsid w:val="0045460B"/>
    <w:rsid w:val="0046458D"/>
    <w:rsid w:val="004703D9"/>
    <w:rsid w:val="00483817"/>
    <w:rsid w:val="00487D40"/>
    <w:rsid w:val="004A6B49"/>
    <w:rsid w:val="004B37F7"/>
    <w:rsid w:val="004B6D8B"/>
    <w:rsid w:val="004C22D4"/>
    <w:rsid w:val="004C47F9"/>
    <w:rsid w:val="004C7167"/>
    <w:rsid w:val="004D43B1"/>
    <w:rsid w:val="004E3CD8"/>
    <w:rsid w:val="0050578C"/>
    <w:rsid w:val="00526B46"/>
    <w:rsid w:val="00537419"/>
    <w:rsid w:val="00545313"/>
    <w:rsid w:val="0054551E"/>
    <w:rsid w:val="00550EFC"/>
    <w:rsid w:val="00554A38"/>
    <w:rsid w:val="00567FAB"/>
    <w:rsid w:val="00596110"/>
    <w:rsid w:val="005A7C56"/>
    <w:rsid w:val="005B723C"/>
    <w:rsid w:val="005D1E8B"/>
    <w:rsid w:val="005D57C5"/>
    <w:rsid w:val="00601F81"/>
    <w:rsid w:val="006029D4"/>
    <w:rsid w:val="00624648"/>
    <w:rsid w:val="0062542C"/>
    <w:rsid w:val="006552B0"/>
    <w:rsid w:val="00662FF6"/>
    <w:rsid w:val="0067106C"/>
    <w:rsid w:val="00677C72"/>
    <w:rsid w:val="00684EAE"/>
    <w:rsid w:val="00691BDF"/>
    <w:rsid w:val="006B40E5"/>
    <w:rsid w:val="006C3A07"/>
    <w:rsid w:val="006C63FF"/>
    <w:rsid w:val="006D025B"/>
    <w:rsid w:val="006D0F1C"/>
    <w:rsid w:val="006E1175"/>
    <w:rsid w:val="006E6C72"/>
    <w:rsid w:val="006E7AC7"/>
    <w:rsid w:val="006F3259"/>
    <w:rsid w:val="00701986"/>
    <w:rsid w:val="00703ECF"/>
    <w:rsid w:val="00716A89"/>
    <w:rsid w:val="00731437"/>
    <w:rsid w:val="007354CE"/>
    <w:rsid w:val="00737EAB"/>
    <w:rsid w:val="00744C38"/>
    <w:rsid w:val="00760318"/>
    <w:rsid w:val="0076375F"/>
    <w:rsid w:val="007640C9"/>
    <w:rsid w:val="0076580E"/>
    <w:rsid w:val="007773FC"/>
    <w:rsid w:val="00777C67"/>
    <w:rsid w:val="0078604C"/>
    <w:rsid w:val="0078621C"/>
    <w:rsid w:val="00786EA8"/>
    <w:rsid w:val="007978BC"/>
    <w:rsid w:val="007B6F87"/>
    <w:rsid w:val="007D3D95"/>
    <w:rsid w:val="00811CD4"/>
    <w:rsid w:val="00817061"/>
    <w:rsid w:val="00817148"/>
    <w:rsid w:val="008231B2"/>
    <w:rsid w:val="008276A7"/>
    <w:rsid w:val="00837B6B"/>
    <w:rsid w:val="00840031"/>
    <w:rsid w:val="008421BD"/>
    <w:rsid w:val="00843A0C"/>
    <w:rsid w:val="00852DC5"/>
    <w:rsid w:val="00870367"/>
    <w:rsid w:val="00885056"/>
    <w:rsid w:val="008862CA"/>
    <w:rsid w:val="008951A3"/>
    <w:rsid w:val="008C141B"/>
    <w:rsid w:val="008C2BC0"/>
    <w:rsid w:val="008C68F5"/>
    <w:rsid w:val="008E4192"/>
    <w:rsid w:val="008E4CAC"/>
    <w:rsid w:val="00903E2B"/>
    <w:rsid w:val="009208F4"/>
    <w:rsid w:val="00936558"/>
    <w:rsid w:val="0094111D"/>
    <w:rsid w:val="00950535"/>
    <w:rsid w:val="00957768"/>
    <w:rsid w:val="00972045"/>
    <w:rsid w:val="009755F9"/>
    <w:rsid w:val="009A0D51"/>
    <w:rsid w:val="009A4472"/>
    <w:rsid w:val="009C0E85"/>
    <w:rsid w:val="009C7923"/>
    <w:rsid w:val="009D15BA"/>
    <w:rsid w:val="009E5B80"/>
    <w:rsid w:val="009F3E81"/>
    <w:rsid w:val="009F5D37"/>
    <w:rsid w:val="00A0332E"/>
    <w:rsid w:val="00A13EE2"/>
    <w:rsid w:val="00A260B3"/>
    <w:rsid w:val="00A33682"/>
    <w:rsid w:val="00A35C7C"/>
    <w:rsid w:val="00A44D42"/>
    <w:rsid w:val="00A4667E"/>
    <w:rsid w:val="00A51A5D"/>
    <w:rsid w:val="00A52CC8"/>
    <w:rsid w:val="00A55D6F"/>
    <w:rsid w:val="00A85E13"/>
    <w:rsid w:val="00AA4FA3"/>
    <w:rsid w:val="00AA545A"/>
    <w:rsid w:val="00AC091D"/>
    <w:rsid w:val="00AC50B2"/>
    <w:rsid w:val="00AD0697"/>
    <w:rsid w:val="00AD0D5B"/>
    <w:rsid w:val="00AD46EB"/>
    <w:rsid w:val="00AD48DE"/>
    <w:rsid w:val="00AE2D25"/>
    <w:rsid w:val="00AE5F2F"/>
    <w:rsid w:val="00AF004D"/>
    <w:rsid w:val="00B36667"/>
    <w:rsid w:val="00B43242"/>
    <w:rsid w:val="00B46351"/>
    <w:rsid w:val="00B50D7F"/>
    <w:rsid w:val="00B65729"/>
    <w:rsid w:val="00B70D3D"/>
    <w:rsid w:val="00B7650D"/>
    <w:rsid w:val="00B8423F"/>
    <w:rsid w:val="00BA1A9A"/>
    <w:rsid w:val="00BB69AA"/>
    <w:rsid w:val="00BC4139"/>
    <w:rsid w:val="00BD22D2"/>
    <w:rsid w:val="00BD3D96"/>
    <w:rsid w:val="00BD741D"/>
    <w:rsid w:val="00BD764D"/>
    <w:rsid w:val="00BF07FA"/>
    <w:rsid w:val="00BF1789"/>
    <w:rsid w:val="00C03C7C"/>
    <w:rsid w:val="00C040C3"/>
    <w:rsid w:val="00C062F3"/>
    <w:rsid w:val="00C12419"/>
    <w:rsid w:val="00C13EC7"/>
    <w:rsid w:val="00C22E5D"/>
    <w:rsid w:val="00C31BBC"/>
    <w:rsid w:val="00C35B87"/>
    <w:rsid w:val="00C44816"/>
    <w:rsid w:val="00C460A7"/>
    <w:rsid w:val="00C47821"/>
    <w:rsid w:val="00C86666"/>
    <w:rsid w:val="00CC55B0"/>
    <w:rsid w:val="00CC5DB6"/>
    <w:rsid w:val="00CF463F"/>
    <w:rsid w:val="00CF69C7"/>
    <w:rsid w:val="00CF7410"/>
    <w:rsid w:val="00D00118"/>
    <w:rsid w:val="00D008E4"/>
    <w:rsid w:val="00D13652"/>
    <w:rsid w:val="00D15B9D"/>
    <w:rsid w:val="00D17BC7"/>
    <w:rsid w:val="00D24641"/>
    <w:rsid w:val="00D249A0"/>
    <w:rsid w:val="00D25EC4"/>
    <w:rsid w:val="00D276B5"/>
    <w:rsid w:val="00D35A2F"/>
    <w:rsid w:val="00D546C5"/>
    <w:rsid w:val="00D749C1"/>
    <w:rsid w:val="00D806F6"/>
    <w:rsid w:val="00D850E0"/>
    <w:rsid w:val="00D97571"/>
    <w:rsid w:val="00DA7E4D"/>
    <w:rsid w:val="00DB43BD"/>
    <w:rsid w:val="00DB67A7"/>
    <w:rsid w:val="00DD279C"/>
    <w:rsid w:val="00DD30EB"/>
    <w:rsid w:val="00DE0032"/>
    <w:rsid w:val="00DE0A35"/>
    <w:rsid w:val="00DE339A"/>
    <w:rsid w:val="00DF2015"/>
    <w:rsid w:val="00DF59F3"/>
    <w:rsid w:val="00DF649A"/>
    <w:rsid w:val="00E276EB"/>
    <w:rsid w:val="00E46FD7"/>
    <w:rsid w:val="00E54EDE"/>
    <w:rsid w:val="00E55175"/>
    <w:rsid w:val="00E674F6"/>
    <w:rsid w:val="00E83205"/>
    <w:rsid w:val="00E85806"/>
    <w:rsid w:val="00E90950"/>
    <w:rsid w:val="00E9357E"/>
    <w:rsid w:val="00E95939"/>
    <w:rsid w:val="00E972AA"/>
    <w:rsid w:val="00EA19EE"/>
    <w:rsid w:val="00EB5967"/>
    <w:rsid w:val="00EB6AC2"/>
    <w:rsid w:val="00EC6158"/>
    <w:rsid w:val="00EC6C83"/>
    <w:rsid w:val="00EC7CCC"/>
    <w:rsid w:val="00ED3BF6"/>
    <w:rsid w:val="00EE08AA"/>
    <w:rsid w:val="00EE3A0E"/>
    <w:rsid w:val="00EF612C"/>
    <w:rsid w:val="00F015E7"/>
    <w:rsid w:val="00F62687"/>
    <w:rsid w:val="00F84A5A"/>
    <w:rsid w:val="00F953D3"/>
    <w:rsid w:val="00FA2876"/>
    <w:rsid w:val="00FC5C8F"/>
    <w:rsid w:val="00FE10D8"/>
    <w:rsid w:val="00FF43BF"/>
    <w:rsid w:val="00FF52A4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479B83-3699-41D5-A2AF-CDB0815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20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C22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1"/>
    <w:link w:val="Heading2Char"/>
    <w:qFormat/>
    <w:rsid w:val="00C22E5D"/>
    <w:pPr>
      <w:keepNext/>
      <w:numPr>
        <w:ilvl w:val="1"/>
        <w:numId w:val="12"/>
      </w:numPr>
      <w:spacing w:after="240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B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4B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15AF"/>
  </w:style>
  <w:style w:type="paragraph" w:styleId="BalloonText">
    <w:name w:val="Balloon Text"/>
    <w:basedOn w:val="Normal"/>
    <w:semiHidden/>
    <w:rsid w:val="00FD2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11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TBodycopy">
    <w:name w:val="CT Body copy"/>
    <w:rsid w:val="0094111D"/>
    <w:pPr>
      <w:jc w:val="both"/>
    </w:pPr>
    <w:rPr>
      <w:rFonts w:ascii="Tahoma" w:hAnsi="Tahoma" w:cs="Tahoma"/>
      <w:szCs w:val="16"/>
    </w:rPr>
  </w:style>
  <w:style w:type="character" w:customStyle="1" w:styleId="HeaderChar">
    <w:name w:val="Header Char"/>
    <w:basedOn w:val="DefaultParagraphFont"/>
    <w:link w:val="Header"/>
    <w:rsid w:val="0094111D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rsid w:val="0094111D"/>
    <w:rPr>
      <w:rFonts w:ascii="Verdana" w:hAnsi="Verdana"/>
      <w:szCs w:val="24"/>
    </w:rPr>
  </w:style>
  <w:style w:type="paragraph" w:customStyle="1" w:styleId="Body1">
    <w:name w:val="Body1"/>
    <w:basedOn w:val="Normal"/>
    <w:rsid w:val="0094111D"/>
    <w:pPr>
      <w:ind w:left="720"/>
      <w:jc w:val="both"/>
    </w:pPr>
    <w:rPr>
      <w:rFonts w:ascii="Times New Roman" w:hAnsi="Times New Roman"/>
      <w:sz w:val="22"/>
      <w:szCs w:val="20"/>
    </w:rPr>
  </w:style>
  <w:style w:type="paragraph" w:styleId="Revision">
    <w:name w:val="Revision"/>
    <w:hidden/>
    <w:uiPriority w:val="99"/>
    <w:semiHidden/>
    <w:rsid w:val="00EE3A0E"/>
    <w:rPr>
      <w:rFonts w:ascii="Verdana" w:hAnsi="Verdana"/>
      <w:szCs w:val="24"/>
    </w:rPr>
  </w:style>
  <w:style w:type="paragraph" w:styleId="Caption">
    <w:name w:val="caption"/>
    <w:basedOn w:val="Normal"/>
    <w:next w:val="Normal"/>
    <w:unhideWhenUsed/>
    <w:qFormat/>
    <w:rsid w:val="000B1D1E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3321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1B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321B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33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1B7"/>
    <w:rPr>
      <w:rFonts w:ascii="Verdana" w:hAnsi="Verdana"/>
      <w:b/>
      <w:bCs/>
    </w:rPr>
  </w:style>
  <w:style w:type="character" w:customStyle="1" w:styleId="Heading2Char">
    <w:name w:val="Heading 2 Char"/>
    <w:basedOn w:val="DefaultParagraphFont"/>
    <w:link w:val="Heading2"/>
    <w:rsid w:val="00C22E5D"/>
    <w:rPr>
      <w:rFonts w:ascii="Arial" w:hAnsi="Arial"/>
      <w:b/>
      <w:sz w:val="22"/>
    </w:rPr>
  </w:style>
  <w:style w:type="paragraph" w:customStyle="1" w:styleId="Style1">
    <w:name w:val="Style1"/>
    <w:basedOn w:val="Heading1"/>
    <w:rsid w:val="00C22E5D"/>
    <w:pPr>
      <w:keepLines w:val="0"/>
      <w:numPr>
        <w:numId w:val="12"/>
      </w:numPr>
      <w:tabs>
        <w:tab w:val="clear" w:pos="360"/>
        <w:tab w:val="left" w:pos="432"/>
      </w:tabs>
      <w:spacing w:before="240" w:after="240" w:line="360" w:lineRule="auto"/>
      <w:ind w:left="720"/>
      <w:jc w:val="both"/>
    </w:pPr>
    <w:rPr>
      <w:rFonts w:ascii="Verdana" w:eastAsia="Times New Roman" w:hAnsi="Verdana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2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0A1FB1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rsid w:val="0084003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Default">
    <w:name w:val="Default"/>
    <w:rsid w:val="00662FF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43A0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3A0C"/>
    <w:rPr>
      <w:rFonts w:ascii="Verdana" w:hAnsi="Verdana"/>
    </w:rPr>
  </w:style>
  <w:style w:type="character" w:styleId="FootnoteReference">
    <w:name w:val="footnote reference"/>
    <w:basedOn w:val="DefaultParagraphFont"/>
    <w:semiHidden/>
    <w:unhideWhenUsed/>
    <w:rsid w:val="00843A0C"/>
    <w:rPr>
      <w:vertAlign w:val="superscript"/>
    </w:rPr>
  </w:style>
  <w:style w:type="character" w:styleId="Hyperlink">
    <w:name w:val="Hyperlink"/>
    <w:basedOn w:val="DefaultParagraphFont"/>
    <w:rsid w:val="00324F52"/>
    <w:rPr>
      <w:color w:val="0000FF" w:themeColor="hyperlink"/>
      <w:u w:val="single"/>
    </w:rPr>
  </w:style>
  <w:style w:type="paragraph" w:customStyle="1" w:styleId="ReportTitle">
    <w:name w:val="Report Title"/>
    <w:basedOn w:val="Normal"/>
    <w:autoRedefine/>
    <w:rsid w:val="00324F52"/>
    <w:pPr>
      <w:ind w:right="113"/>
      <w:jc w:val="center"/>
    </w:pPr>
    <w:rPr>
      <w:b/>
      <w:sz w:val="18"/>
      <w:szCs w:val="18"/>
      <w:lang w:val="en"/>
    </w:rPr>
  </w:style>
  <w:style w:type="table" w:customStyle="1" w:styleId="TableGrid1">
    <w:name w:val="Table Grid1"/>
    <w:basedOn w:val="TableNormal"/>
    <w:next w:val="TableGrid"/>
    <w:uiPriority w:val="39"/>
    <w:rsid w:val="00601F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6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9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9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194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461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286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559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587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AQuestions@carbontrust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lighting-guidance-note-for-the-energy-technology-list-et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white-light-emitting-diode-lighting-uni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uploads/system/uploads/attachment_data/file/474456/Lighting_Guidance_Note_November_201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assification xmlns="7D7A715E-90E8-4F9C-B9E4-BBDD810C887A">Internal Use Only</Classification>
    <Description0 xmlns="7D7A715E-90E8-4F9C-B9E4-BBDD810C887A" xsi:nil="true"/>
    <Owner xmlns="7D7A715E-90E8-4F9C-B9E4-BBDD810C887A" xsi:nil="true"/>
    <Status xmlns="7D7A715E-90E8-4F9C-B9E4-BBDD810C88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FE73046FD046A0BD09684715CC3E" ma:contentTypeVersion="46" ma:contentTypeDescription="Create a new document." ma:contentTypeScope="" ma:versionID="9d7fe8ea5ce62cdad79429837dcf3572">
  <xsd:schema xmlns:xsd="http://www.w3.org/2001/XMLSchema" xmlns:xs="http://www.w3.org/2001/XMLSchema" xmlns:p="http://schemas.microsoft.com/office/2006/metadata/properties" xmlns:ns2="7D7A715E-90E8-4F9C-B9E4-BBDD810C887A" targetNamespace="http://schemas.microsoft.com/office/2006/metadata/properties" ma:root="true" ma:fieldsID="1f7fb4cfa46cb1490491741cda666dc6" ns2:_="">
    <xsd:import namespace="7D7A715E-90E8-4F9C-B9E4-BBDD810C887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Description0" minOccurs="0"/>
                <xsd:element ref="ns2:Status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715E-90E8-4F9C-B9E4-BBDD810C887A" elementFormDefault="qualified">
    <xsd:import namespace="http://schemas.microsoft.com/office/2006/documentManagement/types"/>
    <xsd:import namespace="http://schemas.microsoft.com/office/infopath/2007/PartnerControls"/>
    <xsd:element name="Classification" ma:index="8" ma:displayName="Classification" ma:default="Internal Use Only" ma:format="Dropdown" ma:internalName="Classification" ma:readOnly="false">
      <xsd:simpleType>
        <xsd:restriction base="dms:Choice">
          <xsd:enumeration value="Public"/>
          <xsd:enumeration value="Internal Use Only"/>
          <xsd:enumeration value="Confidential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tatus" ma:index="11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Owner" ma:index="12" nillable="true" ma:displayName="Owner" ma:internalName="Own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2FE4-5E1C-4C5F-872F-C2391A33B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6851-796A-4544-9D1C-F8D90F52AB4A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D7A715E-90E8-4F9C-B9E4-BBDD810C887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E337F-3918-40F6-B07D-247A1C932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A715E-90E8-4F9C-B9E4-BBDD810C8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E50B0-384E-4D9B-9B7D-1EAA1CAF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4705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letterhead</vt:lpstr>
    </vt:vector>
  </TitlesOfParts>
  <Company>Carbon Trust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letterhead</dc:title>
  <dc:creator>Justine Pallister</dc:creator>
  <cp:keywords>, Advisory Services, Contract</cp:keywords>
  <cp:lastModifiedBy>Kay Rulton</cp:lastModifiedBy>
  <cp:revision>2</cp:revision>
  <cp:lastPrinted>2017-01-16T13:57:00Z</cp:lastPrinted>
  <dcterms:created xsi:type="dcterms:W3CDTF">2017-01-27T17:16:00Z</dcterms:created>
  <dcterms:modified xsi:type="dcterms:W3CDTF">2017-01-27T17:16:00Z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0x010100E024FE73046FD046A0BD09684715CC3E</vt:lpwstr>
  </property>
  <property fmtid="{D5CDD505-2E9C-101B-9397-08002B2CF9AE}" pid="3" name="DocumentSource">
    <vt:lpwstr>Carbon Trust</vt:lpwstr>
  </property>
  <property fmtid="{D5CDD505-2E9C-101B-9397-08002B2CF9AE}" pid="4" name="CT Document Type12">
    <vt:lpwstr>51</vt:lpwstr>
  </property>
  <property fmtid="{D5CDD505-2E9C-101B-9397-08002B2CF9AE}" pid="5" name="Business function">
    <vt:lpwstr>2</vt:lpwstr>
  </property>
</Properties>
</file>