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286"/>
        <w:tblW w:w="5000" w:type="pct"/>
        <w:tblCellMar>
          <w:left w:w="0" w:type="dxa"/>
          <w:right w:w="0" w:type="dxa"/>
        </w:tblCellMar>
        <w:tblLook w:val="01E0" w:firstRow="1" w:lastRow="1" w:firstColumn="1" w:lastColumn="1" w:noHBand="0" w:noVBand="0"/>
      </w:tblPr>
      <w:tblGrid>
        <w:gridCol w:w="10092"/>
      </w:tblGrid>
      <w:tr w:rsidR="00A126E7" w:rsidRPr="00064196" w14:paraId="4C9C9588" w14:textId="77777777" w:rsidTr="00A126E7">
        <w:trPr>
          <w:trHeight w:val="9210"/>
        </w:trPr>
        <w:tc>
          <w:tcPr>
            <w:tcW w:w="5000" w:type="pct"/>
            <w:tcMar>
              <w:left w:w="0" w:type="dxa"/>
              <w:right w:w="0" w:type="dxa"/>
            </w:tcMar>
          </w:tcPr>
          <w:p w14:paraId="7C500439" w14:textId="77777777" w:rsidR="00A126E7" w:rsidRDefault="00A126E7" w:rsidP="00404494">
            <w:pPr>
              <w:pStyle w:val="DECCTitle"/>
              <w:framePr w:hSpace="0" w:wrap="auto" w:vAnchor="margin" w:hAnchor="text" w:yAlign="inline"/>
            </w:pPr>
            <w:bookmarkStart w:id="0" w:name="_GoBack"/>
            <w:bookmarkEnd w:id="0"/>
            <w:r w:rsidRPr="00A359DF">
              <w:t xml:space="preserve">DECC </w:t>
            </w:r>
            <w:r w:rsidRPr="002E30B7">
              <w:t xml:space="preserve">Household Energy Efficiency </w:t>
            </w:r>
            <w:r>
              <w:t xml:space="preserve">National </w:t>
            </w:r>
            <w:r w:rsidRPr="002E30B7">
              <w:t>Statistics User Consultation</w:t>
            </w:r>
          </w:p>
          <w:p w14:paraId="2D0B690C" w14:textId="77777777" w:rsidR="00A126E7" w:rsidRDefault="00A126E7" w:rsidP="00A126E7"/>
          <w:p w14:paraId="29C9C50E" w14:textId="77777777" w:rsidR="00A126E7" w:rsidRDefault="00A126E7" w:rsidP="00A126E7"/>
          <w:p w14:paraId="24BEF3D2" w14:textId="77777777" w:rsidR="00A126E7" w:rsidRPr="002E30B7" w:rsidRDefault="00A126E7" w:rsidP="00A126E7"/>
        </w:tc>
      </w:tr>
      <w:tr w:rsidR="00A126E7" w:rsidRPr="00064196" w14:paraId="51414A08" w14:textId="77777777" w:rsidTr="00A126E7">
        <w:trPr>
          <w:trHeight w:hRule="exact" w:val="1291"/>
        </w:trPr>
        <w:tc>
          <w:tcPr>
            <w:tcW w:w="5000" w:type="pct"/>
            <w:tcMar>
              <w:left w:w="0" w:type="dxa"/>
              <w:right w:w="0" w:type="dxa"/>
            </w:tcMar>
          </w:tcPr>
          <w:p w14:paraId="3C997FCE" w14:textId="77777777" w:rsidR="00A126E7" w:rsidRDefault="00A126E7" w:rsidP="00A126E7">
            <w:pPr>
              <w:pStyle w:val="BodyText"/>
              <w:rPr>
                <w:color w:val="FFFFFF" w:themeColor="background1"/>
                <w:sz w:val="40"/>
                <w:szCs w:val="40"/>
              </w:rPr>
            </w:pPr>
          </w:p>
          <w:p w14:paraId="67C8D3E1" w14:textId="77777777" w:rsidR="00A126E7" w:rsidRDefault="00A126E7" w:rsidP="00A126E7">
            <w:pPr>
              <w:pStyle w:val="BodyText"/>
              <w:rPr>
                <w:color w:val="FFFFFF" w:themeColor="background1"/>
                <w:sz w:val="40"/>
                <w:szCs w:val="40"/>
              </w:rPr>
            </w:pPr>
          </w:p>
          <w:p w14:paraId="2E215EDF" w14:textId="77777777" w:rsidR="00A126E7" w:rsidRPr="00A126E7" w:rsidRDefault="00A126E7" w:rsidP="00A126E7">
            <w:pPr>
              <w:pStyle w:val="BodyText"/>
              <w:spacing w:before="0" w:after="0"/>
              <w:rPr>
                <w:sz w:val="32"/>
                <w:szCs w:val="32"/>
              </w:rPr>
            </w:pPr>
            <w:r w:rsidRPr="00A126E7">
              <w:rPr>
                <w:color w:val="FFFFFF" w:themeColor="background1"/>
                <w:sz w:val="32"/>
                <w:szCs w:val="32"/>
              </w:rPr>
              <w:t>User consultation document</w:t>
            </w:r>
          </w:p>
        </w:tc>
      </w:tr>
      <w:tr w:rsidR="00A126E7" w:rsidRPr="00602B56" w14:paraId="3C4137EE" w14:textId="77777777" w:rsidTr="00A126E7">
        <w:trPr>
          <w:trHeight w:val="310"/>
        </w:trPr>
        <w:tc>
          <w:tcPr>
            <w:tcW w:w="5000" w:type="pct"/>
            <w:tcMar>
              <w:left w:w="0" w:type="dxa"/>
              <w:right w:w="0" w:type="dxa"/>
            </w:tcMar>
          </w:tcPr>
          <w:p w14:paraId="50C1F783" w14:textId="4907C392" w:rsidR="00A126E7" w:rsidRPr="00624791" w:rsidRDefault="006045DE" w:rsidP="00A126E7">
            <w:pPr>
              <w:pStyle w:val="CoverFooter"/>
            </w:pPr>
            <w:r>
              <w:t>20</w:t>
            </w:r>
            <w:r w:rsidR="00A126E7">
              <w:t>th August 2015</w:t>
            </w:r>
          </w:p>
        </w:tc>
      </w:tr>
    </w:tbl>
    <w:p w14:paraId="5492D6D5" w14:textId="77777777" w:rsidR="003B14CE" w:rsidRDefault="003B14CE">
      <w:pPr>
        <w:autoSpaceDE/>
        <w:autoSpaceDN/>
        <w:adjustRightInd/>
        <w:spacing w:before="0" w:after="0" w:line="240" w:lineRule="auto"/>
      </w:pPr>
    </w:p>
    <w:p w14:paraId="2048816C" w14:textId="77777777" w:rsidR="003B14CE" w:rsidRDefault="003B14CE" w:rsidP="00D236C3">
      <w:pPr>
        <w:sectPr w:rsidR="003B14CE" w:rsidSect="00E515B6">
          <w:headerReference w:type="even" r:id="rId14"/>
          <w:headerReference w:type="default" r:id="rId15"/>
          <w:footerReference w:type="default" r:id="rId16"/>
          <w:headerReference w:type="first" r:id="rId17"/>
          <w:pgSz w:w="11906" w:h="16838" w:code="9"/>
          <w:pgMar w:top="4253" w:right="907" w:bottom="907" w:left="907" w:header="680" w:footer="680" w:gutter="0"/>
          <w:cols w:space="720"/>
          <w:titlePg/>
        </w:sectPr>
      </w:pPr>
    </w:p>
    <w:p w14:paraId="1899D01F" w14:textId="77777777" w:rsidR="003B14CE" w:rsidRPr="00547980" w:rsidRDefault="003B14CE" w:rsidP="00547980"/>
    <w:p w14:paraId="5FD1FE77" w14:textId="77777777" w:rsidR="00006019" w:rsidRPr="00547980" w:rsidRDefault="00006019" w:rsidP="00547980"/>
    <w:p w14:paraId="161C06D5" w14:textId="77777777" w:rsidR="00547980" w:rsidRPr="00547980" w:rsidRDefault="00547980" w:rsidP="00547980">
      <w:pPr>
        <w:sectPr w:rsidR="00547980" w:rsidRPr="00547980" w:rsidSect="00E515B6">
          <w:headerReference w:type="first" r:id="rId18"/>
          <w:pgSz w:w="11906" w:h="16838" w:code="9"/>
          <w:pgMar w:top="1701" w:right="907" w:bottom="907" w:left="907" w:header="680" w:footer="680" w:gutter="0"/>
          <w:cols w:space="720"/>
          <w:titlePg/>
        </w:sectPr>
      </w:pPr>
    </w:p>
    <w:p w14:paraId="4958A3BB" w14:textId="77777777" w:rsidR="002E30B7" w:rsidRDefault="002E30B7" w:rsidP="005853C8">
      <w:pPr>
        <w:pStyle w:val="DECCReference"/>
        <w:rPr>
          <w:color w:val="000000" w:themeColor="text1"/>
        </w:rPr>
      </w:pPr>
    </w:p>
    <w:p w14:paraId="0BBA7C5C" w14:textId="77777777" w:rsidR="00E10B7E" w:rsidRDefault="00E10B7E" w:rsidP="005853C8">
      <w:pPr>
        <w:pStyle w:val="DECCReference"/>
        <w:rPr>
          <w:color w:val="000000" w:themeColor="text1"/>
        </w:rPr>
      </w:pPr>
    </w:p>
    <w:p w14:paraId="0C419F61" w14:textId="77777777" w:rsidR="00E10B7E" w:rsidRDefault="00E10B7E" w:rsidP="005853C8">
      <w:pPr>
        <w:pStyle w:val="DECCReference"/>
        <w:rPr>
          <w:color w:val="000000" w:themeColor="text1"/>
        </w:rPr>
      </w:pPr>
    </w:p>
    <w:p w14:paraId="4C8C0A6E" w14:textId="77777777" w:rsidR="00E10B7E" w:rsidRDefault="00E10B7E" w:rsidP="005853C8">
      <w:pPr>
        <w:pStyle w:val="DECCReference"/>
        <w:rPr>
          <w:color w:val="000000" w:themeColor="text1"/>
        </w:rPr>
      </w:pPr>
    </w:p>
    <w:p w14:paraId="66ABA4C4" w14:textId="77777777" w:rsidR="002E30B7" w:rsidRDefault="002E30B7" w:rsidP="005853C8">
      <w:pPr>
        <w:pStyle w:val="DECCReference"/>
        <w:rPr>
          <w:color w:val="000000" w:themeColor="text1"/>
        </w:rPr>
      </w:pPr>
    </w:p>
    <w:p w14:paraId="4C3EC68F" w14:textId="3EAEA39E" w:rsidR="00112C2C" w:rsidRPr="002E30B7" w:rsidRDefault="00475D78" w:rsidP="005853C8">
      <w:pPr>
        <w:pStyle w:val="DECCReference"/>
        <w:rPr>
          <w:color w:val="000000" w:themeColor="text1"/>
        </w:rPr>
      </w:pPr>
      <w:r w:rsidRPr="002E30B7">
        <w:rPr>
          <w:color w:val="000000" w:themeColor="text1"/>
        </w:rPr>
        <w:t>Department of Energy and Climate Change</w:t>
      </w:r>
      <w:r w:rsidR="00112C2C" w:rsidRPr="002E30B7">
        <w:rPr>
          <w:color w:val="000000" w:themeColor="text1"/>
        </w:rPr>
        <w:t xml:space="preserve"> </w:t>
      </w:r>
    </w:p>
    <w:p w14:paraId="1F544A19" w14:textId="77777777" w:rsidR="00112C2C" w:rsidRPr="002E30B7" w:rsidRDefault="00475D78" w:rsidP="005853C8">
      <w:pPr>
        <w:pStyle w:val="DECCReference"/>
        <w:rPr>
          <w:color w:val="000000" w:themeColor="text1"/>
        </w:rPr>
      </w:pPr>
      <w:r w:rsidRPr="002E30B7">
        <w:rPr>
          <w:color w:val="000000" w:themeColor="text1"/>
        </w:rPr>
        <w:t>3 Whitehall Place</w:t>
      </w:r>
    </w:p>
    <w:p w14:paraId="7FAB5501" w14:textId="77777777" w:rsidR="00112C2C" w:rsidRPr="002E30B7" w:rsidRDefault="00475D78" w:rsidP="005853C8">
      <w:pPr>
        <w:pStyle w:val="DECCReference"/>
        <w:rPr>
          <w:color w:val="000000" w:themeColor="text1"/>
        </w:rPr>
      </w:pPr>
      <w:r w:rsidRPr="002E30B7">
        <w:rPr>
          <w:color w:val="000000" w:themeColor="text1"/>
        </w:rPr>
        <w:t>London</w:t>
      </w:r>
    </w:p>
    <w:p w14:paraId="6AE902D8" w14:textId="77777777" w:rsidR="00475D78" w:rsidRPr="002E30B7" w:rsidRDefault="00475D78" w:rsidP="005853C8">
      <w:pPr>
        <w:pStyle w:val="DECCReference"/>
        <w:rPr>
          <w:color w:val="000000" w:themeColor="text1"/>
        </w:rPr>
      </w:pPr>
      <w:r w:rsidRPr="002E30B7">
        <w:rPr>
          <w:color w:val="000000" w:themeColor="text1"/>
        </w:rPr>
        <w:t>SW1A 2AW</w:t>
      </w:r>
    </w:p>
    <w:p w14:paraId="081EFF80" w14:textId="77777777" w:rsidR="00112C2C" w:rsidRPr="002E30B7" w:rsidRDefault="00475D78" w:rsidP="005853C8">
      <w:pPr>
        <w:pStyle w:val="DECCReference"/>
        <w:rPr>
          <w:color w:val="000000" w:themeColor="text1"/>
        </w:rPr>
      </w:pPr>
      <w:r w:rsidRPr="002E30B7">
        <w:rPr>
          <w:color w:val="000000" w:themeColor="text1"/>
        </w:rPr>
        <w:t>Telephone: 0300 068 4000</w:t>
      </w:r>
    </w:p>
    <w:p w14:paraId="6D24B22D" w14:textId="77777777" w:rsidR="002E30B7" w:rsidRDefault="002E30B7" w:rsidP="005853C8">
      <w:pPr>
        <w:pStyle w:val="DECCReference"/>
        <w:rPr>
          <w:color w:val="000000" w:themeColor="text1"/>
        </w:rPr>
      </w:pPr>
    </w:p>
    <w:p w14:paraId="3361CC88" w14:textId="7708232F" w:rsidR="00475D78" w:rsidRPr="002E30B7" w:rsidRDefault="00475D78" w:rsidP="005853C8">
      <w:pPr>
        <w:pStyle w:val="DECCReference"/>
        <w:rPr>
          <w:color w:val="000000" w:themeColor="text1"/>
        </w:rPr>
      </w:pPr>
      <w:r w:rsidRPr="002E30B7">
        <w:rPr>
          <w:color w:val="000000" w:themeColor="text1"/>
        </w:rPr>
        <w:t xml:space="preserve">© Crown copyright </w:t>
      </w:r>
      <w:r w:rsidR="002E30B7">
        <w:rPr>
          <w:color w:val="000000" w:themeColor="text1"/>
        </w:rPr>
        <w:t>2015</w:t>
      </w:r>
    </w:p>
    <w:p w14:paraId="33D46721" w14:textId="77777777" w:rsidR="002E30B7" w:rsidRDefault="002E30B7" w:rsidP="005853C8">
      <w:pPr>
        <w:pStyle w:val="DECCReference"/>
        <w:rPr>
          <w:color w:val="000000" w:themeColor="text1"/>
        </w:rPr>
      </w:pPr>
    </w:p>
    <w:p w14:paraId="49F03CB8" w14:textId="77777777" w:rsidR="00112C2C" w:rsidRPr="002E30B7" w:rsidRDefault="00475D78" w:rsidP="005853C8">
      <w:pPr>
        <w:pStyle w:val="DECCReference"/>
        <w:rPr>
          <w:color w:val="000000" w:themeColor="text1"/>
        </w:rPr>
      </w:pPr>
      <w:r w:rsidRPr="002E30B7">
        <w:rPr>
          <w:color w:val="000000" w:themeColor="text1"/>
        </w:rPr>
        <w:t>Copyright in the typographical arrangement and design rests with the Crown.</w:t>
      </w:r>
      <w:r w:rsidR="00112C2C" w:rsidRPr="002E30B7">
        <w:rPr>
          <w:color w:val="000000" w:themeColor="text1"/>
        </w:rPr>
        <w:t xml:space="preserve"> </w:t>
      </w:r>
    </w:p>
    <w:p w14:paraId="20564B58" w14:textId="14A64AB3" w:rsidR="00475D78" w:rsidRPr="002E30B7" w:rsidRDefault="00475D78" w:rsidP="005853C8">
      <w:pPr>
        <w:pStyle w:val="DECCReference"/>
        <w:rPr>
          <w:color w:val="000000" w:themeColor="text1"/>
        </w:rPr>
      </w:pPr>
      <w:r w:rsidRPr="002E30B7">
        <w:rPr>
          <w:color w:val="000000" w:themeColor="text1"/>
        </w:rPr>
        <w:t>This publication (excluding logos) may be re-used free of charge in any format or medium</w:t>
      </w:r>
      <w:r w:rsidR="00112C2C" w:rsidRPr="002E30B7">
        <w:rPr>
          <w:color w:val="000000" w:themeColor="text1"/>
        </w:rPr>
        <w:t xml:space="preserve"> </w:t>
      </w:r>
      <w:r w:rsidRPr="002E30B7">
        <w:rPr>
          <w:color w:val="000000" w:themeColor="text1"/>
        </w:rPr>
        <w:t>provided that it is re-used accurately and not used in a misleading context. The material must be</w:t>
      </w:r>
      <w:r w:rsidR="00112C2C" w:rsidRPr="002E30B7">
        <w:rPr>
          <w:color w:val="000000" w:themeColor="text1"/>
        </w:rPr>
        <w:t xml:space="preserve"> </w:t>
      </w:r>
      <w:r w:rsidR="00EF2FED" w:rsidRPr="002E30B7">
        <w:rPr>
          <w:color w:val="000000" w:themeColor="text1"/>
        </w:rPr>
        <w:t>acknowledged as C</w:t>
      </w:r>
      <w:r w:rsidRPr="002E30B7">
        <w:rPr>
          <w:color w:val="000000" w:themeColor="text1"/>
        </w:rPr>
        <w:t>rown copyright and the title of the publication specified.</w:t>
      </w:r>
    </w:p>
    <w:p w14:paraId="2995230C" w14:textId="77777777" w:rsidR="00112C2C" w:rsidRPr="002E30B7" w:rsidRDefault="00475D78" w:rsidP="005853C8">
      <w:pPr>
        <w:pStyle w:val="DECCReference"/>
        <w:rPr>
          <w:color w:val="000000" w:themeColor="text1"/>
        </w:rPr>
      </w:pPr>
      <w:r w:rsidRPr="002E30B7">
        <w:rPr>
          <w:color w:val="000000" w:themeColor="text1"/>
        </w:rPr>
        <w:t>For further information on this consultation, contact:</w:t>
      </w:r>
    </w:p>
    <w:p w14:paraId="55DA9E20" w14:textId="560F2183" w:rsidR="00E06CFF" w:rsidRDefault="005218A5" w:rsidP="005853C8">
      <w:pPr>
        <w:pStyle w:val="DECCReference"/>
        <w:rPr>
          <w:color w:val="000000" w:themeColor="text1"/>
        </w:rPr>
      </w:pPr>
      <w:hyperlink r:id="rId19" w:history="1">
        <w:r w:rsidR="002E30B7" w:rsidRPr="00F329DD">
          <w:rPr>
            <w:rStyle w:val="Hyperlink"/>
          </w:rPr>
          <w:t>EnergyEfficiency.Stats@decc.gsi.gov.uk</w:t>
        </w:r>
      </w:hyperlink>
    </w:p>
    <w:p w14:paraId="1F2C253B" w14:textId="77777777" w:rsidR="00797476" w:rsidRPr="002E30B7" w:rsidRDefault="00797476" w:rsidP="005853C8">
      <w:pPr>
        <w:pStyle w:val="DECCReference"/>
        <w:rPr>
          <w:color w:val="000000" w:themeColor="text1"/>
        </w:rPr>
      </w:pPr>
    </w:p>
    <w:p w14:paraId="5CCADA47" w14:textId="77777777" w:rsidR="002E30B7" w:rsidRDefault="002E30B7" w:rsidP="00D236C3"/>
    <w:p w14:paraId="759C1181" w14:textId="0C444AB1" w:rsidR="00475D78" w:rsidRPr="00AE7404" w:rsidRDefault="000F230C" w:rsidP="00D236C3">
      <w:r>
        <w:t>T</w:t>
      </w:r>
      <w:r w:rsidR="00475D78" w:rsidRPr="00AE7404">
        <w:t>he consultation can be found on DECC’s website:</w:t>
      </w:r>
      <w:r w:rsidR="00112C2C">
        <w:t xml:space="preserve"> </w:t>
      </w:r>
      <w:r w:rsidR="00E06CFF">
        <w:br/>
      </w:r>
      <w:r w:rsidR="00E06CFF">
        <w:br/>
      </w:r>
      <w:hyperlink r:id="rId20" w:history="1">
        <w:r w:rsidR="00D12D93" w:rsidRPr="00285FDF">
          <w:rPr>
            <w:rStyle w:val="Hyperlink"/>
          </w:rPr>
          <w:t>https://www.gov.uk/government/consultations/decc-household-energy-efficiency-national-statistics-user-consultation</w:t>
        </w:r>
      </w:hyperlink>
      <w:r w:rsidR="00D12D93">
        <w:t xml:space="preserve"> </w:t>
      </w:r>
      <w:r w:rsidR="00E06CFF">
        <w:br/>
      </w:r>
    </w:p>
    <w:p w14:paraId="7F587972" w14:textId="77777777" w:rsidR="00AE7404" w:rsidRDefault="00475D78" w:rsidP="00D236C3">
      <w:r w:rsidRPr="00AE7404">
        <w:t>Published by the Department of Energy and Climate Change</w:t>
      </w:r>
    </w:p>
    <w:p w14:paraId="0066A7E0" w14:textId="77777777" w:rsidR="0079103D" w:rsidRPr="00547980" w:rsidRDefault="0079103D" w:rsidP="00547980">
      <w:pPr>
        <w:sectPr w:rsidR="0079103D" w:rsidRPr="00547980" w:rsidSect="00E515B6">
          <w:headerReference w:type="first" r:id="rId21"/>
          <w:footerReference w:type="first" r:id="rId22"/>
          <w:pgSz w:w="11906" w:h="16838" w:code="9"/>
          <w:pgMar w:top="5103" w:right="907" w:bottom="907" w:left="907" w:header="680" w:footer="680" w:gutter="0"/>
          <w:cols w:space="720"/>
          <w:titlePg/>
        </w:sectPr>
      </w:pPr>
    </w:p>
    <w:p w14:paraId="7D42E67C" w14:textId="77777777" w:rsidR="009C7346" w:rsidRPr="00A80033" w:rsidRDefault="00843A47" w:rsidP="0079103D">
      <w:pPr>
        <w:pStyle w:val="Heading1"/>
      </w:pPr>
      <w:bookmarkStart w:id="1" w:name="_Toc427590037"/>
      <w:r w:rsidRPr="00A80033">
        <w:lastRenderedPageBreak/>
        <w:t>Foreword / Introduction</w:t>
      </w:r>
      <w:bookmarkEnd w:id="1"/>
      <w:r w:rsidRPr="00A80033">
        <w:t xml:space="preserve"> </w:t>
      </w:r>
    </w:p>
    <w:p w14:paraId="0A910E69" w14:textId="5692A815" w:rsidR="00FA79ED" w:rsidRDefault="005D58CC" w:rsidP="00524C2E">
      <w:pPr>
        <w:pStyle w:val="DECCIntrotext"/>
      </w:pPr>
      <w:r w:rsidRPr="00BF7CC3">
        <w:t>DECC</w:t>
      </w:r>
      <w:r w:rsidR="00FA79ED">
        <w:t xml:space="preserve"> Foreword</w:t>
      </w:r>
      <w:r w:rsidR="001100D6" w:rsidRPr="00BF7CC3">
        <w:t xml:space="preserve"> </w:t>
      </w:r>
    </w:p>
    <w:p w14:paraId="349D6879" w14:textId="7CEF05F5" w:rsidR="00D26486" w:rsidRDefault="00D26486" w:rsidP="009603A8">
      <w:pPr>
        <w:pStyle w:val="BodyText"/>
        <w:jc w:val="both"/>
      </w:pPr>
      <w:r>
        <w:t xml:space="preserve">This user consultation sets out </w:t>
      </w:r>
      <w:r w:rsidR="00523F45">
        <w:t>proposals for changes to the frequency, format and content of DECC’s Na</w:t>
      </w:r>
      <w:r w:rsidR="00A44045">
        <w:t>tional Statistics on the Green Deal, Energy C</w:t>
      </w:r>
      <w:r w:rsidR="00523F45">
        <w:t xml:space="preserve">ompany Obligation and </w:t>
      </w:r>
      <w:r w:rsidR="00A44045">
        <w:t>I</w:t>
      </w:r>
      <w:r w:rsidR="00523F45">
        <w:t>nsulation statistics. The aim of this consultation is to review the impacts of these proposals on key users of the statistics, as well as to improve DECC’s understanding on who uses the statistics, and for what purpose.</w:t>
      </w:r>
    </w:p>
    <w:p w14:paraId="7240FB10" w14:textId="77777777" w:rsidR="00E10B7E" w:rsidRDefault="00E10B7E" w:rsidP="00FA79ED">
      <w:pPr>
        <w:pStyle w:val="BodyText"/>
      </w:pPr>
    </w:p>
    <w:p w14:paraId="13D0CA47" w14:textId="6DCA345A" w:rsidR="00E10B7E" w:rsidRPr="00C225EF" w:rsidRDefault="00E10B7E" w:rsidP="00E10B7E">
      <w:pPr>
        <w:jc w:val="both"/>
      </w:pPr>
      <w:r w:rsidRPr="00C225EF">
        <w:t>The responses will be used alongside other so</w:t>
      </w:r>
      <w:r w:rsidR="00A44045">
        <w:t xml:space="preserve">urces of evidence to inform the following two </w:t>
      </w:r>
      <w:r w:rsidRPr="00C225EF">
        <w:t>National Statistics series:</w:t>
      </w:r>
    </w:p>
    <w:p w14:paraId="4BECB36D" w14:textId="7F7A0BB2" w:rsidR="00E10B7E" w:rsidRPr="00C225EF" w:rsidRDefault="009603A8" w:rsidP="009603A8">
      <w:pPr>
        <w:spacing w:after="240"/>
        <w:jc w:val="both"/>
        <w:rPr>
          <w:i/>
        </w:rPr>
      </w:pPr>
      <w:r w:rsidRPr="009603A8">
        <w:t>The headline release</w:t>
      </w:r>
      <w:r>
        <w:rPr>
          <w:i/>
        </w:rPr>
        <w:t xml:space="preserve"> “</w:t>
      </w:r>
      <w:r w:rsidR="00E10B7E" w:rsidRPr="00C225EF">
        <w:rPr>
          <w:i/>
        </w:rPr>
        <w:t>Green Deal and Energy Company Obligation (ECO): monthly statistics</w:t>
      </w:r>
      <w:r>
        <w:rPr>
          <w:i/>
        </w:rPr>
        <w:t>”</w:t>
      </w:r>
    </w:p>
    <w:p w14:paraId="52AC27D3" w14:textId="58FD452F" w:rsidR="00E10B7E" w:rsidRPr="00C225EF" w:rsidRDefault="009603A8" w:rsidP="009603A8">
      <w:pPr>
        <w:spacing w:after="240"/>
        <w:jc w:val="both"/>
        <w:rPr>
          <w:i/>
        </w:rPr>
      </w:pPr>
      <w:r w:rsidRPr="009603A8">
        <w:t>The detailed release</w:t>
      </w:r>
      <w:r>
        <w:rPr>
          <w:i/>
        </w:rPr>
        <w:t xml:space="preserve"> “</w:t>
      </w:r>
      <w:r w:rsidR="00E10B7E" w:rsidRPr="00C225EF">
        <w:rPr>
          <w:i/>
        </w:rPr>
        <w:t>Domestic Green Deal, Energy Company Obligation and Insulation Levels in Great Britain, Quarterly report</w:t>
      </w:r>
      <w:r>
        <w:rPr>
          <w:i/>
        </w:rPr>
        <w:t>”</w:t>
      </w:r>
    </w:p>
    <w:p w14:paraId="3180B194" w14:textId="77777777" w:rsidR="00E10B7E" w:rsidRPr="00C225EF" w:rsidRDefault="00E10B7E" w:rsidP="00E10B7E">
      <w:pPr>
        <w:jc w:val="both"/>
      </w:pPr>
      <w:r w:rsidRPr="00C225EF">
        <w:t>A summary of the consultation responses will be published by DECC within 12 weeks of the close the consultation.</w:t>
      </w:r>
    </w:p>
    <w:p w14:paraId="31295222" w14:textId="77777777" w:rsidR="00E10B7E" w:rsidRPr="00C225EF" w:rsidRDefault="00E10B7E" w:rsidP="00E10B7E">
      <w:pPr>
        <w:jc w:val="both"/>
        <w:rPr>
          <w:u w:val="single"/>
        </w:rPr>
      </w:pPr>
    </w:p>
    <w:p w14:paraId="1940B440" w14:textId="2D4206F9" w:rsidR="00E10B7E" w:rsidRPr="00C225EF" w:rsidRDefault="007B5090" w:rsidP="00524C2E">
      <w:pPr>
        <w:pStyle w:val="DECCIntrotext"/>
      </w:pPr>
      <w:r>
        <w:t>Who is this consultation</w:t>
      </w:r>
      <w:r w:rsidR="00C819BB">
        <w:t xml:space="preserve"> for</w:t>
      </w:r>
      <w:r>
        <w:t>?</w:t>
      </w:r>
    </w:p>
    <w:p w14:paraId="3B331104" w14:textId="49E69B3E" w:rsidR="00E10B7E" w:rsidRDefault="00A81033" w:rsidP="00407399">
      <w:pPr>
        <w:pStyle w:val="BodyText"/>
        <w:jc w:val="both"/>
      </w:pPr>
      <w:r>
        <w:t xml:space="preserve">This user consultation has no policy or operational implications. </w:t>
      </w:r>
      <w:r w:rsidR="00ED6760">
        <w:t xml:space="preserve">The proposals set out </w:t>
      </w:r>
      <w:hyperlink w:anchor="_Catalogue_of_consultation" w:history="1">
        <w:r w:rsidR="00ED6760" w:rsidRPr="00ED6760">
          <w:rPr>
            <w:rStyle w:val="Hyperlink"/>
          </w:rPr>
          <w:t>here</w:t>
        </w:r>
      </w:hyperlink>
      <w:r w:rsidR="00ED6760">
        <w:t xml:space="preserve"> are in relation to the statistic</w:t>
      </w:r>
      <w:r w:rsidR="006045DE">
        <w:t>al</w:t>
      </w:r>
      <w:r w:rsidR="00ED6760">
        <w:t xml:space="preserve"> series which provide estimates on, and help monitor the delivery of DECC funded energy efficiency policies</w:t>
      </w:r>
      <w:r w:rsidR="00252864">
        <w:t xml:space="preserve"> (Green Deal and Energy Company Obligation) as well as provide statistics on the long-running series of </w:t>
      </w:r>
      <w:r w:rsidR="008C0CE6">
        <w:t>levels of insulation within homes</w:t>
      </w:r>
      <w:r w:rsidR="00ED6760">
        <w:t xml:space="preserve">. This consultation will affect </w:t>
      </w:r>
      <w:r w:rsidR="00252864">
        <w:t>users of the statistics, whether they are policy operators</w:t>
      </w:r>
      <w:r w:rsidR="005F68B5">
        <w:t xml:space="preserve"> in national or local government</w:t>
      </w:r>
      <w:r w:rsidR="00252864">
        <w:t>, supply chain participants, academics, analysts</w:t>
      </w:r>
      <w:r w:rsidR="005F68B5">
        <w:t xml:space="preserve"> or journalists. The proposals may affect users in different ways dependant on how they currently use the statistics, how often they use the statistics, and what the impacts are of having access to these statistics</w:t>
      </w:r>
      <w:r w:rsidR="004808D5">
        <w:t>.</w:t>
      </w:r>
    </w:p>
    <w:p w14:paraId="214B9D0F" w14:textId="73433397" w:rsidR="005F68B5" w:rsidRPr="00F85886" w:rsidRDefault="005F68B5" w:rsidP="00407399">
      <w:pPr>
        <w:pStyle w:val="BodyText"/>
        <w:jc w:val="both"/>
        <w:rPr>
          <w:b/>
        </w:rPr>
      </w:pPr>
      <w:r>
        <w:t xml:space="preserve">A written response is required and </w:t>
      </w:r>
      <w:r w:rsidR="008C0CE6">
        <w:t xml:space="preserve">should be </w:t>
      </w:r>
      <w:r>
        <w:t>submitted electronically</w:t>
      </w:r>
      <w:r w:rsidRPr="00F85886">
        <w:t>.</w:t>
      </w:r>
      <w:r w:rsidRPr="00F85886">
        <w:rPr>
          <w:b/>
        </w:rPr>
        <w:t xml:space="preserve"> </w:t>
      </w:r>
      <w:r w:rsidR="00F85886" w:rsidRPr="00F85886">
        <w:rPr>
          <w:b/>
        </w:rPr>
        <w:t>Please complete the following sections:</w:t>
      </w:r>
    </w:p>
    <w:p w14:paraId="79F846E7" w14:textId="484D0272" w:rsidR="00F85886" w:rsidRDefault="005218A5" w:rsidP="00407399">
      <w:pPr>
        <w:pStyle w:val="BodyText"/>
        <w:jc w:val="both"/>
      </w:pPr>
      <w:hyperlink w:anchor="_Consultation_Arrangements" w:history="1">
        <w:r w:rsidR="00F85886" w:rsidRPr="00F85886">
          <w:rPr>
            <w:rStyle w:val="Hyperlink"/>
          </w:rPr>
          <w:t>Consultation Arrangements</w:t>
        </w:r>
      </w:hyperlink>
    </w:p>
    <w:p w14:paraId="4D63A6B4" w14:textId="1D6F1F5A" w:rsidR="00F85886" w:rsidRDefault="005218A5" w:rsidP="00407399">
      <w:pPr>
        <w:pStyle w:val="BodyText"/>
        <w:jc w:val="both"/>
      </w:pPr>
      <w:hyperlink w:anchor="_Annex_A:_Content" w:history="1">
        <w:r w:rsidR="00F85886" w:rsidRPr="00F85886">
          <w:rPr>
            <w:rStyle w:val="Hyperlink"/>
          </w:rPr>
          <w:t>Annex A</w:t>
        </w:r>
      </w:hyperlink>
    </w:p>
    <w:p w14:paraId="4B12921E" w14:textId="701D26D5" w:rsidR="00F85886" w:rsidRDefault="005218A5" w:rsidP="00407399">
      <w:pPr>
        <w:pStyle w:val="BodyText"/>
        <w:jc w:val="both"/>
      </w:pPr>
      <w:hyperlink w:anchor="_Annex_B:_Your" w:history="1">
        <w:r w:rsidR="00F85886" w:rsidRPr="00F85886">
          <w:rPr>
            <w:rStyle w:val="Hyperlink"/>
          </w:rPr>
          <w:t>Annex B</w:t>
        </w:r>
      </w:hyperlink>
    </w:p>
    <w:p w14:paraId="7251759F" w14:textId="77777777" w:rsidR="00C46715" w:rsidRPr="000322BE" w:rsidRDefault="00C46715" w:rsidP="000322BE">
      <w:pPr>
        <w:sectPr w:rsidR="00C46715" w:rsidRPr="000322BE" w:rsidSect="00E515B6">
          <w:footerReference w:type="even" r:id="rId23"/>
          <w:headerReference w:type="first" r:id="rId24"/>
          <w:pgSz w:w="11906" w:h="16838" w:code="9"/>
          <w:pgMar w:top="1701" w:right="907" w:bottom="907" w:left="907" w:header="680" w:footer="680" w:gutter="0"/>
          <w:cols w:space="720"/>
          <w:titlePg/>
        </w:sectPr>
      </w:pPr>
    </w:p>
    <w:p w14:paraId="3A1A3EB7" w14:textId="77777777" w:rsidR="00843A47" w:rsidRPr="000322BE" w:rsidRDefault="00843A47" w:rsidP="00437251">
      <w:pPr>
        <w:pStyle w:val="Heading1"/>
      </w:pPr>
      <w:bookmarkStart w:id="2" w:name="_Toc427590038"/>
      <w:r w:rsidRPr="00064196">
        <w:lastRenderedPageBreak/>
        <w:t>Contents</w:t>
      </w:r>
      <w:bookmarkEnd w:id="2"/>
    </w:p>
    <w:p w14:paraId="1A54CF40" w14:textId="77777777" w:rsidR="00D12D93" w:rsidRDefault="000322BE">
      <w:pPr>
        <w:pStyle w:val="TOC1"/>
        <w:rPr>
          <w:rFonts w:asciiTheme="minorHAnsi" w:eastAsiaTheme="minorEastAsia" w:hAnsiTheme="minorHAnsi" w:cstheme="minorBidi"/>
          <w:noProof/>
          <w:color w:val="auto"/>
          <w:sz w:val="22"/>
          <w:szCs w:val="22"/>
        </w:rPr>
      </w:pPr>
      <w:r>
        <w:fldChar w:fldCharType="begin"/>
      </w:r>
      <w:r>
        <w:instrText xml:space="preserve"> TOC \o "1-2" </w:instrText>
      </w:r>
      <w:r>
        <w:fldChar w:fldCharType="separate"/>
      </w:r>
      <w:r w:rsidR="00D12D93">
        <w:rPr>
          <w:noProof/>
        </w:rPr>
        <w:t>Foreword / Introduction</w:t>
      </w:r>
      <w:r w:rsidR="00D12D93">
        <w:rPr>
          <w:noProof/>
        </w:rPr>
        <w:tab/>
      </w:r>
      <w:r w:rsidR="00D12D93">
        <w:rPr>
          <w:noProof/>
        </w:rPr>
        <w:fldChar w:fldCharType="begin"/>
      </w:r>
      <w:r w:rsidR="00D12D93">
        <w:rPr>
          <w:noProof/>
        </w:rPr>
        <w:instrText xml:space="preserve"> PAGEREF _Toc427590037 \h </w:instrText>
      </w:r>
      <w:r w:rsidR="00D12D93">
        <w:rPr>
          <w:noProof/>
        </w:rPr>
      </w:r>
      <w:r w:rsidR="00D12D93">
        <w:rPr>
          <w:noProof/>
        </w:rPr>
        <w:fldChar w:fldCharType="separate"/>
      </w:r>
      <w:r w:rsidR="00D12D93">
        <w:rPr>
          <w:noProof/>
        </w:rPr>
        <w:t>4</w:t>
      </w:r>
      <w:r w:rsidR="00D12D93">
        <w:rPr>
          <w:noProof/>
        </w:rPr>
        <w:fldChar w:fldCharType="end"/>
      </w:r>
    </w:p>
    <w:p w14:paraId="429F7CE7" w14:textId="77777777" w:rsidR="00D12D93" w:rsidRDefault="00D12D93">
      <w:pPr>
        <w:pStyle w:val="TOC1"/>
        <w:rPr>
          <w:rFonts w:asciiTheme="minorHAnsi" w:eastAsiaTheme="minorEastAsia" w:hAnsiTheme="minorHAnsi" w:cstheme="minorBidi"/>
          <w:noProof/>
          <w:color w:val="auto"/>
          <w:sz w:val="22"/>
          <w:szCs w:val="22"/>
        </w:rPr>
      </w:pPr>
      <w:r>
        <w:rPr>
          <w:noProof/>
        </w:rPr>
        <w:t>Contents</w:t>
      </w:r>
      <w:r>
        <w:rPr>
          <w:noProof/>
        </w:rPr>
        <w:tab/>
      </w:r>
      <w:r>
        <w:rPr>
          <w:noProof/>
        </w:rPr>
        <w:fldChar w:fldCharType="begin"/>
      </w:r>
      <w:r>
        <w:rPr>
          <w:noProof/>
        </w:rPr>
        <w:instrText xml:space="preserve"> PAGEREF _Toc427590038 \h </w:instrText>
      </w:r>
      <w:r>
        <w:rPr>
          <w:noProof/>
        </w:rPr>
      </w:r>
      <w:r>
        <w:rPr>
          <w:noProof/>
        </w:rPr>
        <w:fldChar w:fldCharType="separate"/>
      </w:r>
      <w:r>
        <w:rPr>
          <w:noProof/>
        </w:rPr>
        <w:t>5</w:t>
      </w:r>
      <w:r>
        <w:rPr>
          <w:noProof/>
        </w:rPr>
        <w:fldChar w:fldCharType="end"/>
      </w:r>
    </w:p>
    <w:p w14:paraId="7B877BA9" w14:textId="77777777" w:rsidR="00D12D93" w:rsidRDefault="00D12D93">
      <w:pPr>
        <w:pStyle w:val="TOC1"/>
        <w:rPr>
          <w:rFonts w:asciiTheme="minorHAnsi" w:eastAsiaTheme="minorEastAsia" w:hAnsiTheme="minorHAnsi" w:cstheme="minorBidi"/>
          <w:noProof/>
          <w:color w:val="auto"/>
          <w:sz w:val="22"/>
          <w:szCs w:val="22"/>
        </w:rPr>
      </w:pPr>
      <w:r>
        <w:rPr>
          <w:noProof/>
        </w:rPr>
        <w:t>General information</w:t>
      </w:r>
      <w:r>
        <w:rPr>
          <w:noProof/>
        </w:rPr>
        <w:tab/>
      </w:r>
      <w:r>
        <w:rPr>
          <w:noProof/>
        </w:rPr>
        <w:fldChar w:fldCharType="begin"/>
      </w:r>
      <w:r>
        <w:rPr>
          <w:noProof/>
        </w:rPr>
        <w:instrText xml:space="preserve"> PAGEREF _Toc427590039 \h </w:instrText>
      </w:r>
      <w:r>
        <w:rPr>
          <w:noProof/>
        </w:rPr>
      </w:r>
      <w:r>
        <w:rPr>
          <w:noProof/>
        </w:rPr>
        <w:fldChar w:fldCharType="separate"/>
      </w:r>
      <w:r>
        <w:rPr>
          <w:noProof/>
        </w:rPr>
        <w:t>6</w:t>
      </w:r>
      <w:r>
        <w:rPr>
          <w:noProof/>
        </w:rPr>
        <w:fldChar w:fldCharType="end"/>
      </w:r>
    </w:p>
    <w:p w14:paraId="17A0091E" w14:textId="77777777" w:rsidR="00D12D93" w:rsidRDefault="00D12D93">
      <w:pPr>
        <w:pStyle w:val="TOC1"/>
        <w:rPr>
          <w:rFonts w:asciiTheme="minorHAnsi" w:eastAsiaTheme="minorEastAsia" w:hAnsiTheme="minorHAnsi" w:cstheme="minorBidi"/>
          <w:noProof/>
          <w:color w:val="auto"/>
          <w:sz w:val="22"/>
          <w:szCs w:val="22"/>
        </w:rPr>
      </w:pPr>
      <w:r>
        <w:rPr>
          <w:noProof/>
        </w:rPr>
        <w:t>Executive Summary</w:t>
      </w:r>
      <w:r>
        <w:rPr>
          <w:noProof/>
        </w:rPr>
        <w:tab/>
      </w:r>
      <w:r>
        <w:rPr>
          <w:noProof/>
        </w:rPr>
        <w:fldChar w:fldCharType="begin"/>
      </w:r>
      <w:r>
        <w:rPr>
          <w:noProof/>
        </w:rPr>
        <w:instrText xml:space="preserve"> PAGEREF _Toc427590040 \h </w:instrText>
      </w:r>
      <w:r>
        <w:rPr>
          <w:noProof/>
        </w:rPr>
      </w:r>
      <w:r>
        <w:rPr>
          <w:noProof/>
        </w:rPr>
        <w:fldChar w:fldCharType="separate"/>
      </w:r>
      <w:r>
        <w:rPr>
          <w:noProof/>
        </w:rPr>
        <w:t>8</w:t>
      </w:r>
      <w:r>
        <w:rPr>
          <w:noProof/>
        </w:rPr>
        <w:fldChar w:fldCharType="end"/>
      </w:r>
    </w:p>
    <w:p w14:paraId="718A8E00" w14:textId="77777777" w:rsidR="00D12D93" w:rsidRDefault="00D12D93">
      <w:pPr>
        <w:pStyle w:val="TOC1"/>
        <w:rPr>
          <w:rFonts w:asciiTheme="minorHAnsi" w:eastAsiaTheme="minorEastAsia" w:hAnsiTheme="minorHAnsi" w:cstheme="minorBidi"/>
          <w:noProof/>
          <w:color w:val="auto"/>
          <w:sz w:val="22"/>
          <w:szCs w:val="22"/>
        </w:rPr>
      </w:pPr>
      <w:r w:rsidRPr="000C029B">
        <w:rPr>
          <w:noProof/>
        </w:rPr>
        <w:t>Consultation on the future shape of these National Statistics</w:t>
      </w:r>
      <w:r>
        <w:rPr>
          <w:noProof/>
        </w:rPr>
        <w:tab/>
      </w:r>
      <w:r>
        <w:rPr>
          <w:noProof/>
        </w:rPr>
        <w:fldChar w:fldCharType="begin"/>
      </w:r>
      <w:r>
        <w:rPr>
          <w:noProof/>
        </w:rPr>
        <w:instrText xml:space="preserve"> PAGEREF _Toc427590041 \h </w:instrText>
      </w:r>
      <w:r>
        <w:rPr>
          <w:noProof/>
        </w:rPr>
      </w:r>
      <w:r>
        <w:rPr>
          <w:noProof/>
        </w:rPr>
        <w:fldChar w:fldCharType="separate"/>
      </w:r>
      <w:r>
        <w:rPr>
          <w:noProof/>
        </w:rPr>
        <w:t>9</w:t>
      </w:r>
      <w:r>
        <w:rPr>
          <w:noProof/>
        </w:rPr>
        <w:fldChar w:fldCharType="end"/>
      </w:r>
    </w:p>
    <w:p w14:paraId="6B76887D" w14:textId="77777777" w:rsidR="00D12D93" w:rsidRDefault="00D12D93">
      <w:pPr>
        <w:pStyle w:val="TOC1"/>
        <w:rPr>
          <w:rFonts w:asciiTheme="minorHAnsi" w:eastAsiaTheme="minorEastAsia" w:hAnsiTheme="minorHAnsi" w:cstheme="minorBidi"/>
          <w:noProof/>
          <w:color w:val="auto"/>
          <w:sz w:val="22"/>
          <w:szCs w:val="22"/>
        </w:rPr>
      </w:pPr>
      <w:r w:rsidRPr="000C029B">
        <w:rPr>
          <w:noProof/>
        </w:rPr>
        <w:t>Why DECC have decided to consult now</w:t>
      </w:r>
      <w:r>
        <w:rPr>
          <w:noProof/>
        </w:rPr>
        <w:tab/>
      </w:r>
      <w:r>
        <w:rPr>
          <w:noProof/>
        </w:rPr>
        <w:fldChar w:fldCharType="begin"/>
      </w:r>
      <w:r>
        <w:rPr>
          <w:noProof/>
        </w:rPr>
        <w:instrText xml:space="preserve"> PAGEREF _Toc427590042 \h </w:instrText>
      </w:r>
      <w:r>
        <w:rPr>
          <w:noProof/>
        </w:rPr>
      </w:r>
      <w:r>
        <w:rPr>
          <w:noProof/>
        </w:rPr>
        <w:fldChar w:fldCharType="separate"/>
      </w:r>
      <w:r>
        <w:rPr>
          <w:noProof/>
        </w:rPr>
        <w:t>10</w:t>
      </w:r>
      <w:r>
        <w:rPr>
          <w:noProof/>
        </w:rPr>
        <w:fldChar w:fldCharType="end"/>
      </w:r>
    </w:p>
    <w:p w14:paraId="3D5F123B" w14:textId="77777777" w:rsidR="00D12D93" w:rsidRDefault="00D12D93">
      <w:pPr>
        <w:pStyle w:val="TOC1"/>
        <w:rPr>
          <w:rFonts w:asciiTheme="minorHAnsi" w:eastAsiaTheme="minorEastAsia" w:hAnsiTheme="minorHAnsi" w:cstheme="minorBidi"/>
          <w:noProof/>
          <w:color w:val="auto"/>
          <w:sz w:val="22"/>
          <w:szCs w:val="22"/>
        </w:rPr>
      </w:pPr>
      <w:r>
        <w:rPr>
          <w:noProof/>
        </w:rPr>
        <w:t>Catalogue of consultation questions</w:t>
      </w:r>
      <w:r>
        <w:rPr>
          <w:noProof/>
        </w:rPr>
        <w:tab/>
      </w:r>
      <w:r>
        <w:rPr>
          <w:noProof/>
        </w:rPr>
        <w:fldChar w:fldCharType="begin"/>
      </w:r>
      <w:r>
        <w:rPr>
          <w:noProof/>
        </w:rPr>
        <w:instrText xml:space="preserve"> PAGEREF _Toc427590043 \h </w:instrText>
      </w:r>
      <w:r>
        <w:rPr>
          <w:noProof/>
        </w:rPr>
      </w:r>
      <w:r>
        <w:rPr>
          <w:noProof/>
        </w:rPr>
        <w:fldChar w:fldCharType="separate"/>
      </w:r>
      <w:r>
        <w:rPr>
          <w:noProof/>
        </w:rPr>
        <w:t>11</w:t>
      </w:r>
      <w:r>
        <w:rPr>
          <w:noProof/>
        </w:rPr>
        <w:fldChar w:fldCharType="end"/>
      </w:r>
    </w:p>
    <w:p w14:paraId="034B2DCA" w14:textId="77777777" w:rsidR="00D12D93" w:rsidRDefault="00D12D93">
      <w:pPr>
        <w:pStyle w:val="TOC1"/>
        <w:rPr>
          <w:rFonts w:asciiTheme="minorHAnsi" w:eastAsiaTheme="minorEastAsia" w:hAnsiTheme="minorHAnsi" w:cstheme="minorBidi"/>
          <w:noProof/>
          <w:color w:val="auto"/>
          <w:sz w:val="22"/>
          <w:szCs w:val="22"/>
        </w:rPr>
      </w:pPr>
      <w:r>
        <w:rPr>
          <w:noProof/>
        </w:rPr>
        <w:t>Consultation Arrangements</w:t>
      </w:r>
      <w:r>
        <w:rPr>
          <w:noProof/>
        </w:rPr>
        <w:tab/>
      </w:r>
      <w:r>
        <w:rPr>
          <w:noProof/>
        </w:rPr>
        <w:fldChar w:fldCharType="begin"/>
      </w:r>
      <w:r>
        <w:rPr>
          <w:noProof/>
        </w:rPr>
        <w:instrText xml:space="preserve"> PAGEREF _Toc427590044 \h </w:instrText>
      </w:r>
      <w:r>
        <w:rPr>
          <w:noProof/>
        </w:rPr>
      </w:r>
      <w:r>
        <w:rPr>
          <w:noProof/>
        </w:rPr>
        <w:fldChar w:fldCharType="separate"/>
      </w:r>
      <w:r>
        <w:rPr>
          <w:noProof/>
        </w:rPr>
        <w:t>15</w:t>
      </w:r>
      <w:r>
        <w:rPr>
          <w:noProof/>
        </w:rPr>
        <w:fldChar w:fldCharType="end"/>
      </w:r>
    </w:p>
    <w:p w14:paraId="76285561" w14:textId="77777777" w:rsidR="00D12D93" w:rsidRDefault="00D12D93">
      <w:pPr>
        <w:pStyle w:val="TOC1"/>
        <w:rPr>
          <w:rFonts w:asciiTheme="minorHAnsi" w:eastAsiaTheme="minorEastAsia" w:hAnsiTheme="minorHAnsi" w:cstheme="minorBidi"/>
          <w:noProof/>
          <w:color w:val="auto"/>
          <w:sz w:val="22"/>
          <w:szCs w:val="22"/>
        </w:rPr>
      </w:pPr>
      <w:r>
        <w:rPr>
          <w:noProof/>
        </w:rPr>
        <w:t>Annex A: Content of the statistical releases</w:t>
      </w:r>
      <w:r>
        <w:rPr>
          <w:noProof/>
        </w:rPr>
        <w:tab/>
      </w:r>
      <w:r>
        <w:rPr>
          <w:noProof/>
        </w:rPr>
        <w:fldChar w:fldCharType="begin"/>
      </w:r>
      <w:r>
        <w:rPr>
          <w:noProof/>
        </w:rPr>
        <w:instrText xml:space="preserve"> PAGEREF _Toc427590045 \h </w:instrText>
      </w:r>
      <w:r>
        <w:rPr>
          <w:noProof/>
        </w:rPr>
      </w:r>
      <w:r>
        <w:rPr>
          <w:noProof/>
        </w:rPr>
        <w:fldChar w:fldCharType="separate"/>
      </w:r>
      <w:r>
        <w:rPr>
          <w:noProof/>
        </w:rPr>
        <w:t>17</w:t>
      </w:r>
      <w:r>
        <w:rPr>
          <w:noProof/>
        </w:rPr>
        <w:fldChar w:fldCharType="end"/>
      </w:r>
    </w:p>
    <w:p w14:paraId="04605086" w14:textId="77777777" w:rsidR="00D12D93" w:rsidRDefault="00D12D93">
      <w:pPr>
        <w:pStyle w:val="TOC1"/>
        <w:rPr>
          <w:rFonts w:asciiTheme="minorHAnsi" w:eastAsiaTheme="minorEastAsia" w:hAnsiTheme="minorHAnsi" w:cstheme="minorBidi"/>
          <w:noProof/>
          <w:color w:val="auto"/>
          <w:sz w:val="22"/>
          <w:szCs w:val="22"/>
        </w:rPr>
      </w:pPr>
      <w:r>
        <w:rPr>
          <w:noProof/>
        </w:rPr>
        <w:t>Annex B: Your details</w:t>
      </w:r>
      <w:r>
        <w:rPr>
          <w:noProof/>
        </w:rPr>
        <w:tab/>
      </w:r>
      <w:r>
        <w:rPr>
          <w:noProof/>
        </w:rPr>
        <w:fldChar w:fldCharType="begin"/>
      </w:r>
      <w:r>
        <w:rPr>
          <w:noProof/>
        </w:rPr>
        <w:instrText xml:space="preserve"> PAGEREF _Toc427590046 \h </w:instrText>
      </w:r>
      <w:r>
        <w:rPr>
          <w:noProof/>
        </w:rPr>
      </w:r>
      <w:r>
        <w:rPr>
          <w:noProof/>
        </w:rPr>
        <w:fldChar w:fldCharType="separate"/>
      </w:r>
      <w:r>
        <w:rPr>
          <w:noProof/>
        </w:rPr>
        <w:t>22</w:t>
      </w:r>
      <w:r>
        <w:rPr>
          <w:noProof/>
        </w:rPr>
        <w:fldChar w:fldCharType="end"/>
      </w:r>
    </w:p>
    <w:p w14:paraId="2DDC3C56" w14:textId="77777777" w:rsidR="000E4F05" w:rsidRPr="000322BE" w:rsidRDefault="000322BE" w:rsidP="000322BE">
      <w:pPr>
        <w:pStyle w:val="TOC1"/>
      </w:pPr>
      <w:r>
        <w:fldChar w:fldCharType="end"/>
      </w:r>
    </w:p>
    <w:p w14:paraId="75037EF7" w14:textId="77777777" w:rsidR="000322BE" w:rsidRDefault="000322BE" w:rsidP="000322BE"/>
    <w:p w14:paraId="222AADC3" w14:textId="77777777" w:rsidR="000322BE" w:rsidRPr="000322BE" w:rsidRDefault="000322BE" w:rsidP="000322BE">
      <w:pPr>
        <w:sectPr w:rsidR="000322BE" w:rsidRPr="000322BE" w:rsidSect="00E515B6">
          <w:pgSz w:w="11906" w:h="16838" w:code="9"/>
          <w:pgMar w:top="1701" w:right="907" w:bottom="907" w:left="907" w:header="680" w:footer="680" w:gutter="0"/>
          <w:cols w:space="720"/>
          <w:titlePg/>
        </w:sectPr>
      </w:pPr>
    </w:p>
    <w:p w14:paraId="5A58D832" w14:textId="77777777" w:rsidR="00AE7404" w:rsidRPr="00064196" w:rsidRDefault="00AE7404" w:rsidP="00437251">
      <w:pPr>
        <w:pStyle w:val="Heading1"/>
      </w:pPr>
      <w:bookmarkStart w:id="3" w:name="_Toc427590039"/>
      <w:r w:rsidRPr="00064196">
        <w:lastRenderedPageBreak/>
        <w:t>General information</w:t>
      </w:r>
      <w:bookmarkEnd w:id="3"/>
    </w:p>
    <w:p w14:paraId="1D6AE583" w14:textId="77777777" w:rsidR="00E45521" w:rsidRPr="00D236C3" w:rsidRDefault="00B22870" w:rsidP="00585C48">
      <w:pPr>
        <w:pStyle w:val="Heading4"/>
      </w:pPr>
      <w:r w:rsidRPr="00D236C3">
        <w:t>Purpose of this c</w:t>
      </w:r>
      <w:r w:rsidR="00E45521" w:rsidRPr="00D236C3">
        <w:t>onsultation</w:t>
      </w:r>
      <w:r w:rsidR="00DE520A">
        <w:t>:</w:t>
      </w:r>
    </w:p>
    <w:p w14:paraId="28F382EC" w14:textId="22C91F55" w:rsidR="00E45521" w:rsidRPr="007E6C48" w:rsidRDefault="00E10B7E" w:rsidP="00C4370F">
      <w:pPr>
        <w:pStyle w:val="BodyText"/>
        <w:jc w:val="both"/>
      </w:pPr>
      <w:r>
        <w:t>This consultation is open to the general public and is seeking views from key stakeholders</w:t>
      </w:r>
      <w:r w:rsidR="00BA4762" w:rsidRPr="00BA4762">
        <w:t xml:space="preserve"> </w:t>
      </w:r>
      <w:r w:rsidR="00BA4762">
        <w:t xml:space="preserve">and </w:t>
      </w:r>
      <w:r w:rsidR="00BA4762" w:rsidRPr="006045DE">
        <w:t>users,</w:t>
      </w:r>
      <w:r>
        <w:t xml:space="preserve"> </w:t>
      </w:r>
      <w:r w:rsidR="006045DE">
        <w:t>regarding</w:t>
      </w:r>
      <w:r w:rsidR="006045DE" w:rsidRPr="006045DE">
        <w:t xml:space="preserve"> DECC’s National Statistics on the Green Deal, Energy Company Obligation and Insulation statistics. The </w:t>
      </w:r>
      <w:r w:rsidR="006045DE">
        <w:t>purpose</w:t>
      </w:r>
      <w:r w:rsidR="006045DE" w:rsidRPr="006045DE">
        <w:t xml:space="preserve"> of this consultation is to review the impacts of </w:t>
      </w:r>
      <w:r w:rsidR="00BA4762">
        <w:t>the proposals, as set out in this document, on key users,</w:t>
      </w:r>
      <w:r w:rsidR="006045DE" w:rsidRPr="006045DE">
        <w:t xml:space="preserve"> as well as to improve DECC’s understanding on who uses the statistics.</w:t>
      </w:r>
    </w:p>
    <w:p w14:paraId="20F25148" w14:textId="3A4195EA" w:rsidR="00E45521" w:rsidRPr="00D236C3" w:rsidRDefault="00E45521" w:rsidP="00D236C3">
      <w:r w:rsidRPr="00D236C3">
        <w:rPr>
          <w:b/>
        </w:rPr>
        <w:t>Issued</w:t>
      </w:r>
      <w:r w:rsidRPr="00D236C3">
        <w:t xml:space="preserve">: </w:t>
      </w:r>
      <w:r w:rsidR="006045DE">
        <w:t>20</w:t>
      </w:r>
      <w:r w:rsidR="00DF6FA1" w:rsidRPr="00DF6FA1">
        <w:rPr>
          <w:vertAlign w:val="superscript"/>
        </w:rPr>
        <w:t>th</w:t>
      </w:r>
      <w:r w:rsidR="00DF6FA1">
        <w:t xml:space="preserve"> </w:t>
      </w:r>
      <w:r w:rsidR="00DF6FA1" w:rsidRPr="00DF6FA1">
        <w:t>August 2015</w:t>
      </w:r>
    </w:p>
    <w:p w14:paraId="0B24FDD1" w14:textId="3A65F6D5" w:rsidR="00E45521" w:rsidRPr="00D236C3" w:rsidRDefault="00E45521" w:rsidP="00D236C3">
      <w:r w:rsidRPr="00D236C3">
        <w:rPr>
          <w:b/>
        </w:rPr>
        <w:t>Respond by</w:t>
      </w:r>
      <w:r w:rsidRPr="00D236C3">
        <w:t xml:space="preserve">: </w:t>
      </w:r>
      <w:r w:rsidR="006045DE">
        <w:t>30</w:t>
      </w:r>
      <w:r w:rsidR="00DF6FA1">
        <w:rPr>
          <w:vertAlign w:val="superscript"/>
        </w:rPr>
        <w:t>th</w:t>
      </w:r>
      <w:r w:rsidR="00B001D5">
        <w:t xml:space="preserve"> </w:t>
      </w:r>
      <w:r w:rsidR="00DF6FA1">
        <w:t>September 2015</w:t>
      </w:r>
    </w:p>
    <w:p w14:paraId="54DE1F32" w14:textId="77777777" w:rsidR="00D12D93" w:rsidRDefault="00E45521" w:rsidP="00D236C3">
      <w:r w:rsidRPr="00D236C3">
        <w:rPr>
          <w:b/>
        </w:rPr>
        <w:t>Enquiries to:</w:t>
      </w:r>
      <w:r w:rsidR="005E3993">
        <w:rPr>
          <w:b/>
        </w:rPr>
        <w:br/>
      </w:r>
      <w:r w:rsidR="0072788C">
        <w:t>Home Energy Statistics Team</w:t>
      </w:r>
      <w:r w:rsidR="005E3993">
        <w:br/>
      </w:r>
      <w:r w:rsidRPr="00D236C3">
        <w:t>Department of Energy &amp; Climate Change,</w:t>
      </w:r>
      <w:r w:rsidR="005E3993">
        <w:br/>
      </w:r>
      <w:r w:rsidR="0072788C">
        <w:t>1st</w:t>
      </w:r>
      <w:r w:rsidRPr="00D236C3">
        <w:t xml:space="preserve"> Floor Area </w:t>
      </w:r>
      <w:r w:rsidR="0072788C">
        <w:t>D,</w:t>
      </w:r>
      <w:r w:rsidR="005E3993">
        <w:br/>
      </w:r>
      <w:r w:rsidRPr="00D236C3">
        <w:t>3 Whitehall Place,</w:t>
      </w:r>
      <w:r w:rsidR="00720261">
        <w:br/>
      </w:r>
      <w:r w:rsidRPr="00D236C3">
        <w:t>London, SW1A 2AW</w:t>
      </w:r>
      <w:r w:rsidR="00D12D93">
        <w:br/>
      </w:r>
    </w:p>
    <w:p w14:paraId="2529F96B" w14:textId="685FB72D" w:rsidR="00E45521" w:rsidRPr="00D236C3" w:rsidRDefault="00E45521" w:rsidP="00D236C3">
      <w:r w:rsidRPr="00D236C3">
        <w:t xml:space="preserve">Email: </w:t>
      </w:r>
      <w:hyperlink r:id="rId25" w:history="1">
        <w:r w:rsidR="0072788C" w:rsidRPr="00F329DD">
          <w:rPr>
            <w:rStyle w:val="Hyperlink"/>
          </w:rPr>
          <w:t>EnergyEfficiency.Stats@decc.gsi.gov.uk</w:t>
        </w:r>
      </w:hyperlink>
      <w:r w:rsidR="0072788C">
        <w:t xml:space="preserve"> </w:t>
      </w:r>
      <w:r w:rsidR="00720261">
        <w:br/>
      </w:r>
      <w:r w:rsidRPr="00D236C3">
        <w:t>Consultation reference</w:t>
      </w:r>
      <w:r w:rsidRPr="00471CA9">
        <w:t xml:space="preserve">: URN </w:t>
      </w:r>
      <w:r w:rsidR="00471CA9" w:rsidRPr="00471CA9">
        <w:t>15D/429</w:t>
      </w:r>
      <w:r w:rsidRPr="00D236C3">
        <w:t xml:space="preserve"> [</w:t>
      </w:r>
      <w:r w:rsidR="0072788C" w:rsidRPr="0072788C">
        <w:t>Household Energy Efficiency Statistics User Consultation</w:t>
      </w:r>
      <w:r w:rsidRPr="00D236C3">
        <w:t>]</w:t>
      </w:r>
    </w:p>
    <w:p w14:paraId="56524414" w14:textId="77777777" w:rsidR="00585C48" w:rsidRDefault="00B22870" w:rsidP="00585C48">
      <w:pPr>
        <w:pStyle w:val="Heading4"/>
      </w:pPr>
      <w:r w:rsidRPr="00D236C3">
        <w:t>Territorial extent:</w:t>
      </w:r>
    </w:p>
    <w:p w14:paraId="2D0A94AD" w14:textId="4C518CD1" w:rsidR="00B22870" w:rsidRPr="00720261" w:rsidRDefault="0072788C" w:rsidP="00C2065F">
      <w:pPr>
        <w:pStyle w:val="BodyText"/>
        <w:rPr>
          <w:b/>
        </w:rPr>
      </w:pPr>
      <w:r>
        <w:t>Great Britain</w:t>
      </w:r>
    </w:p>
    <w:p w14:paraId="3E30F29F" w14:textId="77777777" w:rsidR="00D12D93" w:rsidRDefault="00D12D93" w:rsidP="00585C48">
      <w:pPr>
        <w:pStyle w:val="Heading4"/>
      </w:pPr>
    </w:p>
    <w:p w14:paraId="09F6696C" w14:textId="77777777" w:rsidR="00585C48" w:rsidRDefault="00B90006" w:rsidP="00585C48">
      <w:pPr>
        <w:pStyle w:val="Heading4"/>
      </w:pPr>
      <w:r w:rsidRPr="00D236C3">
        <w:t>How to respond:</w:t>
      </w:r>
    </w:p>
    <w:p w14:paraId="1834E54E" w14:textId="1888E515" w:rsidR="00D86A24" w:rsidRDefault="00B90006" w:rsidP="00D86A24">
      <w:pPr>
        <w:pStyle w:val="BodyText"/>
        <w:jc w:val="both"/>
      </w:pPr>
      <w:r w:rsidRPr="00D236C3">
        <w:t>Your response will most useful</w:t>
      </w:r>
      <w:r w:rsidR="008C0CE6">
        <w:t xml:space="preserve"> if</w:t>
      </w:r>
      <w:r w:rsidRPr="00D236C3">
        <w:t xml:space="preserve"> it is framed in direct response to the questions posed, </w:t>
      </w:r>
      <w:r w:rsidR="00D86A24">
        <w:t xml:space="preserve">and in respect of your responses to tables set out in </w:t>
      </w:r>
      <w:hyperlink w:anchor="_Annex_A:_Content" w:history="1">
        <w:r w:rsidR="00D86A24" w:rsidRPr="00615A03">
          <w:rPr>
            <w:rStyle w:val="Hyperlink"/>
          </w:rPr>
          <w:t>Annex A</w:t>
        </w:r>
      </w:hyperlink>
      <w:r w:rsidR="00D86A24">
        <w:t xml:space="preserve">, </w:t>
      </w:r>
      <w:r w:rsidRPr="00D236C3">
        <w:t>though further comments and evidence are also welcome.</w:t>
      </w:r>
    </w:p>
    <w:p w14:paraId="4B39C09A" w14:textId="31EA2519" w:rsidR="00615A03" w:rsidRDefault="00615A03" w:rsidP="00D86A24">
      <w:pPr>
        <w:pStyle w:val="BodyText"/>
        <w:jc w:val="both"/>
      </w:pPr>
      <w:r>
        <w:t xml:space="preserve">Please can you complete the section in the </w:t>
      </w:r>
      <w:hyperlink w:anchor="_Consultation_Arrangements" w:history="1">
        <w:r w:rsidRPr="00615A03">
          <w:rPr>
            <w:rStyle w:val="Hyperlink"/>
          </w:rPr>
          <w:t>consultation arrangement</w:t>
        </w:r>
      </w:hyperlink>
      <w:r>
        <w:t xml:space="preserve"> section as well as responses to tables set out in </w:t>
      </w:r>
      <w:hyperlink w:anchor="_Annex_A:_Content" w:history="1">
        <w:r w:rsidRPr="00615A03">
          <w:rPr>
            <w:rStyle w:val="Hyperlink"/>
          </w:rPr>
          <w:t>Annex A</w:t>
        </w:r>
      </w:hyperlink>
      <w:r>
        <w:t xml:space="preserve">. Please complete these sections and submit an electronic copy to </w:t>
      </w:r>
      <w:hyperlink r:id="rId26" w:history="1">
        <w:r w:rsidRPr="00C77BB0">
          <w:rPr>
            <w:rStyle w:val="Hyperlink"/>
          </w:rPr>
          <w:t>EnergyEfficiency.Stats@decc.gsi.gov.uk</w:t>
        </w:r>
      </w:hyperlink>
      <w:r w:rsidR="00D12D93">
        <w:t xml:space="preserve">. </w:t>
      </w:r>
      <w:r w:rsidR="009B7354">
        <w:t>Please make it clear on your response if you do not want your responses published</w:t>
      </w:r>
      <w:r w:rsidR="00225913">
        <w:t xml:space="preserve">, </w:t>
      </w:r>
      <w:r w:rsidR="008C0CE6">
        <w:t>following the consultation</w:t>
      </w:r>
      <w:r w:rsidR="00225913">
        <w:t>,</w:t>
      </w:r>
      <w:r w:rsidR="009B7354">
        <w:t xml:space="preserve"> on gov.uk website.</w:t>
      </w:r>
    </w:p>
    <w:p w14:paraId="53C7BB28" w14:textId="40CD7088" w:rsidR="00615A03" w:rsidRDefault="00615A03" w:rsidP="00D86A24">
      <w:pPr>
        <w:pStyle w:val="BodyText"/>
        <w:jc w:val="both"/>
      </w:pPr>
      <w:r>
        <w:t xml:space="preserve">Also please complete </w:t>
      </w:r>
      <w:r w:rsidR="009B7354">
        <w:t xml:space="preserve">‘your details’ section in </w:t>
      </w:r>
      <w:hyperlink w:anchor="_Annex_B:_Your" w:history="1">
        <w:r w:rsidR="009B7354" w:rsidRPr="009B7354">
          <w:rPr>
            <w:rStyle w:val="Hyperlink"/>
          </w:rPr>
          <w:t>Annex B</w:t>
        </w:r>
      </w:hyperlink>
      <w:r w:rsidR="009B7354">
        <w:t>.</w:t>
      </w:r>
    </w:p>
    <w:p w14:paraId="3063DFB9" w14:textId="77777777" w:rsidR="00615A03" w:rsidRDefault="00615A03" w:rsidP="00D86A24">
      <w:pPr>
        <w:pStyle w:val="BodyText"/>
        <w:jc w:val="both"/>
      </w:pPr>
    </w:p>
    <w:p w14:paraId="53FBB99B" w14:textId="77777777" w:rsidR="00585C48" w:rsidRDefault="00B22870" w:rsidP="00D86A24">
      <w:pPr>
        <w:pStyle w:val="Heading4"/>
        <w:jc w:val="both"/>
      </w:pPr>
      <w:r w:rsidRPr="00D729EF">
        <w:lastRenderedPageBreak/>
        <w:t>Additional copies:</w:t>
      </w:r>
    </w:p>
    <w:p w14:paraId="7229BD21" w14:textId="2D5D64D3" w:rsidR="00D86A24" w:rsidRPr="00D12D93" w:rsidRDefault="00B22870" w:rsidP="00D12D93">
      <w:pPr>
        <w:rPr>
          <w:color w:val="1F497D"/>
        </w:rPr>
      </w:pPr>
      <w:r w:rsidRPr="00D236C3">
        <w:t xml:space="preserve">You may make copies of this document without seeking permission. An electronic version can be found at </w:t>
      </w:r>
      <w:hyperlink r:id="rId27" w:history="1">
        <w:r w:rsidR="00D12D93">
          <w:rPr>
            <w:rStyle w:val="Hyperlink"/>
          </w:rPr>
          <w:t>https://www.gov.uk/government/consultations/decc-household-energy-efficiency-national-statistics-user-consultation</w:t>
        </w:r>
      </w:hyperlink>
    </w:p>
    <w:p w14:paraId="2372D08E" w14:textId="77777777" w:rsidR="002652DC" w:rsidRDefault="002652DC" w:rsidP="00D86A24">
      <w:pPr>
        <w:pStyle w:val="BodyText"/>
        <w:jc w:val="both"/>
      </w:pPr>
      <w:r w:rsidRPr="00D236C3">
        <w:t xml:space="preserve">Other versions of the document in Braille, </w:t>
      </w:r>
      <w:r w:rsidR="00E44728">
        <w:t>large print</w:t>
      </w:r>
      <w:r w:rsidRPr="00D236C3">
        <w:t xml:space="preserve"> or audio-cassette are available on request. This includes a Welsh version.</w:t>
      </w:r>
      <w:r w:rsidR="00E44728">
        <w:t xml:space="preserve"> Please contact us under the above details to request alternative versions.</w:t>
      </w:r>
    </w:p>
    <w:p w14:paraId="72F1B81C" w14:textId="77777777" w:rsidR="00D12D93" w:rsidRPr="00D236C3" w:rsidRDefault="00D12D93" w:rsidP="00D86A24">
      <w:pPr>
        <w:pStyle w:val="BodyText"/>
        <w:jc w:val="both"/>
      </w:pPr>
    </w:p>
    <w:p w14:paraId="06B78F90" w14:textId="77777777" w:rsidR="00585C48" w:rsidRDefault="002652DC" w:rsidP="00D86A24">
      <w:pPr>
        <w:pStyle w:val="Heading4"/>
        <w:jc w:val="both"/>
      </w:pPr>
      <w:r w:rsidRPr="00D236C3">
        <w:t>Confidentiality and data protection:</w:t>
      </w:r>
    </w:p>
    <w:p w14:paraId="4B0B2EB9" w14:textId="77777777" w:rsidR="00B67438" w:rsidRPr="00D236C3" w:rsidRDefault="00B67438" w:rsidP="00D86A24">
      <w:pPr>
        <w:pStyle w:val="BodyText"/>
        <w:jc w:val="both"/>
      </w:pPr>
      <w:r w:rsidRPr="00D236C3">
        <w:t xml:space="preserve">Information provided in response to this consultation, including personal information, may be subject to publication or disclosure in accordance with the access to information legislation (primarily the Freedom of Information Act 2000, the Data Protection Act 1998 and the Environmental Information Regulations 2004). </w:t>
      </w:r>
    </w:p>
    <w:p w14:paraId="070C5DE1" w14:textId="77777777" w:rsidR="00B67438" w:rsidRPr="007E6C48" w:rsidRDefault="00CA16AE" w:rsidP="00D86A24">
      <w:pPr>
        <w:pStyle w:val="BodyText"/>
        <w:jc w:val="both"/>
      </w:pPr>
      <w:r w:rsidRPr="00CA16AE">
        <w:t>If you want information that you provide to be treated as confidential please say so clearly in writing when you send your response to the consultation</w:t>
      </w:r>
      <w:r>
        <w:t>. I</w:t>
      </w:r>
      <w:r w:rsidR="00B67438" w:rsidRPr="007E6C48">
        <w:t xml:space="preserve">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w:t>
      </w:r>
      <w:r w:rsidRPr="00CA16AE">
        <w:t>An automatic confidentiality disclaimer generated by your IT system will not, of itself, be regarded by us as a confidentiality request</w:t>
      </w:r>
      <w:r>
        <w:t>.</w:t>
      </w:r>
    </w:p>
    <w:p w14:paraId="007A3F15" w14:textId="2C4654C7" w:rsidR="00B67438" w:rsidRPr="007E6C48" w:rsidRDefault="00B67438" w:rsidP="00D86A24">
      <w:pPr>
        <w:autoSpaceDE/>
        <w:autoSpaceDN/>
        <w:adjustRightInd/>
        <w:spacing w:before="0" w:after="0" w:line="240" w:lineRule="auto"/>
        <w:jc w:val="both"/>
      </w:pPr>
      <w:r w:rsidRPr="007E6C48">
        <w:t xml:space="preserve">We will summarise all responses and place this summary on </w:t>
      </w:r>
      <w:r w:rsidR="005853C8">
        <w:t xml:space="preserve">the </w:t>
      </w:r>
      <w:hyperlink r:id="rId28" w:history="1">
        <w:r w:rsidR="005853C8" w:rsidRPr="005853C8">
          <w:rPr>
            <w:rStyle w:val="Hyperlink"/>
          </w:rPr>
          <w:t xml:space="preserve">GOV.UK </w:t>
        </w:r>
        <w:r w:rsidRPr="005853C8">
          <w:rPr>
            <w:rStyle w:val="Hyperlink"/>
          </w:rPr>
          <w:t>website</w:t>
        </w:r>
      </w:hyperlink>
      <w:r w:rsidRPr="007E6C48">
        <w:t>. This summary will include a list of names or organisations that responded but not people’s personal names, addresses or other contact details.</w:t>
      </w:r>
    </w:p>
    <w:p w14:paraId="7EE26458" w14:textId="77777777" w:rsidR="009B7354" w:rsidRDefault="009B7354" w:rsidP="00D86A24">
      <w:pPr>
        <w:pStyle w:val="Heading4"/>
        <w:jc w:val="both"/>
      </w:pPr>
    </w:p>
    <w:p w14:paraId="6CD2C0E6" w14:textId="77777777" w:rsidR="00585C48" w:rsidRDefault="00277402" w:rsidP="00D86A24">
      <w:pPr>
        <w:pStyle w:val="Heading4"/>
        <w:jc w:val="both"/>
      </w:pPr>
      <w:r w:rsidRPr="007E6C48">
        <w:t>Quality assurance:</w:t>
      </w:r>
    </w:p>
    <w:p w14:paraId="6C3F2134" w14:textId="02E6970C" w:rsidR="004973D7" w:rsidRDefault="004973D7" w:rsidP="00D86A24">
      <w:pPr>
        <w:pStyle w:val="BodyText"/>
        <w:jc w:val="both"/>
      </w:pPr>
      <w:r w:rsidRPr="007E6C48">
        <w:t xml:space="preserve">This consultation has been carried out in accordance with the </w:t>
      </w:r>
      <w:hyperlink r:id="rId29" w:history="1">
        <w:r w:rsidRPr="005853C8">
          <w:rPr>
            <w:rStyle w:val="Hyperlink"/>
          </w:rPr>
          <w:t xml:space="preserve">Government’s </w:t>
        </w:r>
        <w:r w:rsidR="005853C8" w:rsidRPr="005853C8">
          <w:rPr>
            <w:rStyle w:val="Hyperlink"/>
          </w:rPr>
          <w:t>Consultation Principles</w:t>
        </w:r>
      </w:hyperlink>
      <w:r w:rsidR="005853C8">
        <w:t>.</w:t>
      </w:r>
    </w:p>
    <w:p w14:paraId="4CE9B19D" w14:textId="77777777" w:rsidR="00AE7404" w:rsidRPr="007E6C48" w:rsidRDefault="00AE7404" w:rsidP="00D86A24">
      <w:pPr>
        <w:pStyle w:val="BodyText"/>
        <w:jc w:val="both"/>
      </w:pPr>
      <w:r w:rsidRPr="007E6C48">
        <w:t xml:space="preserve">If you have any complaints about the consultation process (as opposed to comments about the issues which are the subject of the consultation) please address them to: </w:t>
      </w:r>
    </w:p>
    <w:p w14:paraId="3C4FB944" w14:textId="77777777" w:rsidR="00AE7404" w:rsidRPr="007E6C48" w:rsidRDefault="00AE7404" w:rsidP="00D86A24">
      <w:pPr>
        <w:pStyle w:val="BodyText"/>
      </w:pPr>
      <w:r w:rsidRPr="007E6C48">
        <w:t xml:space="preserve">DECC Consultation Co-ordinator </w:t>
      </w:r>
      <w:r w:rsidR="00720261">
        <w:br/>
      </w:r>
      <w:r w:rsidR="00F43FB0" w:rsidRPr="007E6C48">
        <w:t>3 Whitehall Place</w:t>
      </w:r>
      <w:r w:rsidR="00720261">
        <w:br/>
      </w:r>
      <w:r w:rsidR="00F43FB0" w:rsidRPr="007E6C48">
        <w:t>London SW1A 2AW</w:t>
      </w:r>
      <w:r w:rsidRPr="007E6C48">
        <w:t xml:space="preserve"> </w:t>
      </w:r>
      <w:r w:rsidR="00720261">
        <w:br/>
      </w:r>
      <w:r w:rsidRPr="007E6C48">
        <w:t xml:space="preserve">Email: </w:t>
      </w:r>
      <w:hyperlink r:id="rId30" w:history="1">
        <w:r w:rsidR="00382696" w:rsidRPr="007E6C48">
          <w:rPr>
            <w:rStyle w:val="Hyperlink"/>
          </w:rPr>
          <w:t>consultation.coordinator@decc.gsi.gov.uk</w:t>
        </w:r>
      </w:hyperlink>
      <w:r w:rsidR="00382696" w:rsidRPr="007E6C48">
        <w:t xml:space="preserve"> </w:t>
      </w:r>
    </w:p>
    <w:p w14:paraId="59832863" w14:textId="77777777" w:rsidR="000322BE" w:rsidRPr="00273969" w:rsidRDefault="000322BE" w:rsidP="00273969"/>
    <w:p w14:paraId="17B15122" w14:textId="77777777" w:rsidR="000322BE" w:rsidRPr="00273969" w:rsidRDefault="000322BE" w:rsidP="00273969">
      <w:pPr>
        <w:sectPr w:rsidR="000322BE" w:rsidRPr="00273969" w:rsidSect="00E515B6">
          <w:pgSz w:w="11906" w:h="16838" w:code="9"/>
          <w:pgMar w:top="1701" w:right="907" w:bottom="907" w:left="907" w:header="680" w:footer="680" w:gutter="0"/>
          <w:cols w:space="720"/>
          <w:titlePg/>
        </w:sectPr>
      </w:pPr>
    </w:p>
    <w:p w14:paraId="08823FCD" w14:textId="77777777" w:rsidR="00843A47" w:rsidRPr="00064196" w:rsidRDefault="00843A47" w:rsidP="00EE0C20">
      <w:pPr>
        <w:pStyle w:val="Heading1"/>
      </w:pPr>
      <w:bookmarkStart w:id="4" w:name="_Toc427590040"/>
      <w:r w:rsidRPr="00064196">
        <w:lastRenderedPageBreak/>
        <w:t xml:space="preserve">Executive </w:t>
      </w:r>
      <w:r w:rsidRPr="000E6ADA">
        <w:t>Summary</w:t>
      </w:r>
      <w:bookmarkEnd w:id="4"/>
    </w:p>
    <w:p w14:paraId="07D642AA" w14:textId="33A4A8B3" w:rsidR="00843A47" w:rsidRDefault="00047A46" w:rsidP="00524C2E">
      <w:pPr>
        <w:pStyle w:val="DECCIntrotext"/>
      </w:pPr>
      <w:r>
        <w:t xml:space="preserve">The National Statistics need to </w:t>
      </w:r>
      <w:r w:rsidR="00B001D5">
        <w:t>reflect changing</w:t>
      </w:r>
      <w:r>
        <w:t xml:space="preserve"> policy and </w:t>
      </w:r>
      <w:r w:rsidR="00B001D5">
        <w:t xml:space="preserve">on-going </w:t>
      </w:r>
      <w:r>
        <w:t>user needs</w:t>
      </w:r>
    </w:p>
    <w:p w14:paraId="412F8818" w14:textId="5D9153D1" w:rsidR="00322F2B" w:rsidRPr="00C225EF" w:rsidRDefault="00322F2B" w:rsidP="00322F2B">
      <w:pPr>
        <w:jc w:val="both"/>
      </w:pPr>
      <w:r w:rsidRPr="00C225EF">
        <w:t xml:space="preserve">The policies and needs of key users have evolved since the launch of the </w:t>
      </w:r>
      <w:r w:rsidR="00121858">
        <w:t xml:space="preserve">Green Deal and Energy Company Obligation (ECO) </w:t>
      </w:r>
      <w:r w:rsidRPr="00C225EF">
        <w:t xml:space="preserve">policies and the publications have had incremental increases to reflect changes to the </w:t>
      </w:r>
      <w:r w:rsidR="00121858">
        <w:t>current policies</w:t>
      </w:r>
      <w:r w:rsidRPr="00C225EF">
        <w:t xml:space="preserve">, new </w:t>
      </w:r>
      <w:r w:rsidR="00121858">
        <w:t xml:space="preserve">regular </w:t>
      </w:r>
      <w:r w:rsidRPr="00C225EF">
        <w:t>requests</w:t>
      </w:r>
      <w:r w:rsidR="00121858">
        <w:t xml:space="preserve"> for information</w:t>
      </w:r>
      <w:r w:rsidRPr="00C225EF">
        <w:t xml:space="preserve">, and new policies launching over this period. For example the first monthly </w:t>
      </w:r>
      <w:r w:rsidR="00524C2E">
        <w:t xml:space="preserve">headline </w:t>
      </w:r>
      <w:r w:rsidRPr="00C225EF">
        <w:t>release in March 2013 contained just</w:t>
      </w:r>
      <w:r w:rsidR="007E31ED">
        <w:t xml:space="preserve"> three tables, whereas the July </w:t>
      </w:r>
      <w:r w:rsidRPr="00C225EF">
        <w:t>2015 release had 14 tables, reporting on newer aspect</w:t>
      </w:r>
      <w:r>
        <w:t xml:space="preserve">s of the policy such as </w:t>
      </w:r>
      <w:r w:rsidR="00121858">
        <w:t xml:space="preserve">the </w:t>
      </w:r>
      <w:r>
        <w:t>G</w:t>
      </w:r>
      <w:r w:rsidR="00121858">
        <w:t xml:space="preserve">reen </w:t>
      </w:r>
      <w:r>
        <w:t>D</w:t>
      </w:r>
      <w:r w:rsidR="00121858">
        <w:t xml:space="preserve">eal </w:t>
      </w:r>
      <w:r>
        <w:t>H</w:t>
      </w:r>
      <w:r w:rsidR="00121858">
        <w:t xml:space="preserve">ome </w:t>
      </w:r>
      <w:r>
        <w:t>I</w:t>
      </w:r>
      <w:r w:rsidR="00121858">
        <w:t xml:space="preserve">mprovement </w:t>
      </w:r>
      <w:r>
        <w:t>F</w:t>
      </w:r>
      <w:r w:rsidR="00121858">
        <w:t>und (GDHIF)</w:t>
      </w:r>
      <w:r>
        <w:t xml:space="preserve">. </w:t>
      </w:r>
      <w:r w:rsidRPr="00C225EF">
        <w:t xml:space="preserve">No tables have been removed </w:t>
      </w:r>
      <w:r w:rsidR="00121858">
        <w:t>since the series began</w:t>
      </w:r>
      <w:r w:rsidRPr="00C225EF">
        <w:t xml:space="preserve"> and the frequency of release has also not changed.</w:t>
      </w:r>
    </w:p>
    <w:p w14:paraId="465D589E" w14:textId="77777777" w:rsidR="00322F2B" w:rsidRDefault="00322F2B" w:rsidP="00322F2B">
      <w:pPr>
        <w:pStyle w:val="Heading3"/>
        <w:rPr>
          <w:sz w:val="32"/>
          <w:szCs w:val="32"/>
        </w:rPr>
      </w:pPr>
      <w:r w:rsidRPr="00322F2B">
        <w:rPr>
          <w:sz w:val="32"/>
          <w:szCs w:val="32"/>
        </w:rPr>
        <w:t>Background to this consultation; Getting to this stage</w:t>
      </w:r>
    </w:p>
    <w:p w14:paraId="477856B5" w14:textId="5EA4EE12" w:rsidR="00047A46" w:rsidRDefault="0025699E" w:rsidP="00322F2B">
      <w:pPr>
        <w:pStyle w:val="Heading3"/>
      </w:pPr>
      <w:r>
        <w:t>Headline</w:t>
      </w:r>
      <w:r w:rsidR="00322F2B">
        <w:t xml:space="preserve"> statistic series</w:t>
      </w:r>
    </w:p>
    <w:p w14:paraId="56C7A7D9" w14:textId="23180E63" w:rsidR="00047A46" w:rsidRDefault="00047A46" w:rsidP="00047A46">
      <w:pPr>
        <w:jc w:val="both"/>
      </w:pPr>
      <w:r w:rsidRPr="00C225EF">
        <w:t xml:space="preserve">DECC has been publishing Official/National Statistics providing the latest available </w:t>
      </w:r>
      <w:r w:rsidR="00524C2E">
        <w:t xml:space="preserve">headline </w:t>
      </w:r>
      <w:r w:rsidRPr="00C225EF">
        <w:t>information on different elements of the Green Deal (GD) and ECO since March 2013 on a monthly basis. This includes the number of GD Assessments and GD Plans, measures installed through the Cashback scheme and GDHIF, as well as measures installed under ECO, a summary of ECO brokerage and an overview of the supply chain. Data on GD are presented to the end the previous month, whilst ECO is presented to the end of the month prior (two month lag).</w:t>
      </w:r>
      <w:r w:rsidRPr="00C225EF">
        <w:rPr>
          <w:b/>
        </w:rPr>
        <w:t xml:space="preserve"> In total there have</w:t>
      </w:r>
      <w:r w:rsidR="00471CA9">
        <w:rPr>
          <w:b/>
        </w:rPr>
        <w:t xml:space="preserve"> been 29</w:t>
      </w:r>
      <w:r w:rsidRPr="00C225EF">
        <w:rPr>
          <w:b/>
        </w:rPr>
        <w:t xml:space="preserve"> </w:t>
      </w:r>
      <w:r w:rsidR="00524C2E">
        <w:rPr>
          <w:b/>
        </w:rPr>
        <w:t>headline</w:t>
      </w:r>
      <w:r w:rsidR="00524C2E" w:rsidRPr="00C225EF">
        <w:rPr>
          <w:b/>
        </w:rPr>
        <w:t xml:space="preserve"> </w:t>
      </w:r>
      <w:r w:rsidR="00524C2E">
        <w:rPr>
          <w:b/>
        </w:rPr>
        <w:t>(</w:t>
      </w:r>
      <w:r w:rsidRPr="00C225EF">
        <w:rPr>
          <w:b/>
        </w:rPr>
        <w:t>monthly</w:t>
      </w:r>
      <w:r w:rsidR="00524C2E">
        <w:rPr>
          <w:b/>
        </w:rPr>
        <w:t xml:space="preserve">) </w:t>
      </w:r>
      <w:r w:rsidRPr="00C225EF">
        <w:rPr>
          <w:b/>
        </w:rPr>
        <w:t>releases</w:t>
      </w:r>
      <w:r w:rsidRPr="00C225EF">
        <w:t xml:space="preserve"> (to Ju</w:t>
      </w:r>
      <w:r w:rsidR="00471CA9">
        <w:t>ly</w:t>
      </w:r>
      <w:r w:rsidRPr="00C225EF">
        <w:t xml:space="preserve"> 2015 inclusive)</w:t>
      </w:r>
      <w:r w:rsidR="00121858">
        <w:t>.</w:t>
      </w:r>
    </w:p>
    <w:p w14:paraId="49439819" w14:textId="07A11058" w:rsidR="00FC5B64" w:rsidRPr="00C225EF" w:rsidRDefault="0025699E" w:rsidP="00FC5B64">
      <w:pPr>
        <w:pStyle w:val="Heading3"/>
      </w:pPr>
      <w:r>
        <w:t xml:space="preserve">Detailed </w:t>
      </w:r>
      <w:r w:rsidR="00FC5B64">
        <w:t>statistic series</w:t>
      </w:r>
    </w:p>
    <w:p w14:paraId="447F0C5E" w14:textId="5E306D3D" w:rsidR="00047A46" w:rsidRPr="00C225EF" w:rsidRDefault="00047A46" w:rsidP="00047A46">
      <w:pPr>
        <w:jc w:val="both"/>
      </w:pPr>
      <w:r w:rsidRPr="00C225EF">
        <w:t>Also DECC has been publishing Official/National Statistics on a quarterly basis providing further analysis and geographical breakdowns of published statistics on GD Assessments, Cashback,</w:t>
      </w:r>
      <w:r w:rsidR="00121858">
        <w:t xml:space="preserve"> GDHIF,</w:t>
      </w:r>
      <w:r w:rsidRPr="00C225EF">
        <w:t xml:space="preserve"> GD Plans and ECO measures, estimated carbon and energy savings from measures installed and supply chain activity. This </w:t>
      </w:r>
      <w:r w:rsidR="000141B1">
        <w:t xml:space="preserve">detailed </w:t>
      </w:r>
      <w:r w:rsidRPr="00C225EF">
        <w:t>release also includes updated information about Local Au</w:t>
      </w:r>
      <w:r w:rsidR="000141B1">
        <w:t>thority Schemes (such as Green D</w:t>
      </w:r>
      <w:r w:rsidRPr="00C225EF">
        <w:t xml:space="preserve">eal Communities), ECO delivery costs and estimates of home insulation levels in Great Britain. This is presented as cumulative totals from the start of the policy through to the end of the latest quarter. </w:t>
      </w:r>
      <w:r w:rsidRPr="00C225EF">
        <w:rPr>
          <w:b/>
        </w:rPr>
        <w:t xml:space="preserve">There have been nine </w:t>
      </w:r>
      <w:r w:rsidR="008E41FC">
        <w:rPr>
          <w:b/>
        </w:rPr>
        <w:t>detailed (</w:t>
      </w:r>
      <w:r w:rsidRPr="00C225EF">
        <w:rPr>
          <w:b/>
        </w:rPr>
        <w:t>quarterly</w:t>
      </w:r>
      <w:r w:rsidR="008E41FC">
        <w:rPr>
          <w:b/>
        </w:rPr>
        <w:t>)</w:t>
      </w:r>
      <w:r w:rsidRPr="00C225EF">
        <w:rPr>
          <w:b/>
        </w:rPr>
        <w:t xml:space="preserve"> releases since the first release in June 2013 </w:t>
      </w:r>
      <w:r w:rsidRPr="00C225EF">
        <w:t>(to June 2015 inclusive).</w:t>
      </w:r>
    </w:p>
    <w:p w14:paraId="590A5880" w14:textId="77777777" w:rsidR="00047A46" w:rsidRPr="00C225EF" w:rsidRDefault="00047A46" w:rsidP="00047A46">
      <w:pPr>
        <w:jc w:val="both"/>
      </w:pPr>
      <w:r w:rsidRPr="00C225EF">
        <w:t xml:space="preserve">These statistics form a key component of the evidence base of household energy efficiency within the Department for Energy and Climate Change, industry, academia and the wider community. Administrative data come from a variety of sources (see </w:t>
      </w:r>
      <w:hyperlink r:id="rId31" w:history="1">
        <w:r w:rsidRPr="00D44FA8">
          <w:rPr>
            <w:rStyle w:val="Hyperlink"/>
          </w:rPr>
          <w:t>Methodology note</w:t>
        </w:r>
      </w:hyperlink>
      <w:r w:rsidRPr="00C225EF">
        <w:t xml:space="preserve"> for details).</w:t>
      </w:r>
    </w:p>
    <w:p w14:paraId="61B1033D" w14:textId="77777777" w:rsidR="00BE0684" w:rsidRDefault="00BE0684" w:rsidP="007D20FA">
      <w:pPr>
        <w:pStyle w:val="Heading3"/>
      </w:pPr>
    </w:p>
    <w:p w14:paraId="5ED61838" w14:textId="77777777" w:rsidR="00BE0684" w:rsidRDefault="00BE0684" w:rsidP="007D20FA">
      <w:pPr>
        <w:pStyle w:val="Heading3"/>
      </w:pPr>
    </w:p>
    <w:p w14:paraId="0063D7A6" w14:textId="41D08A16" w:rsidR="007D20FA" w:rsidRDefault="007D20FA" w:rsidP="007D20FA">
      <w:pPr>
        <w:pStyle w:val="Heading3"/>
      </w:pPr>
      <w:r>
        <w:lastRenderedPageBreak/>
        <w:t>Scope of the consultation and recent DECC policy announcements</w:t>
      </w:r>
    </w:p>
    <w:p w14:paraId="32AA4FB9" w14:textId="1597BE6C" w:rsidR="00322F2B" w:rsidRDefault="00047A46" w:rsidP="004808D5">
      <w:pPr>
        <w:pStyle w:val="BodyText"/>
        <w:jc w:val="both"/>
      </w:pPr>
      <w:r w:rsidRPr="00C225EF">
        <w:t xml:space="preserve">Please note that this consultation is in context of the </w:t>
      </w:r>
      <w:r w:rsidR="00277CA1">
        <w:t xml:space="preserve">current </w:t>
      </w:r>
      <w:r w:rsidRPr="00C225EF">
        <w:t xml:space="preserve">policies as reported in the statistical tables and releases </w:t>
      </w:r>
      <w:r w:rsidR="007D20FA">
        <w:t>currently being produced. This consultation is not consulting on statistics relating to any new</w:t>
      </w:r>
      <w:r w:rsidR="00121858">
        <w:t>/future</w:t>
      </w:r>
      <w:r w:rsidR="007D20FA">
        <w:t xml:space="preserve"> policies.</w:t>
      </w:r>
      <w:r w:rsidR="001D33B9">
        <w:t xml:space="preserve"> For example, this consultation is in relation to </w:t>
      </w:r>
      <w:r w:rsidR="0004623A">
        <w:t xml:space="preserve">ECO statistical tables relating to </w:t>
      </w:r>
      <w:r w:rsidR="001D33B9">
        <w:t xml:space="preserve">the current </w:t>
      </w:r>
      <w:r w:rsidR="001D33B9" w:rsidRPr="001D33B9">
        <w:t>phase of the Energy Company Obligation (ECO 1 and ECO 2)</w:t>
      </w:r>
      <w:r w:rsidR="001D33B9">
        <w:t xml:space="preserve"> </w:t>
      </w:r>
      <w:r w:rsidR="00817971">
        <w:t>only</w:t>
      </w:r>
      <w:r w:rsidR="0004623A">
        <w:t>.</w:t>
      </w:r>
    </w:p>
    <w:p w14:paraId="3A15328E" w14:textId="18E373B8" w:rsidR="00953116" w:rsidRPr="00E46DDF" w:rsidRDefault="00953116" w:rsidP="00953116">
      <w:pPr>
        <w:spacing w:before="0" w:after="0" w:line="270" w:lineRule="atLeast"/>
        <w:jc w:val="both"/>
      </w:pPr>
      <w:r>
        <w:t>On 23</w:t>
      </w:r>
      <w:r>
        <w:rPr>
          <w:vertAlign w:val="superscript"/>
        </w:rPr>
        <w:t xml:space="preserve"> </w:t>
      </w:r>
      <w:r>
        <w:t xml:space="preserve">July 2015 DECC </w:t>
      </w:r>
      <w:hyperlink r:id="rId32" w:history="1">
        <w:r w:rsidRPr="00226AFF">
          <w:rPr>
            <w:rStyle w:val="Hyperlink"/>
          </w:rPr>
          <w:t>announced</w:t>
        </w:r>
      </w:hyperlink>
      <w:r>
        <w:t xml:space="preserve"> that </w:t>
      </w:r>
      <w:r w:rsidRPr="006C10AB">
        <w:t>there will be no further funding to</w:t>
      </w:r>
      <w:r>
        <w:t xml:space="preserve"> the Green Deal Finance Company as well as to stop</w:t>
      </w:r>
      <w:r w:rsidRPr="00226AFF">
        <w:t xml:space="preserve"> any future funding releases of the Green Deal Home Improvement Fund.</w:t>
      </w:r>
      <w:r>
        <w:t xml:space="preserve"> </w:t>
      </w:r>
      <w:r w:rsidRPr="006D6B30">
        <w:t xml:space="preserve">This decision has no impact on existing Green Deal Finance Plans </w:t>
      </w:r>
      <w:r>
        <w:t xml:space="preserve">in the system </w:t>
      </w:r>
      <w:r w:rsidRPr="006D6B30">
        <w:t>or existing Green Deal Home Improvement Fund applications and vouchers</w:t>
      </w:r>
      <w:r>
        <w:t>. Therefore Plans currently in the system will continue to progress.</w:t>
      </w:r>
      <w:r w:rsidR="0004623A">
        <w:t xml:space="preserve"> </w:t>
      </w:r>
      <w:hyperlink w:anchor="_Annex_A:_Content" w:history="1">
        <w:r w:rsidR="0004623A" w:rsidRPr="000F3D70">
          <w:rPr>
            <w:rStyle w:val="Hyperlink"/>
          </w:rPr>
          <w:t>Annex A</w:t>
        </w:r>
      </w:hyperlink>
      <w:r w:rsidR="0004623A">
        <w:t xml:space="preserve"> sets out </w:t>
      </w:r>
      <w:r w:rsidR="000F3D70">
        <w:t>the</w:t>
      </w:r>
      <w:r w:rsidR="000F3D70" w:rsidRPr="000F3D70">
        <w:t xml:space="preserve"> current end reporting date</w:t>
      </w:r>
      <w:r w:rsidR="000F3D70">
        <w:t xml:space="preserve"> (due to end of scheme) of each statistical table. This is based on what is known at the time of the consultation.</w:t>
      </w:r>
    </w:p>
    <w:p w14:paraId="6D74EF82" w14:textId="77777777" w:rsidR="00953116" w:rsidRDefault="00953116" w:rsidP="00FC5B64">
      <w:pPr>
        <w:pStyle w:val="BodyText"/>
      </w:pPr>
    </w:p>
    <w:p w14:paraId="68DB0BF8" w14:textId="77777777" w:rsidR="000F3D70" w:rsidRDefault="000F3D70" w:rsidP="00FC5B64">
      <w:pPr>
        <w:pStyle w:val="BodyText"/>
      </w:pPr>
    </w:p>
    <w:p w14:paraId="20E48F92" w14:textId="06732B1C" w:rsidR="005E3265" w:rsidRPr="000E6ADA" w:rsidRDefault="00B001D5" w:rsidP="000E6ADA">
      <w:pPr>
        <w:pStyle w:val="Heading4"/>
      </w:pPr>
      <w:r w:rsidRPr="00B001D5">
        <w:t>Compatibility w</w:t>
      </w:r>
      <w:r>
        <w:t>ith the Consultation Principles</w:t>
      </w:r>
    </w:p>
    <w:p w14:paraId="7D14C2CA" w14:textId="039993D3" w:rsidR="00B001D5" w:rsidRDefault="00B001D5" w:rsidP="00B001D5">
      <w:pPr>
        <w:jc w:val="both"/>
      </w:pPr>
      <w:r w:rsidRPr="00C225EF">
        <w:t xml:space="preserve">These statistics have been accredited as National Statistics and the department has a duty to comply with the </w:t>
      </w:r>
      <w:r w:rsidR="000173E2" w:rsidRPr="000173E2">
        <w:t>Statistics and Registration Service Act 2007</w:t>
      </w:r>
      <w:r w:rsidRPr="00C225EF">
        <w:t xml:space="preserve">, including the </w:t>
      </w:r>
      <w:hyperlink r:id="rId33" w:history="1">
        <w:r w:rsidRPr="00C225EF">
          <w:rPr>
            <w:rStyle w:val="Hyperlink"/>
          </w:rPr>
          <w:t>Code of Practice for Official Statistics</w:t>
        </w:r>
      </w:hyperlink>
      <w:r w:rsidRPr="00C225EF">
        <w:t xml:space="preserve">. </w:t>
      </w:r>
    </w:p>
    <w:p w14:paraId="7D62415C" w14:textId="77777777" w:rsidR="00B001D5" w:rsidRPr="007E31ED" w:rsidRDefault="00B001D5" w:rsidP="000173E2">
      <w:pPr>
        <w:pStyle w:val="BodyNumbering"/>
        <w:jc w:val="both"/>
        <w:rPr>
          <w:color w:val="000000" w:themeColor="text1"/>
        </w:rPr>
      </w:pPr>
      <w:r w:rsidRPr="00C225EF">
        <w:t xml:space="preserve">The Code states that the production, management and dissemination of official statistics should meet user needs and users are to be consulted before changes that </w:t>
      </w:r>
      <w:r w:rsidRPr="007E31ED">
        <w:rPr>
          <w:color w:val="000000" w:themeColor="text1"/>
        </w:rPr>
        <w:t xml:space="preserve">affect statistics or publications are made. </w:t>
      </w:r>
    </w:p>
    <w:p w14:paraId="0603D566" w14:textId="03C60568" w:rsidR="00B001D5" w:rsidRPr="007E31ED" w:rsidRDefault="00B001D5" w:rsidP="007B5090">
      <w:pPr>
        <w:pStyle w:val="BodyNumbering"/>
        <w:jc w:val="both"/>
        <w:rPr>
          <w:color w:val="000000" w:themeColor="text1"/>
        </w:rPr>
      </w:pPr>
      <w:r w:rsidRPr="007E31ED">
        <w:rPr>
          <w:color w:val="000000" w:themeColor="text1"/>
        </w:rPr>
        <w:t>This consultation document and consultation process have been planned to adhere to the Consultation Principles issued by the Cabinet Office</w:t>
      </w:r>
      <w:r w:rsidR="007B5090" w:rsidRPr="007E31ED">
        <w:rPr>
          <w:color w:val="000000" w:themeColor="text1"/>
        </w:rPr>
        <w:t>. T</w:t>
      </w:r>
      <w:r w:rsidRPr="007E31ED">
        <w:rPr>
          <w:color w:val="000000" w:themeColor="text1"/>
        </w:rPr>
        <w:t xml:space="preserve">he </w:t>
      </w:r>
      <w:r w:rsidR="000173E2">
        <w:rPr>
          <w:color w:val="000000" w:themeColor="text1"/>
        </w:rPr>
        <w:t>National Statistician</w:t>
      </w:r>
      <w:r w:rsidR="007B5090" w:rsidRPr="007E31ED">
        <w:rPr>
          <w:color w:val="000000" w:themeColor="text1"/>
        </w:rPr>
        <w:t xml:space="preserve"> and the Better Regulation Executive has</w:t>
      </w:r>
      <w:r w:rsidRPr="007E31ED">
        <w:rPr>
          <w:color w:val="000000" w:themeColor="text1"/>
        </w:rPr>
        <w:t xml:space="preserve"> been notified of this consultation</w:t>
      </w:r>
      <w:r w:rsidR="007B5090" w:rsidRPr="007E31ED">
        <w:rPr>
          <w:color w:val="000000" w:themeColor="text1"/>
        </w:rPr>
        <w:t>.</w:t>
      </w:r>
    </w:p>
    <w:p w14:paraId="1D65E5F8" w14:textId="77777777" w:rsidR="00FC5B64" w:rsidRPr="00B001D5" w:rsidRDefault="00FC5B64" w:rsidP="00C17161">
      <w:pPr>
        <w:pStyle w:val="BodyNumbering"/>
        <w:numPr>
          <w:ilvl w:val="0"/>
          <w:numId w:val="0"/>
        </w:numPr>
      </w:pPr>
    </w:p>
    <w:p w14:paraId="1F08B542" w14:textId="77777777" w:rsidR="00FC5B64" w:rsidRDefault="00FC5B64" w:rsidP="00FC5B64">
      <w:pPr>
        <w:pStyle w:val="Heading1"/>
        <w:spacing w:before="120" w:after="120"/>
        <w:rPr>
          <w:bCs w:val="0"/>
          <w:kern w:val="0"/>
          <w:sz w:val="32"/>
        </w:rPr>
      </w:pPr>
      <w:bookmarkStart w:id="5" w:name="_Toc427590041"/>
      <w:r w:rsidRPr="00FC5B64">
        <w:rPr>
          <w:bCs w:val="0"/>
          <w:kern w:val="0"/>
          <w:sz w:val="32"/>
        </w:rPr>
        <w:t>Consultation on the future shape of these National Statistics</w:t>
      </w:r>
      <w:bookmarkEnd w:id="5"/>
    </w:p>
    <w:p w14:paraId="0A1A8110" w14:textId="77777777" w:rsidR="00FC5B64" w:rsidRPr="00C225EF" w:rsidRDefault="00FC5B64" w:rsidP="00FC5B64">
      <w:pPr>
        <w:jc w:val="both"/>
      </w:pPr>
      <w:r w:rsidRPr="00C225EF">
        <w:t>This document invites your comments on the plan for the future shape of the Green Deal and Energy Company Obligation National Statistics series.</w:t>
      </w:r>
    </w:p>
    <w:p w14:paraId="1338A810" w14:textId="79710016" w:rsidR="00FC5B64" w:rsidRDefault="00FC5B64" w:rsidP="00FC5B64">
      <w:pPr>
        <w:ind w:left="720" w:hanging="720"/>
        <w:jc w:val="both"/>
      </w:pPr>
      <w:r>
        <w:t>1.3</w:t>
      </w:r>
      <w:r>
        <w:tab/>
      </w:r>
      <w:r w:rsidRPr="00C225EF">
        <w:t>DECC is planning to make changes as part of its on-going aim to meet user needs, making best use of the data held centrally and offering more in-depth analysis. We are seeking views on how best we might do this whilst continuing to meet the needs of the department and other users. We are using this opportunity to help us ensure timely statistics on Household efficiency policies still meet user needs</w:t>
      </w:r>
      <w:r w:rsidR="00817971">
        <w:t>.</w:t>
      </w:r>
    </w:p>
    <w:p w14:paraId="6A877B60" w14:textId="76090C5B" w:rsidR="00FC5B64" w:rsidRPr="00C225EF" w:rsidRDefault="00FC5B64" w:rsidP="00FC5B64">
      <w:pPr>
        <w:ind w:left="720" w:hanging="720"/>
        <w:jc w:val="both"/>
      </w:pPr>
      <w:r>
        <w:t>1.4</w:t>
      </w:r>
      <w:r>
        <w:tab/>
      </w:r>
      <w:r w:rsidRPr="00C225EF">
        <w:t xml:space="preserve">This consultation is designed to engage users; we welcome comments on the approaches identified. To inform our decision, we would like to understand how the statistics are currently used as well as the impact of the likely changes on users. Therefore, respondents are asked to complete the “your details” section in </w:t>
      </w:r>
      <w:hyperlink w:anchor="_Annex_B:_Your" w:history="1">
        <w:r w:rsidRPr="009B7354">
          <w:rPr>
            <w:rStyle w:val="Hyperlink"/>
          </w:rPr>
          <w:t>Annex B</w:t>
        </w:r>
      </w:hyperlink>
      <w:r w:rsidRPr="009B7354">
        <w:t>.</w:t>
      </w:r>
    </w:p>
    <w:p w14:paraId="2EF31774" w14:textId="6DD1F9D9" w:rsidR="00E84F9A" w:rsidRDefault="00FC5B64" w:rsidP="00E84F9A">
      <w:pPr>
        <w:jc w:val="both"/>
      </w:pPr>
      <w:r>
        <w:t>1.5</w:t>
      </w:r>
      <w:r>
        <w:tab/>
      </w:r>
      <w:r w:rsidRPr="00C225EF">
        <w:t>All responses will be considered in the context of the aims and objectives of the</w:t>
      </w:r>
      <w:r>
        <w:tab/>
      </w:r>
      <w:r w:rsidRPr="00C225EF">
        <w:t>department; the financial budget; resource implications and coherence constraints.</w:t>
      </w:r>
      <w:bookmarkStart w:id="6" w:name="_Catalogue_of_consultation"/>
      <w:bookmarkEnd w:id="6"/>
    </w:p>
    <w:p w14:paraId="7457A85B" w14:textId="77777777" w:rsidR="00E84F9A" w:rsidRDefault="00E84F9A" w:rsidP="00E84F9A">
      <w:pPr>
        <w:jc w:val="both"/>
      </w:pPr>
    </w:p>
    <w:p w14:paraId="366716CA" w14:textId="77777777" w:rsidR="000F3D70" w:rsidRPr="00E84F9A" w:rsidRDefault="000F3D70" w:rsidP="00E84F9A">
      <w:pPr>
        <w:jc w:val="both"/>
      </w:pPr>
    </w:p>
    <w:p w14:paraId="3ED7867F" w14:textId="1A79680B" w:rsidR="00E84F9A" w:rsidRDefault="00E84F9A" w:rsidP="00E84F9A">
      <w:pPr>
        <w:pStyle w:val="Heading1"/>
        <w:spacing w:before="120" w:after="120"/>
        <w:rPr>
          <w:bCs w:val="0"/>
          <w:kern w:val="0"/>
          <w:sz w:val="32"/>
        </w:rPr>
      </w:pPr>
      <w:bookmarkStart w:id="7" w:name="_Toc427590042"/>
      <w:r>
        <w:rPr>
          <w:bCs w:val="0"/>
          <w:kern w:val="0"/>
          <w:sz w:val="32"/>
        </w:rPr>
        <w:lastRenderedPageBreak/>
        <w:t>Why DECC have decided to consult now</w:t>
      </w:r>
      <w:bookmarkEnd w:id="7"/>
    </w:p>
    <w:p w14:paraId="6D4F894E" w14:textId="0436377A" w:rsidR="00E84F9A" w:rsidRPr="00C225EF" w:rsidRDefault="00E84F9A" w:rsidP="00E84F9A">
      <w:pPr>
        <w:jc w:val="both"/>
      </w:pPr>
      <w:r>
        <w:t>Since the start of the</w:t>
      </w:r>
      <w:r w:rsidRPr="00C225EF">
        <w:t xml:space="preserve"> Green Deal and Energy Company Obligation </w:t>
      </w:r>
      <w:r>
        <w:t>policies DECC have not consulted on the headline or detailed National statistic series</w:t>
      </w:r>
      <w:r w:rsidR="006C16BB">
        <w:t xml:space="preserve"> which have been produced to monitor activity of these</w:t>
      </w:r>
      <w:r>
        <w:t>.</w:t>
      </w:r>
      <w:r w:rsidR="006C16BB">
        <w:t xml:space="preserve"> In that time the statistical series have increased in scope and detail. U</w:t>
      </w:r>
      <w:r>
        <w:t>ser consultations are required if there are any significant changes or to remove statistics from a National Statistics series.</w:t>
      </w:r>
      <w:r w:rsidR="003E4096">
        <w:t xml:space="preserve"> The following reasons are why DECC have decided to run a user consultation now.</w:t>
      </w:r>
    </w:p>
    <w:p w14:paraId="2D032DA5" w14:textId="73A020AB" w:rsidR="000D5341" w:rsidRDefault="00F91167" w:rsidP="000D5341">
      <w:pPr>
        <w:ind w:left="720" w:hanging="720"/>
        <w:jc w:val="both"/>
      </w:pPr>
      <w:r>
        <w:t>1.6</w:t>
      </w:r>
      <w:r>
        <w:tab/>
      </w:r>
      <w:r w:rsidR="00FE267B" w:rsidRPr="00FE267B">
        <w:t>The policies being reported on, are within the third year of being operational</w:t>
      </w:r>
      <w:r w:rsidR="00FE267B">
        <w:t xml:space="preserve">. </w:t>
      </w:r>
      <w:r w:rsidR="00FE267B" w:rsidRPr="00FE267B">
        <w:t>The Green Deal was launched on 28 Jan</w:t>
      </w:r>
      <w:r w:rsidR="00FE267B">
        <w:t xml:space="preserve">uary 2013 in England and Wales </w:t>
      </w:r>
      <w:r w:rsidR="00FE267B" w:rsidRPr="00FE267B">
        <w:t xml:space="preserve">and </w:t>
      </w:r>
      <w:r w:rsidR="00FE267B">
        <w:t>on 25 February 2013 in Scotland</w:t>
      </w:r>
      <w:r w:rsidR="00FE267B" w:rsidRPr="00FE267B">
        <w:t xml:space="preserve">. The Energy Company Obligation </w:t>
      </w:r>
      <w:r w:rsidR="000D5341">
        <w:t>(ECO) started on 1 January 2013 in Great Britain.</w:t>
      </w:r>
      <w:r w:rsidR="00FE267B" w:rsidRPr="00FE267B">
        <w:t xml:space="preserve"> As we are no longer at the introductory stage of the policies, </w:t>
      </w:r>
      <w:r w:rsidR="000D5341">
        <w:t xml:space="preserve">the type of information we make available and the demand for frequent updates </w:t>
      </w:r>
      <w:r w:rsidR="00F77043">
        <w:t>for some of the published statistics series</w:t>
      </w:r>
      <w:r w:rsidR="000D5341">
        <w:t xml:space="preserve"> has </w:t>
      </w:r>
      <w:r w:rsidR="00F77043">
        <w:t>changed</w:t>
      </w:r>
      <w:r w:rsidR="000D5341">
        <w:t xml:space="preserve"> compared to the earlier stages of the policies.</w:t>
      </w:r>
    </w:p>
    <w:p w14:paraId="4E49471A" w14:textId="2152415E" w:rsidR="000D5341" w:rsidRDefault="000D5341" w:rsidP="00F91167">
      <w:pPr>
        <w:ind w:left="720" w:hanging="720"/>
        <w:jc w:val="both"/>
      </w:pPr>
      <w:r>
        <w:t>1.7</w:t>
      </w:r>
      <w:r>
        <w:tab/>
      </w:r>
      <w:r w:rsidRPr="000D5341">
        <w:t>On 23 July 2015 DECC announced</w:t>
      </w:r>
      <w:r>
        <w:t xml:space="preserve"> policy changes</w:t>
      </w:r>
      <w:r w:rsidR="00F77043">
        <w:t xml:space="preserve"> </w:t>
      </w:r>
      <w:r w:rsidR="00F77043" w:rsidRPr="00F77043">
        <w:t>relating to the future of the Green Deal</w:t>
      </w:r>
      <w:r>
        <w:t>. As the National Statistics were related to t</w:t>
      </w:r>
      <w:r w:rsidR="00585ECB">
        <w:t xml:space="preserve">hese policies it is a sensible time to consult users on what they still want DECC to continue reporting on. </w:t>
      </w:r>
      <w:r w:rsidR="002250AA">
        <w:t>We are consulting now b</w:t>
      </w:r>
      <w:r w:rsidR="00DF2040">
        <w:t>efore new policies are announced and implemented</w:t>
      </w:r>
      <w:r w:rsidR="002250AA">
        <w:t xml:space="preserve"> and duly reported on (within this National Statistic series). </w:t>
      </w:r>
    </w:p>
    <w:p w14:paraId="7D33FB80" w14:textId="6BA26546" w:rsidR="00585ECB" w:rsidRDefault="00585ECB" w:rsidP="00F91167">
      <w:pPr>
        <w:ind w:left="720" w:hanging="720"/>
        <w:jc w:val="both"/>
      </w:pPr>
      <w:r>
        <w:t>1.8</w:t>
      </w:r>
      <w:r>
        <w:tab/>
      </w:r>
      <w:r w:rsidR="002250AA">
        <w:t xml:space="preserve">We have not </w:t>
      </w:r>
      <w:r w:rsidR="00F77043">
        <w:t xml:space="preserve">previously </w:t>
      </w:r>
      <w:r w:rsidR="002250AA">
        <w:t>run a user consultation related to these National Statistics and this is a good opportunity to find out more about who uses our statistics, and how they have used them. As the series have been published for over two years there should be a number of examples of how these statistics are regularly being used and what is reliant on these statistics.</w:t>
      </w:r>
    </w:p>
    <w:p w14:paraId="2D646FD1" w14:textId="77777777" w:rsidR="00585ECB" w:rsidRDefault="00585ECB" w:rsidP="00F91167">
      <w:pPr>
        <w:ind w:left="720" w:hanging="720"/>
        <w:jc w:val="both"/>
      </w:pPr>
    </w:p>
    <w:p w14:paraId="5772350A" w14:textId="2C1E6ABD" w:rsidR="00556A16" w:rsidRPr="00064196" w:rsidRDefault="00015C4E" w:rsidP="00953116">
      <w:pPr>
        <w:pStyle w:val="Heading1"/>
        <w:spacing w:after="600"/>
      </w:pPr>
      <w:r w:rsidRPr="007F05D5">
        <w:rPr>
          <w:color w:val="FFFFFF"/>
        </w:rPr>
        <w:br w:type="page"/>
      </w:r>
      <w:bookmarkStart w:id="8" w:name="OLE_LINK1"/>
      <w:bookmarkStart w:id="9" w:name="OLE_LINK2"/>
      <w:bookmarkStart w:id="10" w:name="_Toc427590043"/>
      <w:r w:rsidR="00556A16" w:rsidRPr="00064196">
        <w:lastRenderedPageBreak/>
        <w:t xml:space="preserve">Catalogue of consultation </w:t>
      </w:r>
      <w:bookmarkEnd w:id="8"/>
      <w:bookmarkEnd w:id="9"/>
      <w:r w:rsidR="00556A16" w:rsidRPr="00064196">
        <w:t>questions</w:t>
      </w:r>
      <w:bookmarkEnd w:id="10"/>
    </w:p>
    <w:p w14:paraId="404D692D" w14:textId="7191E86B" w:rsidR="00E75B6D" w:rsidRDefault="006B0064" w:rsidP="00524C2E">
      <w:pPr>
        <w:pStyle w:val="DECCIntrotext"/>
      </w:pPr>
      <w:r>
        <w:t xml:space="preserve">DECC propose to reduce the frequency of the </w:t>
      </w:r>
      <w:r w:rsidR="00AA4EC3">
        <w:t>headline</w:t>
      </w:r>
      <w:r>
        <w:t xml:space="preserve"> statistics release and change the format</w:t>
      </w:r>
    </w:p>
    <w:p w14:paraId="4D19781B" w14:textId="18745C69" w:rsidR="00D86A24" w:rsidRDefault="006B0064" w:rsidP="008454F1">
      <w:pPr>
        <w:jc w:val="both"/>
      </w:pPr>
      <w:r w:rsidRPr="00C225EF">
        <w:t xml:space="preserve">Proposals 1a, 1b and 1c are in relation to the current </w:t>
      </w:r>
      <w:r w:rsidR="00524C2E">
        <w:t>headline (</w:t>
      </w:r>
      <w:r w:rsidRPr="00C225EF">
        <w:t>monthly</w:t>
      </w:r>
      <w:r w:rsidR="00524C2E">
        <w:t xml:space="preserve">) </w:t>
      </w:r>
      <w:r w:rsidRPr="00C225EF">
        <w:t xml:space="preserve">release. </w:t>
      </w:r>
      <w:r w:rsidR="00D86A24">
        <w:t xml:space="preserve">The following points are some of the main </w:t>
      </w:r>
      <w:r w:rsidR="002967D2">
        <w:t>reasons</w:t>
      </w:r>
      <w:r w:rsidR="00D86A24">
        <w:t xml:space="preserve"> of implementing these changes.</w:t>
      </w:r>
    </w:p>
    <w:p w14:paraId="04148376" w14:textId="7541B83C" w:rsidR="00D86A24" w:rsidRDefault="002250AA" w:rsidP="00D86A24">
      <w:pPr>
        <w:ind w:left="720" w:hanging="720"/>
        <w:jc w:val="both"/>
      </w:pPr>
      <w:r>
        <w:t>1.9</w:t>
      </w:r>
      <w:r w:rsidR="00D86A24">
        <w:tab/>
      </w:r>
      <w:r w:rsidR="006B0064" w:rsidRPr="00C225EF">
        <w:t xml:space="preserve">The policies being reported on, are within the third year of being operational. As we </w:t>
      </w:r>
      <w:r w:rsidR="008300F9">
        <w:t xml:space="preserve">are no longer </w:t>
      </w:r>
      <w:r w:rsidR="00631D66">
        <w:t>at the introductory stage</w:t>
      </w:r>
      <w:r w:rsidR="007D20FA">
        <w:t xml:space="preserve"> of </w:t>
      </w:r>
      <w:r w:rsidR="006B0064" w:rsidRPr="00C225EF">
        <w:t>the policies</w:t>
      </w:r>
      <w:r w:rsidR="007D20FA">
        <w:t>,</w:t>
      </w:r>
      <w:r w:rsidR="006B0064" w:rsidRPr="00C225EF">
        <w:t xml:space="preserve"> we propose moving the frequency to a quarterly schedule. </w:t>
      </w:r>
    </w:p>
    <w:p w14:paraId="57E324CA" w14:textId="7547C65A" w:rsidR="00D86A24" w:rsidRDefault="002250AA" w:rsidP="00D86A24">
      <w:pPr>
        <w:ind w:left="720" w:hanging="720"/>
        <w:jc w:val="both"/>
      </w:pPr>
      <w:r>
        <w:t>1.10</w:t>
      </w:r>
      <w:r w:rsidR="00D86A24">
        <w:tab/>
      </w:r>
      <w:r w:rsidR="00A41C0A">
        <w:t>M</w:t>
      </w:r>
      <w:r w:rsidR="00D86A24">
        <w:t xml:space="preserve">oving the </w:t>
      </w:r>
      <w:r w:rsidR="00524C2E">
        <w:t xml:space="preserve">headline </w:t>
      </w:r>
      <w:r w:rsidR="00D86A24">
        <w:t xml:space="preserve">series to a quarterly release would mean </w:t>
      </w:r>
      <w:r w:rsidR="00631D66">
        <w:t>more comprehensive data</w:t>
      </w:r>
      <w:r w:rsidR="00D86A24">
        <w:t xml:space="preserve"> </w:t>
      </w:r>
      <w:r w:rsidR="00F03585">
        <w:t xml:space="preserve">(due to data lags) </w:t>
      </w:r>
      <w:r w:rsidR="00D86A24">
        <w:t xml:space="preserve">and </w:t>
      </w:r>
      <w:r w:rsidR="00F03585">
        <w:t xml:space="preserve">this should lead to </w:t>
      </w:r>
      <w:r w:rsidR="00D86A24">
        <w:t>fewer revisions. Currently, due to frequency of the administrative da</w:t>
      </w:r>
      <w:r w:rsidR="00135DB1">
        <w:t>ta used,</w:t>
      </w:r>
      <w:r w:rsidR="00D86A24">
        <w:t xml:space="preserve"> revisions to data on a month on month basis</w:t>
      </w:r>
      <w:r w:rsidR="00135DB1">
        <w:t xml:space="preserve"> are common</w:t>
      </w:r>
      <w:r w:rsidR="00D86A24">
        <w:t xml:space="preserve">. If data were only published every quarter, it would allow the statistics production team to implement data revisions (for the first two months of the quarter) </w:t>
      </w:r>
      <w:r w:rsidR="00135DB1">
        <w:t xml:space="preserve">within the data processing period </w:t>
      </w:r>
      <w:r w:rsidR="00D86A24">
        <w:t xml:space="preserve">and therefore </w:t>
      </w:r>
      <w:r w:rsidR="00135DB1">
        <w:t>result in</w:t>
      </w:r>
      <w:r w:rsidR="00D86A24">
        <w:t xml:space="preserve"> fewer revisions to the published numbers. It also allows more time to check any issues that may arise (which cannot be addressed within the current timescales, circa 12 working days), and/or allow for data to be cross-checked against other data sources that arrive within the production quarter).</w:t>
      </w:r>
    </w:p>
    <w:p w14:paraId="3A4B78B2" w14:textId="6BD213A0" w:rsidR="00D86A24" w:rsidRPr="00C225EF" w:rsidRDefault="002250AA" w:rsidP="00D86A24">
      <w:pPr>
        <w:ind w:left="720" w:hanging="720"/>
        <w:jc w:val="both"/>
      </w:pPr>
      <w:r>
        <w:t>1.11</w:t>
      </w:r>
      <w:r w:rsidR="00D86A24">
        <w:tab/>
      </w:r>
      <w:r w:rsidR="00D86A24" w:rsidRPr="00C225EF">
        <w:t>DECC propose changing the forma</w:t>
      </w:r>
      <w:r w:rsidR="00500ACE">
        <w:t xml:space="preserve">t of the </w:t>
      </w:r>
      <w:r w:rsidR="00524C2E">
        <w:t>headline</w:t>
      </w:r>
      <w:r w:rsidR="00500ACE">
        <w:t xml:space="preserve"> release to an E</w:t>
      </w:r>
      <w:r w:rsidR="00D86A24" w:rsidRPr="00C225EF">
        <w:t>xcel only</w:t>
      </w:r>
      <w:r w:rsidR="00303B03">
        <w:t xml:space="preserve"> (spreadsheet)</w:t>
      </w:r>
      <w:r w:rsidR="00D86A24" w:rsidRPr="00C225EF">
        <w:t xml:space="preserve"> release</w:t>
      </w:r>
      <w:r w:rsidR="00340EEA">
        <w:t xml:space="preserve"> i.e. .xlsx and .xls format</w:t>
      </w:r>
      <w:r w:rsidR="00D86A24" w:rsidRPr="00C225EF">
        <w:t xml:space="preserve">. This would remove most of the main commentary and charts, and present results just as tables with some commentary. This is because the statistical series have become more stable (less uncertain) compared to at the start of the schemes when the information on the policies was new to users, and demand on the </w:t>
      </w:r>
      <w:r w:rsidR="003B51BA">
        <w:t xml:space="preserve">interpretation of the </w:t>
      </w:r>
      <w:r w:rsidR="00D86A24" w:rsidRPr="00C225EF">
        <w:t>figures was greater.</w:t>
      </w:r>
      <w:r w:rsidR="004808D5">
        <w:t xml:space="preserve"> One of the main advantages of </w:t>
      </w:r>
      <w:r w:rsidR="00785B2E">
        <w:t>this</w:t>
      </w:r>
      <w:r w:rsidR="004808D5">
        <w:t xml:space="preserve"> is to create a more succinct release, which high</w:t>
      </w:r>
      <w:r w:rsidR="00902A26">
        <w:t>lights the key headline numbers.</w:t>
      </w:r>
    </w:p>
    <w:p w14:paraId="53E61D7E" w14:textId="77777777" w:rsidR="006B0064" w:rsidRPr="00C225EF" w:rsidRDefault="006B0064" w:rsidP="006B0064">
      <w:pPr>
        <w:jc w:val="both"/>
      </w:pPr>
      <w:r w:rsidRPr="00C225EF">
        <w:t>The proposals and key questions relating to this are set out below.</w:t>
      </w:r>
    </w:p>
    <w:p w14:paraId="3E065B17" w14:textId="41692C1F" w:rsidR="006B0064" w:rsidRDefault="006B0064" w:rsidP="006B0064">
      <w:pPr>
        <w:pBdr>
          <w:top w:val="single" w:sz="4" w:space="1" w:color="auto"/>
          <w:left w:val="single" w:sz="4" w:space="4" w:color="auto"/>
          <w:bottom w:val="single" w:sz="4" w:space="1" w:color="auto"/>
          <w:right w:val="single" w:sz="4" w:space="4" w:color="auto"/>
        </w:pBdr>
        <w:jc w:val="both"/>
      </w:pPr>
      <w:r w:rsidRPr="00C225EF">
        <w:t xml:space="preserve">Proposal 1a </w:t>
      </w:r>
      <w:r w:rsidR="00A41C0A" w:rsidRPr="00C225EF">
        <w:t>–</w:t>
      </w:r>
      <w:r w:rsidRPr="00C225EF">
        <w:t xml:space="preserve"> change frequency of </w:t>
      </w:r>
      <w:r w:rsidR="00524C2E">
        <w:t xml:space="preserve">headline </w:t>
      </w:r>
      <w:r w:rsidRPr="00C225EF">
        <w:t>release from monthly to quarterly (still containing the same periodicity of the figures)</w:t>
      </w:r>
      <w:r w:rsidR="00953116">
        <w:t>*</w:t>
      </w:r>
      <w:r w:rsidR="00F85886">
        <w:t>.</w:t>
      </w:r>
    </w:p>
    <w:p w14:paraId="058E3654" w14:textId="77777777" w:rsidR="00AA4EC3" w:rsidRPr="00C225EF" w:rsidRDefault="00AA4EC3" w:rsidP="006B0064">
      <w:pPr>
        <w:pBdr>
          <w:top w:val="single" w:sz="4" w:space="1" w:color="auto"/>
          <w:left w:val="single" w:sz="4" w:space="4" w:color="auto"/>
          <w:bottom w:val="single" w:sz="4" w:space="1" w:color="auto"/>
          <w:right w:val="single" w:sz="4" w:space="4" w:color="auto"/>
        </w:pBdr>
        <w:jc w:val="both"/>
      </w:pPr>
    </w:p>
    <w:p w14:paraId="14E165EA" w14:textId="7ACE6C1D" w:rsidR="006B0064" w:rsidRDefault="006B0064" w:rsidP="006B0064">
      <w:pPr>
        <w:pBdr>
          <w:top w:val="single" w:sz="4" w:space="1" w:color="auto"/>
          <w:left w:val="single" w:sz="4" w:space="4" w:color="auto"/>
          <w:bottom w:val="single" w:sz="4" w:space="1" w:color="auto"/>
          <w:right w:val="single" w:sz="4" w:space="4" w:color="auto"/>
        </w:pBdr>
        <w:jc w:val="both"/>
      </w:pPr>
      <w:r w:rsidRPr="00C225EF">
        <w:t xml:space="preserve">Proposal 1b – change </w:t>
      </w:r>
      <w:r w:rsidR="00500ACE">
        <w:t xml:space="preserve">format of the </w:t>
      </w:r>
      <w:r w:rsidR="00524C2E">
        <w:t xml:space="preserve">headline </w:t>
      </w:r>
      <w:r w:rsidR="00500ACE">
        <w:t>release to an E</w:t>
      </w:r>
      <w:r>
        <w:t xml:space="preserve">xcel only </w:t>
      </w:r>
      <w:r w:rsidR="00303B03">
        <w:t xml:space="preserve">(spreadsheet) </w:t>
      </w:r>
      <w:r>
        <w:t>release.</w:t>
      </w:r>
    </w:p>
    <w:p w14:paraId="3BC6E5BE" w14:textId="77777777" w:rsidR="00AA4EC3" w:rsidRPr="00C225EF" w:rsidRDefault="00AA4EC3" w:rsidP="006B0064">
      <w:pPr>
        <w:pBdr>
          <w:top w:val="single" w:sz="4" w:space="1" w:color="auto"/>
          <w:left w:val="single" w:sz="4" w:space="4" w:color="auto"/>
          <w:bottom w:val="single" w:sz="4" w:space="1" w:color="auto"/>
          <w:right w:val="single" w:sz="4" w:space="4" w:color="auto"/>
        </w:pBdr>
        <w:jc w:val="both"/>
      </w:pPr>
    </w:p>
    <w:p w14:paraId="260F6C58" w14:textId="66F4B66E" w:rsidR="006B0064" w:rsidRPr="00C225EF" w:rsidRDefault="006B0064" w:rsidP="006B0064">
      <w:pPr>
        <w:pBdr>
          <w:top w:val="single" w:sz="4" w:space="1" w:color="auto"/>
          <w:left w:val="single" w:sz="4" w:space="4" w:color="auto"/>
          <w:bottom w:val="single" w:sz="4" w:space="1" w:color="auto"/>
          <w:right w:val="single" w:sz="4" w:space="4" w:color="auto"/>
        </w:pBdr>
        <w:jc w:val="both"/>
      </w:pPr>
      <w:r w:rsidRPr="00C225EF">
        <w:t>Proposal 1c</w:t>
      </w:r>
      <w:r w:rsidR="00A41C0A">
        <w:t xml:space="preserve"> </w:t>
      </w:r>
      <w:r w:rsidR="00A41C0A" w:rsidRPr="00C225EF">
        <w:t>–</w:t>
      </w:r>
      <w:r w:rsidRPr="00C225EF">
        <w:t xml:space="preserve"> seek views on which tables to remain in this collection, as set out in </w:t>
      </w:r>
      <w:r w:rsidR="00084473">
        <w:t>Annex A</w:t>
      </w:r>
    </w:p>
    <w:p w14:paraId="75E0FF80" w14:textId="1C9970B1" w:rsidR="006B0064" w:rsidRDefault="00953116" w:rsidP="00F54E78">
      <w:pPr>
        <w:jc w:val="both"/>
      </w:pPr>
      <w:r>
        <w:t xml:space="preserve">*There are </w:t>
      </w:r>
      <w:r w:rsidR="00F54E78">
        <w:t xml:space="preserve">two </w:t>
      </w:r>
      <w:r>
        <w:t xml:space="preserve">statistical tables which we are not proposing to move to a quarterly publishing cycle. </w:t>
      </w:r>
      <w:r w:rsidR="005718B1">
        <w:t xml:space="preserve">These </w:t>
      </w:r>
      <w:r w:rsidR="003B51BA">
        <w:t>are</w:t>
      </w:r>
      <w:r w:rsidR="005718B1">
        <w:t xml:space="preserve"> tables 6 and 6a from the headline release (</w:t>
      </w:r>
      <w:r w:rsidR="00226C39">
        <w:t>“</w:t>
      </w:r>
      <w:r w:rsidR="005718B1" w:rsidRPr="005718B1">
        <w:t>Provisional number of ECO measures installed, by obligation, by installation month</w:t>
      </w:r>
      <w:r w:rsidR="00226C39">
        <w:t>” and “</w:t>
      </w:r>
      <w:r w:rsidR="00226C39" w:rsidRPr="00226C39">
        <w:t>Provisional number of ECO measures installed, by measure type, by obligation</w:t>
      </w:r>
      <w:r w:rsidR="00226C39">
        <w:t xml:space="preserve">”). </w:t>
      </w:r>
      <w:r w:rsidR="008D1F16">
        <w:t xml:space="preserve">We propose that we continue to publish these on a monthly basis. </w:t>
      </w:r>
      <w:r w:rsidR="00F54E78">
        <w:t xml:space="preserve">See </w:t>
      </w:r>
      <w:hyperlink w:anchor="_Annex_A:_Content" w:history="1">
        <w:r w:rsidR="00F54E78" w:rsidRPr="00F719E1">
          <w:rPr>
            <w:rStyle w:val="Hyperlink"/>
          </w:rPr>
          <w:t>Annex A</w:t>
        </w:r>
      </w:hyperlink>
      <w:r w:rsidR="00F54E78">
        <w:t xml:space="preserve"> for full list of tables currently</w:t>
      </w:r>
      <w:r w:rsidR="00226C39">
        <w:t xml:space="preserve"> </w:t>
      </w:r>
      <w:r w:rsidR="00F54E78">
        <w:t>released in the headline report.</w:t>
      </w:r>
    </w:p>
    <w:p w14:paraId="27C55C54" w14:textId="77777777" w:rsidR="00953116" w:rsidRDefault="00953116" w:rsidP="00FC5B64"/>
    <w:p w14:paraId="5369AA5B" w14:textId="22A9E93E" w:rsidR="00F43FB0" w:rsidRDefault="00FC5B64" w:rsidP="002E629A">
      <w:pPr>
        <w:spacing w:after="240" w:line="240" w:lineRule="auto"/>
        <w:jc w:val="both"/>
      </w:pPr>
      <w:r w:rsidRPr="00FC5B64">
        <w:rPr>
          <w:color w:val="00AEEF"/>
          <w:sz w:val="32"/>
          <w:szCs w:val="32"/>
        </w:rPr>
        <w:lastRenderedPageBreak/>
        <w:t xml:space="preserve">Green Deal and Energy Company Obligation (ECO): </w:t>
      </w:r>
      <w:r w:rsidR="00AA4EC3">
        <w:rPr>
          <w:color w:val="00AEEF"/>
          <w:sz w:val="32"/>
          <w:szCs w:val="32"/>
        </w:rPr>
        <w:t>Headline (</w:t>
      </w:r>
      <w:r w:rsidRPr="00FC5B64">
        <w:rPr>
          <w:color w:val="00AEEF"/>
          <w:sz w:val="32"/>
          <w:szCs w:val="32"/>
        </w:rPr>
        <w:t>monthly</w:t>
      </w:r>
      <w:r w:rsidR="00AA4EC3">
        <w:rPr>
          <w:color w:val="00AEEF"/>
          <w:sz w:val="32"/>
          <w:szCs w:val="32"/>
        </w:rPr>
        <w:t>)</w:t>
      </w:r>
      <w:r w:rsidRPr="00FC5B64">
        <w:rPr>
          <w:color w:val="00AEEF"/>
          <w:sz w:val="32"/>
          <w:szCs w:val="32"/>
        </w:rPr>
        <w:t xml:space="preserve"> statistics</w:t>
      </w:r>
    </w:p>
    <w:tbl>
      <w:tblPr>
        <w:tblStyle w:val="DECC6"/>
        <w:tblW w:w="5000" w:type="pct"/>
        <w:tblLook w:val="01E0" w:firstRow="1" w:lastRow="1" w:firstColumn="1" w:lastColumn="1" w:noHBand="0" w:noVBand="0"/>
      </w:tblPr>
      <w:tblGrid>
        <w:gridCol w:w="717"/>
        <w:gridCol w:w="9591"/>
      </w:tblGrid>
      <w:tr w:rsidR="00F43FB0" w:rsidRPr="00285D29" w14:paraId="3A60DBB3" w14:textId="77777777" w:rsidTr="00300E6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7B94A37" w14:textId="77777777" w:rsidR="00F43FB0" w:rsidRPr="00285D29" w:rsidRDefault="00F43FB0" w:rsidP="006B0064">
            <w:pPr>
              <w:pStyle w:val="TableHeaders"/>
              <w:spacing w:beforeLines="0" w:before="0" w:afterLines="0"/>
            </w:pPr>
            <w:r w:rsidRPr="00285D29">
              <w:t>Consultation Question</w:t>
            </w:r>
          </w:p>
        </w:tc>
      </w:tr>
      <w:tr w:rsidR="00F43FB0" w:rsidRPr="00015C4E" w14:paraId="4F7E3B30" w14:textId="77777777" w:rsidTr="00300E61">
        <w:trPr>
          <w:cnfStyle w:val="000000100000" w:firstRow="0" w:lastRow="0" w:firstColumn="0" w:lastColumn="0" w:oddVBand="0" w:evenVBand="0" w:oddHBand="1" w:evenHBand="0" w:firstRowFirstColumn="0" w:firstRowLastColumn="0" w:lastRowFirstColumn="0" w:lastRowLastColumn="0"/>
        </w:trPr>
        <w:tc>
          <w:tcPr>
            <w:tcW w:w="348" w:type="pct"/>
          </w:tcPr>
          <w:p w14:paraId="30D932F3" w14:textId="77777777" w:rsidR="00F43FB0" w:rsidRPr="00015C4E" w:rsidRDefault="00F43FB0" w:rsidP="006B0064">
            <w:pPr>
              <w:pStyle w:val="TableText"/>
              <w:spacing w:before="0" w:after="0"/>
            </w:pPr>
            <w:r>
              <w:t>1.</w:t>
            </w:r>
          </w:p>
        </w:tc>
        <w:tc>
          <w:tcPr>
            <w:tcW w:w="4652" w:type="pct"/>
          </w:tcPr>
          <w:p w14:paraId="178474B6" w14:textId="5C167FFB" w:rsidR="00F43FB0" w:rsidRPr="00015C4E" w:rsidRDefault="00FC5B64" w:rsidP="00785B2E">
            <w:pPr>
              <w:pStyle w:val="TableText"/>
              <w:spacing w:before="0" w:after="0"/>
              <w:ind w:left="0"/>
              <w:jc w:val="both"/>
            </w:pPr>
            <w:r>
              <w:t xml:space="preserve">Frequency - </w:t>
            </w:r>
            <w:r w:rsidRPr="00C225EF">
              <w:t>Is a monthly release too frequent? Would monthly breakdowns released on a quarterly basis for headline figures still meet you</w:t>
            </w:r>
            <w:r w:rsidR="00631D66">
              <w:t>r</w:t>
            </w:r>
            <w:r w:rsidRPr="00C225EF">
              <w:t xml:space="preserve"> user needs</w:t>
            </w:r>
            <w:r w:rsidR="00524C2E">
              <w:t>, and if not, why</w:t>
            </w:r>
            <w:r w:rsidR="005504A3">
              <w:t>?</w:t>
            </w:r>
          </w:p>
        </w:tc>
      </w:tr>
      <w:tr w:rsidR="00F43FB0" w:rsidRPr="00285D29" w14:paraId="0EC06408" w14:textId="77777777" w:rsidTr="00300E61">
        <w:trPr>
          <w:cnfStyle w:val="000000010000" w:firstRow="0" w:lastRow="0" w:firstColumn="0" w:lastColumn="0" w:oddVBand="0" w:evenVBand="0" w:oddHBand="0" w:evenHBand="1" w:firstRowFirstColumn="0" w:firstRowLastColumn="0" w:lastRowFirstColumn="0" w:lastRowLastColumn="0"/>
        </w:trPr>
        <w:tc>
          <w:tcPr>
            <w:tcW w:w="5000" w:type="pct"/>
            <w:gridSpan w:val="2"/>
          </w:tcPr>
          <w:p w14:paraId="38B18ECF" w14:textId="77777777" w:rsidR="00F43FB0" w:rsidRPr="00285D29" w:rsidRDefault="00F43FB0" w:rsidP="006B0064">
            <w:pPr>
              <w:pStyle w:val="ConsulatationQuestionWhite"/>
              <w:spacing w:before="0"/>
            </w:pPr>
            <w:r w:rsidRPr="00285D29">
              <w:t>Consultation Question</w:t>
            </w:r>
          </w:p>
        </w:tc>
      </w:tr>
      <w:tr w:rsidR="00F43FB0" w:rsidRPr="00015C4E" w14:paraId="7DF236C4" w14:textId="77777777" w:rsidTr="00FC5B64">
        <w:trPr>
          <w:cnfStyle w:val="000000100000" w:firstRow="0" w:lastRow="0" w:firstColumn="0" w:lastColumn="0" w:oddVBand="0" w:evenVBand="0" w:oddHBand="1" w:evenHBand="0" w:firstRowFirstColumn="0" w:firstRowLastColumn="0" w:lastRowFirstColumn="0" w:lastRowLastColumn="0"/>
          <w:trHeight w:val="1288"/>
        </w:trPr>
        <w:tc>
          <w:tcPr>
            <w:tcW w:w="348" w:type="pct"/>
          </w:tcPr>
          <w:p w14:paraId="05CA4FAA" w14:textId="77777777" w:rsidR="00F43FB0" w:rsidRPr="00015C4E" w:rsidRDefault="00F43FB0" w:rsidP="006B0064">
            <w:pPr>
              <w:pStyle w:val="TableText"/>
              <w:spacing w:before="0" w:after="0"/>
            </w:pPr>
            <w:r>
              <w:t>2.</w:t>
            </w:r>
          </w:p>
        </w:tc>
        <w:tc>
          <w:tcPr>
            <w:tcW w:w="4652" w:type="pct"/>
          </w:tcPr>
          <w:p w14:paraId="3D5EEE8C" w14:textId="74D9FDF4" w:rsidR="00FC5B64" w:rsidRPr="00015C4E" w:rsidRDefault="00FC5B64" w:rsidP="006B0064">
            <w:pPr>
              <w:autoSpaceDE/>
              <w:autoSpaceDN/>
              <w:adjustRightInd/>
              <w:spacing w:before="0" w:after="0" w:line="276" w:lineRule="auto"/>
              <w:jc w:val="both"/>
            </w:pPr>
            <w:r>
              <w:t xml:space="preserve">Frequency - </w:t>
            </w:r>
            <w:r w:rsidRPr="00C225EF">
              <w:t>Would changing the frequency of the updates on GD and ECO to a quarterly schedule have any major impacts on your uses and requirements of these statistics? If so, what are the impacts and specifically what tables are your impacts dependent on?</w:t>
            </w:r>
          </w:p>
        </w:tc>
      </w:tr>
      <w:tr w:rsidR="006B0064" w:rsidRPr="00285D29" w14:paraId="44D33411" w14:textId="77777777" w:rsidTr="001945BC">
        <w:trPr>
          <w:cnfStyle w:val="000000010000" w:firstRow="0" w:lastRow="0" w:firstColumn="0" w:lastColumn="0" w:oddVBand="0" w:evenVBand="0" w:oddHBand="0" w:evenHBand="1" w:firstRowFirstColumn="0" w:firstRowLastColumn="0" w:lastRowFirstColumn="0" w:lastRowLastColumn="0"/>
        </w:trPr>
        <w:tc>
          <w:tcPr>
            <w:tcW w:w="5000" w:type="pct"/>
            <w:gridSpan w:val="2"/>
          </w:tcPr>
          <w:p w14:paraId="2E42696D" w14:textId="77777777" w:rsidR="006B0064" w:rsidRPr="00285D29" w:rsidRDefault="006B0064" w:rsidP="006B0064">
            <w:pPr>
              <w:pStyle w:val="ConsulatationQuestionWhite"/>
              <w:spacing w:before="0"/>
            </w:pPr>
            <w:r w:rsidRPr="00285D29">
              <w:t>Consultation Question</w:t>
            </w:r>
          </w:p>
        </w:tc>
      </w:tr>
      <w:tr w:rsidR="006B0064" w:rsidRPr="00015C4E" w14:paraId="0FCE0A45" w14:textId="77777777" w:rsidTr="006B0064">
        <w:trPr>
          <w:cnfStyle w:val="000000100000" w:firstRow="0" w:lastRow="0" w:firstColumn="0" w:lastColumn="0" w:oddVBand="0" w:evenVBand="0" w:oddHBand="1" w:evenHBand="0" w:firstRowFirstColumn="0" w:firstRowLastColumn="0" w:lastRowFirstColumn="0" w:lastRowLastColumn="0"/>
          <w:trHeight w:val="783"/>
        </w:trPr>
        <w:tc>
          <w:tcPr>
            <w:tcW w:w="348" w:type="pct"/>
          </w:tcPr>
          <w:p w14:paraId="7581563A" w14:textId="75CFBE8C" w:rsidR="006B0064" w:rsidRPr="00015C4E" w:rsidRDefault="006B0064" w:rsidP="006B0064">
            <w:pPr>
              <w:pStyle w:val="TableText"/>
              <w:spacing w:before="0" w:after="0"/>
            </w:pPr>
            <w:r>
              <w:t>3.</w:t>
            </w:r>
          </w:p>
        </w:tc>
        <w:tc>
          <w:tcPr>
            <w:tcW w:w="4652" w:type="pct"/>
          </w:tcPr>
          <w:p w14:paraId="7DD5D80B" w14:textId="0D8F38ED" w:rsidR="006B0064" w:rsidRPr="00015C4E" w:rsidRDefault="006B0064" w:rsidP="006B0064">
            <w:pPr>
              <w:autoSpaceDE/>
              <w:autoSpaceDN/>
              <w:adjustRightInd/>
              <w:spacing w:before="0" w:after="0" w:line="276" w:lineRule="auto"/>
              <w:jc w:val="both"/>
            </w:pPr>
            <w:r w:rsidRPr="006B0064">
              <w:t>Format - Are you in favour of changing the forma</w:t>
            </w:r>
            <w:r w:rsidR="00500ACE">
              <w:t>t to an E</w:t>
            </w:r>
            <w:r w:rsidRPr="006B0064">
              <w:t>xcel only release. Do you require detailed commentary</w:t>
            </w:r>
            <w:r w:rsidR="006F573C">
              <w:t xml:space="preserve"> or do you usually just consult the tables</w:t>
            </w:r>
            <w:r w:rsidRPr="006B0064">
              <w:t>? Would this approach still meet your user needs?</w:t>
            </w:r>
          </w:p>
        </w:tc>
      </w:tr>
      <w:tr w:rsidR="006B0064" w:rsidRPr="00285D29" w14:paraId="642F7A31" w14:textId="77777777" w:rsidTr="001945BC">
        <w:trPr>
          <w:cnfStyle w:val="000000010000" w:firstRow="0" w:lastRow="0" w:firstColumn="0" w:lastColumn="0" w:oddVBand="0" w:evenVBand="0" w:oddHBand="0" w:evenHBand="1" w:firstRowFirstColumn="0" w:firstRowLastColumn="0" w:lastRowFirstColumn="0" w:lastRowLastColumn="0"/>
        </w:trPr>
        <w:tc>
          <w:tcPr>
            <w:tcW w:w="5000" w:type="pct"/>
            <w:gridSpan w:val="2"/>
          </w:tcPr>
          <w:p w14:paraId="786F62D5" w14:textId="77777777" w:rsidR="006B0064" w:rsidRPr="00285D29" w:rsidRDefault="006B0064" w:rsidP="006B0064">
            <w:pPr>
              <w:pStyle w:val="ConsulatationQuestionWhite"/>
              <w:spacing w:before="0"/>
            </w:pPr>
            <w:r w:rsidRPr="00285D29">
              <w:t>Consultation Question</w:t>
            </w:r>
          </w:p>
        </w:tc>
      </w:tr>
      <w:tr w:rsidR="006B0064" w:rsidRPr="00015C4E" w14:paraId="7A3D0A94" w14:textId="77777777" w:rsidTr="001945BC">
        <w:trPr>
          <w:cnfStyle w:val="000000100000" w:firstRow="0" w:lastRow="0" w:firstColumn="0" w:lastColumn="0" w:oddVBand="0" w:evenVBand="0" w:oddHBand="1" w:evenHBand="0" w:firstRowFirstColumn="0" w:firstRowLastColumn="0" w:lastRowFirstColumn="0" w:lastRowLastColumn="0"/>
          <w:trHeight w:val="852"/>
        </w:trPr>
        <w:tc>
          <w:tcPr>
            <w:tcW w:w="348" w:type="pct"/>
          </w:tcPr>
          <w:p w14:paraId="0C6F8A89" w14:textId="59CBFF3E" w:rsidR="006B0064" w:rsidRPr="00015C4E" w:rsidRDefault="006B0064" w:rsidP="006B0064">
            <w:pPr>
              <w:pStyle w:val="TableText"/>
              <w:spacing w:before="0" w:after="0"/>
            </w:pPr>
            <w:r>
              <w:t>4.</w:t>
            </w:r>
          </w:p>
        </w:tc>
        <w:tc>
          <w:tcPr>
            <w:tcW w:w="4652" w:type="pct"/>
          </w:tcPr>
          <w:p w14:paraId="2E22705A" w14:textId="7B53BFA7" w:rsidR="006B0064" w:rsidRPr="00015C4E" w:rsidRDefault="006B0064" w:rsidP="005504A3">
            <w:pPr>
              <w:autoSpaceDE/>
              <w:autoSpaceDN/>
              <w:adjustRightInd/>
              <w:spacing w:before="0" w:after="0" w:line="276" w:lineRule="auto"/>
              <w:jc w:val="both"/>
            </w:pPr>
            <w:r>
              <w:t xml:space="preserve">Content - </w:t>
            </w:r>
            <w:r w:rsidRPr="00C225EF">
              <w:t xml:space="preserve">Which tables in the releases are of most and least value to you? Are there any tables that you would consider removing? Please provide responses </w:t>
            </w:r>
            <w:r w:rsidR="005504A3" w:rsidRPr="00C225EF">
              <w:t xml:space="preserve">against each of the respective table </w:t>
            </w:r>
            <w:r w:rsidR="005504A3">
              <w:t xml:space="preserve">headings </w:t>
            </w:r>
            <w:r w:rsidRPr="00C225EF">
              <w:t xml:space="preserve">in </w:t>
            </w:r>
            <w:r w:rsidR="005504A3">
              <w:t>the table contents presented in Annex A.</w:t>
            </w:r>
          </w:p>
        </w:tc>
      </w:tr>
      <w:tr w:rsidR="006B0064" w:rsidRPr="00285D29" w14:paraId="4D553179" w14:textId="77777777" w:rsidTr="001945BC">
        <w:trPr>
          <w:cnfStyle w:val="000000010000" w:firstRow="0" w:lastRow="0" w:firstColumn="0" w:lastColumn="0" w:oddVBand="0" w:evenVBand="0" w:oddHBand="0" w:evenHBand="1" w:firstRowFirstColumn="0" w:firstRowLastColumn="0" w:lastRowFirstColumn="0" w:lastRowLastColumn="0"/>
        </w:trPr>
        <w:tc>
          <w:tcPr>
            <w:tcW w:w="5000" w:type="pct"/>
            <w:gridSpan w:val="2"/>
          </w:tcPr>
          <w:p w14:paraId="677D4F39" w14:textId="77777777" w:rsidR="006B0064" w:rsidRPr="00285D29" w:rsidRDefault="006B0064" w:rsidP="006B0064">
            <w:pPr>
              <w:pStyle w:val="ConsulatationQuestionWhite"/>
              <w:spacing w:before="0"/>
            </w:pPr>
            <w:r w:rsidRPr="00285D29">
              <w:t>Consultation Question</w:t>
            </w:r>
          </w:p>
        </w:tc>
      </w:tr>
      <w:tr w:rsidR="006B0064" w:rsidRPr="00015C4E" w14:paraId="40C4777E" w14:textId="77777777" w:rsidTr="001945BC">
        <w:trPr>
          <w:cnfStyle w:val="000000100000" w:firstRow="0" w:lastRow="0" w:firstColumn="0" w:lastColumn="0" w:oddVBand="0" w:evenVBand="0" w:oddHBand="1" w:evenHBand="0" w:firstRowFirstColumn="0" w:firstRowLastColumn="0" w:lastRowFirstColumn="0" w:lastRowLastColumn="0"/>
          <w:trHeight w:val="852"/>
        </w:trPr>
        <w:tc>
          <w:tcPr>
            <w:tcW w:w="348" w:type="pct"/>
          </w:tcPr>
          <w:p w14:paraId="5857BAC9" w14:textId="195F0749" w:rsidR="006B0064" w:rsidRPr="00015C4E" w:rsidRDefault="006B0064" w:rsidP="006B0064">
            <w:pPr>
              <w:pStyle w:val="TableText"/>
              <w:spacing w:before="0" w:after="0"/>
            </w:pPr>
            <w:r>
              <w:t>5.</w:t>
            </w:r>
          </w:p>
        </w:tc>
        <w:tc>
          <w:tcPr>
            <w:tcW w:w="4652" w:type="pct"/>
          </w:tcPr>
          <w:p w14:paraId="38A583F7" w14:textId="1788111C" w:rsidR="006B0064" w:rsidRPr="00015C4E" w:rsidRDefault="006B0064" w:rsidP="006F573C">
            <w:pPr>
              <w:autoSpaceDE/>
              <w:autoSpaceDN/>
              <w:adjustRightInd/>
              <w:spacing w:before="0" w:after="0" w:line="276" w:lineRule="auto"/>
              <w:jc w:val="both"/>
            </w:pPr>
            <w:r w:rsidRPr="006B0064">
              <w:t xml:space="preserve">Would you be affected if the department were to adopt any of these proposed approaches? If so, please explain how, using examples on the way you use the data to </w:t>
            </w:r>
            <w:r w:rsidR="006F573C">
              <w:t>provide evidence supporting</w:t>
            </w:r>
            <w:r w:rsidR="006F573C" w:rsidRPr="006B0064">
              <w:t xml:space="preserve"> </w:t>
            </w:r>
            <w:r w:rsidRPr="006B0064">
              <w:t>your response.</w:t>
            </w:r>
          </w:p>
        </w:tc>
      </w:tr>
    </w:tbl>
    <w:p w14:paraId="502BE919" w14:textId="77777777" w:rsidR="00F43FB0" w:rsidRDefault="00F43FB0" w:rsidP="00D236C3"/>
    <w:p w14:paraId="47671529" w14:textId="403B3D81" w:rsidR="00AA4EC3" w:rsidRDefault="00AA4EC3" w:rsidP="00524C2E">
      <w:pPr>
        <w:pStyle w:val="DECCIntrotext"/>
      </w:pPr>
      <w:r>
        <w:t xml:space="preserve">DECC propose to reduce the frequency of the detailed statistics release and </w:t>
      </w:r>
      <w:r w:rsidR="00B445E1">
        <w:t>ensure the content reflects user needs</w:t>
      </w:r>
    </w:p>
    <w:p w14:paraId="268E5B52" w14:textId="28A57A0D" w:rsidR="009D777B" w:rsidRDefault="002250AA" w:rsidP="00953116">
      <w:pPr>
        <w:ind w:left="720" w:hanging="720"/>
        <w:jc w:val="both"/>
      </w:pPr>
      <w:r>
        <w:t>1.12</w:t>
      </w:r>
      <w:r w:rsidR="00953116">
        <w:tab/>
      </w:r>
      <w:r w:rsidR="009D777B">
        <w:t xml:space="preserve">Proposals 2a and 2b </w:t>
      </w:r>
      <w:r w:rsidR="009D777B" w:rsidRPr="00C225EF">
        <w:t xml:space="preserve">are in relation to the current </w:t>
      </w:r>
      <w:r w:rsidR="00524C2E">
        <w:t>detailed (</w:t>
      </w:r>
      <w:r w:rsidR="009D777B">
        <w:t>quarterly</w:t>
      </w:r>
      <w:r w:rsidR="00524C2E">
        <w:t>)</w:t>
      </w:r>
      <w:r w:rsidR="009D777B" w:rsidRPr="00C225EF">
        <w:t xml:space="preserve"> release.</w:t>
      </w:r>
      <w:r w:rsidR="009D777B">
        <w:t xml:space="preserve"> </w:t>
      </w:r>
      <w:r w:rsidR="009D777B" w:rsidRPr="00C225EF">
        <w:t xml:space="preserve">DECC propose moving the </w:t>
      </w:r>
      <w:r w:rsidR="00524C2E">
        <w:t>detailed</w:t>
      </w:r>
      <w:r w:rsidR="009D777B" w:rsidRPr="00C225EF">
        <w:t xml:space="preserve"> release to an annual cycle. The release reports detailed findings on a cumulative basis. As such adding one additional quarter to a long standing series means that very little change is reported from one release to the next. Moving to an annual cycle will show more change, and also allow DECC to pr</w:t>
      </w:r>
      <w:r w:rsidR="009D777B">
        <w:t>ovide further in-depth analysis.</w:t>
      </w:r>
      <w:r w:rsidR="009D777B" w:rsidRPr="00DF799E">
        <w:t xml:space="preserve"> </w:t>
      </w:r>
      <w:r w:rsidR="009D777B" w:rsidRPr="00C225EF">
        <w:t>It is intended to gradually widen the scope of the more detailed release to provide more detail on other domestic energy efficiency schemes</w:t>
      </w:r>
      <w:r w:rsidR="009D777B">
        <w:t>; so by releasing less frequently it would allow more time to align with other energy efficiency statistical releases.</w:t>
      </w:r>
    </w:p>
    <w:p w14:paraId="3E520EF6" w14:textId="41B3FA07" w:rsidR="009D777B" w:rsidRDefault="002250AA" w:rsidP="00953116">
      <w:pPr>
        <w:ind w:left="720" w:hanging="720"/>
        <w:jc w:val="both"/>
      </w:pPr>
      <w:r>
        <w:t>1.13</w:t>
      </w:r>
      <w:r w:rsidR="00953116">
        <w:tab/>
      </w:r>
      <w:r w:rsidR="009D777B">
        <w:t xml:space="preserve">Another advantage of changing the frequency </w:t>
      </w:r>
      <w:r w:rsidR="00524C2E">
        <w:t xml:space="preserve">of the detailed release </w:t>
      </w:r>
      <w:r w:rsidR="009D777B">
        <w:t xml:space="preserve">from a quarterly release to an annual release is that it also </w:t>
      </w:r>
      <w:r w:rsidR="00631D66">
        <w:t>means DECC would have more comprehensive data</w:t>
      </w:r>
      <w:r w:rsidR="00F03585">
        <w:t xml:space="preserve"> (due to data lags)</w:t>
      </w:r>
      <w:r w:rsidR="00631D66">
        <w:t xml:space="preserve">, resulting in </w:t>
      </w:r>
      <w:r w:rsidR="009D777B">
        <w:t xml:space="preserve">fewer revisions. This is the same advantage as detailed for reducing frequency of the headline </w:t>
      </w:r>
      <w:r w:rsidR="00524C2E">
        <w:t>(</w:t>
      </w:r>
      <w:r w:rsidR="009D777B">
        <w:t>monthly</w:t>
      </w:r>
      <w:r w:rsidR="00524C2E">
        <w:t>)</w:t>
      </w:r>
      <w:r w:rsidR="009D777B">
        <w:t xml:space="preserve"> </w:t>
      </w:r>
      <w:r w:rsidR="009D777B" w:rsidRPr="00EB43AE">
        <w:t xml:space="preserve">report in para </w:t>
      </w:r>
      <w:r w:rsidRPr="00EB43AE">
        <w:t>1.10</w:t>
      </w:r>
      <w:r w:rsidR="00BE7D4A">
        <w:t>.</w:t>
      </w:r>
    </w:p>
    <w:p w14:paraId="6D14D9B8" w14:textId="0DE99237" w:rsidR="009D777B" w:rsidRDefault="00953116" w:rsidP="00953116">
      <w:pPr>
        <w:ind w:left="720" w:hanging="720"/>
        <w:jc w:val="both"/>
      </w:pPr>
      <w:r>
        <w:lastRenderedPageBreak/>
        <w:t>1.11</w:t>
      </w:r>
      <w:r>
        <w:tab/>
      </w:r>
      <w:r w:rsidR="009D777B">
        <w:t>Another reason to change the frequency to an annual update is that a number of statistics produced in this series are reliant on other data sources which are only updated and available on an annual basis. For example it is reliant on National Statistics from the English Housing Survey for modelling purposes and for comparison figures of the housing stock. It also relies on annual sub-regional household figures from the Department for Communities and Local Government, for adjustment of figures per number of households for the geographical breakdown tables.</w:t>
      </w:r>
    </w:p>
    <w:p w14:paraId="256C0F50" w14:textId="392CABC8" w:rsidR="00F719E1" w:rsidRDefault="00F719E1" w:rsidP="00953116">
      <w:pPr>
        <w:ind w:left="720" w:hanging="720"/>
        <w:jc w:val="both"/>
      </w:pPr>
      <w:r>
        <w:t xml:space="preserve">1.12 </w:t>
      </w:r>
      <w:r>
        <w:tab/>
        <w:t xml:space="preserve">Proposal 2b is in respect of the content of what is included in the detailed release, as well </w:t>
      </w:r>
      <w:r w:rsidR="006F573C">
        <w:t xml:space="preserve">as </w:t>
      </w:r>
      <w:r>
        <w:t xml:space="preserve">considering which tables could be moved to the headline release, and which could be removed entirely from future releases. See </w:t>
      </w:r>
      <w:hyperlink w:anchor="_Annex_A:_Content" w:history="1">
        <w:r w:rsidRPr="00F719E1">
          <w:rPr>
            <w:rStyle w:val="Hyperlink"/>
          </w:rPr>
          <w:t>Annex A</w:t>
        </w:r>
      </w:hyperlink>
      <w:r>
        <w:t xml:space="preserve"> for full list of tables currently released in the detailed report.</w:t>
      </w:r>
    </w:p>
    <w:p w14:paraId="549AF370" w14:textId="77777777" w:rsidR="00953116" w:rsidRDefault="00953116" w:rsidP="00BE7D4A">
      <w:pPr>
        <w:spacing w:before="0" w:after="0"/>
        <w:ind w:left="720" w:hanging="720"/>
        <w:jc w:val="both"/>
      </w:pPr>
    </w:p>
    <w:p w14:paraId="7D60D75D" w14:textId="73106683" w:rsidR="009D777B" w:rsidRDefault="009D777B" w:rsidP="00BE7D4A">
      <w:pPr>
        <w:pBdr>
          <w:top w:val="single" w:sz="4" w:space="1" w:color="auto"/>
          <w:left w:val="single" w:sz="4" w:space="4" w:color="auto"/>
          <w:bottom w:val="single" w:sz="4" w:space="1" w:color="auto"/>
          <w:right w:val="single" w:sz="4" w:space="4" w:color="auto"/>
        </w:pBdr>
        <w:spacing w:before="0" w:after="0"/>
        <w:jc w:val="both"/>
      </w:pPr>
      <w:r>
        <w:t>Proposal 2</w:t>
      </w:r>
      <w:r w:rsidR="006F573C">
        <w:t xml:space="preserve">a – </w:t>
      </w:r>
      <w:r w:rsidRPr="00C225EF">
        <w:t xml:space="preserve">change frequency of </w:t>
      </w:r>
      <w:r w:rsidR="00524C2E">
        <w:t xml:space="preserve">detailed </w:t>
      </w:r>
      <w:r w:rsidRPr="00C225EF">
        <w:t xml:space="preserve">release from quarterly </w:t>
      </w:r>
      <w:r>
        <w:t xml:space="preserve">to annual </w:t>
      </w:r>
      <w:r w:rsidRPr="00C225EF">
        <w:t>(</w:t>
      </w:r>
      <w:r>
        <w:t>providing cumulative totals to date, and quarterly breakdowns on non-sub-regional tables), on a</w:t>
      </w:r>
      <w:r w:rsidR="00BE7D4A">
        <w:t xml:space="preserve"> </w:t>
      </w:r>
      <w:r>
        <w:t>calendar year basis.</w:t>
      </w:r>
    </w:p>
    <w:p w14:paraId="4D58D0B9" w14:textId="77777777" w:rsidR="009D777B" w:rsidRPr="00C225EF" w:rsidRDefault="009D777B" w:rsidP="00BE7D4A">
      <w:pPr>
        <w:pBdr>
          <w:top w:val="single" w:sz="4" w:space="1" w:color="auto"/>
          <w:left w:val="single" w:sz="4" w:space="4" w:color="auto"/>
          <w:bottom w:val="single" w:sz="4" w:space="1" w:color="auto"/>
          <w:right w:val="single" w:sz="4" w:space="4" w:color="auto"/>
        </w:pBdr>
        <w:spacing w:before="0" w:after="0"/>
        <w:jc w:val="both"/>
      </w:pPr>
    </w:p>
    <w:p w14:paraId="0733127C" w14:textId="09D7C8D4" w:rsidR="009D777B" w:rsidRPr="00C225EF" w:rsidRDefault="009D777B" w:rsidP="00BE7D4A">
      <w:pPr>
        <w:pBdr>
          <w:top w:val="single" w:sz="4" w:space="1" w:color="auto"/>
          <w:left w:val="single" w:sz="4" w:space="4" w:color="auto"/>
          <w:bottom w:val="single" w:sz="4" w:space="1" w:color="auto"/>
          <w:right w:val="single" w:sz="4" w:space="4" w:color="auto"/>
        </w:pBdr>
        <w:spacing w:before="0" w:after="0"/>
        <w:jc w:val="both"/>
      </w:pPr>
      <w:r>
        <w:t>Proposal 2b</w:t>
      </w:r>
      <w:r w:rsidR="006F573C">
        <w:t xml:space="preserve"> –</w:t>
      </w:r>
      <w:r w:rsidRPr="00C225EF">
        <w:t xml:space="preserve"> seek views on which tables to remain in this collection, as set out in </w:t>
      </w:r>
      <w:r w:rsidR="00084473">
        <w:t>Annex A.</w:t>
      </w:r>
    </w:p>
    <w:p w14:paraId="76B3A5DD" w14:textId="77777777" w:rsidR="006B0064" w:rsidRDefault="006B0064" w:rsidP="00D236C3"/>
    <w:p w14:paraId="64EF1867" w14:textId="3E88D096" w:rsidR="006B0064" w:rsidRDefault="007E2452" w:rsidP="002E629A">
      <w:pPr>
        <w:spacing w:line="240" w:lineRule="auto"/>
      </w:pPr>
      <w:r w:rsidRPr="007E2452">
        <w:rPr>
          <w:color w:val="00AEEF"/>
          <w:sz w:val="32"/>
          <w:szCs w:val="32"/>
        </w:rPr>
        <w:t xml:space="preserve">Domestic Green Deal, Energy Company Obligation and Insulation Levels in Great Britain, </w:t>
      </w:r>
      <w:r w:rsidR="00AA4EC3">
        <w:rPr>
          <w:color w:val="00AEEF"/>
          <w:sz w:val="32"/>
          <w:szCs w:val="32"/>
        </w:rPr>
        <w:t>Detailed (</w:t>
      </w:r>
      <w:r w:rsidRPr="007E2452">
        <w:rPr>
          <w:color w:val="00AEEF"/>
          <w:sz w:val="32"/>
          <w:szCs w:val="32"/>
        </w:rPr>
        <w:t>Quarterly</w:t>
      </w:r>
      <w:r w:rsidR="00AA4EC3">
        <w:rPr>
          <w:color w:val="00AEEF"/>
          <w:sz w:val="32"/>
          <w:szCs w:val="32"/>
        </w:rPr>
        <w:t>)</w:t>
      </w:r>
      <w:r w:rsidRPr="007E2452">
        <w:rPr>
          <w:color w:val="00AEEF"/>
          <w:sz w:val="32"/>
          <w:szCs w:val="32"/>
        </w:rPr>
        <w:t xml:space="preserve"> report</w:t>
      </w:r>
    </w:p>
    <w:tbl>
      <w:tblPr>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CellMar>
          <w:left w:w="0" w:type="dxa"/>
          <w:right w:w="0" w:type="dxa"/>
        </w:tblCellMar>
        <w:tblLook w:val="01E0" w:firstRow="1" w:lastRow="1" w:firstColumn="1" w:lastColumn="1" w:noHBand="0" w:noVBand="0"/>
      </w:tblPr>
      <w:tblGrid>
        <w:gridCol w:w="825"/>
        <w:gridCol w:w="9287"/>
      </w:tblGrid>
      <w:tr w:rsidR="00F43FB0" w:rsidRPr="00285D29" w14:paraId="1E82332A" w14:textId="77777777" w:rsidTr="00B2030D">
        <w:tc>
          <w:tcPr>
            <w:tcW w:w="5000" w:type="pct"/>
            <w:gridSpan w:val="2"/>
            <w:tcBorders>
              <w:bottom w:val="single" w:sz="8" w:space="0" w:color="009EE3"/>
            </w:tcBorders>
            <w:shd w:val="clear" w:color="auto" w:fill="009EE3"/>
            <w:tcMar>
              <w:top w:w="113" w:type="dxa"/>
              <w:bottom w:w="113" w:type="dxa"/>
            </w:tcMar>
          </w:tcPr>
          <w:p w14:paraId="3F9A5380" w14:textId="77777777" w:rsidR="00F43FB0" w:rsidRPr="00285D29" w:rsidRDefault="00F43FB0" w:rsidP="00AA4EC3">
            <w:pPr>
              <w:pStyle w:val="ConsulatationQuestionWhite"/>
              <w:spacing w:before="0" w:after="100" w:afterAutospacing="1"/>
            </w:pPr>
            <w:r w:rsidRPr="00285D29">
              <w:t>Consultation Question</w:t>
            </w:r>
          </w:p>
        </w:tc>
      </w:tr>
      <w:tr w:rsidR="00F43FB0" w:rsidRPr="00015C4E" w14:paraId="649D1AA3" w14:textId="77777777" w:rsidTr="00B2030D">
        <w:tc>
          <w:tcPr>
            <w:tcW w:w="408" w:type="pct"/>
            <w:tcBorders>
              <w:bottom w:val="single" w:sz="8" w:space="0" w:color="009EE3"/>
            </w:tcBorders>
            <w:shd w:val="clear" w:color="auto" w:fill="auto"/>
            <w:tcMar>
              <w:top w:w="113" w:type="dxa"/>
              <w:bottom w:w="113" w:type="dxa"/>
            </w:tcMar>
          </w:tcPr>
          <w:p w14:paraId="03F187B0" w14:textId="09B9110B" w:rsidR="00F43FB0" w:rsidRPr="00015C4E" w:rsidRDefault="007E2452" w:rsidP="00AA4EC3">
            <w:pPr>
              <w:pStyle w:val="TableText"/>
              <w:spacing w:before="0" w:after="100" w:afterAutospacing="1"/>
            </w:pPr>
            <w:r>
              <w:t>6</w:t>
            </w:r>
            <w:r w:rsidR="00F43FB0">
              <w:t>.</w:t>
            </w:r>
          </w:p>
        </w:tc>
        <w:tc>
          <w:tcPr>
            <w:tcW w:w="4592" w:type="pct"/>
            <w:tcBorders>
              <w:bottom w:val="single" w:sz="8" w:space="0" w:color="009EE3"/>
            </w:tcBorders>
            <w:shd w:val="clear" w:color="auto" w:fill="auto"/>
            <w:tcMar>
              <w:top w:w="113" w:type="dxa"/>
              <w:bottom w:w="113" w:type="dxa"/>
            </w:tcMar>
          </w:tcPr>
          <w:p w14:paraId="63EF0B9B" w14:textId="0FD2A3AE" w:rsidR="00F43FB0" w:rsidRPr="00015C4E" w:rsidRDefault="00AA4EC3" w:rsidP="000141B1">
            <w:pPr>
              <w:autoSpaceDE/>
              <w:autoSpaceDN/>
              <w:adjustRightInd/>
              <w:spacing w:before="0" w:after="100" w:afterAutospacing="1" w:line="276" w:lineRule="auto"/>
              <w:jc w:val="both"/>
            </w:pPr>
            <w:r>
              <w:t xml:space="preserve">Frequency and content - </w:t>
            </w:r>
            <w:r w:rsidRPr="00C225EF">
              <w:t xml:space="preserve">Would you prefer if the </w:t>
            </w:r>
            <w:r w:rsidR="000141B1">
              <w:t>detailed</w:t>
            </w:r>
            <w:r w:rsidRPr="00C225EF">
              <w:t xml:space="preserve"> series (if it were to be moved to an annual series) presented statistics showing year on year comparisons</w:t>
            </w:r>
            <w:r>
              <w:t xml:space="preserve"> and/or quarterly breakdowns of non-sub-regional tables</w:t>
            </w:r>
            <w:r w:rsidRPr="00C225EF">
              <w:t xml:space="preserve"> rather than cumulative totals?</w:t>
            </w:r>
          </w:p>
        </w:tc>
      </w:tr>
      <w:tr w:rsidR="00F43FB0" w:rsidRPr="00285D29" w14:paraId="672700C6" w14:textId="77777777" w:rsidTr="00B2030D">
        <w:tc>
          <w:tcPr>
            <w:tcW w:w="5000" w:type="pct"/>
            <w:gridSpan w:val="2"/>
            <w:tcBorders>
              <w:bottom w:val="single" w:sz="8" w:space="0" w:color="009EE3"/>
            </w:tcBorders>
            <w:shd w:val="clear" w:color="auto" w:fill="009EE3"/>
            <w:tcMar>
              <w:top w:w="113" w:type="dxa"/>
              <w:bottom w:w="113" w:type="dxa"/>
            </w:tcMar>
          </w:tcPr>
          <w:p w14:paraId="7A13DD8A" w14:textId="77777777" w:rsidR="00F43FB0" w:rsidRPr="00285D29" w:rsidRDefault="00F43FB0" w:rsidP="00AA4EC3">
            <w:pPr>
              <w:pStyle w:val="ConsulatationQuestionWhite"/>
              <w:spacing w:before="0" w:after="100" w:afterAutospacing="1"/>
            </w:pPr>
            <w:r w:rsidRPr="00285D29">
              <w:t>Consultation Question</w:t>
            </w:r>
          </w:p>
        </w:tc>
      </w:tr>
      <w:tr w:rsidR="00F43FB0" w:rsidRPr="00015C4E" w14:paraId="3CE323B8" w14:textId="77777777" w:rsidTr="00B2030D">
        <w:tc>
          <w:tcPr>
            <w:tcW w:w="408" w:type="pct"/>
            <w:tcBorders>
              <w:bottom w:val="single" w:sz="8" w:space="0" w:color="009EE3"/>
            </w:tcBorders>
            <w:shd w:val="clear" w:color="auto" w:fill="auto"/>
            <w:tcMar>
              <w:top w:w="113" w:type="dxa"/>
              <w:bottom w:w="113" w:type="dxa"/>
            </w:tcMar>
          </w:tcPr>
          <w:p w14:paraId="5E559FB1" w14:textId="0372211E" w:rsidR="00F43FB0" w:rsidRPr="00015C4E" w:rsidRDefault="007E2452" w:rsidP="00AA4EC3">
            <w:pPr>
              <w:pStyle w:val="TableText"/>
              <w:spacing w:before="0" w:after="100" w:afterAutospacing="1"/>
            </w:pPr>
            <w:r>
              <w:t>7</w:t>
            </w:r>
            <w:r w:rsidR="00F43FB0">
              <w:t>.</w:t>
            </w:r>
          </w:p>
        </w:tc>
        <w:tc>
          <w:tcPr>
            <w:tcW w:w="4592" w:type="pct"/>
            <w:tcBorders>
              <w:bottom w:val="single" w:sz="8" w:space="0" w:color="009EE3"/>
            </w:tcBorders>
            <w:shd w:val="clear" w:color="auto" w:fill="auto"/>
            <w:tcMar>
              <w:top w:w="113" w:type="dxa"/>
              <w:bottom w:w="113" w:type="dxa"/>
            </w:tcMar>
          </w:tcPr>
          <w:p w14:paraId="15DC3B7F" w14:textId="381A9248" w:rsidR="00F43FB0" w:rsidRPr="00015C4E" w:rsidRDefault="00AA4EC3" w:rsidP="00500ACE">
            <w:pPr>
              <w:autoSpaceDE/>
              <w:autoSpaceDN/>
              <w:adjustRightInd/>
              <w:spacing w:before="0" w:after="100" w:afterAutospacing="1" w:line="276" w:lineRule="auto"/>
              <w:jc w:val="both"/>
            </w:pPr>
            <w:r>
              <w:t xml:space="preserve">Format - </w:t>
            </w:r>
            <w:r w:rsidRPr="00C225EF">
              <w:t>Keeping the format of this release to a w</w:t>
            </w:r>
            <w:r w:rsidR="00500ACE">
              <w:t>ord document with accompanying E</w:t>
            </w:r>
            <w:r w:rsidRPr="00C225EF">
              <w:t xml:space="preserve">xcel tables, will provide a platform to continue with a commentary section including, charts and maps. How do you currently use this release? Is it your preference to move this to an </w:t>
            </w:r>
            <w:r w:rsidR="00500ACE">
              <w:t>E</w:t>
            </w:r>
            <w:r w:rsidRPr="00C225EF">
              <w:t>xcel only release with minimal commentary?</w:t>
            </w:r>
          </w:p>
        </w:tc>
      </w:tr>
      <w:tr w:rsidR="007E2452" w:rsidRPr="00285D29" w14:paraId="0E9759E5" w14:textId="77777777" w:rsidTr="001945BC">
        <w:tc>
          <w:tcPr>
            <w:tcW w:w="5000" w:type="pct"/>
            <w:gridSpan w:val="2"/>
            <w:tcBorders>
              <w:bottom w:val="single" w:sz="8" w:space="0" w:color="009EE3"/>
            </w:tcBorders>
            <w:shd w:val="clear" w:color="auto" w:fill="009EE3"/>
            <w:tcMar>
              <w:top w:w="113" w:type="dxa"/>
              <w:bottom w:w="113" w:type="dxa"/>
            </w:tcMar>
          </w:tcPr>
          <w:p w14:paraId="025B9608" w14:textId="77777777" w:rsidR="007E2452" w:rsidRPr="00285D29" w:rsidRDefault="007E2452" w:rsidP="00AA4EC3">
            <w:pPr>
              <w:pStyle w:val="ConsulatationQuestionWhite"/>
              <w:spacing w:before="0" w:after="100" w:afterAutospacing="1"/>
            </w:pPr>
            <w:r w:rsidRPr="00285D29">
              <w:t>Consultation Question</w:t>
            </w:r>
          </w:p>
        </w:tc>
      </w:tr>
      <w:tr w:rsidR="007E2452" w:rsidRPr="00015C4E" w14:paraId="700B5D6C" w14:textId="77777777" w:rsidTr="001945BC">
        <w:tc>
          <w:tcPr>
            <w:tcW w:w="408" w:type="pct"/>
            <w:tcBorders>
              <w:bottom w:val="single" w:sz="8" w:space="0" w:color="009EE3"/>
            </w:tcBorders>
            <w:shd w:val="clear" w:color="auto" w:fill="auto"/>
            <w:tcMar>
              <w:top w:w="113" w:type="dxa"/>
              <w:bottom w:w="113" w:type="dxa"/>
            </w:tcMar>
          </w:tcPr>
          <w:p w14:paraId="5F606761" w14:textId="2EFBD455" w:rsidR="007E2452" w:rsidRPr="00015C4E" w:rsidRDefault="007E2452" w:rsidP="00AA4EC3">
            <w:pPr>
              <w:pStyle w:val="TableText"/>
              <w:spacing w:before="0" w:after="100" w:afterAutospacing="1"/>
            </w:pPr>
            <w:r>
              <w:t>8.</w:t>
            </w:r>
          </w:p>
        </w:tc>
        <w:tc>
          <w:tcPr>
            <w:tcW w:w="4592" w:type="pct"/>
            <w:tcBorders>
              <w:bottom w:val="single" w:sz="8" w:space="0" w:color="009EE3"/>
            </w:tcBorders>
            <w:shd w:val="clear" w:color="auto" w:fill="auto"/>
            <w:tcMar>
              <w:top w:w="113" w:type="dxa"/>
              <w:bottom w:w="113" w:type="dxa"/>
            </w:tcMar>
          </w:tcPr>
          <w:p w14:paraId="106AE622" w14:textId="1D3AAB5B" w:rsidR="007E2452" w:rsidRPr="00015C4E" w:rsidRDefault="00AA4EC3" w:rsidP="00AA4EC3">
            <w:pPr>
              <w:autoSpaceDE/>
              <w:autoSpaceDN/>
              <w:adjustRightInd/>
              <w:spacing w:before="0" w:after="100" w:afterAutospacing="1" w:line="276" w:lineRule="auto"/>
              <w:jc w:val="both"/>
            </w:pPr>
            <w:r>
              <w:t xml:space="preserve">Content - </w:t>
            </w:r>
            <w:r w:rsidRPr="00C225EF">
              <w:t xml:space="preserve">By moving to an annual publication it would allow DECC statisticians to explore the datasets further, and run more analysis and one-off case studies. Is this something that you would be interested to see? </w:t>
            </w:r>
          </w:p>
        </w:tc>
      </w:tr>
      <w:tr w:rsidR="007E2452" w:rsidRPr="00285D29" w14:paraId="066F7315" w14:textId="77777777" w:rsidTr="001945BC">
        <w:tc>
          <w:tcPr>
            <w:tcW w:w="5000" w:type="pct"/>
            <w:gridSpan w:val="2"/>
            <w:tcBorders>
              <w:bottom w:val="single" w:sz="8" w:space="0" w:color="009EE3"/>
            </w:tcBorders>
            <w:shd w:val="clear" w:color="auto" w:fill="009EE3"/>
            <w:tcMar>
              <w:top w:w="113" w:type="dxa"/>
              <w:bottom w:w="113" w:type="dxa"/>
            </w:tcMar>
          </w:tcPr>
          <w:p w14:paraId="7F0BE57A" w14:textId="77777777" w:rsidR="007E2452" w:rsidRPr="00285D29" w:rsidRDefault="007E2452" w:rsidP="00AA4EC3">
            <w:pPr>
              <w:pStyle w:val="ConsulatationQuestionWhite"/>
              <w:spacing w:before="0" w:after="100" w:afterAutospacing="1"/>
            </w:pPr>
            <w:r w:rsidRPr="00285D29">
              <w:t>Consultation Question</w:t>
            </w:r>
          </w:p>
        </w:tc>
      </w:tr>
      <w:tr w:rsidR="007E2452" w:rsidRPr="00015C4E" w14:paraId="5160C3AB" w14:textId="77777777" w:rsidTr="001945BC">
        <w:tc>
          <w:tcPr>
            <w:tcW w:w="408" w:type="pct"/>
            <w:tcBorders>
              <w:bottom w:val="single" w:sz="8" w:space="0" w:color="009EE3"/>
            </w:tcBorders>
            <w:shd w:val="clear" w:color="auto" w:fill="auto"/>
            <w:tcMar>
              <w:top w:w="113" w:type="dxa"/>
              <w:bottom w:w="113" w:type="dxa"/>
            </w:tcMar>
          </w:tcPr>
          <w:p w14:paraId="7C9EA68C" w14:textId="3923AB78" w:rsidR="007E2452" w:rsidRPr="00015C4E" w:rsidRDefault="007E2452" w:rsidP="00AA4EC3">
            <w:pPr>
              <w:pStyle w:val="TableText"/>
              <w:spacing w:before="0" w:after="100" w:afterAutospacing="1"/>
            </w:pPr>
            <w:r>
              <w:t>9.</w:t>
            </w:r>
          </w:p>
        </w:tc>
        <w:tc>
          <w:tcPr>
            <w:tcW w:w="4592" w:type="pct"/>
            <w:tcBorders>
              <w:bottom w:val="single" w:sz="8" w:space="0" w:color="009EE3"/>
            </w:tcBorders>
            <w:shd w:val="clear" w:color="auto" w:fill="auto"/>
            <w:tcMar>
              <w:top w:w="113" w:type="dxa"/>
              <w:bottom w:w="113" w:type="dxa"/>
            </w:tcMar>
          </w:tcPr>
          <w:p w14:paraId="6D68325B" w14:textId="3E5F76F9" w:rsidR="007E2452" w:rsidRPr="00015C4E" w:rsidRDefault="00AA4EC3" w:rsidP="00AA4EC3">
            <w:pPr>
              <w:autoSpaceDE/>
              <w:autoSpaceDN/>
              <w:adjustRightInd/>
              <w:spacing w:before="0" w:after="100" w:afterAutospacing="1" w:line="276" w:lineRule="auto"/>
            </w:pPr>
            <w:r w:rsidRPr="0095072B">
              <w:t>Content - Which tables in the releases are of most and least value to you? Are there any tables that you would consider removing</w:t>
            </w:r>
            <w:r>
              <w:t xml:space="preserve"> or moving to the other (more frequent) release</w:t>
            </w:r>
            <w:r w:rsidRPr="0095072B">
              <w:t xml:space="preserve">? </w:t>
            </w:r>
            <w:r w:rsidR="005504A3" w:rsidRPr="005504A3">
              <w:t>Please provide responses against each of the respective table headings in the table contents presented in Annex A.</w:t>
            </w:r>
          </w:p>
        </w:tc>
      </w:tr>
      <w:tr w:rsidR="007E2452" w:rsidRPr="00285D29" w14:paraId="30BC45B2" w14:textId="77777777" w:rsidTr="001945BC">
        <w:tc>
          <w:tcPr>
            <w:tcW w:w="5000" w:type="pct"/>
            <w:gridSpan w:val="2"/>
            <w:tcBorders>
              <w:bottom w:val="single" w:sz="8" w:space="0" w:color="009EE3"/>
            </w:tcBorders>
            <w:shd w:val="clear" w:color="auto" w:fill="009EE3"/>
            <w:tcMar>
              <w:top w:w="113" w:type="dxa"/>
              <w:bottom w:w="113" w:type="dxa"/>
            </w:tcMar>
          </w:tcPr>
          <w:p w14:paraId="5388589C" w14:textId="77777777" w:rsidR="007E2452" w:rsidRPr="00285D29" w:rsidRDefault="007E2452" w:rsidP="00AA4EC3">
            <w:pPr>
              <w:pStyle w:val="ConsulatationQuestionWhite"/>
              <w:spacing w:before="0" w:after="100" w:afterAutospacing="1"/>
            </w:pPr>
            <w:r w:rsidRPr="00285D29">
              <w:lastRenderedPageBreak/>
              <w:t>Consultation Question</w:t>
            </w:r>
          </w:p>
        </w:tc>
      </w:tr>
      <w:tr w:rsidR="007E2452" w:rsidRPr="00015C4E" w14:paraId="6399C411" w14:textId="77777777" w:rsidTr="001945BC">
        <w:tc>
          <w:tcPr>
            <w:tcW w:w="408" w:type="pct"/>
            <w:tcBorders>
              <w:bottom w:val="single" w:sz="8" w:space="0" w:color="009EE3"/>
            </w:tcBorders>
            <w:shd w:val="clear" w:color="auto" w:fill="auto"/>
            <w:tcMar>
              <w:top w:w="113" w:type="dxa"/>
              <w:bottom w:w="113" w:type="dxa"/>
            </w:tcMar>
          </w:tcPr>
          <w:p w14:paraId="41CA7C28" w14:textId="4CAE4058" w:rsidR="007E2452" w:rsidRPr="00015C4E" w:rsidRDefault="007E2452" w:rsidP="00AA4EC3">
            <w:pPr>
              <w:pStyle w:val="TableText"/>
              <w:spacing w:before="0" w:after="100" w:afterAutospacing="1"/>
            </w:pPr>
            <w:r>
              <w:t>10.</w:t>
            </w:r>
          </w:p>
        </w:tc>
        <w:tc>
          <w:tcPr>
            <w:tcW w:w="4592" w:type="pct"/>
            <w:tcBorders>
              <w:bottom w:val="single" w:sz="8" w:space="0" w:color="009EE3"/>
            </w:tcBorders>
            <w:shd w:val="clear" w:color="auto" w:fill="auto"/>
            <w:tcMar>
              <w:top w:w="113" w:type="dxa"/>
              <w:bottom w:w="113" w:type="dxa"/>
            </w:tcMar>
          </w:tcPr>
          <w:p w14:paraId="1009D0BE" w14:textId="51ADAA8F" w:rsidR="007E2452" w:rsidRPr="00015C4E" w:rsidRDefault="00AA4EC3" w:rsidP="00AA4EC3">
            <w:pPr>
              <w:autoSpaceDE/>
              <w:autoSpaceDN/>
              <w:adjustRightInd/>
              <w:spacing w:before="0" w:after="100" w:afterAutospacing="1" w:line="276" w:lineRule="auto"/>
              <w:jc w:val="both"/>
            </w:pPr>
            <w:r>
              <w:t>Content - A</w:t>
            </w:r>
            <w:r w:rsidRPr="00C225EF">
              <w:t>re you mainly interested in a specific scheme / aspect of energy efficiency</w:t>
            </w:r>
            <w:r>
              <w:t xml:space="preserve"> or are you interested to see more covered on other policy areas</w:t>
            </w:r>
            <w:r w:rsidRPr="00C225EF">
              <w:t>?</w:t>
            </w:r>
            <w:r w:rsidRPr="003C6F03">
              <w:t xml:space="preserve"> </w:t>
            </w:r>
            <w:r>
              <w:t xml:space="preserve">DECC </w:t>
            </w:r>
            <w:r w:rsidRPr="00C225EF">
              <w:t>are open to any ideas on which aspects of domestic energy efficiency the release should cover. Please describe your ideas, detailing how the approach would meet your analytical needs.</w:t>
            </w:r>
          </w:p>
        </w:tc>
      </w:tr>
    </w:tbl>
    <w:p w14:paraId="70DE269A" w14:textId="77777777" w:rsidR="00F43FB0" w:rsidRPr="007469E8" w:rsidRDefault="00F43FB0" w:rsidP="007469E8"/>
    <w:p w14:paraId="1BBB4B8A" w14:textId="77777777" w:rsidR="00556A16" w:rsidRDefault="00556A16" w:rsidP="00D236C3"/>
    <w:p w14:paraId="796FE51E" w14:textId="49D6F82E" w:rsidR="00D24B2F" w:rsidRPr="00DE71E3" w:rsidRDefault="00D24B2F" w:rsidP="00D24B2F">
      <w:pPr>
        <w:pStyle w:val="Heading3"/>
      </w:pPr>
      <w:r>
        <w:t>Further information</w:t>
      </w:r>
    </w:p>
    <w:p w14:paraId="31056029" w14:textId="7FD6ABAE" w:rsidR="00D24B2F" w:rsidRPr="00C225EF" w:rsidRDefault="0028472F" w:rsidP="00D24B2F">
      <w:pPr>
        <w:jc w:val="both"/>
        <w:rPr>
          <w:lang w:val="en"/>
        </w:rPr>
      </w:pPr>
      <w:r>
        <w:t xml:space="preserve">The </w:t>
      </w:r>
      <w:r w:rsidRPr="00D24B2F">
        <w:rPr>
          <w:lang w:val="en"/>
        </w:rPr>
        <w:t>methodology</w:t>
      </w:r>
      <w:r w:rsidR="00D24B2F" w:rsidRPr="00C225EF">
        <w:rPr>
          <w:lang w:val="en"/>
        </w:rPr>
        <w:t xml:space="preserve"> note and background quality report accompanying statistical releases on the Domestic Green Deal and Energy Company Obligation can be read here:</w:t>
      </w:r>
    </w:p>
    <w:p w14:paraId="3646DEF6" w14:textId="77777777" w:rsidR="00D24B2F" w:rsidRPr="00C225EF" w:rsidRDefault="005218A5" w:rsidP="00D24B2F">
      <w:pPr>
        <w:jc w:val="both"/>
        <w:rPr>
          <w:rStyle w:val="Hyperlink"/>
        </w:rPr>
      </w:pPr>
      <w:hyperlink r:id="rId34" w:history="1">
        <w:r w:rsidR="00D24B2F" w:rsidRPr="00C225EF">
          <w:rPr>
            <w:rStyle w:val="Hyperlink"/>
          </w:rPr>
          <w:t>https://www.gov.uk/government/statistics/domestic-green-deal-and-eco-statistics-methodology-note</w:t>
        </w:r>
      </w:hyperlink>
    </w:p>
    <w:p w14:paraId="57E44394" w14:textId="77777777" w:rsidR="00D24B2F" w:rsidRPr="00C225EF" w:rsidRDefault="00D24B2F" w:rsidP="00D24B2F">
      <w:pPr>
        <w:jc w:val="both"/>
      </w:pPr>
      <w:r w:rsidRPr="00C225EF">
        <w:t>Further details of the GD and ECO policies can be found in the Annex section of the National statistic releases:</w:t>
      </w:r>
    </w:p>
    <w:p w14:paraId="6B017827" w14:textId="77777777" w:rsidR="00D24B2F" w:rsidRPr="00C225EF" w:rsidRDefault="005218A5" w:rsidP="00D24B2F">
      <w:pPr>
        <w:jc w:val="both"/>
      </w:pPr>
      <w:hyperlink r:id="rId35" w:history="1">
        <w:r w:rsidR="00D24B2F" w:rsidRPr="00C225EF">
          <w:rPr>
            <w:rStyle w:val="Hyperlink"/>
          </w:rPr>
          <w:t>https://www.gov.uk/government/collections/green-deal-and-energy-company-obligation-eco-statistics</w:t>
        </w:r>
      </w:hyperlink>
    </w:p>
    <w:p w14:paraId="7B4DA5C6" w14:textId="77777777" w:rsidR="003A2CB0" w:rsidRDefault="003A2CB0" w:rsidP="000E6ADA">
      <w:pPr>
        <w:pStyle w:val="Heading1"/>
        <w:sectPr w:rsidR="003A2CB0" w:rsidSect="00E515B6">
          <w:pgSz w:w="11906" w:h="16838" w:code="9"/>
          <w:pgMar w:top="1701" w:right="907" w:bottom="907" w:left="907" w:header="680" w:footer="680" w:gutter="0"/>
          <w:cols w:space="720"/>
          <w:titlePg/>
        </w:sectPr>
      </w:pPr>
    </w:p>
    <w:p w14:paraId="326B65E2" w14:textId="77777777" w:rsidR="00D24B2F" w:rsidRDefault="00D24B2F" w:rsidP="000E6ADA">
      <w:pPr>
        <w:pStyle w:val="Heading1"/>
      </w:pPr>
    </w:p>
    <w:p w14:paraId="5D30505D" w14:textId="77777777" w:rsidR="00D24B2F" w:rsidRDefault="00D24B2F" w:rsidP="000E6ADA">
      <w:pPr>
        <w:pStyle w:val="Heading1"/>
      </w:pPr>
    </w:p>
    <w:p w14:paraId="2187E1A5" w14:textId="77777777" w:rsidR="00D24B2F" w:rsidRDefault="00D24B2F" w:rsidP="000E6ADA">
      <w:pPr>
        <w:pStyle w:val="Heading1"/>
      </w:pPr>
    </w:p>
    <w:p w14:paraId="3818BEDC" w14:textId="77777777" w:rsidR="00084473" w:rsidRPr="00084473" w:rsidRDefault="00084473" w:rsidP="00084473"/>
    <w:p w14:paraId="5F9F016B" w14:textId="77777777" w:rsidR="00D24B2F" w:rsidRDefault="00D24B2F" w:rsidP="000E6ADA">
      <w:pPr>
        <w:pStyle w:val="Heading1"/>
      </w:pPr>
    </w:p>
    <w:p w14:paraId="6CDDA96B" w14:textId="5FF601F2" w:rsidR="00025DA7" w:rsidRPr="00285D29" w:rsidRDefault="00F54E78" w:rsidP="00225913">
      <w:pPr>
        <w:pStyle w:val="Heading1"/>
        <w:spacing w:after="600"/>
      </w:pPr>
      <w:bookmarkStart w:id="11" w:name="_Consultation_Arrangements"/>
      <w:bookmarkStart w:id="12" w:name="_Toc427590044"/>
      <w:bookmarkEnd w:id="11"/>
      <w:r>
        <w:lastRenderedPageBreak/>
        <w:t>Consultation Arrangements</w:t>
      </w:r>
      <w:bookmarkEnd w:id="12"/>
    </w:p>
    <w:p w14:paraId="3EB1526D" w14:textId="2E352E9C" w:rsidR="00E75B6D" w:rsidRDefault="00F54E78" w:rsidP="00524C2E">
      <w:pPr>
        <w:pStyle w:val="DECCIntrotext"/>
      </w:pPr>
      <w:r>
        <w:t>The following section lays out how to respond to this consultation</w:t>
      </w:r>
    </w:p>
    <w:p w14:paraId="0AD2647E" w14:textId="4C764196" w:rsidR="00E515B6" w:rsidRDefault="00F54E78" w:rsidP="00EB43AE">
      <w:pPr>
        <w:jc w:val="both"/>
      </w:pPr>
      <w:r w:rsidRPr="00F54E78">
        <w:t xml:space="preserve">Before any firm decision is taken on the implementation of these changes we are carrying out </w:t>
      </w:r>
      <w:r w:rsidR="00BE7D4A">
        <w:t xml:space="preserve">a </w:t>
      </w:r>
      <w:r w:rsidRPr="00F54E78">
        <w:t>user consultation lasting 6 weeks, during which time we welcome any views, questions and concerns you might have about the proposals</w:t>
      </w:r>
      <w:r w:rsidR="00E515B6">
        <w:t>.</w:t>
      </w:r>
    </w:p>
    <w:p w14:paraId="53D8FEAF" w14:textId="77777777" w:rsidR="00225913" w:rsidRDefault="00E515B6" w:rsidP="00EB43AE">
      <w:pPr>
        <w:jc w:val="both"/>
      </w:pPr>
      <w:r>
        <w:t>•</w:t>
      </w:r>
      <w:r>
        <w:tab/>
        <w:t xml:space="preserve">Once the consultation period has ended, we will collate the responses received and will publish a note informing users of the final decision. </w:t>
      </w:r>
    </w:p>
    <w:p w14:paraId="72A4445B" w14:textId="23B52C93" w:rsidR="00225913" w:rsidRDefault="00225913" w:rsidP="00EB43AE">
      <w:pPr>
        <w:jc w:val="both"/>
      </w:pPr>
      <w:r>
        <w:t>•</w:t>
      </w:r>
      <w:r>
        <w:tab/>
        <w:t>Please make it clear on your response if you do not want your responses published, following the consultation, on gov.uk website.</w:t>
      </w:r>
    </w:p>
    <w:p w14:paraId="724BC844" w14:textId="77777777" w:rsidR="00E515B6" w:rsidRDefault="00E515B6" w:rsidP="00EB43AE">
      <w:pPr>
        <w:jc w:val="both"/>
      </w:pPr>
      <w:r>
        <w:t>•</w:t>
      </w:r>
      <w:r>
        <w:tab/>
        <w:t>We will accept and register written responses received through other media, such as by email or letter. Please do not telephone DECC with your response, as only written submissions will be accepted.</w:t>
      </w:r>
    </w:p>
    <w:p w14:paraId="604ED1B6" w14:textId="7DFDC678" w:rsidR="00E515B6" w:rsidRDefault="00E515B6" w:rsidP="00EB43AE">
      <w:pPr>
        <w:jc w:val="both"/>
      </w:pPr>
      <w:r>
        <w:t>•</w:t>
      </w:r>
      <w:r>
        <w:tab/>
        <w:t xml:space="preserve">You may send consultation responses to </w:t>
      </w:r>
      <w:hyperlink r:id="rId36" w:history="1">
        <w:r w:rsidRPr="000C51F3">
          <w:rPr>
            <w:rStyle w:val="Hyperlink"/>
          </w:rPr>
          <w:t>EnergyEfficiency.Stats@decc.gsi.gov.uk</w:t>
        </w:r>
      </w:hyperlink>
      <w:r>
        <w:t xml:space="preserve"> or send paper responses to: </w:t>
      </w:r>
    </w:p>
    <w:p w14:paraId="15CEA11F" w14:textId="4AD01A71" w:rsidR="00E515B6" w:rsidRDefault="00E515B6" w:rsidP="00EB43AE">
      <w:pPr>
        <w:jc w:val="both"/>
      </w:pPr>
      <w:r>
        <w:t>Home Energy Statistics team, DECC, Area 1D, 3 Whitehall Place, London, SW1A 2AW</w:t>
      </w:r>
    </w:p>
    <w:p w14:paraId="1BB278BE" w14:textId="1CB0391E" w:rsidR="00D24B2F" w:rsidRPr="00C225EF" w:rsidRDefault="00E515B6" w:rsidP="008B6F6E">
      <w:pPr>
        <w:spacing w:after="360"/>
        <w:jc w:val="both"/>
      </w:pPr>
      <w:r w:rsidRPr="00C225EF">
        <w:t>Please provide answers and comments in the box</w:t>
      </w:r>
      <w:r w:rsidR="00C72A2A">
        <w:t>es</w:t>
      </w:r>
      <w:r w:rsidRPr="00C225EF">
        <w:t xml:space="preserve"> below:</w:t>
      </w:r>
    </w:p>
    <w:tbl>
      <w:tblPr>
        <w:tblStyle w:val="DECC3"/>
        <w:tblW w:w="5000" w:type="pct"/>
        <w:tblLook w:val="01E0" w:firstRow="1" w:lastRow="1" w:firstColumn="1" w:lastColumn="1" w:noHBand="0" w:noVBand="0"/>
      </w:tblPr>
      <w:tblGrid>
        <w:gridCol w:w="10308"/>
      </w:tblGrid>
      <w:tr w:rsidR="00E515B6" w:rsidRPr="00907797" w14:paraId="5C62191D" w14:textId="77777777" w:rsidTr="00E515B6">
        <w:trPr>
          <w:cnfStyle w:val="100000000000" w:firstRow="1" w:lastRow="0" w:firstColumn="0" w:lastColumn="0" w:oddVBand="0" w:evenVBand="0" w:oddHBand="0" w:evenHBand="0" w:firstRowFirstColumn="0" w:firstRowLastColumn="0" w:lastRowFirstColumn="0" w:lastRowLastColumn="0"/>
          <w:trHeight w:val="166"/>
        </w:trPr>
        <w:tc>
          <w:tcPr>
            <w:tcW w:w="5000" w:type="pct"/>
          </w:tcPr>
          <w:p w14:paraId="7E445986" w14:textId="6BB64DF5" w:rsidR="00E515B6" w:rsidRPr="00E515B6" w:rsidRDefault="00E515B6" w:rsidP="00E515B6">
            <w:pPr>
              <w:spacing w:before="240" w:after="240"/>
              <w:jc w:val="both"/>
            </w:pPr>
            <w:r w:rsidRPr="00E515B6">
              <w:rPr>
                <w:color w:val="FFFFFF" w:themeColor="background1"/>
              </w:rPr>
              <w:t>Please provide answers and comments related to proposal 1a, 1b and 1c (questions 1-5) in the box below:</w:t>
            </w:r>
          </w:p>
        </w:tc>
      </w:tr>
      <w:tr w:rsidR="00E515B6" w:rsidRPr="00015C4E" w14:paraId="21134785" w14:textId="77777777" w:rsidTr="00201F3B">
        <w:trPr>
          <w:trHeight w:val="4563"/>
        </w:trPr>
        <w:tc>
          <w:tcPr>
            <w:tcW w:w="5000" w:type="pct"/>
            <w:tcBorders>
              <w:bottom w:val="single" w:sz="8" w:space="0" w:color="AC1A2F"/>
            </w:tcBorders>
          </w:tcPr>
          <w:p w14:paraId="28CEE1B9" w14:textId="77777777" w:rsidR="00E515B6" w:rsidRDefault="00E515B6" w:rsidP="001945BC">
            <w:pPr>
              <w:pStyle w:val="TableText"/>
            </w:pPr>
          </w:p>
          <w:p w14:paraId="23B641BD" w14:textId="77777777" w:rsidR="00D24B2F" w:rsidRDefault="00D24B2F" w:rsidP="001945BC">
            <w:pPr>
              <w:pStyle w:val="TableText"/>
            </w:pPr>
          </w:p>
          <w:p w14:paraId="2204A6BC" w14:textId="77777777" w:rsidR="00D24B2F" w:rsidRDefault="00D24B2F" w:rsidP="001945BC">
            <w:pPr>
              <w:pStyle w:val="TableText"/>
            </w:pPr>
          </w:p>
          <w:p w14:paraId="277D412E" w14:textId="77777777" w:rsidR="00D24B2F" w:rsidRDefault="00D24B2F" w:rsidP="001945BC">
            <w:pPr>
              <w:pStyle w:val="TableText"/>
            </w:pPr>
          </w:p>
          <w:p w14:paraId="0B3A551C" w14:textId="77777777" w:rsidR="00D24B2F" w:rsidRDefault="00D24B2F" w:rsidP="001945BC">
            <w:pPr>
              <w:pStyle w:val="TableText"/>
            </w:pPr>
          </w:p>
          <w:p w14:paraId="57DFCD04" w14:textId="77777777" w:rsidR="00D24B2F" w:rsidRDefault="00D24B2F" w:rsidP="001945BC">
            <w:pPr>
              <w:pStyle w:val="TableText"/>
            </w:pPr>
          </w:p>
          <w:p w14:paraId="3FC8F4FC" w14:textId="77777777" w:rsidR="00D24B2F" w:rsidRDefault="00D24B2F" w:rsidP="001945BC">
            <w:pPr>
              <w:pStyle w:val="TableText"/>
            </w:pPr>
          </w:p>
          <w:p w14:paraId="1B6B3BEB" w14:textId="77777777" w:rsidR="00D24B2F" w:rsidRDefault="00D24B2F" w:rsidP="001945BC">
            <w:pPr>
              <w:pStyle w:val="TableText"/>
            </w:pPr>
          </w:p>
          <w:p w14:paraId="7BE66E13" w14:textId="77777777" w:rsidR="00D24B2F" w:rsidRDefault="00D24B2F" w:rsidP="001945BC">
            <w:pPr>
              <w:pStyle w:val="TableText"/>
            </w:pPr>
          </w:p>
          <w:p w14:paraId="5219C896" w14:textId="77777777" w:rsidR="00D24B2F" w:rsidRDefault="00D24B2F" w:rsidP="001945BC">
            <w:pPr>
              <w:pStyle w:val="TableText"/>
            </w:pPr>
          </w:p>
          <w:p w14:paraId="4230FBBB" w14:textId="77777777" w:rsidR="00D24B2F" w:rsidRDefault="00D24B2F" w:rsidP="001945BC">
            <w:pPr>
              <w:pStyle w:val="TableText"/>
            </w:pPr>
          </w:p>
          <w:p w14:paraId="6C361B95" w14:textId="77777777" w:rsidR="00D24B2F" w:rsidRDefault="00D24B2F" w:rsidP="001945BC">
            <w:pPr>
              <w:pStyle w:val="TableText"/>
            </w:pPr>
          </w:p>
          <w:p w14:paraId="72CD1D7C" w14:textId="77777777" w:rsidR="00D24B2F" w:rsidRDefault="00D24B2F" w:rsidP="001945BC">
            <w:pPr>
              <w:pStyle w:val="TableText"/>
            </w:pPr>
          </w:p>
          <w:p w14:paraId="41F10FB7" w14:textId="77777777" w:rsidR="00D24B2F" w:rsidRDefault="00D24B2F" w:rsidP="001945BC">
            <w:pPr>
              <w:pStyle w:val="TableText"/>
            </w:pPr>
          </w:p>
          <w:p w14:paraId="3A6A4E0B" w14:textId="5FBA5CCA" w:rsidR="00D24B2F" w:rsidRPr="003654E6" w:rsidRDefault="00D24B2F" w:rsidP="00D24B2F">
            <w:pPr>
              <w:pStyle w:val="TableText"/>
              <w:ind w:left="0"/>
            </w:pPr>
          </w:p>
        </w:tc>
      </w:tr>
      <w:tr w:rsidR="00201F3B" w:rsidRPr="00015C4E" w14:paraId="704B873B" w14:textId="77777777" w:rsidTr="00201F3B">
        <w:trPr>
          <w:trHeight w:val="672"/>
        </w:trPr>
        <w:tc>
          <w:tcPr>
            <w:tcW w:w="5000" w:type="pct"/>
            <w:tcBorders>
              <w:left w:val="nil"/>
              <w:bottom w:val="nil"/>
              <w:right w:val="nil"/>
            </w:tcBorders>
          </w:tcPr>
          <w:p w14:paraId="72D1A8F4" w14:textId="77777777" w:rsidR="00201F3B" w:rsidRDefault="00201F3B" w:rsidP="001945BC">
            <w:pPr>
              <w:pStyle w:val="TableText"/>
            </w:pPr>
          </w:p>
        </w:tc>
      </w:tr>
    </w:tbl>
    <w:tbl>
      <w:tblPr>
        <w:tblStyle w:val="DECC2"/>
        <w:tblW w:w="5000" w:type="pct"/>
        <w:tblLook w:val="01E0" w:firstRow="1" w:lastRow="1" w:firstColumn="1" w:lastColumn="1" w:noHBand="0" w:noVBand="0"/>
      </w:tblPr>
      <w:tblGrid>
        <w:gridCol w:w="10308"/>
      </w:tblGrid>
      <w:tr w:rsidR="00E515B6" w:rsidRPr="00E75B6D" w14:paraId="0AB11F6B" w14:textId="77777777" w:rsidTr="00201F3B">
        <w:trPr>
          <w:cnfStyle w:val="100000000000" w:firstRow="1" w:lastRow="0" w:firstColumn="0" w:lastColumn="0" w:oddVBand="0" w:evenVBand="0" w:oddHBand="0" w:evenHBand="0" w:firstRowFirstColumn="0" w:firstRowLastColumn="0" w:lastRowFirstColumn="0" w:lastRowLastColumn="0"/>
          <w:trHeight w:val="166"/>
        </w:trPr>
        <w:tc>
          <w:tcPr>
            <w:tcW w:w="5000" w:type="pct"/>
            <w:tcBorders>
              <w:top w:val="nil"/>
            </w:tcBorders>
          </w:tcPr>
          <w:p w14:paraId="2031B778" w14:textId="20C8233B" w:rsidR="00E515B6" w:rsidRPr="00E75B6D" w:rsidRDefault="00E515B6" w:rsidP="001945BC">
            <w:pPr>
              <w:pStyle w:val="TableHeaders"/>
              <w:spacing w:before="240" w:after="240"/>
            </w:pPr>
            <w:r w:rsidRPr="00E515B6">
              <w:lastRenderedPageBreak/>
              <w:t>Please provide answers and comments related to proposal 2a and 2b (questions 6-10) in the box below:</w:t>
            </w:r>
          </w:p>
        </w:tc>
      </w:tr>
      <w:tr w:rsidR="00E515B6" w:rsidRPr="00015C4E" w14:paraId="2EF84818" w14:textId="77777777" w:rsidTr="00D24B2F">
        <w:trPr>
          <w:trHeight w:val="4552"/>
        </w:trPr>
        <w:tc>
          <w:tcPr>
            <w:tcW w:w="5000" w:type="pct"/>
          </w:tcPr>
          <w:p w14:paraId="480EF635" w14:textId="38FC62F4" w:rsidR="00E515B6" w:rsidRPr="00270ADC" w:rsidRDefault="00E515B6" w:rsidP="001945BC">
            <w:pPr>
              <w:pStyle w:val="TableText"/>
            </w:pPr>
          </w:p>
        </w:tc>
      </w:tr>
    </w:tbl>
    <w:p w14:paraId="097DCAB1" w14:textId="77777777" w:rsidR="00D24B2F" w:rsidRDefault="00D24B2F" w:rsidP="0094331F">
      <w:pPr>
        <w:pStyle w:val="List2"/>
        <w:numPr>
          <w:ilvl w:val="0"/>
          <w:numId w:val="0"/>
        </w:numPr>
      </w:pPr>
    </w:p>
    <w:tbl>
      <w:tblPr>
        <w:tblStyle w:val="DECC2"/>
        <w:tblW w:w="5000" w:type="pct"/>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shd w:val="clear" w:color="auto" w:fill="92D050"/>
        <w:tblLook w:val="01E0" w:firstRow="1" w:lastRow="1" w:firstColumn="1" w:lastColumn="1" w:noHBand="0" w:noVBand="0"/>
      </w:tblPr>
      <w:tblGrid>
        <w:gridCol w:w="10308"/>
      </w:tblGrid>
      <w:tr w:rsidR="00E515B6" w:rsidRPr="00E75B6D" w14:paraId="263E648B" w14:textId="77777777" w:rsidTr="00E515B6">
        <w:trPr>
          <w:cnfStyle w:val="100000000000" w:firstRow="1" w:lastRow="0" w:firstColumn="0" w:lastColumn="0" w:oddVBand="0" w:evenVBand="0" w:oddHBand="0" w:evenHBand="0" w:firstRowFirstColumn="0" w:firstRowLastColumn="0" w:lastRowFirstColumn="0" w:lastRowLastColumn="0"/>
          <w:trHeight w:val="166"/>
        </w:trPr>
        <w:tc>
          <w:tcPr>
            <w:tcW w:w="5000" w:type="pct"/>
            <w:tcBorders>
              <w:bottom w:val="single" w:sz="8" w:space="0" w:color="C2D69B" w:themeColor="accent3" w:themeTint="99"/>
            </w:tcBorders>
            <w:shd w:val="clear" w:color="auto" w:fill="92D050"/>
          </w:tcPr>
          <w:p w14:paraId="0CD36E62" w14:textId="54006793" w:rsidR="00E515B6" w:rsidRPr="00E75B6D" w:rsidRDefault="00E515B6" w:rsidP="001945BC">
            <w:pPr>
              <w:pStyle w:val="TableHeaders"/>
              <w:spacing w:before="240" w:after="240"/>
            </w:pPr>
            <w:r w:rsidRPr="00E515B6">
              <w:t xml:space="preserve">Please provide </w:t>
            </w:r>
            <w:r>
              <w:t>any o</w:t>
            </w:r>
            <w:r w:rsidRPr="00E515B6">
              <w:t>ther general feedback (please give us any further feedback on any aspects of this consultation, including more information about your reasoning</w:t>
            </w:r>
            <w:r w:rsidR="00F32304">
              <w:t>, particularly on your responses to contents list in annex A</w:t>
            </w:r>
            <w:r>
              <w:t>)</w:t>
            </w:r>
            <w:r w:rsidR="008B6F6E">
              <w:t>:</w:t>
            </w:r>
          </w:p>
        </w:tc>
      </w:tr>
      <w:tr w:rsidR="00E515B6" w:rsidRPr="00015C4E" w14:paraId="268D8ADA" w14:textId="77777777" w:rsidTr="0094331F">
        <w:trPr>
          <w:trHeight w:val="5128"/>
        </w:trPr>
        <w:tc>
          <w:tcPr>
            <w:tcW w:w="5000" w:type="pct"/>
            <w:shd w:val="clear" w:color="auto" w:fill="FFFFFF" w:themeFill="background1"/>
          </w:tcPr>
          <w:p w14:paraId="42A3F227" w14:textId="77777777" w:rsidR="00E515B6" w:rsidRPr="00270ADC" w:rsidRDefault="00E515B6" w:rsidP="001945BC">
            <w:pPr>
              <w:pStyle w:val="TableText"/>
            </w:pPr>
          </w:p>
        </w:tc>
      </w:tr>
    </w:tbl>
    <w:p w14:paraId="32AA875B" w14:textId="77777777" w:rsidR="00E515B6" w:rsidRDefault="00E515B6" w:rsidP="00E515B6">
      <w:pPr>
        <w:pStyle w:val="List2"/>
        <w:numPr>
          <w:ilvl w:val="0"/>
          <w:numId w:val="0"/>
        </w:numPr>
      </w:pPr>
    </w:p>
    <w:p w14:paraId="53177889" w14:textId="77777777" w:rsidR="00E515B6" w:rsidRDefault="00E515B6" w:rsidP="007E2452">
      <w:pPr>
        <w:pStyle w:val="List2"/>
        <w:numPr>
          <w:ilvl w:val="0"/>
          <w:numId w:val="0"/>
        </w:numPr>
        <w:ind w:left="794"/>
      </w:pPr>
    </w:p>
    <w:p w14:paraId="06DA42E1" w14:textId="77777777" w:rsidR="00E515B6" w:rsidRPr="0079142B" w:rsidRDefault="00E515B6" w:rsidP="007E2452">
      <w:pPr>
        <w:pStyle w:val="List2"/>
        <w:numPr>
          <w:ilvl w:val="0"/>
          <w:numId w:val="0"/>
        </w:numPr>
        <w:ind w:left="794"/>
      </w:pPr>
    </w:p>
    <w:p w14:paraId="41BF291D" w14:textId="796C017F" w:rsidR="00D24B2F" w:rsidRPr="00285D29" w:rsidRDefault="00D24B2F" w:rsidP="00C72A2A">
      <w:pPr>
        <w:pStyle w:val="Heading1"/>
        <w:jc w:val="both"/>
      </w:pPr>
      <w:bookmarkStart w:id="13" w:name="_Annex_A:_Content"/>
      <w:bookmarkStart w:id="14" w:name="_Toc427590045"/>
      <w:bookmarkEnd w:id="13"/>
      <w:r>
        <w:t>Annex A:</w:t>
      </w:r>
      <w:r w:rsidR="008454F1">
        <w:t xml:space="preserve"> Content of the statistical releases</w:t>
      </w:r>
      <w:bookmarkEnd w:id="14"/>
    </w:p>
    <w:p w14:paraId="285EE1A7" w14:textId="3EE23741" w:rsidR="00084473" w:rsidRDefault="00084473" w:rsidP="00524C2E">
      <w:pPr>
        <w:pStyle w:val="DECCIntrotext"/>
      </w:pPr>
      <w:r>
        <w:t>DECC is consulting on the content of the headline and detailed releases.</w:t>
      </w:r>
    </w:p>
    <w:p w14:paraId="347FE5A5" w14:textId="77777777" w:rsidR="00084473" w:rsidRDefault="00084473" w:rsidP="00084473">
      <w:pPr>
        <w:jc w:val="both"/>
      </w:pPr>
      <w:r w:rsidRPr="00C225EF">
        <w:t xml:space="preserve">Proposals 1c </w:t>
      </w:r>
      <w:r>
        <w:t>and 2b are to review the on-going need for the statistical tables that are published and the frequency of their release.</w:t>
      </w:r>
    </w:p>
    <w:p w14:paraId="5D6D58D8" w14:textId="259F77C9" w:rsidR="00604A91" w:rsidRDefault="00084473" w:rsidP="00084473">
      <w:pPr>
        <w:jc w:val="both"/>
      </w:pPr>
      <w:r>
        <w:t xml:space="preserve">Below </w:t>
      </w:r>
      <w:r w:rsidR="008B6F6E">
        <w:t>is</w:t>
      </w:r>
      <w:r w:rsidR="00B722F9">
        <w:t xml:space="preserve"> a </w:t>
      </w:r>
      <w:r w:rsidR="008B6F6E">
        <w:t>list</w:t>
      </w:r>
      <w:r w:rsidR="00B722F9">
        <w:t xml:space="preserve"> </w:t>
      </w:r>
      <w:r>
        <w:t xml:space="preserve">of all the </w:t>
      </w:r>
      <w:r w:rsidRPr="00084473">
        <w:t>statistical tables</w:t>
      </w:r>
      <w:r>
        <w:t xml:space="preserve"> currently produced. For each table you have a choice as to which release you would like th</w:t>
      </w:r>
      <w:r w:rsidR="000F3D70">
        <w:t>e table to be</w:t>
      </w:r>
      <w:r>
        <w:t xml:space="preserve"> included in (which will then </w:t>
      </w:r>
      <w:r w:rsidR="00B722F9">
        <w:t>determine</w:t>
      </w:r>
      <w:r>
        <w:t xml:space="preserve"> the frequency of its production), or to remove it</w:t>
      </w:r>
      <w:r w:rsidR="00F50C31">
        <w:t xml:space="preserve"> i.e. no longer published. </w:t>
      </w:r>
    </w:p>
    <w:p w14:paraId="5576B7F2" w14:textId="7CA73502" w:rsidR="00604A91" w:rsidRDefault="00604A91" w:rsidP="00084473">
      <w:pPr>
        <w:jc w:val="both"/>
      </w:pPr>
      <w:r>
        <w:t>1.13</w:t>
      </w:r>
      <w:r>
        <w:tab/>
      </w:r>
      <w:r w:rsidR="00084473" w:rsidRPr="00084473">
        <w:t xml:space="preserve">Please mark the boxes in </w:t>
      </w:r>
      <w:r w:rsidR="00084473">
        <w:t xml:space="preserve">the columns </w:t>
      </w:r>
      <w:r w:rsidR="00084473" w:rsidRPr="00084473">
        <w:t xml:space="preserve">with your choice. </w:t>
      </w:r>
    </w:p>
    <w:p w14:paraId="1D836DC1" w14:textId="10B3BDDD" w:rsidR="00084473" w:rsidRDefault="00604A91" w:rsidP="00604A91">
      <w:pPr>
        <w:ind w:left="720" w:hanging="720"/>
        <w:jc w:val="both"/>
      </w:pPr>
      <w:r>
        <w:t>1.14</w:t>
      </w:r>
      <w:r>
        <w:tab/>
      </w:r>
      <w:r w:rsidR="00084473" w:rsidRPr="00084473">
        <w:t>You don't need to provide response to every table, just the key ones you use or have views on.</w:t>
      </w:r>
      <w:r w:rsidR="00084473">
        <w:t xml:space="preserve"> Please explain your decision.</w:t>
      </w:r>
    </w:p>
    <w:p w14:paraId="5A877F2E" w14:textId="2B90E978" w:rsidR="00604A91" w:rsidRDefault="00604A91" w:rsidP="00604A91">
      <w:pPr>
        <w:ind w:left="720" w:hanging="720"/>
        <w:jc w:val="both"/>
      </w:pPr>
      <w:r>
        <w:t>1.15</w:t>
      </w:r>
      <w:r>
        <w:tab/>
        <w:t xml:space="preserve">Each table also includes its current end reporting date. This is to show when the current schemes are scheduled to end (taking into account data lags). For example </w:t>
      </w:r>
      <w:r w:rsidR="00C72A2A">
        <w:t>the current phase of the Energy Company Obligation (</w:t>
      </w:r>
      <w:r>
        <w:t>ECO</w:t>
      </w:r>
      <w:r w:rsidR="00C72A2A">
        <w:t xml:space="preserve"> 1 and ECO 2)</w:t>
      </w:r>
      <w:r>
        <w:t xml:space="preserve"> is due to finish at the end of March 2017; DECC will receive the final extract of ECO measures data in May 2017, which is when the final statistics on the scheme can be published. Please note DECC will cease publication of statistics relating to a particular energy efficiency policy scheme once </w:t>
      </w:r>
      <w:r w:rsidR="0058658F">
        <w:t>final extracts of administrative data on that scheme have been processed and published.</w:t>
      </w:r>
    </w:p>
    <w:p w14:paraId="35493C41" w14:textId="0FA72E16" w:rsidR="00753902" w:rsidRDefault="00753902" w:rsidP="00604A91">
      <w:pPr>
        <w:ind w:left="720" w:hanging="720"/>
        <w:jc w:val="both"/>
      </w:pPr>
      <w:r>
        <w:t xml:space="preserve">1.16 </w:t>
      </w:r>
      <w:r>
        <w:tab/>
        <w:t>The dates shown in the table under “</w:t>
      </w:r>
      <w:r w:rsidRPr="00753902">
        <w:t>Reported until (due to end of scheme)</w:t>
      </w:r>
      <w:r>
        <w:t xml:space="preserve">” are based on expected end dates of ECO, GDHIF and Green Deal Communities </w:t>
      </w:r>
      <w:r w:rsidR="001A7457">
        <w:t xml:space="preserve">known </w:t>
      </w:r>
      <w:r>
        <w:t>at the time of the user consultation</w:t>
      </w:r>
      <w:r w:rsidR="00D12D93">
        <w:t>.</w:t>
      </w:r>
      <w:r w:rsidR="001A7457">
        <w:t xml:space="preserve"> Therefore these dates are subject to change</w:t>
      </w:r>
      <w:r>
        <w:t xml:space="preserve">. </w:t>
      </w:r>
    </w:p>
    <w:p w14:paraId="56163B36" w14:textId="77777777" w:rsidR="00084473" w:rsidRDefault="00084473" w:rsidP="00D236C3"/>
    <w:p w14:paraId="2DEA6601" w14:textId="753030F3" w:rsidR="001945BC" w:rsidRDefault="001945BC">
      <w:pPr>
        <w:autoSpaceDE/>
        <w:autoSpaceDN/>
        <w:adjustRightInd/>
        <w:spacing w:before="0" w:after="0" w:line="240" w:lineRule="auto"/>
      </w:pPr>
      <w:r>
        <w:br w:type="page"/>
      </w:r>
    </w:p>
    <w:p w14:paraId="0AD3218A" w14:textId="77777777" w:rsidR="001945BC" w:rsidRDefault="001945BC" w:rsidP="00D236C3">
      <w:pPr>
        <w:sectPr w:rsidR="001945BC" w:rsidSect="00E515B6">
          <w:type w:val="continuous"/>
          <w:pgSz w:w="11906" w:h="16838" w:code="9"/>
          <w:pgMar w:top="1701" w:right="907" w:bottom="907" w:left="907" w:header="680" w:footer="680" w:gutter="0"/>
          <w:cols w:space="720"/>
          <w:titlePg/>
        </w:sectPr>
      </w:pPr>
    </w:p>
    <w:tbl>
      <w:tblPr>
        <w:tblW w:w="14885" w:type="dxa"/>
        <w:tblInd w:w="-176" w:type="dxa"/>
        <w:tblLayout w:type="fixed"/>
        <w:tblLook w:val="04A0" w:firstRow="1" w:lastRow="0" w:firstColumn="1" w:lastColumn="0" w:noHBand="0" w:noVBand="1"/>
      </w:tblPr>
      <w:tblGrid>
        <w:gridCol w:w="989"/>
        <w:gridCol w:w="6351"/>
        <w:gridCol w:w="1449"/>
        <w:gridCol w:w="993"/>
        <w:gridCol w:w="1230"/>
        <w:gridCol w:w="1554"/>
        <w:gridCol w:w="989"/>
        <w:gridCol w:w="1330"/>
      </w:tblGrid>
      <w:tr w:rsidR="00BD0DFC" w:rsidRPr="001945BC" w14:paraId="430656EF" w14:textId="6C666D89" w:rsidTr="00291ED1">
        <w:trPr>
          <w:trHeight w:val="589"/>
        </w:trPr>
        <w:tc>
          <w:tcPr>
            <w:tcW w:w="7340" w:type="dxa"/>
            <w:gridSpan w:val="2"/>
            <w:tcBorders>
              <w:top w:val="single" w:sz="4" w:space="0" w:color="auto"/>
              <w:left w:val="single" w:sz="4" w:space="0" w:color="auto"/>
              <w:bottom w:val="single" w:sz="4" w:space="0" w:color="000000" w:themeColor="text1"/>
              <w:right w:val="nil"/>
            </w:tcBorders>
            <w:shd w:val="clear" w:color="000000" w:fill="FFFFFF"/>
            <w:noWrap/>
            <w:vAlign w:val="bottom"/>
            <w:hideMark/>
          </w:tcPr>
          <w:p w14:paraId="753D9B5B" w14:textId="53154D7B" w:rsidR="00BD0DFC" w:rsidRPr="001945BC" w:rsidRDefault="00BD0DFC" w:rsidP="001945BC">
            <w:pPr>
              <w:autoSpaceDE/>
              <w:autoSpaceDN/>
              <w:adjustRightInd/>
              <w:spacing w:before="0" w:after="0" w:line="240" w:lineRule="auto"/>
              <w:rPr>
                <w:rFonts w:ascii="Calibri" w:hAnsi="Calibri" w:cs="Calibri"/>
                <w:b/>
                <w:bCs/>
                <w:sz w:val="22"/>
                <w:szCs w:val="22"/>
              </w:rPr>
            </w:pPr>
            <w:r w:rsidRPr="001945BC">
              <w:rPr>
                <w:rFonts w:ascii="Calibri" w:hAnsi="Calibri" w:cs="Calibri"/>
                <w:b/>
                <w:bCs/>
                <w:sz w:val="22"/>
                <w:szCs w:val="22"/>
              </w:rPr>
              <w:lastRenderedPageBreak/>
              <w:t xml:space="preserve">Green Deal and Energy Company Obligation (ECO): </w:t>
            </w:r>
            <w:r>
              <w:rPr>
                <w:rFonts w:ascii="Calibri" w:hAnsi="Calibri" w:cs="Calibri"/>
                <w:b/>
                <w:bCs/>
                <w:sz w:val="22"/>
                <w:szCs w:val="22"/>
              </w:rPr>
              <w:t xml:space="preserve">Headline </w:t>
            </w:r>
            <w:r w:rsidRPr="001945BC">
              <w:rPr>
                <w:rFonts w:ascii="Calibri" w:hAnsi="Calibri" w:cs="Calibri"/>
                <w:b/>
                <w:bCs/>
                <w:sz w:val="22"/>
                <w:szCs w:val="22"/>
              </w:rPr>
              <w:t>statistics release</w:t>
            </w:r>
          </w:p>
        </w:tc>
        <w:tc>
          <w:tcPr>
            <w:tcW w:w="1449" w:type="dxa"/>
            <w:tcBorders>
              <w:top w:val="single" w:sz="4" w:space="0" w:color="auto"/>
              <w:left w:val="nil"/>
              <w:bottom w:val="single" w:sz="4" w:space="0" w:color="000000" w:themeColor="text1"/>
              <w:right w:val="nil"/>
            </w:tcBorders>
            <w:shd w:val="clear" w:color="000000" w:fill="FFFFFF"/>
            <w:noWrap/>
            <w:vAlign w:val="bottom"/>
            <w:hideMark/>
          </w:tcPr>
          <w:p w14:paraId="577DEFF0"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AAA06" w14:textId="77777777" w:rsidR="00BD0DFC" w:rsidRPr="001945BC" w:rsidRDefault="00BD0DFC" w:rsidP="001945BC">
            <w:pPr>
              <w:autoSpaceDE/>
              <w:autoSpaceDN/>
              <w:adjustRightInd/>
              <w:spacing w:before="0" w:after="0" w:line="240" w:lineRule="auto"/>
              <w:jc w:val="center"/>
              <w:rPr>
                <w:rFonts w:ascii="Calibri" w:hAnsi="Calibri" w:cs="Calibri"/>
                <w:b/>
                <w:bCs/>
                <w:sz w:val="22"/>
                <w:szCs w:val="22"/>
              </w:rPr>
            </w:pPr>
            <w:r w:rsidRPr="001945BC">
              <w:rPr>
                <w:rFonts w:ascii="Calibri" w:hAnsi="Calibri" w:cs="Calibri"/>
                <w:b/>
                <w:bCs/>
                <w:sz w:val="22"/>
                <w:szCs w:val="22"/>
              </w:rPr>
              <w:t>Publish monthly</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14:paraId="380967DF" w14:textId="734A47D0" w:rsidR="00BD0DFC" w:rsidRPr="001945BC" w:rsidRDefault="00BD0DFC" w:rsidP="001945BC">
            <w:pPr>
              <w:autoSpaceDE/>
              <w:autoSpaceDN/>
              <w:adjustRightInd/>
              <w:spacing w:before="0" w:after="0" w:line="240" w:lineRule="auto"/>
              <w:jc w:val="center"/>
              <w:rPr>
                <w:rFonts w:ascii="Calibri" w:hAnsi="Calibri" w:cs="Calibri"/>
                <w:b/>
                <w:bCs/>
                <w:sz w:val="22"/>
                <w:szCs w:val="22"/>
              </w:rPr>
            </w:pPr>
            <w:r w:rsidRPr="001945BC">
              <w:rPr>
                <w:rFonts w:ascii="Calibri" w:hAnsi="Calibri" w:cs="Calibri"/>
                <w:b/>
                <w:bCs/>
                <w:sz w:val="22"/>
                <w:szCs w:val="22"/>
              </w:rPr>
              <w:t xml:space="preserve">Keep in headline </w:t>
            </w:r>
            <w:r>
              <w:rPr>
                <w:rFonts w:ascii="Calibri" w:hAnsi="Calibri" w:cs="Calibri"/>
                <w:b/>
                <w:bCs/>
                <w:sz w:val="22"/>
                <w:szCs w:val="22"/>
              </w:rPr>
              <w:t xml:space="preserve">(quarterly) </w:t>
            </w:r>
            <w:r w:rsidRPr="001945BC">
              <w:rPr>
                <w:rFonts w:ascii="Calibri" w:hAnsi="Calibri" w:cs="Calibri"/>
                <w:b/>
                <w:bCs/>
                <w:sz w:val="22"/>
                <w:szCs w:val="22"/>
              </w:rPr>
              <w:t>release</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14:paraId="5BE2989F" w14:textId="03B1F87E" w:rsidR="00BD0DFC" w:rsidRPr="001945BC" w:rsidRDefault="00BD0DFC" w:rsidP="001945BC">
            <w:pPr>
              <w:autoSpaceDE/>
              <w:autoSpaceDN/>
              <w:adjustRightInd/>
              <w:spacing w:before="0" w:after="0" w:line="240" w:lineRule="auto"/>
              <w:jc w:val="center"/>
              <w:rPr>
                <w:rFonts w:ascii="Calibri" w:hAnsi="Calibri" w:cs="Calibri"/>
                <w:b/>
                <w:bCs/>
                <w:sz w:val="22"/>
                <w:szCs w:val="22"/>
              </w:rPr>
            </w:pPr>
            <w:r w:rsidRPr="001945BC">
              <w:rPr>
                <w:rFonts w:ascii="Calibri" w:hAnsi="Calibri" w:cs="Calibri"/>
                <w:b/>
                <w:bCs/>
                <w:sz w:val="22"/>
                <w:szCs w:val="22"/>
              </w:rPr>
              <w:t>Move to detailed</w:t>
            </w:r>
            <w:r>
              <w:rPr>
                <w:rFonts w:ascii="Calibri" w:hAnsi="Calibri" w:cs="Calibri"/>
                <w:b/>
                <w:bCs/>
                <w:sz w:val="22"/>
                <w:szCs w:val="22"/>
              </w:rPr>
              <w:t xml:space="preserve"> (annual)</w:t>
            </w:r>
            <w:r w:rsidRPr="001945BC">
              <w:rPr>
                <w:rFonts w:ascii="Calibri" w:hAnsi="Calibri" w:cs="Calibri"/>
                <w:b/>
                <w:bCs/>
                <w:sz w:val="22"/>
                <w:szCs w:val="22"/>
              </w:rPr>
              <w:t xml:space="preserve"> release </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14:paraId="1F05F7F6" w14:textId="77777777" w:rsidR="00BD0DFC" w:rsidRPr="00291ED1" w:rsidRDefault="00BD0DFC" w:rsidP="001945BC">
            <w:pPr>
              <w:autoSpaceDE/>
              <w:autoSpaceDN/>
              <w:adjustRightInd/>
              <w:spacing w:before="0" w:after="0" w:line="240" w:lineRule="auto"/>
              <w:jc w:val="center"/>
              <w:rPr>
                <w:rFonts w:ascii="Calibri" w:hAnsi="Calibri" w:cs="Calibri"/>
                <w:b/>
                <w:bCs/>
                <w:sz w:val="22"/>
                <w:szCs w:val="22"/>
              </w:rPr>
            </w:pPr>
            <w:r w:rsidRPr="00291ED1">
              <w:rPr>
                <w:rFonts w:ascii="Calibri" w:hAnsi="Calibri" w:cs="Calibri"/>
                <w:b/>
                <w:bCs/>
                <w:sz w:val="22"/>
                <w:szCs w:val="22"/>
              </w:rPr>
              <w:t>Remove</w:t>
            </w:r>
          </w:p>
        </w:tc>
        <w:tc>
          <w:tcPr>
            <w:tcW w:w="1330" w:type="dxa"/>
            <w:tcBorders>
              <w:top w:val="single" w:sz="4" w:space="0" w:color="auto"/>
              <w:left w:val="nil"/>
              <w:bottom w:val="single" w:sz="4" w:space="0" w:color="auto"/>
              <w:right w:val="single" w:sz="4" w:space="0" w:color="auto"/>
            </w:tcBorders>
            <w:shd w:val="clear" w:color="000000" w:fill="FFFFFF"/>
          </w:tcPr>
          <w:p w14:paraId="30851549" w14:textId="269C56DF" w:rsidR="00BD0DFC" w:rsidRPr="00291ED1" w:rsidRDefault="00BD0DFC" w:rsidP="001945BC">
            <w:pPr>
              <w:autoSpaceDE/>
              <w:autoSpaceDN/>
              <w:adjustRightInd/>
              <w:spacing w:before="0" w:after="0" w:line="240" w:lineRule="auto"/>
              <w:jc w:val="center"/>
              <w:rPr>
                <w:rFonts w:ascii="Calibri" w:hAnsi="Calibri" w:cs="Calibri"/>
                <w:b/>
                <w:bCs/>
                <w:sz w:val="22"/>
                <w:szCs w:val="22"/>
              </w:rPr>
            </w:pPr>
            <w:r w:rsidRPr="00291ED1">
              <w:rPr>
                <w:rFonts w:ascii="Calibri" w:hAnsi="Calibri" w:cs="Calibri"/>
                <w:b/>
                <w:bCs/>
                <w:sz w:val="22"/>
                <w:szCs w:val="22"/>
              </w:rPr>
              <w:t>Reported until (due to end of scheme)</w:t>
            </w:r>
          </w:p>
        </w:tc>
      </w:tr>
      <w:tr w:rsidR="00BD0DFC" w:rsidRPr="001945BC" w14:paraId="33EC06BF" w14:textId="7C8E5660" w:rsidTr="00291ED1">
        <w:trPr>
          <w:trHeight w:val="6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6541DC00"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1</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2AA1C94A"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Provisional number of measures installed through ECO, Cashback, using Green Deal finance or Green Deal Home Improvement Fund by month of installation</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1BB3D4D5"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5CF8A4A7"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49D17A20"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04470734" w14:textId="77777777" w:rsidR="00BD0DFC" w:rsidRPr="00291ED1" w:rsidRDefault="00BD0DFC"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vAlign w:val="bottom"/>
          </w:tcPr>
          <w:p w14:paraId="7B949E4D" w14:textId="6CC4B58A" w:rsidR="00BD0DFC" w:rsidRPr="00291ED1" w:rsidRDefault="00BD0DFC" w:rsidP="00291ED1">
            <w:pPr>
              <w:autoSpaceDE/>
              <w:autoSpaceDN/>
              <w:adjustRightInd/>
              <w:spacing w:before="0" w:after="0" w:line="240" w:lineRule="auto"/>
              <w:jc w:val="center"/>
              <w:rPr>
                <w:rFonts w:asciiTheme="majorHAnsi" w:hAnsiTheme="majorHAnsi" w:cstheme="majorHAnsi"/>
                <w:sz w:val="22"/>
                <w:szCs w:val="22"/>
              </w:rPr>
            </w:pPr>
            <w:r w:rsidRPr="00291ED1">
              <w:rPr>
                <w:rFonts w:asciiTheme="majorHAnsi" w:hAnsiTheme="majorHAnsi" w:cstheme="majorHAnsi"/>
                <w:sz w:val="22"/>
                <w:szCs w:val="22"/>
              </w:rPr>
              <w:t>No</w:t>
            </w:r>
            <w:r w:rsidR="00291ED1" w:rsidRPr="00291ED1">
              <w:rPr>
                <w:rFonts w:asciiTheme="majorHAnsi" w:hAnsiTheme="majorHAnsi" w:cstheme="majorHAnsi"/>
                <w:sz w:val="22"/>
                <w:szCs w:val="22"/>
              </w:rPr>
              <w:t xml:space="preserve"> end date</w:t>
            </w:r>
          </w:p>
        </w:tc>
      </w:tr>
      <w:tr w:rsidR="00291ED1" w:rsidRPr="001945BC" w14:paraId="5E719BE0" w14:textId="0F89F2BA" w:rsidTr="00291ED1">
        <w:trPr>
          <w:trHeight w:val="558"/>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00CB915A"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1a</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1C93D382"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Provisional number of individual households that have had measures installed through ECO, Cashback, using Green Deal finance or GDHIF, by month of installation</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6E25E357" w14:textId="77777777" w:rsidR="00291ED1" w:rsidRPr="001945BC" w:rsidRDefault="00291ED1"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3E8F6007"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1D63BF7E"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16B5FB2D" w14:textId="77777777" w:rsidR="00291ED1" w:rsidRPr="00291ED1" w:rsidRDefault="00291ED1"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tcPr>
          <w:p w14:paraId="3A317BB3" w14:textId="3C30C201" w:rsidR="00291ED1" w:rsidRPr="00291ED1" w:rsidRDefault="00291ED1" w:rsidP="00291ED1">
            <w:pPr>
              <w:autoSpaceDE/>
              <w:autoSpaceDN/>
              <w:adjustRightInd/>
              <w:spacing w:before="0" w:after="0" w:line="240" w:lineRule="auto"/>
              <w:jc w:val="center"/>
              <w:rPr>
                <w:rFonts w:asciiTheme="majorHAnsi" w:hAnsiTheme="majorHAnsi" w:cstheme="majorHAnsi"/>
                <w:sz w:val="22"/>
                <w:szCs w:val="22"/>
              </w:rPr>
            </w:pPr>
            <w:r w:rsidRPr="00291ED1">
              <w:rPr>
                <w:rFonts w:asciiTheme="majorHAnsi" w:hAnsiTheme="majorHAnsi" w:cstheme="majorHAnsi"/>
                <w:sz w:val="22"/>
                <w:szCs w:val="22"/>
              </w:rPr>
              <w:t>No end date</w:t>
            </w:r>
          </w:p>
        </w:tc>
      </w:tr>
      <w:tr w:rsidR="00291ED1" w:rsidRPr="001945BC" w14:paraId="0458E6DE" w14:textId="1763495D" w:rsidTr="00291ED1">
        <w:trPr>
          <w:trHeight w:val="3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4775D8DC"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2</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0F0D4CC3"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of Green Deal Assessments and cumulative total, by month</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0C468A58" w14:textId="77777777" w:rsidR="00291ED1" w:rsidRPr="001945BC" w:rsidRDefault="00291ED1"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0935F99C"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76B58C84"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2DDCA2A9" w14:textId="77777777" w:rsidR="00291ED1" w:rsidRPr="00291ED1" w:rsidRDefault="00291ED1"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tcPr>
          <w:p w14:paraId="57022543" w14:textId="5BA65631" w:rsidR="00291ED1" w:rsidRPr="00291ED1" w:rsidRDefault="00291ED1" w:rsidP="00291ED1">
            <w:pPr>
              <w:autoSpaceDE/>
              <w:autoSpaceDN/>
              <w:adjustRightInd/>
              <w:spacing w:before="0" w:after="0" w:line="240" w:lineRule="auto"/>
              <w:jc w:val="center"/>
              <w:rPr>
                <w:rFonts w:asciiTheme="majorHAnsi" w:hAnsiTheme="majorHAnsi" w:cstheme="majorHAnsi"/>
                <w:sz w:val="22"/>
                <w:szCs w:val="22"/>
              </w:rPr>
            </w:pPr>
            <w:r w:rsidRPr="00291ED1">
              <w:rPr>
                <w:rFonts w:asciiTheme="majorHAnsi" w:hAnsiTheme="majorHAnsi" w:cstheme="majorHAnsi"/>
                <w:sz w:val="22"/>
                <w:szCs w:val="22"/>
              </w:rPr>
              <w:t>No end date</w:t>
            </w:r>
          </w:p>
        </w:tc>
      </w:tr>
      <w:tr w:rsidR="00291ED1" w:rsidRPr="001945BC" w14:paraId="3E057A8C" w14:textId="085C6930" w:rsidTr="00291ED1">
        <w:trPr>
          <w:trHeight w:val="3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619D9256"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3</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7503D637"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of Green Deal Plans in unique properties, cumulative total, by month</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2F3DE82E" w14:textId="77777777" w:rsidR="00291ED1" w:rsidRPr="001945BC" w:rsidRDefault="00291ED1"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7500EB46"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3F4ECFF8"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4D8D3A61" w14:textId="77777777" w:rsidR="00291ED1" w:rsidRPr="00291ED1" w:rsidRDefault="00291ED1"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tcPr>
          <w:p w14:paraId="5C3C14DA" w14:textId="5FB8C2A7" w:rsidR="00291ED1" w:rsidRPr="00291ED1" w:rsidRDefault="00291ED1" w:rsidP="00291ED1">
            <w:pPr>
              <w:autoSpaceDE/>
              <w:autoSpaceDN/>
              <w:adjustRightInd/>
              <w:spacing w:before="0" w:after="0" w:line="240" w:lineRule="auto"/>
              <w:jc w:val="center"/>
              <w:rPr>
                <w:rFonts w:asciiTheme="majorHAnsi" w:hAnsiTheme="majorHAnsi" w:cstheme="majorHAnsi"/>
                <w:sz w:val="22"/>
                <w:szCs w:val="22"/>
              </w:rPr>
            </w:pPr>
            <w:r w:rsidRPr="00291ED1">
              <w:rPr>
                <w:rFonts w:asciiTheme="majorHAnsi" w:hAnsiTheme="majorHAnsi" w:cstheme="majorHAnsi"/>
                <w:sz w:val="22"/>
                <w:szCs w:val="22"/>
              </w:rPr>
              <w:t>No end date</w:t>
            </w:r>
          </w:p>
        </w:tc>
      </w:tr>
      <w:tr w:rsidR="00291ED1" w:rsidRPr="001945BC" w14:paraId="44FC436F" w14:textId="07F8D4CD" w:rsidTr="00291ED1">
        <w:trPr>
          <w:trHeight w:val="6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733B287E"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3a</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3F8D6F99"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of measures installed using Green Deal finance, and cumulative total, by installation month</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2FFF03CB" w14:textId="77777777" w:rsidR="00291ED1" w:rsidRPr="001945BC" w:rsidRDefault="00291ED1"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654159F6"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17251CB1"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05CA827A" w14:textId="77777777" w:rsidR="00291ED1" w:rsidRPr="00291ED1" w:rsidRDefault="00291ED1"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tcPr>
          <w:p w14:paraId="70087BA2" w14:textId="64B4DBAA" w:rsidR="00291ED1" w:rsidRPr="00291ED1" w:rsidRDefault="00291ED1" w:rsidP="00291ED1">
            <w:pPr>
              <w:autoSpaceDE/>
              <w:autoSpaceDN/>
              <w:adjustRightInd/>
              <w:spacing w:before="0" w:after="0" w:line="240" w:lineRule="auto"/>
              <w:jc w:val="center"/>
              <w:rPr>
                <w:rFonts w:asciiTheme="majorHAnsi" w:hAnsiTheme="majorHAnsi" w:cstheme="majorHAnsi"/>
                <w:sz w:val="22"/>
                <w:szCs w:val="22"/>
              </w:rPr>
            </w:pPr>
            <w:r w:rsidRPr="00291ED1">
              <w:rPr>
                <w:rFonts w:asciiTheme="majorHAnsi" w:hAnsiTheme="majorHAnsi" w:cstheme="majorHAnsi"/>
                <w:sz w:val="22"/>
                <w:szCs w:val="22"/>
              </w:rPr>
              <w:t>No end date</w:t>
            </w:r>
          </w:p>
        </w:tc>
      </w:tr>
      <w:tr w:rsidR="00291ED1" w:rsidRPr="001945BC" w14:paraId="34A5E509" w14:textId="107BFAC7" w:rsidTr="00291ED1">
        <w:trPr>
          <w:trHeight w:val="3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1CB3CD3F"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3b</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38D5AE26"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of measures installed using Green Deal finance</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7886AD7C" w14:textId="77777777" w:rsidR="00291ED1" w:rsidRPr="001945BC" w:rsidRDefault="00291ED1"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61BA6B66"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47B723E9" w14:textId="77777777" w:rsidR="00291ED1" w:rsidRPr="001945BC" w:rsidRDefault="00291ED1"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57E98526" w14:textId="77777777" w:rsidR="00291ED1" w:rsidRPr="00291ED1" w:rsidRDefault="00291ED1"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tcPr>
          <w:p w14:paraId="7F50609B" w14:textId="26CE6536" w:rsidR="00291ED1" w:rsidRPr="00291ED1" w:rsidRDefault="00291ED1" w:rsidP="00291ED1">
            <w:pPr>
              <w:autoSpaceDE/>
              <w:autoSpaceDN/>
              <w:adjustRightInd/>
              <w:spacing w:before="0" w:after="0" w:line="240" w:lineRule="auto"/>
              <w:jc w:val="center"/>
              <w:rPr>
                <w:rFonts w:asciiTheme="majorHAnsi" w:hAnsiTheme="majorHAnsi" w:cstheme="majorHAnsi"/>
                <w:sz w:val="22"/>
                <w:szCs w:val="22"/>
              </w:rPr>
            </w:pPr>
            <w:r w:rsidRPr="00291ED1">
              <w:rPr>
                <w:rFonts w:asciiTheme="majorHAnsi" w:hAnsiTheme="majorHAnsi" w:cstheme="majorHAnsi"/>
                <w:sz w:val="22"/>
                <w:szCs w:val="22"/>
              </w:rPr>
              <w:t>No end date</w:t>
            </w:r>
          </w:p>
        </w:tc>
      </w:tr>
      <w:tr w:rsidR="00BD0DFC" w:rsidRPr="001945BC" w14:paraId="5F444338" w14:textId="499722FA" w:rsidTr="00291ED1">
        <w:trPr>
          <w:trHeight w:val="6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D9D9D9"/>
            <w:noWrap/>
            <w:vAlign w:val="bottom"/>
            <w:hideMark/>
          </w:tcPr>
          <w:p w14:paraId="5B506921"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4</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D9D9D9"/>
            <w:vAlign w:val="bottom"/>
            <w:hideMark/>
          </w:tcPr>
          <w:p w14:paraId="36DDEF2E"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and value of Cashback vouchers paid, and cumulative total, by installation month, England and Wales only</w:t>
            </w:r>
          </w:p>
        </w:tc>
        <w:tc>
          <w:tcPr>
            <w:tcW w:w="993" w:type="dxa"/>
            <w:tcBorders>
              <w:top w:val="nil"/>
              <w:left w:val="single" w:sz="4" w:space="0" w:color="000000" w:themeColor="text1"/>
              <w:bottom w:val="single" w:sz="4" w:space="0" w:color="auto"/>
              <w:right w:val="single" w:sz="4" w:space="0" w:color="auto"/>
            </w:tcBorders>
            <w:shd w:val="clear" w:color="000000" w:fill="D9D9D9"/>
            <w:noWrap/>
            <w:vAlign w:val="bottom"/>
            <w:hideMark/>
          </w:tcPr>
          <w:p w14:paraId="7B2D8988"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D9D9D9"/>
            <w:noWrap/>
            <w:vAlign w:val="bottom"/>
            <w:hideMark/>
          </w:tcPr>
          <w:p w14:paraId="1D020DBC"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554" w:type="dxa"/>
            <w:tcBorders>
              <w:top w:val="nil"/>
              <w:left w:val="nil"/>
              <w:bottom w:val="single" w:sz="4" w:space="0" w:color="auto"/>
              <w:right w:val="single" w:sz="4" w:space="0" w:color="auto"/>
            </w:tcBorders>
            <w:shd w:val="clear" w:color="000000" w:fill="D9D9D9"/>
            <w:noWrap/>
            <w:vAlign w:val="bottom"/>
            <w:hideMark/>
          </w:tcPr>
          <w:p w14:paraId="72D5AB5A"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989" w:type="dxa"/>
            <w:tcBorders>
              <w:top w:val="nil"/>
              <w:left w:val="nil"/>
              <w:bottom w:val="single" w:sz="4" w:space="0" w:color="auto"/>
              <w:right w:val="single" w:sz="4" w:space="0" w:color="auto"/>
            </w:tcBorders>
            <w:shd w:val="clear" w:color="000000" w:fill="D9D9D9"/>
            <w:noWrap/>
            <w:vAlign w:val="bottom"/>
            <w:hideMark/>
          </w:tcPr>
          <w:p w14:paraId="0A1B9588" w14:textId="77777777" w:rsidR="00BD0DFC" w:rsidRPr="00291ED1" w:rsidRDefault="00BD0DFC" w:rsidP="001945BC">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N/A</w:t>
            </w:r>
          </w:p>
        </w:tc>
        <w:tc>
          <w:tcPr>
            <w:tcW w:w="1330" w:type="dxa"/>
            <w:tcBorders>
              <w:top w:val="nil"/>
              <w:left w:val="nil"/>
              <w:bottom w:val="single" w:sz="4" w:space="0" w:color="auto"/>
              <w:right w:val="single" w:sz="4" w:space="0" w:color="auto"/>
            </w:tcBorders>
            <w:shd w:val="clear" w:color="000000" w:fill="D9D9D9"/>
            <w:vAlign w:val="bottom"/>
          </w:tcPr>
          <w:p w14:paraId="4625B6A6" w14:textId="07C1C8C1" w:rsidR="00BD0DFC" w:rsidRPr="00291ED1" w:rsidRDefault="00BD0DFC" w:rsidP="00291ED1">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Ended</w:t>
            </w:r>
          </w:p>
        </w:tc>
      </w:tr>
      <w:tr w:rsidR="00BD0DFC" w:rsidRPr="001945BC" w14:paraId="0B0F9356" w14:textId="2FDCD260" w:rsidTr="00291ED1">
        <w:trPr>
          <w:trHeight w:val="6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D9D9D9"/>
            <w:noWrap/>
            <w:vAlign w:val="bottom"/>
            <w:hideMark/>
          </w:tcPr>
          <w:p w14:paraId="58D399C1"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4a</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D9D9D9"/>
            <w:vAlign w:val="bottom"/>
            <w:hideMark/>
          </w:tcPr>
          <w:p w14:paraId="48BE55DB"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of measures installed with Cashback, at the end of the Cashback Scheme, England and Wales only</w:t>
            </w:r>
          </w:p>
        </w:tc>
        <w:tc>
          <w:tcPr>
            <w:tcW w:w="993" w:type="dxa"/>
            <w:tcBorders>
              <w:top w:val="nil"/>
              <w:left w:val="single" w:sz="4" w:space="0" w:color="000000" w:themeColor="text1"/>
              <w:bottom w:val="single" w:sz="4" w:space="0" w:color="auto"/>
              <w:right w:val="single" w:sz="4" w:space="0" w:color="auto"/>
            </w:tcBorders>
            <w:shd w:val="clear" w:color="000000" w:fill="D9D9D9"/>
            <w:noWrap/>
            <w:vAlign w:val="bottom"/>
            <w:hideMark/>
          </w:tcPr>
          <w:p w14:paraId="48F09D1B"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D9D9D9"/>
            <w:noWrap/>
            <w:vAlign w:val="bottom"/>
            <w:hideMark/>
          </w:tcPr>
          <w:p w14:paraId="51C7F9E3"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554" w:type="dxa"/>
            <w:tcBorders>
              <w:top w:val="nil"/>
              <w:left w:val="nil"/>
              <w:bottom w:val="single" w:sz="4" w:space="0" w:color="auto"/>
              <w:right w:val="single" w:sz="4" w:space="0" w:color="auto"/>
            </w:tcBorders>
            <w:shd w:val="clear" w:color="000000" w:fill="D9D9D9"/>
            <w:noWrap/>
            <w:vAlign w:val="bottom"/>
            <w:hideMark/>
          </w:tcPr>
          <w:p w14:paraId="7FCA5493"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989" w:type="dxa"/>
            <w:tcBorders>
              <w:top w:val="nil"/>
              <w:left w:val="nil"/>
              <w:bottom w:val="single" w:sz="4" w:space="0" w:color="auto"/>
              <w:right w:val="single" w:sz="4" w:space="0" w:color="auto"/>
            </w:tcBorders>
            <w:shd w:val="clear" w:color="000000" w:fill="D9D9D9"/>
            <w:noWrap/>
            <w:vAlign w:val="bottom"/>
            <w:hideMark/>
          </w:tcPr>
          <w:p w14:paraId="101B86D0" w14:textId="77777777" w:rsidR="00BD0DFC" w:rsidRPr="00291ED1" w:rsidRDefault="00BD0DFC" w:rsidP="001945BC">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N/A</w:t>
            </w:r>
          </w:p>
        </w:tc>
        <w:tc>
          <w:tcPr>
            <w:tcW w:w="1330" w:type="dxa"/>
            <w:tcBorders>
              <w:top w:val="nil"/>
              <w:left w:val="nil"/>
              <w:bottom w:val="single" w:sz="4" w:space="0" w:color="auto"/>
              <w:right w:val="single" w:sz="4" w:space="0" w:color="auto"/>
            </w:tcBorders>
            <w:shd w:val="clear" w:color="000000" w:fill="D9D9D9"/>
            <w:vAlign w:val="bottom"/>
          </w:tcPr>
          <w:p w14:paraId="457F7F12" w14:textId="303F4EEF" w:rsidR="00BD0DFC" w:rsidRPr="00291ED1" w:rsidRDefault="00BD0DFC" w:rsidP="00291ED1">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Ended</w:t>
            </w:r>
          </w:p>
        </w:tc>
      </w:tr>
      <w:tr w:rsidR="00BD0DFC" w:rsidRPr="001945BC" w14:paraId="55826A23" w14:textId="473AB958" w:rsidTr="00291ED1">
        <w:trPr>
          <w:trHeight w:val="6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6F93FF70"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5</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1BBB6A8B"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and value of Green Deal Home Improvement Fund vouchers paid, and cumulative total, by installation and payment month, England and Wales only</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7FF31DE6"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2CCF04BB"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1CF53D4C"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073D4B67" w14:textId="77777777" w:rsidR="00BD0DFC" w:rsidRPr="00291ED1" w:rsidRDefault="00BD0DFC"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vAlign w:val="bottom"/>
          </w:tcPr>
          <w:p w14:paraId="32E53CB6" w14:textId="07C3F0DB" w:rsidR="00BD0DFC" w:rsidRPr="00291ED1" w:rsidRDefault="00BD0DFC" w:rsidP="00291ED1">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April 2016</w:t>
            </w:r>
          </w:p>
        </w:tc>
      </w:tr>
      <w:tr w:rsidR="00BD0DFC" w:rsidRPr="001945BC" w14:paraId="7A142DBB" w14:textId="1F56E07F" w:rsidTr="00291ED1">
        <w:trPr>
          <w:trHeight w:val="6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072E91A4"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5a</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2095FAA6"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of measures installed through Green Deal Home Improvement Fund, England and Wales only</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34BD8361"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6565E83E"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118B81B8"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2FFC389A" w14:textId="77777777" w:rsidR="00BD0DFC" w:rsidRPr="00291ED1" w:rsidRDefault="00BD0DFC"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vAlign w:val="bottom"/>
          </w:tcPr>
          <w:p w14:paraId="62EF1B76" w14:textId="02FBC6B9" w:rsidR="00BD0DFC" w:rsidRPr="00291ED1" w:rsidRDefault="00BD0DFC" w:rsidP="00291ED1">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April 2016</w:t>
            </w:r>
          </w:p>
        </w:tc>
      </w:tr>
      <w:tr w:rsidR="00BD0DFC" w:rsidRPr="001945BC" w14:paraId="650233DA" w14:textId="09FD67F8" w:rsidTr="00291ED1">
        <w:trPr>
          <w:trHeight w:val="6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732B4B34"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6</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5EF0F5DC"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Provisional number of ECO measures installed, by obligation, by installation month</w:t>
            </w:r>
          </w:p>
        </w:tc>
        <w:tc>
          <w:tcPr>
            <w:tcW w:w="993" w:type="dxa"/>
            <w:tcBorders>
              <w:top w:val="nil"/>
              <w:left w:val="single" w:sz="4" w:space="0" w:color="000000" w:themeColor="text1"/>
              <w:bottom w:val="single" w:sz="4" w:space="0" w:color="auto"/>
              <w:right w:val="single" w:sz="4" w:space="0" w:color="auto"/>
            </w:tcBorders>
            <w:shd w:val="clear" w:color="000000" w:fill="FFFFFF"/>
            <w:noWrap/>
            <w:vAlign w:val="bottom"/>
            <w:hideMark/>
          </w:tcPr>
          <w:p w14:paraId="5D14EF62"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0730631D"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66570136"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32D65EDE" w14:textId="77777777" w:rsidR="00BD0DFC" w:rsidRPr="00291ED1" w:rsidRDefault="00BD0DFC"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vAlign w:val="bottom"/>
          </w:tcPr>
          <w:p w14:paraId="598A505C" w14:textId="10034D6C" w:rsidR="00BD0DFC" w:rsidRPr="00291ED1" w:rsidRDefault="00BD0DFC" w:rsidP="00291ED1">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May 2017</w:t>
            </w:r>
          </w:p>
        </w:tc>
      </w:tr>
      <w:tr w:rsidR="00BD0DFC" w:rsidRPr="001945BC" w14:paraId="022A69BC" w14:textId="2A39CD43" w:rsidTr="00291ED1">
        <w:trPr>
          <w:trHeight w:val="3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208C1DCB"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6a</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3A5FC84B"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Provisional number of ECO measures installed, by measure type, by obligation</w:t>
            </w:r>
          </w:p>
        </w:tc>
        <w:tc>
          <w:tcPr>
            <w:tcW w:w="993" w:type="dxa"/>
            <w:tcBorders>
              <w:top w:val="nil"/>
              <w:left w:val="single" w:sz="4" w:space="0" w:color="000000" w:themeColor="text1"/>
              <w:bottom w:val="single" w:sz="4" w:space="0" w:color="auto"/>
              <w:right w:val="single" w:sz="4" w:space="0" w:color="auto"/>
            </w:tcBorders>
            <w:shd w:val="clear" w:color="000000" w:fill="FFFFFF"/>
            <w:noWrap/>
            <w:vAlign w:val="bottom"/>
            <w:hideMark/>
          </w:tcPr>
          <w:p w14:paraId="0793AD08"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4761BFD5"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0C092380"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55A3A62A" w14:textId="77777777" w:rsidR="00BD0DFC" w:rsidRPr="00291ED1" w:rsidRDefault="00BD0DFC"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vAlign w:val="bottom"/>
          </w:tcPr>
          <w:p w14:paraId="06845624" w14:textId="69BDF423" w:rsidR="00BD0DFC" w:rsidRPr="00291ED1" w:rsidRDefault="00BD0DFC" w:rsidP="00291ED1">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May 2017</w:t>
            </w:r>
          </w:p>
        </w:tc>
      </w:tr>
      <w:tr w:rsidR="00BD0DFC" w:rsidRPr="001945BC" w14:paraId="68F1963D" w14:textId="1DE94B8B" w:rsidTr="00291ED1">
        <w:trPr>
          <w:trHeight w:val="3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302707EC"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7</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6467AC2C"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of ECO brokerage auctions and total amount traded, by month</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7844F0BE"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07D4A449"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03AF305B"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72DED07F" w14:textId="77777777" w:rsidR="00BD0DFC" w:rsidRPr="00291ED1" w:rsidRDefault="00BD0DFC"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vAlign w:val="bottom"/>
          </w:tcPr>
          <w:p w14:paraId="1A03CA45" w14:textId="374BD3A2" w:rsidR="00BD0DFC" w:rsidRPr="00291ED1" w:rsidRDefault="00BD0DFC" w:rsidP="00291ED1">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April 2017</w:t>
            </w:r>
          </w:p>
        </w:tc>
      </w:tr>
      <w:tr w:rsidR="00BD0DFC" w:rsidRPr="001945BC" w14:paraId="63A25BD9" w14:textId="1E738A71" w:rsidTr="00291ED1">
        <w:trPr>
          <w:trHeight w:val="600"/>
        </w:trPr>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noWrap/>
            <w:vAlign w:val="bottom"/>
            <w:hideMark/>
          </w:tcPr>
          <w:p w14:paraId="171D96FA"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Table 8</w:t>
            </w:r>
          </w:p>
        </w:tc>
        <w:tc>
          <w:tcPr>
            <w:tcW w:w="7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FFFFFF"/>
            <w:vAlign w:val="bottom"/>
            <w:hideMark/>
          </w:tcPr>
          <w:p w14:paraId="6535AF1D"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Number of accredited Assessor organisations, individual Advisors, Green Deal Providers and Installer organisations, cumulative totals by month</w:t>
            </w:r>
          </w:p>
        </w:tc>
        <w:tc>
          <w:tcPr>
            <w:tcW w:w="993" w:type="dxa"/>
            <w:tcBorders>
              <w:top w:val="nil"/>
              <w:left w:val="single" w:sz="4" w:space="0" w:color="000000" w:themeColor="text1"/>
              <w:bottom w:val="single" w:sz="4" w:space="0" w:color="auto"/>
              <w:right w:val="single" w:sz="4" w:space="0" w:color="auto"/>
            </w:tcBorders>
            <w:shd w:val="clear" w:color="000000" w:fill="A6A6A6"/>
            <w:noWrap/>
            <w:vAlign w:val="bottom"/>
            <w:hideMark/>
          </w:tcPr>
          <w:p w14:paraId="578BD183" w14:textId="77777777" w:rsidR="00BD0DFC" w:rsidRPr="001945BC" w:rsidRDefault="00BD0DFC" w:rsidP="001945BC">
            <w:pPr>
              <w:autoSpaceDE/>
              <w:autoSpaceDN/>
              <w:adjustRightInd/>
              <w:spacing w:before="0" w:after="0" w:line="240" w:lineRule="auto"/>
              <w:jc w:val="center"/>
              <w:rPr>
                <w:rFonts w:ascii="Calibri" w:hAnsi="Calibri" w:cs="Calibri"/>
                <w:sz w:val="22"/>
                <w:szCs w:val="22"/>
              </w:rPr>
            </w:pPr>
            <w:r w:rsidRPr="001945BC">
              <w:rPr>
                <w:rFonts w:ascii="Calibri" w:hAnsi="Calibri" w:cs="Calibri"/>
                <w:sz w:val="22"/>
                <w:szCs w:val="22"/>
              </w:rPr>
              <w:t>N/A</w:t>
            </w:r>
          </w:p>
        </w:tc>
        <w:tc>
          <w:tcPr>
            <w:tcW w:w="1230" w:type="dxa"/>
            <w:tcBorders>
              <w:top w:val="nil"/>
              <w:left w:val="nil"/>
              <w:bottom w:val="single" w:sz="4" w:space="0" w:color="auto"/>
              <w:right w:val="single" w:sz="4" w:space="0" w:color="auto"/>
            </w:tcBorders>
            <w:shd w:val="clear" w:color="000000" w:fill="FFFFFF"/>
            <w:noWrap/>
            <w:vAlign w:val="bottom"/>
            <w:hideMark/>
          </w:tcPr>
          <w:p w14:paraId="29F17099"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1554" w:type="dxa"/>
            <w:tcBorders>
              <w:top w:val="nil"/>
              <w:left w:val="nil"/>
              <w:bottom w:val="single" w:sz="4" w:space="0" w:color="auto"/>
              <w:right w:val="single" w:sz="4" w:space="0" w:color="auto"/>
            </w:tcBorders>
            <w:shd w:val="clear" w:color="000000" w:fill="FFFFFF"/>
            <w:noWrap/>
            <w:vAlign w:val="bottom"/>
            <w:hideMark/>
          </w:tcPr>
          <w:p w14:paraId="2E79678A" w14:textId="77777777" w:rsidR="00BD0DFC" w:rsidRPr="001945BC" w:rsidRDefault="00BD0DFC" w:rsidP="001945BC">
            <w:pPr>
              <w:autoSpaceDE/>
              <w:autoSpaceDN/>
              <w:adjustRightInd/>
              <w:spacing w:before="0" w:after="0" w:line="240" w:lineRule="auto"/>
              <w:rPr>
                <w:rFonts w:ascii="Calibri" w:hAnsi="Calibri" w:cs="Calibri"/>
                <w:sz w:val="22"/>
                <w:szCs w:val="22"/>
              </w:rPr>
            </w:pPr>
            <w:r w:rsidRPr="001945BC">
              <w:rPr>
                <w:rFonts w:ascii="Calibri" w:hAnsi="Calibri" w:cs="Calibri"/>
                <w:sz w:val="22"/>
                <w:szCs w:val="22"/>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0285D754" w14:textId="77777777" w:rsidR="00BD0DFC" w:rsidRPr="00291ED1" w:rsidRDefault="00BD0DFC" w:rsidP="001945BC">
            <w:pPr>
              <w:autoSpaceDE/>
              <w:autoSpaceDN/>
              <w:adjustRightInd/>
              <w:spacing w:before="0" w:after="0" w:line="240" w:lineRule="auto"/>
              <w:rPr>
                <w:rFonts w:ascii="Calibri" w:hAnsi="Calibri" w:cs="Calibri"/>
                <w:sz w:val="22"/>
                <w:szCs w:val="22"/>
              </w:rPr>
            </w:pPr>
            <w:r w:rsidRPr="00291ED1">
              <w:rPr>
                <w:rFonts w:ascii="Calibri" w:hAnsi="Calibri" w:cs="Calibri"/>
                <w:sz w:val="22"/>
                <w:szCs w:val="22"/>
              </w:rPr>
              <w:t> </w:t>
            </w:r>
          </w:p>
        </w:tc>
        <w:tc>
          <w:tcPr>
            <w:tcW w:w="1330" w:type="dxa"/>
            <w:tcBorders>
              <w:top w:val="nil"/>
              <w:left w:val="nil"/>
              <w:bottom w:val="single" w:sz="4" w:space="0" w:color="auto"/>
              <w:right w:val="single" w:sz="4" w:space="0" w:color="auto"/>
            </w:tcBorders>
            <w:shd w:val="clear" w:color="000000" w:fill="FFFFFF"/>
            <w:vAlign w:val="bottom"/>
          </w:tcPr>
          <w:p w14:paraId="5192CE91" w14:textId="7302BD6C" w:rsidR="00BD0DFC" w:rsidRPr="00291ED1" w:rsidRDefault="00BD0DFC" w:rsidP="00291ED1">
            <w:pPr>
              <w:autoSpaceDE/>
              <w:autoSpaceDN/>
              <w:adjustRightInd/>
              <w:spacing w:before="0" w:after="0" w:line="240" w:lineRule="auto"/>
              <w:jc w:val="center"/>
              <w:rPr>
                <w:rFonts w:ascii="Calibri" w:hAnsi="Calibri" w:cs="Calibri"/>
                <w:sz w:val="22"/>
                <w:szCs w:val="22"/>
              </w:rPr>
            </w:pPr>
            <w:r w:rsidRPr="00291ED1">
              <w:rPr>
                <w:rFonts w:ascii="Calibri" w:hAnsi="Calibri" w:cs="Calibri"/>
                <w:sz w:val="22"/>
                <w:szCs w:val="22"/>
              </w:rPr>
              <w:t>No</w:t>
            </w:r>
          </w:p>
        </w:tc>
      </w:tr>
    </w:tbl>
    <w:p w14:paraId="4E30E1F4" w14:textId="7B3C4D4E" w:rsidR="001945BC" w:rsidRDefault="001945BC" w:rsidP="001945BC"/>
    <w:tbl>
      <w:tblPr>
        <w:tblW w:w="9939" w:type="dxa"/>
        <w:tblInd w:w="-176" w:type="dxa"/>
        <w:tblLook w:val="04A0" w:firstRow="1" w:lastRow="0" w:firstColumn="1" w:lastColumn="0" w:noHBand="0" w:noVBand="1"/>
      </w:tblPr>
      <w:tblGrid>
        <w:gridCol w:w="1277"/>
        <w:gridCol w:w="8662"/>
      </w:tblGrid>
      <w:tr w:rsidR="00471713" w:rsidRPr="00471713" w14:paraId="70890B23" w14:textId="77777777" w:rsidTr="00615A03">
        <w:trPr>
          <w:trHeight w:val="300"/>
        </w:trPr>
        <w:tc>
          <w:tcPr>
            <w:tcW w:w="1277" w:type="dxa"/>
            <w:tcBorders>
              <w:top w:val="single" w:sz="4" w:space="0" w:color="auto"/>
              <w:left w:val="single" w:sz="4" w:space="0" w:color="auto"/>
              <w:bottom w:val="nil"/>
              <w:right w:val="nil"/>
            </w:tcBorders>
            <w:shd w:val="clear" w:color="000000" w:fill="FFFFFF"/>
            <w:noWrap/>
            <w:vAlign w:val="bottom"/>
            <w:hideMark/>
          </w:tcPr>
          <w:p w14:paraId="15D69EFB" w14:textId="77777777" w:rsidR="00471713" w:rsidRPr="00471713" w:rsidRDefault="00471713" w:rsidP="00471713">
            <w:pPr>
              <w:autoSpaceDE/>
              <w:autoSpaceDN/>
              <w:adjustRightInd/>
              <w:spacing w:before="0" w:after="0" w:line="240" w:lineRule="auto"/>
              <w:rPr>
                <w:rFonts w:ascii="Calibri" w:hAnsi="Calibri" w:cs="Calibri"/>
                <w:b/>
                <w:bCs/>
                <w:sz w:val="22"/>
                <w:szCs w:val="22"/>
              </w:rPr>
            </w:pPr>
            <w:r w:rsidRPr="00471713">
              <w:rPr>
                <w:rFonts w:ascii="Calibri" w:hAnsi="Calibri" w:cs="Calibri"/>
                <w:b/>
                <w:bCs/>
                <w:sz w:val="22"/>
                <w:szCs w:val="22"/>
              </w:rPr>
              <w:t>Key</w:t>
            </w:r>
          </w:p>
        </w:tc>
        <w:tc>
          <w:tcPr>
            <w:tcW w:w="8662" w:type="dxa"/>
            <w:tcBorders>
              <w:top w:val="single" w:sz="4" w:space="0" w:color="auto"/>
              <w:left w:val="single" w:sz="4" w:space="0" w:color="auto"/>
              <w:bottom w:val="nil"/>
              <w:right w:val="single" w:sz="4" w:space="0" w:color="auto"/>
            </w:tcBorders>
            <w:shd w:val="clear" w:color="000000" w:fill="FFFFFF"/>
            <w:noWrap/>
            <w:vAlign w:val="bottom"/>
            <w:hideMark/>
          </w:tcPr>
          <w:p w14:paraId="659DC485" w14:textId="77777777" w:rsidR="00471713" w:rsidRPr="00471713" w:rsidRDefault="00471713" w:rsidP="00471713">
            <w:pPr>
              <w:autoSpaceDE/>
              <w:autoSpaceDN/>
              <w:adjustRightInd/>
              <w:spacing w:before="0" w:after="0" w:line="240" w:lineRule="auto"/>
              <w:rPr>
                <w:rFonts w:ascii="Calibri" w:hAnsi="Calibri" w:cs="Calibri"/>
                <w:sz w:val="22"/>
                <w:szCs w:val="22"/>
              </w:rPr>
            </w:pPr>
            <w:r w:rsidRPr="00471713">
              <w:rPr>
                <w:rFonts w:ascii="Calibri" w:hAnsi="Calibri" w:cs="Calibri"/>
                <w:sz w:val="22"/>
                <w:szCs w:val="22"/>
              </w:rPr>
              <w:t> </w:t>
            </w:r>
          </w:p>
        </w:tc>
      </w:tr>
      <w:tr w:rsidR="00471713" w:rsidRPr="00471713" w14:paraId="567010EF" w14:textId="77777777" w:rsidTr="00615A03">
        <w:trPr>
          <w:trHeight w:val="300"/>
        </w:trPr>
        <w:tc>
          <w:tcPr>
            <w:tcW w:w="1277"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47D4256" w14:textId="77777777" w:rsidR="00471713" w:rsidRPr="00471713" w:rsidRDefault="00471713" w:rsidP="00471713">
            <w:pPr>
              <w:autoSpaceDE/>
              <w:autoSpaceDN/>
              <w:adjustRightInd/>
              <w:spacing w:before="0" w:after="0" w:line="240" w:lineRule="auto"/>
              <w:jc w:val="center"/>
              <w:rPr>
                <w:rFonts w:ascii="Calibri" w:hAnsi="Calibri" w:cs="Calibri"/>
                <w:sz w:val="22"/>
                <w:szCs w:val="22"/>
              </w:rPr>
            </w:pPr>
            <w:r w:rsidRPr="00471713">
              <w:rPr>
                <w:rFonts w:ascii="Calibri" w:hAnsi="Calibri" w:cs="Calibri"/>
                <w:sz w:val="22"/>
                <w:szCs w:val="22"/>
              </w:rPr>
              <w:t>N/A</w:t>
            </w:r>
          </w:p>
        </w:tc>
        <w:tc>
          <w:tcPr>
            <w:tcW w:w="8662" w:type="dxa"/>
            <w:tcBorders>
              <w:top w:val="single" w:sz="4" w:space="0" w:color="auto"/>
              <w:left w:val="nil"/>
              <w:bottom w:val="single" w:sz="4" w:space="0" w:color="auto"/>
              <w:right w:val="single" w:sz="4" w:space="0" w:color="auto"/>
            </w:tcBorders>
            <w:shd w:val="clear" w:color="000000" w:fill="FFFFFF"/>
            <w:noWrap/>
            <w:vAlign w:val="bottom"/>
            <w:hideMark/>
          </w:tcPr>
          <w:p w14:paraId="6466CA69" w14:textId="77777777" w:rsidR="00471713" w:rsidRPr="00471713" w:rsidRDefault="00471713" w:rsidP="00471713">
            <w:pPr>
              <w:autoSpaceDE/>
              <w:autoSpaceDN/>
              <w:adjustRightInd/>
              <w:spacing w:before="0" w:after="0" w:line="240" w:lineRule="auto"/>
              <w:rPr>
                <w:rFonts w:ascii="Calibri" w:hAnsi="Calibri" w:cs="Calibri"/>
                <w:sz w:val="22"/>
                <w:szCs w:val="22"/>
              </w:rPr>
            </w:pPr>
            <w:r w:rsidRPr="00471713">
              <w:rPr>
                <w:rFonts w:ascii="Calibri" w:hAnsi="Calibri" w:cs="Calibri"/>
                <w:sz w:val="22"/>
                <w:szCs w:val="22"/>
              </w:rPr>
              <w:t>Table not for consideration to be published on monthly basis</w:t>
            </w:r>
          </w:p>
        </w:tc>
      </w:tr>
      <w:tr w:rsidR="00471713" w:rsidRPr="00471713" w14:paraId="7F12470A" w14:textId="77777777" w:rsidTr="00615A03">
        <w:trPr>
          <w:trHeight w:val="300"/>
        </w:trPr>
        <w:tc>
          <w:tcPr>
            <w:tcW w:w="1277" w:type="dxa"/>
            <w:tcBorders>
              <w:top w:val="nil"/>
              <w:left w:val="single" w:sz="4" w:space="0" w:color="auto"/>
              <w:bottom w:val="single" w:sz="4" w:space="0" w:color="auto"/>
              <w:right w:val="single" w:sz="4" w:space="0" w:color="auto"/>
            </w:tcBorders>
            <w:shd w:val="clear" w:color="000000" w:fill="D9D9D9"/>
            <w:noWrap/>
            <w:vAlign w:val="bottom"/>
            <w:hideMark/>
          </w:tcPr>
          <w:p w14:paraId="24468528" w14:textId="77777777" w:rsidR="00471713" w:rsidRPr="00471713" w:rsidRDefault="00471713" w:rsidP="00471713">
            <w:pPr>
              <w:autoSpaceDE/>
              <w:autoSpaceDN/>
              <w:adjustRightInd/>
              <w:spacing w:before="0" w:after="0" w:line="240" w:lineRule="auto"/>
              <w:jc w:val="center"/>
              <w:rPr>
                <w:rFonts w:ascii="Calibri" w:hAnsi="Calibri" w:cs="Calibri"/>
                <w:sz w:val="22"/>
                <w:szCs w:val="22"/>
              </w:rPr>
            </w:pPr>
            <w:r w:rsidRPr="00471713">
              <w:rPr>
                <w:rFonts w:ascii="Calibri" w:hAnsi="Calibri" w:cs="Calibri"/>
                <w:sz w:val="22"/>
                <w:szCs w:val="22"/>
              </w:rPr>
              <w:t>N/A</w:t>
            </w:r>
          </w:p>
        </w:tc>
        <w:tc>
          <w:tcPr>
            <w:tcW w:w="8662" w:type="dxa"/>
            <w:tcBorders>
              <w:top w:val="nil"/>
              <w:left w:val="nil"/>
              <w:bottom w:val="single" w:sz="4" w:space="0" w:color="auto"/>
              <w:right w:val="single" w:sz="4" w:space="0" w:color="auto"/>
            </w:tcBorders>
            <w:shd w:val="clear" w:color="000000" w:fill="FFFFFF"/>
            <w:noWrap/>
            <w:vAlign w:val="bottom"/>
            <w:hideMark/>
          </w:tcPr>
          <w:p w14:paraId="406F0B53" w14:textId="77777777" w:rsidR="00471713" w:rsidRPr="00471713" w:rsidRDefault="00471713" w:rsidP="00471713">
            <w:pPr>
              <w:autoSpaceDE/>
              <w:autoSpaceDN/>
              <w:adjustRightInd/>
              <w:spacing w:before="0" w:after="0" w:line="240" w:lineRule="auto"/>
              <w:rPr>
                <w:rFonts w:ascii="Calibri" w:hAnsi="Calibri" w:cs="Calibri"/>
                <w:sz w:val="22"/>
                <w:szCs w:val="22"/>
              </w:rPr>
            </w:pPr>
            <w:r w:rsidRPr="00471713">
              <w:rPr>
                <w:rFonts w:ascii="Calibri" w:hAnsi="Calibri" w:cs="Calibri"/>
                <w:sz w:val="22"/>
                <w:szCs w:val="22"/>
              </w:rPr>
              <w:t>Table no longer updated as the policy scheme has ended so there are no further updates</w:t>
            </w:r>
          </w:p>
        </w:tc>
      </w:tr>
    </w:tbl>
    <w:p w14:paraId="6A47C745" w14:textId="44B27D09" w:rsidR="001945BC" w:rsidRDefault="001945BC" w:rsidP="001945BC">
      <w:pPr>
        <w:sectPr w:rsidR="001945BC" w:rsidSect="001945BC">
          <w:type w:val="continuous"/>
          <w:pgSz w:w="16838" w:h="11906" w:orient="landscape" w:code="9"/>
          <w:pgMar w:top="907" w:right="907" w:bottom="907" w:left="1701" w:header="680" w:footer="680" w:gutter="0"/>
          <w:cols w:space="720"/>
          <w:titlePg/>
        </w:sectPr>
      </w:pPr>
    </w:p>
    <w:tbl>
      <w:tblPr>
        <w:tblW w:w="14885" w:type="dxa"/>
        <w:tblInd w:w="-279" w:type="dxa"/>
        <w:tblCellMar>
          <w:left w:w="28" w:type="dxa"/>
          <w:right w:w="0" w:type="dxa"/>
        </w:tblCellMar>
        <w:tblLook w:val="04A0" w:firstRow="1" w:lastRow="0" w:firstColumn="1" w:lastColumn="0" w:noHBand="0" w:noVBand="1"/>
      </w:tblPr>
      <w:tblGrid>
        <w:gridCol w:w="1191"/>
        <w:gridCol w:w="8565"/>
        <w:gridCol w:w="1162"/>
        <w:gridCol w:w="1475"/>
        <w:gridCol w:w="1161"/>
        <w:gridCol w:w="1331"/>
      </w:tblGrid>
      <w:tr w:rsidR="001A7457" w:rsidRPr="00AD666C" w14:paraId="4AA9FD02" w14:textId="687AE909" w:rsidTr="00FF416E">
        <w:trPr>
          <w:trHeight w:val="600"/>
        </w:trPr>
        <w:tc>
          <w:tcPr>
            <w:tcW w:w="97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41E99A" w14:textId="77777777" w:rsidR="00F917B4" w:rsidRPr="00AD666C" w:rsidRDefault="00F917B4" w:rsidP="005504A3">
            <w:pPr>
              <w:spacing w:before="0" w:after="60"/>
              <w:rPr>
                <w:rFonts w:asciiTheme="majorHAnsi" w:hAnsiTheme="majorHAnsi" w:cstheme="majorHAnsi"/>
                <w:b/>
                <w:bCs/>
                <w:sz w:val="22"/>
                <w:szCs w:val="22"/>
              </w:rPr>
            </w:pPr>
            <w:r w:rsidRPr="00AD666C">
              <w:rPr>
                <w:rFonts w:asciiTheme="majorHAnsi" w:hAnsiTheme="majorHAnsi" w:cstheme="majorHAnsi"/>
                <w:b/>
                <w:bCs/>
                <w:sz w:val="22"/>
                <w:szCs w:val="22"/>
              </w:rPr>
              <w:lastRenderedPageBreak/>
              <w:t>Section 1 - Domestic Green Deal, Energy Company Obligation and Insulation Levels in Great Britain</w:t>
            </w:r>
          </w:p>
        </w:tc>
        <w:tc>
          <w:tcPr>
            <w:tcW w:w="1154" w:type="dxa"/>
            <w:tcBorders>
              <w:top w:val="single" w:sz="4" w:space="0" w:color="auto"/>
              <w:left w:val="nil"/>
              <w:bottom w:val="single" w:sz="4" w:space="0" w:color="auto"/>
              <w:right w:val="single" w:sz="4" w:space="0" w:color="auto"/>
            </w:tcBorders>
            <w:shd w:val="clear" w:color="000000" w:fill="FFFFFF"/>
            <w:vAlign w:val="center"/>
            <w:hideMark/>
          </w:tcPr>
          <w:p w14:paraId="11AB7F62" w14:textId="7A8E6BA3"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Keep in detailed (annual) release</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7B427C2F" w14:textId="44C44094"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Move to headline (quarterly) release</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40A31002" w14:textId="77777777"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Remove</w:t>
            </w:r>
          </w:p>
        </w:tc>
        <w:tc>
          <w:tcPr>
            <w:tcW w:w="1333" w:type="dxa"/>
            <w:tcBorders>
              <w:top w:val="single" w:sz="4" w:space="0" w:color="auto"/>
              <w:left w:val="nil"/>
              <w:bottom w:val="single" w:sz="4" w:space="0" w:color="auto"/>
              <w:right w:val="single" w:sz="4" w:space="0" w:color="auto"/>
            </w:tcBorders>
            <w:shd w:val="clear" w:color="000000" w:fill="FFFFFF"/>
          </w:tcPr>
          <w:p w14:paraId="4E4AFE06" w14:textId="50F86B50"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Reported until (due to end of scheme)</w:t>
            </w:r>
          </w:p>
        </w:tc>
      </w:tr>
      <w:tr w:rsidR="001A7457" w:rsidRPr="00AD666C" w14:paraId="105BC9E5" w14:textId="2DFFFA68"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765C1F39"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w:t>
            </w:r>
          </w:p>
        </w:tc>
        <w:tc>
          <w:tcPr>
            <w:tcW w:w="8595" w:type="dxa"/>
            <w:tcBorders>
              <w:top w:val="nil"/>
              <w:left w:val="nil"/>
              <w:bottom w:val="single" w:sz="4" w:space="0" w:color="auto"/>
              <w:right w:val="single" w:sz="4" w:space="0" w:color="auto"/>
            </w:tcBorders>
            <w:shd w:val="clear" w:color="000000" w:fill="FFFFFF"/>
            <w:vAlign w:val="bottom"/>
            <w:hideMark/>
          </w:tcPr>
          <w:p w14:paraId="4726C452"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Assessments by Energy Efficiency Band</w:t>
            </w:r>
          </w:p>
        </w:tc>
        <w:tc>
          <w:tcPr>
            <w:tcW w:w="1154" w:type="dxa"/>
            <w:tcBorders>
              <w:top w:val="nil"/>
              <w:left w:val="nil"/>
              <w:bottom w:val="single" w:sz="4" w:space="0" w:color="auto"/>
              <w:right w:val="single" w:sz="4" w:space="0" w:color="auto"/>
            </w:tcBorders>
            <w:shd w:val="clear" w:color="000000" w:fill="FFFFFF"/>
            <w:noWrap/>
            <w:vAlign w:val="bottom"/>
            <w:hideMark/>
          </w:tcPr>
          <w:p w14:paraId="354645F2"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63F62BAE"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75F6991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50363388" w14:textId="7AE22A74"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3C893618" w14:textId="4A63DABF"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C5D150F"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1.2</w:t>
            </w:r>
          </w:p>
        </w:tc>
        <w:tc>
          <w:tcPr>
            <w:tcW w:w="8595" w:type="dxa"/>
            <w:tcBorders>
              <w:top w:val="nil"/>
              <w:left w:val="nil"/>
              <w:bottom w:val="single" w:sz="4" w:space="0" w:color="auto"/>
              <w:right w:val="single" w:sz="4" w:space="0" w:color="auto"/>
            </w:tcBorders>
            <w:shd w:val="clear" w:color="000000" w:fill="FFFFFF"/>
            <w:vAlign w:val="bottom"/>
            <w:hideMark/>
          </w:tcPr>
          <w:p w14:paraId="09FDA324"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Assessments by Property Type</w:t>
            </w:r>
          </w:p>
        </w:tc>
        <w:tc>
          <w:tcPr>
            <w:tcW w:w="1154" w:type="dxa"/>
            <w:tcBorders>
              <w:top w:val="nil"/>
              <w:left w:val="nil"/>
              <w:bottom w:val="single" w:sz="4" w:space="0" w:color="auto"/>
              <w:right w:val="single" w:sz="4" w:space="0" w:color="auto"/>
            </w:tcBorders>
            <w:shd w:val="clear" w:color="000000" w:fill="FFFFFF"/>
            <w:noWrap/>
            <w:vAlign w:val="bottom"/>
            <w:hideMark/>
          </w:tcPr>
          <w:p w14:paraId="62684284"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54CCA2C2"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498CE064"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73CBB244" w14:textId="3E900065"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6CC4EC2E" w14:textId="6882D595"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76ED016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1.3</w:t>
            </w:r>
          </w:p>
        </w:tc>
        <w:tc>
          <w:tcPr>
            <w:tcW w:w="8595" w:type="dxa"/>
            <w:tcBorders>
              <w:top w:val="nil"/>
              <w:left w:val="nil"/>
              <w:bottom w:val="single" w:sz="4" w:space="0" w:color="auto"/>
              <w:right w:val="single" w:sz="4" w:space="0" w:color="auto"/>
            </w:tcBorders>
            <w:shd w:val="clear" w:color="000000" w:fill="FFFFFF"/>
            <w:vAlign w:val="bottom"/>
            <w:hideMark/>
          </w:tcPr>
          <w:p w14:paraId="7D5C69BE"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Assessments by tenure</w:t>
            </w:r>
          </w:p>
        </w:tc>
        <w:tc>
          <w:tcPr>
            <w:tcW w:w="1154" w:type="dxa"/>
            <w:tcBorders>
              <w:top w:val="nil"/>
              <w:left w:val="nil"/>
              <w:bottom w:val="single" w:sz="4" w:space="0" w:color="auto"/>
              <w:right w:val="single" w:sz="4" w:space="0" w:color="auto"/>
            </w:tcBorders>
            <w:shd w:val="clear" w:color="000000" w:fill="FFFFFF"/>
            <w:noWrap/>
            <w:vAlign w:val="bottom"/>
            <w:hideMark/>
          </w:tcPr>
          <w:p w14:paraId="5D51923C"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1D63FD83"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20014BC8"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7E48B122" w14:textId="0893384D"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45E620BA" w14:textId="45C056CB"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59A5873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1.4</w:t>
            </w:r>
          </w:p>
        </w:tc>
        <w:tc>
          <w:tcPr>
            <w:tcW w:w="8595" w:type="dxa"/>
            <w:tcBorders>
              <w:top w:val="nil"/>
              <w:left w:val="nil"/>
              <w:bottom w:val="single" w:sz="4" w:space="0" w:color="auto"/>
              <w:right w:val="single" w:sz="4" w:space="0" w:color="auto"/>
            </w:tcBorders>
            <w:shd w:val="clear" w:color="000000" w:fill="FFFFFF"/>
            <w:vAlign w:val="bottom"/>
            <w:hideMark/>
          </w:tcPr>
          <w:p w14:paraId="3E410F0A"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Assessments by whether property is on or off the Mains Gas Grid</w:t>
            </w:r>
          </w:p>
        </w:tc>
        <w:tc>
          <w:tcPr>
            <w:tcW w:w="1154" w:type="dxa"/>
            <w:tcBorders>
              <w:top w:val="nil"/>
              <w:left w:val="nil"/>
              <w:bottom w:val="single" w:sz="4" w:space="0" w:color="auto"/>
              <w:right w:val="single" w:sz="4" w:space="0" w:color="auto"/>
            </w:tcBorders>
            <w:shd w:val="clear" w:color="000000" w:fill="FFFFFF"/>
            <w:noWrap/>
            <w:vAlign w:val="bottom"/>
            <w:hideMark/>
          </w:tcPr>
          <w:p w14:paraId="60EAC61A"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29BEBAA0"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150A442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7ECE83BB" w14:textId="3F8A52B8"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17241F5A" w14:textId="53A0A2E8"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8826A1F"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1.5</w:t>
            </w:r>
          </w:p>
        </w:tc>
        <w:tc>
          <w:tcPr>
            <w:tcW w:w="8595" w:type="dxa"/>
            <w:tcBorders>
              <w:top w:val="nil"/>
              <w:left w:val="nil"/>
              <w:bottom w:val="single" w:sz="4" w:space="0" w:color="auto"/>
              <w:right w:val="single" w:sz="4" w:space="0" w:color="auto"/>
            </w:tcBorders>
            <w:shd w:val="clear" w:color="000000" w:fill="FFFFFF"/>
            <w:vAlign w:val="bottom"/>
            <w:hideMark/>
          </w:tcPr>
          <w:p w14:paraId="2E2DE5FA"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improvements recommended in Green Deal Assessments by measure type (grouped)</w:t>
            </w:r>
          </w:p>
        </w:tc>
        <w:tc>
          <w:tcPr>
            <w:tcW w:w="1154" w:type="dxa"/>
            <w:tcBorders>
              <w:top w:val="nil"/>
              <w:left w:val="nil"/>
              <w:bottom w:val="single" w:sz="4" w:space="0" w:color="auto"/>
              <w:right w:val="single" w:sz="4" w:space="0" w:color="auto"/>
            </w:tcBorders>
            <w:shd w:val="clear" w:color="000000" w:fill="FFFFFF"/>
            <w:noWrap/>
            <w:vAlign w:val="bottom"/>
            <w:hideMark/>
          </w:tcPr>
          <w:p w14:paraId="31DC82EF"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7397DFD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247427B5"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54966F6D" w14:textId="2653A828"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47619047" w14:textId="2A3D9DF0"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5FD375F1"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1.5a</w:t>
            </w:r>
          </w:p>
        </w:tc>
        <w:tc>
          <w:tcPr>
            <w:tcW w:w="8595" w:type="dxa"/>
            <w:tcBorders>
              <w:top w:val="nil"/>
              <w:left w:val="nil"/>
              <w:bottom w:val="single" w:sz="4" w:space="0" w:color="auto"/>
              <w:right w:val="single" w:sz="4" w:space="0" w:color="auto"/>
            </w:tcBorders>
            <w:shd w:val="clear" w:color="000000" w:fill="FFFFFF"/>
            <w:vAlign w:val="bottom"/>
            <w:hideMark/>
          </w:tcPr>
          <w:p w14:paraId="4E608BDF"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improvements by measures recommended in Green Deal Assessments</w:t>
            </w:r>
          </w:p>
        </w:tc>
        <w:tc>
          <w:tcPr>
            <w:tcW w:w="1154" w:type="dxa"/>
            <w:tcBorders>
              <w:top w:val="nil"/>
              <w:left w:val="nil"/>
              <w:bottom w:val="single" w:sz="4" w:space="0" w:color="auto"/>
              <w:right w:val="single" w:sz="4" w:space="0" w:color="auto"/>
            </w:tcBorders>
            <w:shd w:val="clear" w:color="000000" w:fill="FFFFFF"/>
            <w:noWrap/>
            <w:vAlign w:val="bottom"/>
            <w:hideMark/>
          </w:tcPr>
          <w:p w14:paraId="68E2C460"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5E9472F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000B2A47"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18E0C4E6" w14:textId="6DC9248E"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125B2613" w14:textId="01EE74B0"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04E8CD43"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1.5b</w:t>
            </w:r>
          </w:p>
        </w:tc>
        <w:tc>
          <w:tcPr>
            <w:tcW w:w="8595" w:type="dxa"/>
            <w:tcBorders>
              <w:top w:val="nil"/>
              <w:left w:val="nil"/>
              <w:bottom w:val="single" w:sz="4" w:space="0" w:color="auto"/>
              <w:right w:val="single" w:sz="4" w:space="0" w:color="auto"/>
            </w:tcBorders>
            <w:shd w:val="clear" w:color="000000" w:fill="FFFFFF"/>
            <w:vAlign w:val="bottom"/>
            <w:hideMark/>
          </w:tcPr>
          <w:p w14:paraId="72173FCE"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improvements recommended per Green Deal Assessment</w:t>
            </w:r>
          </w:p>
        </w:tc>
        <w:tc>
          <w:tcPr>
            <w:tcW w:w="1154" w:type="dxa"/>
            <w:tcBorders>
              <w:top w:val="nil"/>
              <w:left w:val="nil"/>
              <w:bottom w:val="single" w:sz="4" w:space="0" w:color="auto"/>
              <w:right w:val="single" w:sz="4" w:space="0" w:color="auto"/>
            </w:tcBorders>
            <w:shd w:val="clear" w:color="000000" w:fill="FFFFFF"/>
            <w:noWrap/>
            <w:vAlign w:val="bottom"/>
            <w:hideMark/>
          </w:tcPr>
          <w:p w14:paraId="00F7B215"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397786DA"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397D2E04"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33FF4234" w14:textId="19378253"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13C1B9EE" w14:textId="629B9C8F"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4DD0597A"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1.6</w:t>
            </w:r>
          </w:p>
        </w:tc>
        <w:tc>
          <w:tcPr>
            <w:tcW w:w="8595" w:type="dxa"/>
            <w:tcBorders>
              <w:top w:val="nil"/>
              <w:left w:val="nil"/>
              <w:bottom w:val="single" w:sz="4" w:space="0" w:color="auto"/>
              <w:right w:val="single" w:sz="4" w:space="0" w:color="auto"/>
            </w:tcBorders>
            <w:shd w:val="clear" w:color="000000" w:fill="FFFFFF"/>
            <w:vAlign w:val="bottom"/>
            <w:hideMark/>
          </w:tcPr>
          <w:p w14:paraId="4D058E7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Assessments lodged by region</w:t>
            </w:r>
          </w:p>
        </w:tc>
        <w:tc>
          <w:tcPr>
            <w:tcW w:w="1154" w:type="dxa"/>
            <w:tcBorders>
              <w:top w:val="nil"/>
              <w:left w:val="nil"/>
              <w:bottom w:val="single" w:sz="4" w:space="0" w:color="auto"/>
              <w:right w:val="single" w:sz="4" w:space="0" w:color="auto"/>
            </w:tcBorders>
            <w:shd w:val="clear" w:color="000000" w:fill="FFFFFF"/>
            <w:noWrap/>
            <w:vAlign w:val="bottom"/>
            <w:hideMark/>
          </w:tcPr>
          <w:p w14:paraId="69372958"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43A0511"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40E1067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06D1F85D" w14:textId="7768F43B"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52B636A3" w14:textId="4031B62B"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0A06A9DE"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1.6a</w:t>
            </w:r>
          </w:p>
        </w:tc>
        <w:tc>
          <w:tcPr>
            <w:tcW w:w="8595" w:type="dxa"/>
            <w:tcBorders>
              <w:top w:val="nil"/>
              <w:left w:val="nil"/>
              <w:bottom w:val="single" w:sz="4" w:space="0" w:color="auto"/>
              <w:right w:val="single" w:sz="4" w:space="0" w:color="auto"/>
            </w:tcBorders>
            <w:shd w:val="clear" w:color="000000" w:fill="FFFFFF"/>
            <w:vAlign w:val="bottom"/>
            <w:hideMark/>
          </w:tcPr>
          <w:p w14:paraId="3CAF6B49"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Assessments lodged by administrative area</w:t>
            </w:r>
          </w:p>
        </w:tc>
        <w:tc>
          <w:tcPr>
            <w:tcW w:w="1154" w:type="dxa"/>
            <w:tcBorders>
              <w:top w:val="nil"/>
              <w:left w:val="nil"/>
              <w:bottom w:val="single" w:sz="4" w:space="0" w:color="auto"/>
              <w:right w:val="single" w:sz="4" w:space="0" w:color="auto"/>
            </w:tcBorders>
            <w:shd w:val="clear" w:color="000000" w:fill="FFFFFF"/>
            <w:noWrap/>
            <w:vAlign w:val="bottom"/>
            <w:hideMark/>
          </w:tcPr>
          <w:p w14:paraId="30B3ADD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78217855"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3712438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4E2653CE" w14:textId="778D3050"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4CF35347" w14:textId="2F69EAEA"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335AF0D2"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1.6b</w:t>
            </w:r>
          </w:p>
        </w:tc>
        <w:tc>
          <w:tcPr>
            <w:tcW w:w="8595" w:type="dxa"/>
            <w:tcBorders>
              <w:top w:val="nil"/>
              <w:left w:val="nil"/>
              <w:bottom w:val="single" w:sz="4" w:space="0" w:color="auto"/>
              <w:right w:val="single" w:sz="4" w:space="0" w:color="auto"/>
            </w:tcBorders>
            <w:shd w:val="clear" w:color="000000" w:fill="FFFFFF"/>
            <w:vAlign w:val="bottom"/>
            <w:hideMark/>
          </w:tcPr>
          <w:p w14:paraId="42D56774"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Assessments lodged by Parliamentary Constituency</w:t>
            </w:r>
          </w:p>
        </w:tc>
        <w:tc>
          <w:tcPr>
            <w:tcW w:w="1154" w:type="dxa"/>
            <w:tcBorders>
              <w:top w:val="nil"/>
              <w:left w:val="nil"/>
              <w:bottom w:val="single" w:sz="4" w:space="0" w:color="auto"/>
              <w:right w:val="single" w:sz="4" w:space="0" w:color="auto"/>
            </w:tcBorders>
            <w:shd w:val="clear" w:color="000000" w:fill="FFFFFF"/>
            <w:noWrap/>
            <w:vAlign w:val="bottom"/>
            <w:hideMark/>
          </w:tcPr>
          <w:p w14:paraId="0FEEABB4"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523DD4B5"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29160610"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0D65EE20" w14:textId="12DE3D0F"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47EB372F" w14:textId="1A6CF04F"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DCE9ED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1.7</w:t>
            </w:r>
          </w:p>
        </w:tc>
        <w:tc>
          <w:tcPr>
            <w:tcW w:w="8595" w:type="dxa"/>
            <w:tcBorders>
              <w:top w:val="nil"/>
              <w:left w:val="nil"/>
              <w:bottom w:val="single" w:sz="4" w:space="0" w:color="auto"/>
              <w:right w:val="single" w:sz="4" w:space="0" w:color="auto"/>
            </w:tcBorders>
            <w:shd w:val="clear" w:color="000000" w:fill="FFFFFF"/>
            <w:vAlign w:val="bottom"/>
            <w:hideMark/>
          </w:tcPr>
          <w:p w14:paraId="6AB1567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'live' Green Deal Plans by Region</w:t>
            </w:r>
          </w:p>
        </w:tc>
        <w:tc>
          <w:tcPr>
            <w:tcW w:w="1154" w:type="dxa"/>
            <w:tcBorders>
              <w:top w:val="nil"/>
              <w:left w:val="nil"/>
              <w:bottom w:val="single" w:sz="4" w:space="0" w:color="auto"/>
              <w:right w:val="single" w:sz="4" w:space="0" w:color="auto"/>
            </w:tcBorders>
            <w:shd w:val="clear" w:color="000000" w:fill="FFFFFF"/>
            <w:noWrap/>
            <w:vAlign w:val="bottom"/>
            <w:hideMark/>
          </w:tcPr>
          <w:p w14:paraId="304F907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7766E32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41251D8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604BC064" w14:textId="104A4B2B"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2045CF56" w14:textId="5520B749"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5B0F02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1.7a</w:t>
            </w:r>
          </w:p>
        </w:tc>
        <w:tc>
          <w:tcPr>
            <w:tcW w:w="8595" w:type="dxa"/>
            <w:tcBorders>
              <w:top w:val="nil"/>
              <w:left w:val="nil"/>
              <w:bottom w:val="single" w:sz="4" w:space="0" w:color="auto"/>
              <w:right w:val="single" w:sz="4" w:space="0" w:color="auto"/>
            </w:tcBorders>
            <w:shd w:val="clear" w:color="000000" w:fill="FFFFFF"/>
            <w:vAlign w:val="bottom"/>
            <w:hideMark/>
          </w:tcPr>
          <w:p w14:paraId="0FFAA99F"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'live' Green Deal Plans by administrative area</w:t>
            </w:r>
          </w:p>
        </w:tc>
        <w:tc>
          <w:tcPr>
            <w:tcW w:w="1154" w:type="dxa"/>
            <w:tcBorders>
              <w:top w:val="nil"/>
              <w:left w:val="nil"/>
              <w:bottom w:val="single" w:sz="4" w:space="0" w:color="auto"/>
              <w:right w:val="single" w:sz="4" w:space="0" w:color="auto"/>
            </w:tcBorders>
            <w:shd w:val="clear" w:color="000000" w:fill="FFFFFF"/>
            <w:noWrap/>
            <w:vAlign w:val="bottom"/>
            <w:hideMark/>
          </w:tcPr>
          <w:p w14:paraId="1E49DFE0"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131E672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1068D1D0"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63244821" w14:textId="5F98F760"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292F1C05" w14:textId="01F00750"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312FE79E"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1.7b</w:t>
            </w:r>
          </w:p>
        </w:tc>
        <w:tc>
          <w:tcPr>
            <w:tcW w:w="8595" w:type="dxa"/>
            <w:tcBorders>
              <w:top w:val="nil"/>
              <w:left w:val="nil"/>
              <w:bottom w:val="single" w:sz="4" w:space="0" w:color="auto"/>
              <w:right w:val="single" w:sz="4" w:space="0" w:color="auto"/>
            </w:tcBorders>
            <w:shd w:val="clear" w:color="000000" w:fill="FFFFFF"/>
            <w:vAlign w:val="bottom"/>
            <w:hideMark/>
          </w:tcPr>
          <w:p w14:paraId="15D555E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'live' Green Deal Plans by Parliamentary Constituency</w:t>
            </w:r>
          </w:p>
        </w:tc>
        <w:tc>
          <w:tcPr>
            <w:tcW w:w="1154" w:type="dxa"/>
            <w:tcBorders>
              <w:top w:val="nil"/>
              <w:left w:val="nil"/>
              <w:bottom w:val="single" w:sz="4" w:space="0" w:color="auto"/>
              <w:right w:val="single" w:sz="4" w:space="0" w:color="auto"/>
            </w:tcBorders>
            <w:shd w:val="clear" w:color="000000" w:fill="FFFFFF"/>
            <w:noWrap/>
            <w:vAlign w:val="bottom"/>
            <w:hideMark/>
          </w:tcPr>
          <w:p w14:paraId="344DD0B8"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284CED19"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2A30B22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70553C0F" w14:textId="480A9AE4"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7A05A088" w14:textId="10EE0DE8"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0F52B8D9"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1.7c</w:t>
            </w:r>
          </w:p>
        </w:tc>
        <w:tc>
          <w:tcPr>
            <w:tcW w:w="8595" w:type="dxa"/>
            <w:tcBorders>
              <w:top w:val="nil"/>
              <w:left w:val="nil"/>
              <w:bottom w:val="single" w:sz="4" w:space="0" w:color="auto"/>
              <w:right w:val="single" w:sz="4" w:space="0" w:color="auto"/>
            </w:tcBorders>
            <w:shd w:val="clear" w:color="000000" w:fill="FFFFFF"/>
            <w:vAlign w:val="bottom"/>
            <w:hideMark/>
          </w:tcPr>
          <w:p w14:paraId="738A05D1"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'live' Green Deal Plans by tenure</w:t>
            </w:r>
          </w:p>
        </w:tc>
        <w:tc>
          <w:tcPr>
            <w:tcW w:w="1154" w:type="dxa"/>
            <w:tcBorders>
              <w:top w:val="nil"/>
              <w:left w:val="nil"/>
              <w:bottom w:val="single" w:sz="4" w:space="0" w:color="auto"/>
              <w:right w:val="single" w:sz="4" w:space="0" w:color="auto"/>
            </w:tcBorders>
            <w:shd w:val="clear" w:color="000000" w:fill="FFFFFF"/>
            <w:noWrap/>
            <w:vAlign w:val="bottom"/>
            <w:hideMark/>
          </w:tcPr>
          <w:p w14:paraId="110E0A7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62B4C535"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4BFE68C1"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17982A77" w14:textId="3EFD599F"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05924B62" w14:textId="43A1DF03" w:rsidTr="00FF416E">
        <w:trPr>
          <w:trHeight w:val="300"/>
        </w:trPr>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44EC7B3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1.8</w:t>
            </w:r>
          </w:p>
        </w:tc>
        <w:tc>
          <w:tcPr>
            <w:tcW w:w="8595" w:type="dxa"/>
            <w:tcBorders>
              <w:top w:val="nil"/>
              <w:left w:val="nil"/>
              <w:bottom w:val="single" w:sz="4" w:space="0" w:color="auto"/>
              <w:right w:val="single" w:sz="4" w:space="0" w:color="auto"/>
            </w:tcBorders>
            <w:shd w:val="clear" w:color="000000" w:fill="D9D9D9"/>
            <w:vAlign w:val="bottom"/>
            <w:hideMark/>
          </w:tcPr>
          <w:p w14:paraId="3F40BA5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Assessments delivered under the Pioneer Places Project, by Pioneer Place Area</w:t>
            </w:r>
          </w:p>
        </w:tc>
        <w:tc>
          <w:tcPr>
            <w:tcW w:w="1154" w:type="dxa"/>
            <w:tcBorders>
              <w:top w:val="nil"/>
              <w:left w:val="nil"/>
              <w:bottom w:val="single" w:sz="4" w:space="0" w:color="auto"/>
              <w:right w:val="single" w:sz="4" w:space="0" w:color="auto"/>
            </w:tcBorders>
            <w:shd w:val="clear" w:color="000000" w:fill="D9D9D9"/>
            <w:noWrap/>
            <w:vAlign w:val="bottom"/>
            <w:hideMark/>
          </w:tcPr>
          <w:p w14:paraId="313953A7"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D9D9D9"/>
            <w:noWrap/>
            <w:vAlign w:val="bottom"/>
            <w:hideMark/>
          </w:tcPr>
          <w:p w14:paraId="7F4B0269"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D9D9D9"/>
            <w:noWrap/>
            <w:vAlign w:val="bottom"/>
            <w:hideMark/>
          </w:tcPr>
          <w:p w14:paraId="7BA860B0"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D9D9D9"/>
            <w:vAlign w:val="bottom"/>
          </w:tcPr>
          <w:p w14:paraId="33F55061" w14:textId="2D704ECF"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Ended</w:t>
            </w:r>
          </w:p>
        </w:tc>
      </w:tr>
      <w:tr w:rsidR="001A7457" w:rsidRPr="00AD666C" w14:paraId="747B65D5" w14:textId="65196E5B" w:rsidTr="00FF416E">
        <w:trPr>
          <w:trHeight w:val="300"/>
        </w:trPr>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5862A36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1.9</w:t>
            </w:r>
          </w:p>
        </w:tc>
        <w:tc>
          <w:tcPr>
            <w:tcW w:w="8595" w:type="dxa"/>
            <w:tcBorders>
              <w:top w:val="nil"/>
              <w:left w:val="nil"/>
              <w:bottom w:val="single" w:sz="4" w:space="0" w:color="auto"/>
              <w:right w:val="single" w:sz="4" w:space="0" w:color="auto"/>
            </w:tcBorders>
            <w:shd w:val="clear" w:color="000000" w:fill="D9D9D9"/>
            <w:vAlign w:val="bottom"/>
            <w:hideMark/>
          </w:tcPr>
          <w:p w14:paraId="5B24689C"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properties with energy efficiency work delivered under Core Cities Project, by Core City Area</w:t>
            </w:r>
          </w:p>
        </w:tc>
        <w:tc>
          <w:tcPr>
            <w:tcW w:w="1154" w:type="dxa"/>
            <w:tcBorders>
              <w:top w:val="nil"/>
              <w:left w:val="nil"/>
              <w:bottom w:val="single" w:sz="4" w:space="0" w:color="auto"/>
              <w:right w:val="single" w:sz="4" w:space="0" w:color="auto"/>
            </w:tcBorders>
            <w:shd w:val="clear" w:color="000000" w:fill="D9D9D9"/>
            <w:noWrap/>
            <w:vAlign w:val="bottom"/>
            <w:hideMark/>
          </w:tcPr>
          <w:p w14:paraId="1ECE049C"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D9D9D9"/>
            <w:noWrap/>
            <w:vAlign w:val="bottom"/>
            <w:hideMark/>
          </w:tcPr>
          <w:p w14:paraId="6093A9A4"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D9D9D9"/>
            <w:noWrap/>
            <w:vAlign w:val="bottom"/>
            <w:hideMark/>
          </w:tcPr>
          <w:p w14:paraId="1BDFD1AC"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D9D9D9"/>
            <w:vAlign w:val="bottom"/>
          </w:tcPr>
          <w:p w14:paraId="1BAB8016" w14:textId="488C3723"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Ended</w:t>
            </w:r>
          </w:p>
        </w:tc>
      </w:tr>
      <w:tr w:rsidR="001A7457" w:rsidRPr="00AD666C" w14:paraId="25BF8B53" w14:textId="1D5D9C78" w:rsidTr="00FF416E">
        <w:trPr>
          <w:trHeight w:val="300"/>
        </w:trPr>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3CFE9EF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1.9a</w:t>
            </w:r>
          </w:p>
        </w:tc>
        <w:tc>
          <w:tcPr>
            <w:tcW w:w="8595" w:type="dxa"/>
            <w:tcBorders>
              <w:top w:val="nil"/>
              <w:left w:val="nil"/>
              <w:bottom w:val="single" w:sz="4" w:space="0" w:color="auto"/>
              <w:right w:val="single" w:sz="4" w:space="0" w:color="auto"/>
            </w:tcBorders>
            <w:shd w:val="clear" w:color="000000" w:fill="D9D9D9"/>
            <w:vAlign w:val="bottom"/>
            <w:hideMark/>
          </w:tcPr>
          <w:p w14:paraId="0F25CDBE"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energy efficiency measures installed under Core Cities Project, by measure type</w:t>
            </w:r>
          </w:p>
        </w:tc>
        <w:tc>
          <w:tcPr>
            <w:tcW w:w="1154" w:type="dxa"/>
            <w:tcBorders>
              <w:top w:val="nil"/>
              <w:left w:val="nil"/>
              <w:bottom w:val="single" w:sz="4" w:space="0" w:color="auto"/>
              <w:right w:val="single" w:sz="4" w:space="0" w:color="auto"/>
            </w:tcBorders>
            <w:shd w:val="clear" w:color="000000" w:fill="D9D9D9"/>
            <w:noWrap/>
            <w:vAlign w:val="bottom"/>
            <w:hideMark/>
          </w:tcPr>
          <w:p w14:paraId="38529B3C"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D9D9D9"/>
            <w:noWrap/>
            <w:vAlign w:val="bottom"/>
            <w:hideMark/>
          </w:tcPr>
          <w:p w14:paraId="541A22E3"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D9D9D9"/>
            <w:noWrap/>
            <w:vAlign w:val="bottom"/>
            <w:hideMark/>
          </w:tcPr>
          <w:p w14:paraId="09B9535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D9D9D9"/>
            <w:vAlign w:val="bottom"/>
          </w:tcPr>
          <w:p w14:paraId="2B485E38" w14:textId="462C0EAF"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Ended</w:t>
            </w:r>
          </w:p>
        </w:tc>
      </w:tr>
      <w:tr w:rsidR="001A7457" w:rsidRPr="00AD666C" w14:paraId="4C9F96EA" w14:textId="12534DC8" w:rsidTr="00FF416E">
        <w:trPr>
          <w:trHeight w:val="52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4050AAA5"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1.9b</w:t>
            </w:r>
          </w:p>
        </w:tc>
        <w:tc>
          <w:tcPr>
            <w:tcW w:w="8595" w:type="dxa"/>
            <w:tcBorders>
              <w:top w:val="nil"/>
              <w:left w:val="nil"/>
              <w:bottom w:val="single" w:sz="4" w:space="0" w:color="auto"/>
              <w:right w:val="single" w:sz="4" w:space="0" w:color="auto"/>
            </w:tcBorders>
            <w:shd w:val="clear" w:color="000000" w:fill="FFFFFF"/>
            <w:vAlign w:val="bottom"/>
            <w:hideMark/>
          </w:tcPr>
          <w:p w14:paraId="71AF5E52"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properties with energy efficiency work installed under Green Deal Communities Programme, by project area</w:t>
            </w:r>
          </w:p>
        </w:tc>
        <w:tc>
          <w:tcPr>
            <w:tcW w:w="1154" w:type="dxa"/>
            <w:tcBorders>
              <w:top w:val="nil"/>
              <w:left w:val="nil"/>
              <w:bottom w:val="single" w:sz="4" w:space="0" w:color="auto"/>
              <w:right w:val="single" w:sz="4" w:space="0" w:color="auto"/>
            </w:tcBorders>
            <w:shd w:val="clear" w:color="000000" w:fill="FFFFFF"/>
            <w:noWrap/>
            <w:vAlign w:val="bottom"/>
            <w:hideMark/>
          </w:tcPr>
          <w:p w14:paraId="6FC25C95"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E66B672"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1571DFB3"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20DBB76B" w14:textId="233C28AB"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March 2017</w:t>
            </w:r>
          </w:p>
        </w:tc>
      </w:tr>
      <w:tr w:rsidR="001A7457" w:rsidRPr="00AD666C" w14:paraId="00EE0B63" w14:textId="28183B78"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16D7463"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1.9c</w:t>
            </w:r>
          </w:p>
        </w:tc>
        <w:tc>
          <w:tcPr>
            <w:tcW w:w="8595" w:type="dxa"/>
            <w:tcBorders>
              <w:top w:val="nil"/>
              <w:left w:val="nil"/>
              <w:bottom w:val="single" w:sz="4" w:space="0" w:color="auto"/>
              <w:right w:val="single" w:sz="4" w:space="0" w:color="auto"/>
            </w:tcBorders>
            <w:shd w:val="clear" w:color="000000" w:fill="FFFFFF"/>
            <w:vAlign w:val="bottom"/>
            <w:hideMark/>
          </w:tcPr>
          <w:p w14:paraId="7F16CA9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energy efficiency measures installed under Green Deal Communities Programme, by measure type</w:t>
            </w:r>
          </w:p>
        </w:tc>
        <w:tc>
          <w:tcPr>
            <w:tcW w:w="1154" w:type="dxa"/>
            <w:tcBorders>
              <w:top w:val="nil"/>
              <w:left w:val="nil"/>
              <w:bottom w:val="single" w:sz="4" w:space="0" w:color="auto"/>
              <w:right w:val="single" w:sz="4" w:space="0" w:color="auto"/>
            </w:tcBorders>
            <w:shd w:val="clear" w:color="000000" w:fill="FFFFFF"/>
            <w:noWrap/>
            <w:vAlign w:val="bottom"/>
            <w:hideMark/>
          </w:tcPr>
          <w:p w14:paraId="2866C76B"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9FD0F25"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4C3AA58E"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44AE3BE4" w14:textId="55F0DA79"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March 2017</w:t>
            </w:r>
          </w:p>
        </w:tc>
      </w:tr>
      <w:tr w:rsidR="001A7457" w:rsidRPr="00AD666C" w14:paraId="67A9C578" w14:textId="6B3C76BD" w:rsidTr="00FF416E">
        <w:trPr>
          <w:trHeight w:val="300"/>
        </w:trPr>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47377D6D"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1.10</w:t>
            </w:r>
          </w:p>
        </w:tc>
        <w:tc>
          <w:tcPr>
            <w:tcW w:w="8595" w:type="dxa"/>
            <w:tcBorders>
              <w:top w:val="nil"/>
              <w:left w:val="nil"/>
              <w:bottom w:val="single" w:sz="4" w:space="0" w:color="auto"/>
              <w:right w:val="single" w:sz="4" w:space="0" w:color="auto"/>
            </w:tcBorders>
            <w:shd w:val="clear" w:color="000000" w:fill="D9D9D9"/>
            <w:vAlign w:val="bottom"/>
            <w:hideMark/>
          </w:tcPr>
          <w:p w14:paraId="36D39BBC" w14:textId="0C94214A" w:rsidR="001A7457" w:rsidRPr="00AD666C" w:rsidRDefault="001A7457" w:rsidP="00AD666C">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Cashback vouchers paid by region, at the end of Scheme, England and Wales</w:t>
            </w:r>
          </w:p>
        </w:tc>
        <w:tc>
          <w:tcPr>
            <w:tcW w:w="1154" w:type="dxa"/>
            <w:tcBorders>
              <w:top w:val="nil"/>
              <w:left w:val="nil"/>
              <w:bottom w:val="single" w:sz="4" w:space="0" w:color="auto"/>
              <w:right w:val="single" w:sz="4" w:space="0" w:color="auto"/>
            </w:tcBorders>
            <w:shd w:val="clear" w:color="000000" w:fill="D9D9D9"/>
            <w:noWrap/>
            <w:vAlign w:val="bottom"/>
            <w:hideMark/>
          </w:tcPr>
          <w:p w14:paraId="6F0A5821"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D9D9D9"/>
            <w:noWrap/>
            <w:vAlign w:val="bottom"/>
            <w:hideMark/>
          </w:tcPr>
          <w:p w14:paraId="7AE3EC36"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D9D9D9"/>
            <w:noWrap/>
            <w:vAlign w:val="bottom"/>
            <w:hideMark/>
          </w:tcPr>
          <w:p w14:paraId="14E9C7FC" w14:textId="77777777" w:rsidR="001A7457" w:rsidRPr="00AD666C" w:rsidRDefault="001A7457"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D9D9D9"/>
            <w:vAlign w:val="bottom"/>
          </w:tcPr>
          <w:p w14:paraId="09A4137F" w14:textId="13FA3032" w:rsidR="001A7457" w:rsidRPr="00AD666C" w:rsidRDefault="001A7457"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Ended</w:t>
            </w:r>
          </w:p>
        </w:tc>
      </w:tr>
      <w:tr w:rsidR="00AD666C" w:rsidRPr="00AD666C" w14:paraId="6F30B223" w14:textId="768C92BA" w:rsidTr="00FF416E">
        <w:trPr>
          <w:trHeight w:val="300"/>
        </w:trPr>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77096BE6"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lastRenderedPageBreak/>
              <w:t>Table 1.10a</w:t>
            </w:r>
          </w:p>
        </w:tc>
        <w:tc>
          <w:tcPr>
            <w:tcW w:w="8595" w:type="dxa"/>
            <w:tcBorders>
              <w:top w:val="nil"/>
              <w:left w:val="nil"/>
              <w:bottom w:val="single" w:sz="4" w:space="0" w:color="auto"/>
              <w:right w:val="single" w:sz="4" w:space="0" w:color="auto"/>
            </w:tcBorders>
            <w:shd w:val="clear" w:color="000000" w:fill="D9D9D9"/>
            <w:vAlign w:val="bottom"/>
            <w:hideMark/>
          </w:tcPr>
          <w:p w14:paraId="3F7D588E"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Cashback vouchers paid by administrative area, at the end of the Cashback Scheme, England and Wales</w:t>
            </w:r>
          </w:p>
        </w:tc>
        <w:tc>
          <w:tcPr>
            <w:tcW w:w="1154" w:type="dxa"/>
            <w:tcBorders>
              <w:top w:val="nil"/>
              <w:left w:val="nil"/>
              <w:bottom w:val="single" w:sz="4" w:space="0" w:color="auto"/>
              <w:right w:val="single" w:sz="4" w:space="0" w:color="auto"/>
            </w:tcBorders>
            <w:shd w:val="clear" w:color="000000" w:fill="D9D9D9"/>
            <w:noWrap/>
            <w:vAlign w:val="bottom"/>
            <w:hideMark/>
          </w:tcPr>
          <w:p w14:paraId="46BB1F1F"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D9D9D9"/>
            <w:noWrap/>
            <w:vAlign w:val="bottom"/>
            <w:hideMark/>
          </w:tcPr>
          <w:p w14:paraId="13A5B272"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D9D9D9"/>
            <w:noWrap/>
            <w:vAlign w:val="bottom"/>
            <w:hideMark/>
          </w:tcPr>
          <w:p w14:paraId="56BB6C2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D9D9D9"/>
          </w:tcPr>
          <w:p w14:paraId="09E5CE21" w14:textId="4980A680"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Ended</w:t>
            </w:r>
          </w:p>
        </w:tc>
      </w:tr>
      <w:tr w:rsidR="00AD666C" w:rsidRPr="00AD666C" w14:paraId="68E30265" w14:textId="50217252" w:rsidTr="00FF416E">
        <w:trPr>
          <w:trHeight w:val="525"/>
        </w:trPr>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3A2EDBBB"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1.10b</w:t>
            </w:r>
          </w:p>
        </w:tc>
        <w:tc>
          <w:tcPr>
            <w:tcW w:w="8595" w:type="dxa"/>
            <w:tcBorders>
              <w:top w:val="nil"/>
              <w:left w:val="nil"/>
              <w:bottom w:val="single" w:sz="4" w:space="0" w:color="auto"/>
              <w:right w:val="single" w:sz="4" w:space="0" w:color="auto"/>
            </w:tcBorders>
            <w:shd w:val="clear" w:color="000000" w:fill="D9D9D9"/>
            <w:vAlign w:val="bottom"/>
            <w:hideMark/>
          </w:tcPr>
          <w:p w14:paraId="32B067E1"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Cashback vouchers paid by Parliamentary Constituency, at the end of the Cashback Scheme, England and Wales</w:t>
            </w:r>
          </w:p>
        </w:tc>
        <w:tc>
          <w:tcPr>
            <w:tcW w:w="1154" w:type="dxa"/>
            <w:tcBorders>
              <w:top w:val="nil"/>
              <w:left w:val="nil"/>
              <w:bottom w:val="single" w:sz="4" w:space="0" w:color="auto"/>
              <w:right w:val="single" w:sz="4" w:space="0" w:color="auto"/>
            </w:tcBorders>
            <w:shd w:val="clear" w:color="000000" w:fill="D9D9D9"/>
            <w:noWrap/>
            <w:vAlign w:val="bottom"/>
            <w:hideMark/>
          </w:tcPr>
          <w:p w14:paraId="348DFF80"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D9D9D9"/>
            <w:noWrap/>
            <w:vAlign w:val="bottom"/>
            <w:hideMark/>
          </w:tcPr>
          <w:p w14:paraId="468FA66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D9D9D9"/>
            <w:noWrap/>
            <w:vAlign w:val="bottom"/>
            <w:hideMark/>
          </w:tcPr>
          <w:p w14:paraId="0FEF42D1"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D9D9D9"/>
          </w:tcPr>
          <w:p w14:paraId="2E2BA5AE" w14:textId="67805956"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Ended</w:t>
            </w:r>
          </w:p>
        </w:tc>
      </w:tr>
      <w:tr w:rsidR="00AD666C" w:rsidRPr="00AD666C" w14:paraId="5942AF7B" w14:textId="5B7FE1A5" w:rsidTr="00FF416E">
        <w:trPr>
          <w:trHeight w:val="300"/>
        </w:trPr>
        <w:tc>
          <w:tcPr>
            <w:tcW w:w="1183" w:type="dxa"/>
            <w:tcBorders>
              <w:top w:val="nil"/>
              <w:left w:val="single" w:sz="4" w:space="0" w:color="auto"/>
              <w:bottom w:val="single" w:sz="4" w:space="0" w:color="auto"/>
              <w:right w:val="single" w:sz="4" w:space="0" w:color="auto"/>
            </w:tcBorders>
            <w:shd w:val="clear" w:color="000000" w:fill="D9D9D9"/>
            <w:noWrap/>
            <w:vAlign w:val="bottom"/>
            <w:hideMark/>
          </w:tcPr>
          <w:p w14:paraId="67DFDEEA"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1.10c</w:t>
            </w:r>
          </w:p>
        </w:tc>
        <w:tc>
          <w:tcPr>
            <w:tcW w:w="8595" w:type="dxa"/>
            <w:tcBorders>
              <w:top w:val="nil"/>
              <w:left w:val="nil"/>
              <w:bottom w:val="single" w:sz="4" w:space="0" w:color="auto"/>
              <w:right w:val="single" w:sz="4" w:space="0" w:color="auto"/>
            </w:tcBorders>
            <w:shd w:val="clear" w:color="000000" w:fill="D9D9D9"/>
            <w:vAlign w:val="bottom"/>
            <w:hideMark/>
          </w:tcPr>
          <w:p w14:paraId="1277AB60"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Cashback vouchers paid by tenure, at the end of the Cashback Scheme, England and Wales</w:t>
            </w:r>
          </w:p>
        </w:tc>
        <w:tc>
          <w:tcPr>
            <w:tcW w:w="1154" w:type="dxa"/>
            <w:tcBorders>
              <w:top w:val="nil"/>
              <w:left w:val="nil"/>
              <w:bottom w:val="single" w:sz="4" w:space="0" w:color="auto"/>
              <w:right w:val="single" w:sz="4" w:space="0" w:color="auto"/>
            </w:tcBorders>
            <w:shd w:val="clear" w:color="000000" w:fill="D9D9D9"/>
            <w:noWrap/>
            <w:vAlign w:val="bottom"/>
            <w:hideMark/>
          </w:tcPr>
          <w:p w14:paraId="13F638BA"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D9D9D9"/>
            <w:noWrap/>
            <w:vAlign w:val="bottom"/>
            <w:hideMark/>
          </w:tcPr>
          <w:p w14:paraId="67EAE98C"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D9D9D9"/>
            <w:noWrap/>
            <w:vAlign w:val="bottom"/>
            <w:hideMark/>
          </w:tcPr>
          <w:p w14:paraId="3A0E7F9E"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D9D9D9"/>
          </w:tcPr>
          <w:p w14:paraId="54006430" w14:textId="41F0141B"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Ended</w:t>
            </w:r>
          </w:p>
        </w:tc>
      </w:tr>
      <w:tr w:rsidR="00AD666C" w:rsidRPr="00AD666C" w14:paraId="34977D1C" w14:textId="2E1058D6"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6E52EEC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1.10d</w:t>
            </w:r>
          </w:p>
        </w:tc>
        <w:tc>
          <w:tcPr>
            <w:tcW w:w="8595" w:type="dxa"/>
            <w:tcBorders>
              <w:top w:val="nil"/>
              <w:left w:val="nil"/>
              <w:bottom w:val="single" w:sz="4" w:space="0" w:color="auto"/>
              <w:right w:val="single" w:sz="4" w:space="0" w:color="auto"/>
            </w:tcBorders>
            <w:shd w:val="clear" w:color="000000" w:fill="FFFFFF"/>
            <w:vAlign w:val="bottom"/>
            <w:hideMark/>
          </w:tcPr>
          <w:p w14:paraId="7E9F341C"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Home Improvement Fund vouchers paid by region, England and Wales</w:t>
            </w:r>
          </w:p>
        </w:tc>
        <w:tc>
          <w:tcPr>
            <w:tcW w:w="1154" w:type="dxa"/>
            <w:tcBorders>
              <w:top w:val="nil"/>
              <w:left w:val="nil"/>
              <w:bottom w:val="single" w:sz="4" w:space="0" w:color="auto"/>
              <w:right w:val="single" w:sz="4" w:space="0" w:color="auto"/>
            </w:tcBorders>
            <w:shd w:val="clear" w:color="000000" w:fill="FFFFFF"/>
            <w:noWrap/>
            <w:vAlign w:val="bottom"/>
            <w:hideMark/>
          </w:tcPr>
          <w:p w14:paraId="3C9F2510"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405D9946"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61CDF0B0"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442CC396" w14:textId="3C8E6805"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April 2016</w:t>
            </w:r>
          </w:p>
        </w:tc>
      </w:tr>
      <w:tr w:rsidR="00AD666C" w:rsidRPr="00AD666C" w14:paraId="67DD9479" w14:textId="04583407"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32A7679A"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1.10e</w:t>
            </w:r>
          </w:p>
        </w:tc>
        <w:tc>
          <w:tcPr>
            <w:tcW w:w="8595" w:type="dxa"/>
            <w:tcBorders>
              <w:top w:val="nil"/>
              <w:left w:val="nil"/>
              <w:bottom w:val="single" w:sz="4" w:space="0" w:color="auto"/>
              <w:right w:val="single" w:sz="4" w:space="0" w:color="auto"/>
            </w:tcBorders>
            <w:shd w:val="clear" w:color="000000" w:fill="FFFFFF"/>
            <w:vAlign w:val="bottom"/>
            <w:hideMark/>
          </w:tcPr>
          <w:p w14:paraId="5B3E3CE9"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Home Improvement Fund vouchers paid by administrative area, England and Wales</w:t>
            </w:r>
          </w:p>
        </w:tc>
        <w:tc>
          <w:tcPr>
            <w:tcW w:w="1154" w:type="dxa"/>
            <w:tcBorders>
              <w:top w:val="nil"/>
              <w:left w:val="nil"/>
              <w:bottom w:val="single" w:sz="4" w:space="0" w:color="auto"/>
              <w:right w:val="single" w:sz="4" w:space="0" w:color="auto"/>
            </w:tcBorders>
            <w:shd w:val="clear" w:color="000000" w:fill="FFFFFF"/>
            <w:noWrap/>
            <w:vAlign w:val="bottom"/>
            <w:hideMark/>
          </w:tcPr>
          <w:p w14:paraId="7DB398CC"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6DF9C85C"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2288742D"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46D09E8D" w14:textId="3E395751"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April 2016</w:t>
            </w:r>
          </w:p>
        </w:tc>
      </w:tr>
      <w:tr w:rsidR="00AD666C" w:rsidRPr="00AD666C" w14:paraId="2D5B9713" w14:textId="4C5F4EEE"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3A95D3A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1.10f</w:t>
            </w:r>
          </w:p>
        </w:tc>
        <w:tc>
          <w:tcPr>
            <w:tcW w:w="8595" w:type="dxa"/>
            <w:tcBorders>
              <w:top w:val="nil"/>
              <w:left w:val="nil"/>
              <w:bottom w:val="single" w:sz="4" w:space="0" w:color="auto"/>
              <w:right w:val="single" w:sz="4" w:space="0" w:color="auto"/>
            </w:tcBorders>
            <w:shd w:val="clear" w:color="000000" w:fill="FFFFFF"/>
            <w:vAlign w:val="bottom"/>
            <w:hideMark/>
          </w:tcPr>
          <w:p w14:paraId="20E58483"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Home Improvement Fund vouchers paid by Parliamentary Constituency, England and Wales</w:t>
            </w:r>
          </w:p>
        </w:tc>
        <w:tc>
          <w:tcPr>
            <w:tcW w:w="1154" w:type="dxa"/>
            <w:tcBorders>
              <w:top w:val="nil"/>
              <w:left w:val="nil"/>
              <w:bottom w:val="single" w:sz="4" w:space="0" w:color="auto"/>
              <w:right w:val="single" w:sz="4" w:space="0" w:color="auto"/>
            </w:tcBorders>
            <w:shd w:val="clear" w:color="000000" w:fill="FFFFFF"/>
            <w:noWrap/>
            <w:vAlign w:val="bottom"/>
            <w:hideMark/>
          </w:tcPr>
          <w:p w14:paraId="20195D13"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8146052"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10BFE908"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7F63D3C7" w14:textId="38D78D8D"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April 2016</w:t>
            </w:r>
          </w:p>
        </w:tc>
      </w:tr>
      <w:tr w:rsidR="00AD666C" w:rsidRPr="00AD666C" w14:paraId="7D925CE8" w14:textId="33C078E6"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DBF6C1A"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1.10g</w:t>
            </w:r>
          </w:p>
        </w:tc>
        <w:tc>
          <w:tcPr>
            <w:tcW w:w="8595" w:type="dxa"/>
            <w:tcBorders>
              <w:top w:val="nil"/>
              <w:left w:val="nil"/>
              <w:bottom w:val="single" w:sz="4" w:space="0" w:color="auto"/>
              <w:right w:val="single" w:sz="4" w:space="0" w:color="auto"/>
            </w:tcBorders>
            <w:shd w:val="clear" w:color="000000" w:fill="FFFFFF"/>
            <w:vAlign w:val="bottom"/>
            <w:hideMark/>
          </w:tcPr>
          <w:p w14:paraId="23A2DDC4"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Green Deal Home Improvement Fund vouchers paid by tenure, England and Wales</w:t>
            </w:r>
          </w:p>
        </w:tc>
        <w:tc>
          <w:tcPr>
            <w:tcW w:w="1154" w:type="dxa"/>
            <w:tcBorders>
              <w:top w:val="nil"/>
              <w:left w:val="nil"/>
              <w:bottom w:val="single" w:sz="4" w:space="0" w:color="auto"/>
              <w:right w:val="single" w:sz="4" w:space="0" w:color="auto"/>
            </w:tcBorders>
            <w:shd w:val="clear" w:color="000000" w:fill="FFFFFF"/>
            <w:noWrap/>
            <w:vAlign w:val="bottom"/>
            <w:hideMark/>
          </w:tcPr>
          <w:p w14:paraId="3A22642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5468C54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5264BC23"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79EACFEA" w14:textId="405E2CDE"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April 2016</w:t>
            </w:r>
          </w:p>
        </w:tc>
      </w:tr>
      <w:tr w:rsidR="00AD666C" w:rsidRPr="00AD666C" w14:paraId="3F9FFA90" w14:textId="40374556" w:rsidTr="00FF416E">
        <w:trPr>
          <w:trHeight w:val="52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73033A72"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1.11</w:t>
            </w:r>
          </w:p>
        </w:tc>
        <w:tc>
          <w:tcPr>
            <w:tcW w:w="8595" w:type="dxa"/>
            <w:tcBorders>
              <w:top w:val="nil"/>
              <w:left w:val="nil"/>
              <w:bottom w:val="single" w:sz="4" w:space="0" w:color="auto"/>
              <w:right w:val="single" w:sz="4" w:space="0" w:color="auto"/>
            </w:tcBorders>
            <w:shd w:val="clear" w:color="000000" w:fill="FFFFFF"/>
            <w:vAlign w:val="bottom"/>
            <w:hideMark/>
          </w:tcPr>
          <w:p w14:paraId="5DE62584"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ECO measures by ECO obligation by region and total number of unique properties benefitting from ECO</w:t>
            </w:r>
          </w:p>
        </w:tc>
        <w:tc>
          <w:tcPr>
            <w:tcW w:w="1154" w:type="dxa"/>
            <w:tcBorders>
              <w:top w:val="nil"/>
              <w:left w:val="nil"/>
              <w:bottom w:val="single" w:sz="4" w:space="0" w:color="auto"/>
              <w:right w:val="single" w:sz="4" w:space="0" w:color="auto"/>
            </w:tcBorders>
            <w:shd w:val="clear" w:color="000000" w:fill="FFFFFF"/>
            <w:noWrap/>
            <w:vAlign w:val="bottom"/>
            <w:hideMark/>
          </w:tcPr>
          <w:p w14:paraId="613A2DC4"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FFA98DD"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1BC715E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236BBB5A" w14:textId="77EC27E6"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29B294F2" w14:textId="76FF2DA1"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775C3044"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1.11a</w:t>
            </w:r>
          </w:p>
        </w:tc>
        <w:tc>
          <w:tcPr>
            <w:tcW w:w="8595" w:type="dxa"/>
            <w:tcBorders>
              <w:top w:val="nil"/>
              <w:left w:val="nil"/>
              <w:bottom w:val="single" w:sz="4" w:space="0" w:color="auto"/>
              <w:right w:val="single" w:sz="4" w:space="0" w:color="auto"/>
            </w:tcBorders>
            <w:shd w:val="clear" w:color="000000" w:fill="FFFFFF"/>
            <w:vAlign w:val="bottom"/>
            <w:hideMark/>
          </w:tcPr>
          <w:p w14:paraId="26B48542"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ECO measures by ECO obligation by administrative area</w:t>
            </w:r>
          </w:p>
        </w:tc>
        <w:tc>
          <w:tcPr>
            <w:tcW w:w="1154" w:type="dxa"/>
            <w:tcBorders>
              <w:top w:val="nil"/>
              <w:left w:val="nil"/>
              <w:bottom w:val="single" w:sz="4" w:space="0" w:color="auto"/>
              <w:right w:val="single" w:sz="4" w:space="0" w:color="auto"/>
            </w:tcBorders>
            <w:shd w:val="clear" w:color="000000" w:fill="FFFFFF"/>
            <w:noWrap/>
            <w:vAlign w:val="bottom"/>
            <w:hideMark/>
          </w:tcPr>
          <w:p w14:paraId="766905AC"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360B8960"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73A2054F"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368673B2" w14:textId="39C387EF"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123236BB" w14:textId="5F115764"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4308DB4F"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1.11b</w:t>
            </w:r>
          </w:p>
        </w:tc>
        <w:tc>
          <w:tcPr>
            <w:tcW w:w="8595" w:type="dxa"/>
            <w:tcBorders>
              <w:top w:val="nil"/>
              <w:left w:val="nil"/>
              <w:bottom w:val="single" w:sz="4" w:space="0" w:color="auto"/>
              <w:right w:val="single" w:sz="4" w:space="0" w:color="auto"/>
            </w:tcBorders>
            <w:shd w:val="clear" w:color="000000" w:fill="FFFFFF"/>
            <w:vAlign w:val="bottom"/>
            <w:hideMark/>
          </w:tcPr>
          <w:p w14:paraId="45D245E8"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ECO measures by ECO obligation by Parliamentary Constituency</w:t>
            </w:r>
          </w:p>
        </w:tc>
        <w:tc>
          <w:tcPr>
            <w:tcW w:w="1154" w:type="dxa"/>
            <w:tcBorders>
              <w:top w:val="nil"/>
              <w:left w:val="nil"/>
              <w:bottom w:val="single" w:sz="4" w:space="0" w:color="auto"/>
              <w:right w:val="single" w:sz="4" w:space="0" w:color="auto"/>
            </w:tcBorders>
            <w:shd w:val="clear" w:color="000000" w:fill="FFFFFF"/>
            <w:noWrap/>
            <w:vAlign w:val="bottom"/>
            <w:hideMark/>
          </w:tcPr>
          <w:p w14:paraId="2ED0B7D0"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18287AEF"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6400EA8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37528E77" w14:textId="1D42AC86"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762BE5F5" w14:textId="75303DB9"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B6A56D0"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1.11c</w:t>
            </w:r>
          </w:p>
        </w:tc>
        <w:tc>
          <w:tcPr>
            <w:tcW w:w="8595" w:type="dxa"/>
            <w:tcBorders>
              <w:top w:val="nil"/>
              <w:left w:val="nil"/>
              <w:bottom w:val="single" w:sz="4" w:space="0" w:color="auto"/>
              <w:right w:val="single" w:sz="4" w:space="0" w:color="auto"/>
            </w:tcBorders>
            <w:shd w:val="clear" w:color="000000" w:fill="FFFFFF"/>
            <w:vAlign w:val="bottom"/>
            <w:hideMark/>
          </w:tcPr>
          <w:p w14:paraId="299129DA"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households in receipt of ECO measures by region</w:t>
            </w:r>
          </w:p>
        </w:tc>
        <w:tc>
          <w:tcPr>
            <w:tcW w:w="1154" w:type="dxa"/>
            <w:tcBorders>
              <w:top w:val="nil"/>
              <w:left w:val="nil"/>
              <w:bottom w:val="single" w:sz="4" w:space="0" w:color="auto"/>
              <w:right w:val="single" w:sz="4" w:space="0" w:color="auto"/>
            </w:tcBorders>
            <w:shd w:val="clear" w:color="000000" w:fill="FFFFFF"/>
            <w:noWrap/>
            <w:vAlign w:val="bottom"/>
            <w:hideMark/>
          </w:tcPr>
          <w:p w14:paraId="40FF6431"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20B37708"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1FEA2F79"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56BCE1E2" w14:textId="21E15C36"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4195FD5C" w14:textId="273288B9"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0D21E044"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1.11d</w:t>
            </w:r>
          </w:p>
        </w:tc>
        <w:tc>
          <w:tcPr>
            <w:tcW w:w="8595" w:type="dxa"/>
            <w:tcBorders>
              <w:top w:val="nil"/>
              <w:left w:val="nil"/>
              <w:bottom w:val="single" w:sz="4" w:space="0" w:color="auto"/>
              <w:right w:val="single" w:sz="4" w:space="0" w:color="auto"/>
            </w:tcBorders>
            <w:shd w:val="clear" w:color="000000" w:fill="FFFFFF"/>
            <w:vAlign w:val="bottom"/>
            <w:hideMark/>
          </w:tcPr>
          <w:p w14:paraId="67A558B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households in receipt of ECO measures by administrative area</w:t>
            </w:r>
          </w:p>
        </w:tc>
        <w:tc>
          <w:tcPr>
            <w:tcW w:w="1154" w:type="dxa"/>
            <w:tcBorders>
              <w:top w:val="nil"/>
              <w:left w:val="nil"/>
              <w:bottom w:val="single" w:sz="4" w:space="0" w:color="auto"/>
              <w:right w:val="single" w:sz="4" w:space="0" w:color="auto"/>
            </w:tcBorders>
            <w:shd w:val="clear" w:color="000000" w:fill="FFFFFF"/>
            <w:noWrap/>
            <w:vAlign w:val="bottom"/>
            <w:hideMark/>
          </w:tcPr>
          <w:p w14:paraId="4D4906F2"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59C6109"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5B43580E"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58B3F114" w14:textId="5D9B3AB0"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11692F64" w14:textId="0A347E3C"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322577F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1.11e</w:t>
            </w:r>
          </w:p>
        </w:tc>
        <w:tc>
          <w:tcPr>
            <w:tcW w:w="8595" w:type="dxa"/>
            <w:tcBorders>
              <w:top w:val="nil"/>
              <w:left w:val="nil"/>
              <w:bottom w:val="single" w:sz="4" w:space="0" w:color="auto"/>
              <w:right w:val="single" w:sz="4" w:space="0" w:color="auto"/>
            </w:tcBorders>
            <w:shd w:val="clear" w:color="000000" w:fill="FFFFFF"/>
            <w:vAlign w:val="bottom"/>
            <w:hideMark/>
          </w:tcPr>
          <w:p w14:paraId="6277BB0F"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households in receipt of ECO measures by Parliamentary Constituency</w:t>
            </w:r>
          </w:p>
        </w:tc>
        <w:tc>
          <w:tcPr>
            <w:tcW w:w="1154" w:type="dxa"/>
            <w:tcBorders>
              <w:top w:val="nil"/>
              <w:left w:val="nil"/>
              <w:bottom w:val="single" w:sz="4" w:space="0" w:color="auto"/>
              <w:right w:val="single" w:sz="4" w:space="0" w:color="auto"/>
            </w:tcBorders>
            <w:shd w:val="clear" w:color="000000" w:fill="FFFFFF"/>
            <w:noWrap/>
            <w:vAlign w:val="bottom"/>
            <w:hideMark/>
          </w:tcPr>
          <w:p w14:paraId="26500C1D"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67ED69F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1A06C96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1ADB81D7" w14:textId="27275F2F"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19960D0F" w14:textId="7210D7DD"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0B4BC0EF"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1.12</w:t>
            </w:r>
          </w:p>
        </w:tc>
        <w:tc>
          <w:tcPr>
            <w:tcW w:w="8595" w:type="dxa"/>
            <w:tcBorders>
              <w:top w:val="nil"/>
              <w:left w:val="nil"/>
              <w:bottom w:val="single" w:sz="4" w:space="0" w:color="auto"/>
              <w:right w:val="single" w:sz="4" w:space="0" w:color="auto"/>
            </w:tcBorders>
            <w:shd w:val="clear" w:color="000000" w:fill="FFFFFF"/>
            <w:vAlign w:val="bottom"/>
            <w:hideMark/>
          </w:tcPr>
          <w:p w14:paraId="74354DBD"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ECO measures by main fuel type and ECO obligation</w:t>
            </w:r>
          </w:p>
        </w:tc>
        <w:tc>
          <w:tcPr>
            <w:tcW w:w="1154" w:type="dxa"/>
            <w:tcBorders>
              <w:top w:val="nil"/>
              <w:left w:val="nil"/>
              <w:bottom w:val="single" w:sz="4" w:space="0" w:color="auto"/>
              <w:right w:val="single" w:sz="4" w:space="0" w:color="auto"/>
            </w:tcBorders>
            <w:shd w:val="clear" w:color="000000" w:fill="FFFFFF"/>
            <w:noWrap/>
            <w:vAlign w:val="bottom"/>
            <w:hideMark/>
          </w:tcPr>
          <w:p w14:paraId="3BF43F5A"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242F248E"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3F9A32A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0B36336C" w14:textId="2C7B6179"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7A4F3430" w14:textId="395F6C8F"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C7FAA81"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1.12a</w:t>
            </w:r>
          </w:p>
        </w:tc>
        <w:tc>
          <w:tcPr>
            <w:tcW w:w="8595" w:type="dxa"/>
            <w:tcBorders>
              <w:top w:val="nil"/>
              <w:left w:val="nil"/>
              <w:bottom w:val="single" w:sz="4" w:space="0" w:color="auto"/>
              <w:right w:val="single" w:sz="4" w:space="0" w:color="auto"/>
            </w:tcBorders>
            <w:shd w:val="clear" w:color="000000" w:fill="FFFFFF"/>
            <w:vAlign w:val="bottom"/>
            <w:hideMark/>
          </w:tcPr>
          <w:p w14:paraId="38BCD73A"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xml:space="preserve">Provisional number of households in receipt of ECO measures by property type and ECO obligation, </w:t>
            </w:r>
          </w:p>
        </w:tc>
        <w:tc>
          <w:tcPr>
            <w:tcW w:w="1154" w:type="dxa"/>
            <w:tcBorders>
              <w:top w:val="nil"/>
              <w:left w:val="nil"/>
              <w:bottom w:val="single" w:sz="4" w:space="0" w:color="auto"/>
              <w:right w:val="single" w:sz="4" w:space="0" w:color="auto"/>
            </w:tcBorders>
            <w:shd w:val="clear" w:color="000000" w:fill="FFFFFF"/>
            <w:noWrap/>
            <w:vAlign w:val="bottom"/>
            <w:hideMark/>
          </w:tcPr>
          <w:p w14:paraId="3F99A709"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4A9CB61"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00EC0A2E"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1CD477E1" w14:textId="145718CE"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7E0C3966" w14:textId="1E07A29F"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4B921F7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1.12b</w:t>
            </w:r>
          </w:p>
        </w:tc>
        <w:tc>
          <w:tcPr>
            <w:tcW w:w="8595" w:type="dxa"/>
            <w:tcBorders>
              <w:top w:val="nil"/>
              <w:left w:val="nil"/>
              <w:bottom w:val="single" w:sz="4" w:space="0" w:color="auto"/>
              <w:right w:val="single" w:sz="4" w:space="0" w:color="auto"/>
            </w:tcBorders>
            <w:shd w:val="clear" w:color="000000" w:fill="FFFFFF"/>
            <w:vAlign w:val="bottom"/>
            <w:hideMark/>
          </w:tcPr>
          <w:p w14:paraId="3FCDA0D9"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households in receipt of ECO measures by tenure and ECO obligation</w:t>
            </w:r>
          </w:p>
        </w:tc>
        <w:tc>
          <w:tcPr>
            <w:tcW w:w="1154" w:type="dxa"/>
            <w:tcBorders>
              <w:top w:val="nil"/>
              <w:left w:val="nil"/>
              <w:bottom w:val="single" w:sz="4" w:space="0" w:color="auto"/>
              <w:right w:val="single" w:sz="4" w:space="0" w:color="auto"/>
            </w:tcBorders>
            <w:shd w:val="clear" w:color="000000" w:fill="FFFFFF"/>
            <w:noWrap/>
            <w:vAlign w:val="bottom"/>
            <w:hideMark/>
          </w:tcPr>
          <w:p w14:paraId="4EA07A66"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7D848586"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60036A2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25F663DD" w14:textId="6C5F5300"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2025C790" w14:textId="7861CE4D"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3602F916"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1.12c</w:t>
            </w:r>
          </w:p>
        </w:tc>
        <w:tc>
          <w:tcPr>
            <w:tcW w:w="8595" w:type="dxa"/>
            <w:tcBorders>
              <w:top w:val="nil"/>
              <w:left w:val="nil"/>
              <w:bottom w:val="single" w:sz="4" w:space="0" w:color="auto"/>
              <w:right w:val="single" w:sz="4" w:space="0" w:color="auto"/>
            </w:tcBorders>
            <w:shd w:val="clear" w:color="000000" w:fill="FFFFFF"/>
            <w:vAlign w:val="bottom"/>
            <w:hideMark/>
          </w:tcPr>
          <w:p w14:paraId="2B1AA493"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and percentage of ECO measures traded through brokerage by month and ECO obligation,</w:t>
            </w:r>
          </w:p>
        </w:tc>
        <w:tc>
          <w:tcPr>
            <w:tcW w:w="1154" w:type="dxa"/>
            <w:tcBorders>
              <w:top w:val="nil"/>
              <w:left w:val="nil"/>
              <w:bottom w:val="single" w:sz="4" w:space="0" w:color="auto"/>
              <w:right w:val="single" w:sz="4" w:space="0" w:color="auto"/>
            </w:tcBorders>
            <w:shd w:val="clear" w:color="000000" w:fill="FFFFFF"/>
            <w:noWrap/>
            <w:vAlign w:val="bottom"/>
            <w:hideMark/>
          </w:tcPr>
          <w:p w14:paraId="38285E3D"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7FB424E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3CF8641F"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5B3468F1" w14:textId="200021BC"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65102DFF" w14:textId="04AAC0E4"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6465B208"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1.12d</w:t>
            </w:r>
          </w:p>
        </w:tc>
        <w:tc>
          <w:tcPr>
            <w:tcW w:w="8595" w:type="dxa"/>
            <w:tcBorders>
              <w:top w:val="nil"/>
              <w:left w:val="nil"/>
              <w:bottom w:val="single" w:sz="4" w:space="0" w:color="auto"/>
              <w:right w:val="single" w:sz="4" w:space="0" w:color="auto"/>
            </w:tcBorders>
            <w:shd w:val="clear" w:color="000000" w:fill="FFFFFF"/>
            <w:vAlign w:val="bottom"/>
            <w:hideMark/>
          </w:tcPr>
          <w:p w14:paraId="2C6BCB21"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Estimated bill savings for Affordable Warmth measures installed by month</w:t>
            </w:r>
          </w:p>
        </w:tc>
        <w:tc>
          <w:tcPr>
            <w:tcW w:w="1154" w:type="dxa"/>
            <w:tcBorders>
              <w:top w:val="nil"/>
              <w:left w:val="nil"/>
              <w:bottom w:val="single" w:sz="4" w:space="0" w:color="auto"/>
              <w:right w:val="single" w:sz="4" w:space="0" w:color="auto"/>
            </w:tcBorders>
            <w:shd w:val="clear" w:color="000000" w:fill="FFFFFF"/>
            <w:noWrap/>
            <w:vAlign w:val="bottom"/>
            <w:hideMark/>
          </w:tcPr>
          <w:p w14:paraId="3E5C6BE2"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7AA38E19"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6F8F3C7B"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25B6AE6A" w14:textId="401AF101" w:rsidR="00AD666C" w:rsidRPr="00AD666C" w:rsidRDefault="00AD666C" w:rsidP="00AD666C">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3AEBCAA5" w14:textId="6C4DEC33"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38C17E7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1.13</w:t>
            </w:r>
          </w:p>
        </w:tc>
        <w:tc>
          <w:tcPr>
            <w:tcW w:w="8595" w:type="dxa"/>
            <w:tcBorders>
              <w:top w:val="nil"/>
              <w:left w:val="nil"/>
              <w:bottom w:val="single" w:sz="4" w:space="0" w:color="auto"/>
              <w:right w:val="single" w:sz="4" w:space="0" w:color="auto"/>
            </w:tcBorders>
            <w:shd w:val="clear" w:color="000000" w:fill="FFFFFF"/>
            <w:vAlign w:val="bottom"/>
            <w:hideMark/>
          </w:tcPr>
          <w:p w14:paraId="721D1AC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Estimated ECO delivery costs as reported by energy suppliers</w:t>
            </w:r>
          </w:p>
        </w:tc>
        <w:tc>
          <w:tcPr>
            <w:tcW w:w="1154" w:type="dxa"/>
            <w:tcBorders>
              <w:top w:val="nil"/>
              <w:left w:val="nil"/>
              <w:bottom w:val="single" w:sz="4" w:space="0" w:color="auto"/>
              <w:right w:val="single" w:sz="4" w:space="0" w:color="auto"/>
            </w:tcBorders>
            <w:shd w:val="clear" w:color="000000" w:fill="FFFFFF"/>
            <w:noWrap/>
            <w:vAlign w:val="bottom"/>
            <w:hideMark/>
          </w:tcPr>
          <w:p w14:paraId="6199410C"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4F6153D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63D9F07D"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046B5C9D" w14:textId="649C86AE" w:rsidR="00AD666C" w:rsidRPr="00AD666C" w:rsidRDefault="00AD666C" w:rsidP="00FF416E">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53A4530D" w14:textId="25CC9EB8"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02C9F09D"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1.13a</w:t>
            </w:r>
          </w:p>
        </w:tc>
        <w:tc>
          <w:tcPr>
            <w:tcW w:w="8595" w:type="dxa"/>
            <w:tcBorders>
              <w:top w:val="nil"/>
              <w:left w:val="nil"/>
              <w:bottom w:val="single" w:sz="4" w:space="0" w:color="auto"/>
              <w:right w:val="single" w:sz="4" w:space="0" w:color="auto"/>
            </w:tcBorders>
            <w:shd w:val="clear" w:color="000000" w:fill="FFFFFF"/>
            <w:vAlign w:val="bottom"/>
            <w:hideMark/>
          </w:tcPr>
          <w:p w14:paraId="18207441"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Estimated average ECO delivery costs as reported by energy suppliers</w:t>
            </w:r>
          </w:p>
        </w:tc>
        <w:tc>
          <w:tcPr>
            <w:tcW w:w="1154" w:type="dxa"/>
            <w:tcBorders>
              <w:top w:val="nil"/>
              <w:left w:val="nil"/>
              <w:bottom w:val="single" w:sz="4" w:space="0" w:color="auto"/>
              <w:right w:val="single" w:sz="4" w:space="0" w:color="auto"/>
            </w:tcBorders>
            <w:shd w:val="clear" w:color="000000" w:fill="FFFFFF"/>
            <w:noWrap/>
            <w:vAlign w:val="bottom"/>
            <w:hideMark/>
          </w:tcPr>
          <w:p w14:paraId="3018A474"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3C69C185"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4031DAD1"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35F1CEB6" w14:textId="63E7C0D0" w:rsidR="00AD666C" w:rsidRPr="00AD666C" w:rsidRDefault="00AD666C" w:rsidP="00FF416E">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AD666C" w:rsidRPr="00AD666C" w14:paraId="094C314E" w14:textId="1893FC1A"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6212EC5E"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1.14</w:t>
            </w:r>
          </w:p>
        </w:tc>
        <w:tc>
          <w:tcPr>
            <w:tcW w:w="8595" w:type="dxa"/>
            <w:tcBorders>
              <w:top w:val="nil"/>
              <w:left w:val="nil"/>
              <w:bottom w:val="single" w:sz="4" w:space="0" w:color="auto"/>
              <w:right w:val="single" w:sz="4" w:space="0" w:color="auto"/>
            </w:tcBorders>
            <w:shd w:val="clear" w:color="000000" w:fill="FFFFFF"/>
            <w:vAlign w:val="bottom"/>
            <w:hideMark/>
          </w:tcPr>
          <w:p w14:paraId="0B02B967"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ECO Brokerage Auction clearing prices by ECO obligation by auction</w:t>
            </w:r>
          </w:p>
        </w:tc>
        <w:tc>
          <w:tcPr>
            <w:tcW w:w="1154" w:type="dxa"/>
            <w:tcBorders>
              <w:top w:val="nil"/>
              <w:left w:val="nil"/>
              <w:bottom w:val="single" w:sz="4" w:space="0" w:color="auto"/>
              <w:right w:val="single" w:sz="4" w:space="0" w:color="auto"/>
            </w:tcBorders>
            <w:shd w:val="clear" w:color="000000" w:fill="FFFFFF"/>
            <w:noWrap/>
            <w:vAlign w:val="bottom"/>
            <w:hideMark/>
          </w:tcPr>
          <w:p w14:paraId="028F6370"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51E669F2"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0F7B53D8" w14:textId="77777777" w:rsidR="00AD666C" w:rsidRPr="00AD666C" w:rsidRDefault="00AD666C"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vAlign w:val="bottom"/>
          </w:tcPr>
          <w:p w14:paraId="003B3F13" w14:textId="4CDCD237" w:rsidR="00AD666C" w:rsidRPr="00AD666C" w:rsidRDefault="00AD666C" w:rsidP="00FF416E">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June 2017</w:t>
            </w:r>
          </w:p>
        </w:tc>
      </w:tr>
      <w:tr w:rsidR="007B24BA" w:rsidRPr="00AD666C" w14:paraId="65FEA81F" w14:textId="7BEF7645" w:rsidTr="00FF416E">
        <w:trPr>
          <w:trHeight w:val="52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4B0C3AC7"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lastRenderedPageBreak/>
              <w:t>Table 1.15</w:t>
            </w:r>
          </w:p>
        </w:tc>
        <w:tc>
          <w:tcPr>
            <w:tcW w:w="8595" w:type="dxa"/>
            <w:tcBorders>
              <w:top w:val="nil"/>
              <w:left w:val="nil"/>
              <w:bottom w:val="single" w:sz="4" w:space="0" w:color="auto"/>
              <w:right w:val="single" w:sz="4" w:space="0" w:color="auto"/>
            </w:tcBorders>
            <w:shd w:val="clear" w:color="000000" w:fill="FFFFFF"/>
            <w:vAlign w:val="bottom"/>
            <w:hideMark/>
          </w:tcPr>
          <w:p w14:paraId="2F37BC09"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Estimated carbon and energy savings relating to measures installed through ECO, Cashback, Green Deal Home Improvement Fund and Green Deal Plans</w:t>
            </w:r>
          </w:p>
        </w:tc>
        <w:tc>
          <w:tcPr>
            <w:tcW w:w="1154" w:type="dxa"/>
            <w:tcBorders>
              <w:top w:val="nil"/>
              <w:left w:val="nil"/>
              <w:bottom w:val="single" w:sz="4" w:space="0" w:color="auto"/>
              <w:right w:val="single" w:sz="4" w:space="0" w:color="auto"/>
            </w:tcBorders>
            <w:shd w:val="clear" w:color="000000" w:fill="FFFFFF"/>
            <w:noWrap/>
            <w:vAlign w:val="bottom"/>
            <w:hideMark/>
          </w:tcPr>
          <w:p w14:paraId="083573A6"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5A25AA2"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407BBC96"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2C992204" w14:textId="3C3A7937" w:rsidR="007B24BA" w:rsidRPr="00AD666C" w:rsidRDefault="007B24BA" w:rsidP="00FF416E">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7B24BA" w:rsidRPr="00AD666C" w14:paraId="7E1F8AB3" w14:textId="09BAB95D" w:rsidTr="00FF416E">
        <w:trPr>
          <w:trHeight w:val="52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7584A119"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1.16</w:t>
            </w:r>
          </w:p>
        </w:tc>
        <w:tc>
          <w:tcPr>
            <w:tcW w:w="8595" w:type="dxa"/>
            <w:tcBorders>
              <w:top w:val="nil"/>
              <w:left w:val="nil"/>
              <w:bottom w:val="single" w:sz="4" w:space="0" w:color="auto"/>
              <w:right w:val="single" w:sz="4" w:space="0" w:color="auto"/>
            </w:tcBorders>
            <w:shd w:val="clear" w:color="000000" w:fill="FFFFFF"/>
            <w:vAlign w:val="bottom"/>
            <w:hideMark/>
          </w:tcPr>
          <w:p w14:paraId="7C25353D"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Number of accredited Assessor organisations, Green Deal Providers, and Installer organisations' reporting where they would operate, by Lower Tier Local Authority</w:t>
            </w:r>
          </w:p>
        </w:tc>
        <w:tc>
          <w:tcPr>
            <w:tcW w:w="1154" w:type="dxa"/>
            <w:tcBorders>
              <w:top w:val="nil"/>
              <w:left w:val="nil"/>
              <w:bottom w:val="single" w:sz="4" w:space="0" w:color="auto"/>
              <w:right w:val="single" w:sz="4" w:space="0" w:color="auto"/>
            </w:tcBorders>
            <w:shd w:val="clear" w:color="000000" w:fill="FFFFFF"/>
            <w:noWrap/>
            <w:vAlign w:val="bottom"/>
            <w:hideMark/>
          </w:tcPr>
          <w:p w14:paraId="3A785A6C"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3631C56A"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2E6F47BB" w14:textId="77777777" w:rsidR="007B24BA" w:rsidRPr="00AD666C" w:rsidRDefault="007B24BA"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5B65EA51" w14:textId="2A48FC90" w:rsidR="007B24BA" w:rsidRPr="00AD666C" w:rsidRDefault="007B24BA" w:rsidP="00FF416E">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r w:rsidR="001A7457" w:rsidRPr="00AD666C" w14:paraId="71D85379" w14:textId="6FDB14D7" w:rsidTr="00FF416E">
        <w:trPr>
          <w:trHeight w:val="300"/>
        </w:trPr>
        <w:tc>
          <w:tcPr>
            <w:tcW w:w="1183" w:type="dxa"/>
            <w:tcBorders>
              <w:top w:val="nil"/>
              <w:left w:val="nil"/>
              <w:bottom w:val="single" w:sz="4" w:space="0" w:color="auto"/>
              <w:right w:val="nil"/>
            </w:tcBorders>
            <w:shd w:val="clear" w:color="000000" w:fill="FFFFFF"/>
            <w:noWrap/>
            <w:vAlign w:val="bottom"/>
            <w:hideMark/>
          </w:tcPr>
          <w:p w14:paraId="1B18F6F5" w14:textId="77777777" w:rsidR="00F917B4" w:rsidRPr="00AD666C" w:rsidRDefault="00F917B4" w:rsidP="005504A3">
            <w:pPr>
              <w:spacing w:before="0" w:after="60"/>
              <w:rPr>
                <w:rFonts w:asciiTheme="majorHAnsi" w:hAnsiTheme="majorHAnsi" w:cstheme="majorHAnsi"/>
                <w:sz w:val="22"/>
                <w:szCs w:val="22"/>
              </w:rPr>
            </w:pPr>
          </w:p>
        </w:tc>
        <w:tc>
          <w:tcPr>
            <w:tcW w:w="8595" w:type="dxa"/>
            <w:tcBorders>
              <w:top w:val="nil"/>
              <w:left w:val="nil"/>
              <w:bottom w:val="single" w:sz="4" w:space="0" w:color="auto"/>
              <w:right w:val="nil"/>
            </w:tcBorders>
            <w:shd w:val="clear" w:color="000000" w:fill="FFFFFF"/>
            <w:vAlign w:val="bottom"/>
            <w:hideMark/>
          </w:tcPr>
          <w:p w14:paraId="761AFF5A"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p w14:paraId="27C6C722" w14:textId="77777777" w:rsidR="00F917B4" w:rsidRPr="00AD666C" w:rsidRDefault="00F917B4" w:rsidP="005504A3">
            <w:pPr>
              <w:spacing w:before="0" w:after="60"/>
              <w:rPr>
                <w:rFonts w:asciiTheme="majorHAnsi" w:hAnsiTheme="majorHAnsi" w:cstheme="majorHAnsi"/>
                <w:sz w:val="22"/>
                <w:szCs w:val="22"/>
              </w:rPr>
            </w:pPr>
          </w:p>
        </w:tc>
        <w:tc>
          <w:tcPr>
            <w:tcW w:w="1154" w:type="dxa"/>
            <w:tcBorders>
              <w:top w:val="nil"/>
              <w:left w:val="nil"/>
              <w:bottom w:val="single" w:sz="4" w:space="0" w:color="auto"/>
              <w:right w:val="nil"/>
            </w:tcBorders>
            <w:shd w:val="clear" w:color="000000" w:fill="FFFFFF"/>
            <w:noWrap/>
            <w:vAlign w:val="bottom"/>
            <w:hideMark/>
          </w:tcPr>
          <w:p w14:paraId="0FD22AB0"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nil"/>
            </w:tcBorders>
            <w:shd w:val="clear" w:color="000000" w:fill="FFFFFF"/>
            <w:noWrap/>
            <w:vAlign w:val="bottom"/>
            <w:hideMark/>
          </w:tcPr>
          <w:p w14:paraId="0CBC526B"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nil"/>
            </w:tcBorders>
            <w:shd w:val="clear" w:color="000000" w:fill="FFFFFF"/>
            <w:noWrap/>
            <w:vAlign w:val="bottom"/>
            <w:hideMark/>
          </w:tcPr>
          <w:p w14:paraId="2FB29A5B"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nil"/>
            </w:tcBorders>
            <w:shd w:val="clear" w:color="000000" w:fill="FFFFFF"/>
          </w:tcPr>
          <w:p w14:paraId="42BB8021" w14:textId="77777777" w:rsidR="00F917B4" w:rsidRPr="00AD666C" w:rsidRDefault="00F917B4" w:rsidP="005504A3">
            <w:pPr>
              <w:spacing w:before="0" w:after="60"/>
              <w:rPr>
                <w:rFonts w:asciiTheme="majorHAnsi" w:hAnsiTheme="majorHAnsi" w:cstheme="majorHAnsi"/>
                <w:sz w:val="22"/>
                <w:szCs w:val="22"/>
              </w:rPr>
            </w:pPr>
          </w:p>
        </w:tc>
      </w:tr>
      <w:tr w:rsidR="001A7457" w:rsidRPr="00AD666C" w14:paraId="784BE02D" w14:textId="2E2F4DC7" w:rsidTr="00FF416E">
        <w:trPr>
          <w:trHeight w:val="600"/>
        </w:trPr>
        <w:tc>
          <w:tcPr>
            <w:tcW w:w="9778" w:type="dxa"/>
            <w:gridSpan w:val="2"/>
            <w:tcBorders>
              <w:top w:val="nil"/>
              <w:left w:val="single" w:sz="4" w:space="0" w:color="auto"/>
              <w:bottom w:val="single" w:sz="4" w:space="0" w:color="auto"/>
              <w:right w:val="single" w:sz="4" w:space="0" w:color="000000"/>
            </w:tcBorders>
            <w:shd w:val="clear" w:color="000000" w:fill="FFFFFF"/>
            <w:vAlign w:val="center"/>
            <w:hideMark/>
          </w:tcPr>
          <w:p w14:paraId="13072E90" w14:textId="77777777" w:rsidR="00F917B4" w:rsidRPr="00AD666C" w:rsidRDefault="00F917B4" w:rsidP="005504A3">
            <w:pPr>
              <w:spacing w:before="0" w:after="60"/>
              <w:rPr>
                <w:rFonts w:asciiTheme="majorHAnsi" w:hAnsiTheme="majorHAnsi" w:cstheme="majorHAnsi"/>
                <w:b/>
                <w:bCs/>
                <w:sz w:val="22"/>
                <w:szCs w:val="22"/>
              </w:rPr>
            </w:pPr>
            <w:r w:rsidRPr="00AD666C">
              <w:rPr>
                <w:rFonts w:asciiTheme="majorHAnsi" w:hAnsiTheme="majorHAnsi" w:cstheme="majorHAnsi"/>
                <w:b/>
                <w:bCs/>
                <w:sz w:val="22"/>
                <w:szCs w:val="22"/>
              </w:rPr>
              <w:t>Section 2 - Estimates of home insulation levels in Great Britain - Since March 2013</w:t>
            </w:r>
          </w:p>
        </w:tc>
        <w:tc>
          <w:tcPr>
            <w:tcW w:w="1154" w:type="dxa"/>
            <w:tcBorders>
              <w:top w:val="nil"/>
              <w:left w:val="nil"/>
              <w:bottom w:val="single" w:sz="4" w:space="0" w:color="auto"/>
              <w:right w:val="single" w:sz="4" w:space="0" w:color="auto"/>
            </w:tcBorders>
            <w:shd w:val="clear" w:color="000000" w:fill="FFFFFF"/>
            <w:vAlign w:val="bottom"/>
            <w:hideMark/>
          </w:tcPr>
          <w:p w14:paraId="1592097B" w14:textId="77777777"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Keep in detailed release</w:t>
            </w:r>
          </w:p>
        </w:tc>
        <w:tc>
          <w:tcPr>
            <w:tcW w:w="1467" w:type="dxa"/>
            <w:tcBorders>
              <w:top w:val="nil"/>
              <w:left w:val="nil"/>
              <w:bottom w:val="single" w:sz="4" w:space="0" w:color="auto"/>
              <w:right w:val="single" w:sz="4" w:space="0" w:color="auto"/>
            </w:tcBorders>
            <w:shd w:val="clear" w:color="000000" w:fill="FFFFFF"/>
            <w:vAlign w:val="bottom"/>
            <w:hideMark/>
          </w:tcPr>
          <w:p w14:paraId="1E826BE2" w14:textId="77777777"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Move to headline release</w:t>
            </w:r>
          </w:p>
        </w:tc>
        <w:tc>
          <w:tcPr>
            <w:tcW w:w="1153" w:type="dxa"/>
            <w:tcBorders>
              <w:top w:val="nil"/>
              <w:left w:val="nil"/>
              <w:bottom w:val="single" w:sz="4" w:space="0" w:color="auto"/>
              <w:right w:val="single" w:sz="4" w:space="0" w:color="auto"/>
            </w:tcBorders>
            <w:shd w:val="clear" w:color="000000" w:fill="FFFFFF"/>
            <w:vAlign w:val="bottom"/>
            <w:hideMark/>
          </w:tcPr>
          <w:p w14:paraId="0C71796C" w14:textId="77777777"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Remove</w:t>
            </w:r>
          </w:p>
        </w:tc>
        <w:tc>
          <w:tcPr>
            <w:tcW w:w="1333" w:type="dxa"/>
            <w:tcBorders>
              <w:top w:val="nil"/>
              <w:left w:val="nil"/>
              <w:bottom w:val="single" w:sz="4" w:space="0" w:color="auto"/>
              <w:right w:val="single" w:sz="4" w:space="0" w:color="auto"/>
            </w:tcBorders>
            <w:shd w:val="clear" w:color="000000" w:fill="FFFFFF"/>
          </w:tcPr>
          <w:p w14:paraId="67C79253" w14:textId="7A4BA55F" w:rsidR="00F917B4" w:rsidRPr="00AD666C" w:rsidRDefault="00FF416E"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Reported until (due to end of scheme)</w:t>
            </w:r>
          </w:p>
        </w:tc>
      </w:tr>
      <w:tr w:rsidR="001A7457" w:rsidRPr="00AD666C" w14:paraId="7ED6A1D7" w14:textId="6E455B7B"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11E4042E"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2.1</w:t>
            </w:r>
          </w:p>
        </w:tc>
        <w:tc>
          <w:tcPr>
            <w:tcW w:w="8595" w:type="dxa"/>
            <w:tcBorders>
              <w:top w:val="nil"/>
              <w:left w:val="nil"/>
              <w:bottom w:val="single" w:sz="4" w:space="0" w:color="auto"/>
              <w:right w:val="single" w:sz="4" w:space="0" w:color="auto"/>
            </w:tcBorders>
            <w:shd w:val="clear" w:color="000000" w:fill="FFFFFF"/>
            <w:vAlign w:val="bottom"/>
            <w:hideMark/>
          </w:tcPr>
          <w:p w14:paraId="7381067D"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Insulated homes in Great Britain</w:t>
            </w:r>
          </w:p>
        </w:tc>
        <w:tc>
          <w:tcPr>
            <w:tcW w:w="1154" w:type="dxa"/>
            <w:tcBorders>
              <w:top w:val="nil"/>
              <w:left w:val="nil"/>
              <w:bottom w:val="single" w:sz="4" w:space="0" w:color="auto"/>
              <w:right w:val="single" w:sz="4" w:space="0" w:color="auto"/>
            </w:tcBorders>
            <w:shd w:val="clear" w:color="000000" w:fill="FFFFFF"/>
            <w:noWrap/>
            <w:vAlign w:val="bottom"/>
            <w:hideMark/>
          </w:tcPr>
          <w:p w14:paraId="37E2E8F0"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170F1EE0"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3A202921"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75D37C02" w14:textId="0D3ADF33" w:rsidR="00FF416E" w:rsidRPr="00FF416E" w:rsidRDefault="00FF416E" w:rsidP="00FF416E">
            <w:pPr>
              <w:spacing w:before="0" w:after="60"/>
              <w:jc w:val="center"/>
              <w:rPr>
                <w:rFonts w:asciiTheme="majorHAnsi" w:hAnsiTheme="majorHAnsi" w:cstheme="majorHAnsi"/>
                <w:sz w:val="22"/>
                <w:szCs w:val="22"/>
              </w:rPr>
            </w:pPr>
            <w:r w:rsidRPr="00FF416E">
              <w:rPr>
                <w:rFonts w:asciiTheme="majorHAnsi" w:hAnsiTheme="majorHAnsi" w:cstheme="majorHAnsi"/>
                <w:sz w:val="22"/>
                <w:szCs w:val="22"/>
              </w:rPr>
              <w:t>N/A</w:t>
            </w:r>
          </w:p>
        </w:tc>
      </w:tr>
      <w:tr w:rsidR="00FF416E" w:rsidRPr="00AD666C" w14:paraId="24646E0F" w14:textId="4D49625F"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0B0BA08E" w14:textId="7747815E"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2.2</w:t>
            </w:r>
          </w:p>
        </w:tc>
        <w:tc>
          <w:tcPr>
            <w:tcW w:w="8595" w:type="dxa"/>
            <w:tcBorders>
              <w:top w:val="nil"/>
              <w:left w:val="nil"/>
              <w:bottom w:val="single" w:sz="4" w:space="0" w:color="auto"/>
              <w:right w:val="single" w:sz="4" w:space="0" w:color="auto"/>
            </w:tcBorders>
            <w:shd w:val="clear" w:color="000000" w:fill="FFFFFF"/>
            <w:vAlign w:val="bottom"/>
            <w:hideMark/>
          </w:tcPr>
          <w:p w14:paraId="581B2D31"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Insulated homes in Great Britain by source</w:t>
            </w:r>
          </w:p>
        </w:tc>
        <w:tc>
          <w:tcPr>
            <w:tcW w:w="1154" w:type="dxa"/>
            <w:tcBorders>
              <w:top w:val="nil"/>
              <w:left w:val="nil"/>
              <w:bottom w:val="single" w:sz="4" w:space="0" w:color="auto"/>
              <w:right w:val="single" w:sz="4" w:space="0" w:color="auto"/>
            </w:tcBorders>
            <w:shd w:val="clear" w:color="000000" w:fill="FFFFFF"/>
            <w:noWrap/>
            <w:vAlign w:val="bottom"/>
            <w:hideMark/>
          </w:tcPr>
          <w:p w14:paraId="25A1A730"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4597B5FA"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682D13FB"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134FA3EA" w14:textId="5B505920" w:rsidR="00FF416E" w:rsidRPr="00FF416E" w:rsidRDefault="00FF416E" w:rsidP="00FF416E">
            <w:pPr>
              <w:spacing w:before="0" w:after="60"/>
              <w:jc w:val="center"/>
              <w:rPr>
                <w:rFonts w:asciiTheme="majorHAnsi" w:hAnsiTheme="majorHAnsi" w:cstheme="majorHAnsi"/>
                <w:sz w:val="22"/>
                <w:szCs w:val="22"/>
              </w:rPr>
            </w:pPr>
            <w:r w:rsidRPr="00FF416E">
              <w:rPr>
                <w:rFonts w:asciiTheme="majorHAnsi" w:hAnsiTheme="majorHAnsi" w:cstheme="majorHAnsi"/>
                <w:sz w:val="22"/>
                <w:szCs w:val="22"/>
              </w:rPr>
              <w:t>N/A</w:t>
            </w:r>
          </w:p>
        </w:tc>
      </w:tr>
      <w:tr w:rsidR="00FF416E" w:rsidRPr="00AD666C" w14:paraId="4A7E97C1" w14:textId="715013D5"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3BDF022D"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2.2a</w:t>
            </w:r>
          </w:p>
        </w:tc>
        <w:tc>
          <w:tcPr>
            <w:tcW w:w="8595" w:type="dxa"/>
            <w:tcBorders>
              <w:top w:val="nil"/>
              <w:left w:val="nil"/>
              <w:bottom w:val="single" w:sz="4" w:space="0" w:color="auto"/>
              <w:right w:val="single" w:sz="4" w:space="0" w:color="auto"/>
            </w:tcBorders>
            <w:shd w:val="clear" w:color="000000" w:fill="FFFFFF"/>
            <w:vAlign w:val="bottom"/>
            <w:hideMark/>
          </w:tcPr>
          <w:p w14:paraId="7563522F"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Government scheme delivery</w:t>
            </w:r>
          </w:p>
        </w:tc>
        <w:tc>
          <w:tcPr>
            <w:tcW w:w="1154" w:type="dxa"/>
            <w:tcBorders>
              <w:top w:val="nil"/>
              <w:left w:val="nil"/>
              <w:bottom w:val="single" w:sz="4" w:space="0" w:color="auto"/>
              <w:right w:val="single" w:sz="4" w:space="0" w:color="auto"/>
            </w:tcBorders>
            <w:shd w:val="clear" w:color="000000" w:fill="FFFFFF"/>
            <w:noWrap/>
            <w:vAlign w:val="bottom"/>
            <w:hideMark/>
          </w:tcPr>
          <w:p w14:paraId="7E54CD1B"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164D8490"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36E3569D"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2815CBB1" w14:textId="347802EF" w:rsidR="00FF416E" w:rsidRPr="00FF416E" w:rsidRDefault="00FF416E" w:rsidP="00FF416E">
            <w:pPr>
              <w:spacing w:before="0" w:after="60"/>
              <w:jc w:val="center"/>
              <w:rPr>
                <w:rFonts w:asciiTheme="majorHAnsi" w:hAnsiTheme="majorHAnsi" w:cstheme="majorHAnsi"/>
                <w:sz w:val="22"/>
                <w:szCs w:val="22"/>
              </w:rPr>
            </w:pPr>
            <w:r w:rsidRPr="00FF416E">
              <w:rPr>
                <w:rFonts w:asciiTheme="majorHAnsi" w:hAnsiTheme="majorHAnsi" w:cstheme="majorHAnsi"/>
                <w:sz w:val="22"/>
                <w:szCs w:val="22"/>
              </w:rPr>
              <w:t>N/A</w:t>
            </w:r>
          </w:p>
        </w:tc>
      </w:tr>
      <w:tr w:rsidR="00FF416E" w:rsidRPr="00AD666C" w14:paraId="30F33D73" w14:textId="6733FBC6"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7590B554"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2.3</w:t>
            </w:r>
          </w:p>
        </w:tc>
        <w:tc>
          <w:tcPr>
            <w:tcW w:w="8595" w:type="dxa"/>
            <w:tcBorders>
              <w:top w:val="nil"/>
              <w:left w:val="nil"/>
              <w:bottom w:val="single" w:sz="4" w:space="0" w:color="auto"/>
              <w:right w:val="single" w:sz="4" w:space="0" w:color="auto"/>
            </w:tcBorders>
            <w:shd w:val="clear" w:color="000000" w:fill="FFFFFF"/>
            <w:vAlign w:val="bottom"/>
            <w:hideMark/>
          </w:tcPr>
          <w:p w14:paraId="4B895F23"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Cavity wall insulation</w:t>
            </w:r>
          </w:p>
        </w:tc>
        <w:tc>
          <w:tcPr>
            <w:tcW w:w="1154" w:type="dxa"/>
            <w:tcBorders>
              <w:top w:val="nil"/>
              <w:left w:val="nil"/>
              <w:bottom w:val="single" w:sz="4" w:space="0" w:color="auto"/>
              <w:right w:val="single" w:sz="4" w:space="0" w:color="auto"/>
            </w:tcBorders>
            <w:shd w:val="clear" w:color="000000" w:fill="FFFFFF"/>
            <w:noWrap/>
            <w:vAlign w:val="bottom"/>
            <w:hideMark/>
          </w:tcPr>
          <w:p w14:paraId="701392B6"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39F03785"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4F8EB644"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504EB6CB" w14:textId="7B154A49" w:rsidR="00FF416E" w:rsidRPr="00FF416E" w:rsidRDefault="00FF416E" w:rsidP="00FF416E">
            <w:pPr>
              <w:spacing w:before="0" w:after="60"/>
              <w:jc w:val="center"/>
              <w:rPr>
                <w:rFonts w:asciiTheme="majorHAnsi" w:hAnsiTheme="majorHAnsi" w:cstheme="majorHAnsi"/>
                <w:sz w:val="22"/>
                <w:szCs w:val="22"/>
              </w:rPr>
            </w:pPr>
            <w:r w:rsidRPr="00FF416E">
              <w:rPr>
                <w:rFonts w:asciiTheme="majorHAnsi" w:hAnsiTheme="majorHAnsi" w:cstheme="majorHAnsi"/>
                <w:sz w:val="22"/>
                <w:szCs w:val="22"/>
              </w:rPr>
              <w:t>N/A</w:t>
            </w:r>
          </w:p>
        </w:tc>
      </w:tr>
      <w:tr w:rsidR="00FF416E" w:rsidRPr="00AD666C" w14:paraId="6A9DC2CD" w14:textId="76C757BE"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7E892A15"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2.4</w:t>
            </w:r>
          </w:p>
        </w:tc>
        <w:tc>
          <w:tcPr>
            <w:tcW w:w="8595" w:type="dxa"/>
            <w:tcBorders>
              <w:top w:val="nil"/>
              <w:left w:val="nil"/>
              <w:bottom w:val="single" w:sz="4" w:space="0" w:color="auto"/>
              <w:right w:val="single" w:sz="4" w:space="0" w:color="auto"/>
            </w:tcBorders>
            <w:shd w:val="clear" w:color="000000" w:fill="FFFFFF"/>
            <w:vAlign w:val="bottom"/>
            <w:hideMark/>
          </w:tcPr>
          <w:p w14:paraId="6F206881"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Loft insulation</w:t>
            </w:r>
          </w:p>
        </w:tc>
        <w:tc>
          <w:tcPr>
            <w:tcW w:w="1154" w:type="dxa"/>
            <w:tcBorders>
              <w:top w:val="nil"/>
              <w:left w:val="nil"/>
              <w:bottom w:val="single" w:sz="4" w:space="0" w:color="auto"/>
              <w:right w:val="single" w:sz="4" w:space="0" w:color="auto"/>
            </w:tcBorders>
            <w:shd w:val="clear" w:color="000000" w:fill="FFFFFF"/>
            <w:noWrap/>
            <w:vAlign w:val="bottom"/>
            <w:hideMark/>
          </w:tcPr>
          <w:p w14:paraId="495606E3"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4530D35"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012E5C76"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587E1799" w14:textId="7ACFCCF3" w:rsidR="00FF416E" w:rsidRPr="00FF416E" w:rsidRDefault="00FF416E" w:rsidP="00FF416E">
            <w:pPr>
              <w:spacing w:before="0" w:after="60"/>
              <w:jc w:val="center"/>
              <w:rPr>
                <w:rFonts w:asciiTheme="majorHAnsi" w:hAnsiTheme="majorHAnsi" w:cstheme="majorHAnsi"/>
                <w:sz w:val="22"/>
                <w:szCs w:val="22"/>
              </w:rPr>
            </w:pPr>
            <w:r w:rsidRPr="00FF416E">
              <w:rPr>
                <w:rFonts w:asciiTheme="majorHAnsi" w:hAnsiTheme="majorHAnsi" w:cstheme="majorHAnsi"/>
                <w:sz w:val="22"/>
                <w:szCs w:val="22"/>
              </w:rPr>
              <w:t>N/A</w:t>
            </w:r>
          </w:p>
        </w:tc>
      </w:tr>
      <w:tr w:rsidR="00FF416E" w:rsidRPr="00AD666C" w14:paraId="0C40CE83" w14:textId="785C20EB"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41472B8F"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2.5</w:t>
            </w:r>
          </w:p>
        </w:tc>
        <w:tc>
          <w:tcPr>
            <w:tcW w:w="8595" w:type="dxa"/>
            <w:tcBorders>
              <w:top w:val="nil"/>
              <w:left w:val="nil"/>
              <w:bottom w:val="single" w:sz="4" w:space="0" w:color="auto"/>
              <w:right w:val="single" w:sz="4" w:space="0" w:color="auto"/>
            </w:tcBorders>
            <w:shd w:val="clear" w:color="000000" w:fill="FFFFFF"/>
            <w:vAlign w:val="bottom"/>
            <w:hideMark/>
          </w:tcPr>
          <w:p w14:paraId="625EE045"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Solid wall insulation</w:t>
            </w:r>
          </w:p>
        </w:tc>
        <w:tc>
          <w:tcPr>
            <w:tcW w:w="1154" w:type="dxa"/>
            <w:tcBorders>
              <w:top w:val="nil"/>
              <w:left w:val="nil"/>
              <w:bottom w:val="single" w:sz="4" w:space="0" w:color="auto"/>
              <w:right w:val="single" w:sz="4" w:space="0" w:color="auto"/>
            </w:tcBorders>
            <w:shd w:val="clear" w:color="000000" w:fill="FFFFFF"/>
            <w:noWrap/>
            <w:vAlign w:val="bottom"/>
            <w:hideMark/>
          </w:tcPr>
          <w:p w14:paraId="6CCE904E"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4B82E6FD"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77E44BE7"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0167DD7F" w14:textId="10F67ED7" w:rsidR="00FF416E" w:rsidRPr="00FF416E" w:rsidRDefault="00FF416E" w:rsidP="00FF416E">
            <w:pPr>
              <w:spacing w:before="0" w:after="60"/>
              <w:jc w:val="center"/>
              <w:rPr>
                <w:rFonts w:asciiTheme="majorHAnsi" w:hAnsiTheme="majorHAnsi" w:cstheme="majorHAnsi"/>
                <w:sz w:val="22"/>
                <w:szCs w:val="22"/>
              </w:rPr>
            </w:pPr>
            <w:r w:rsidRPr="00FF416E">
              <w:rPr>
                <w:rFonts w:asciiTheme="majorHAnsi" w:hAnsiTheme="majorHAnsi" w:cstheme="majorHAnsi"/>
                <w:sz w:val="22"/>
                <w:szCs w:val="22"/>
              </w:rPr>
              <w:t>N/A</w:t>
            </w:r>
          </w:p>
        </w:tc>
      </w:tr>
      <w:tr w:rsidR="00FF416E" w:rsidRPr="00AD666C" w14:paraId="5467BBEA" w14:textId="08A909DC"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D3F3927"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2.6</w:t>
            </w:r>
          </w:p>
        </w:tc>
        <w:tc>
          <w:tcPr>
            <w:tcW w:w="8595" w:type="dxa"/>
            <w:tcBorders>
              <w:top w:val="nil"/>
              <w:left w:val="nil"/>
              <w:bottom w:val="single" w:sz="4" w:space="0" w:color="auto"/>
              <w:right w:val="single" w:sz="4" w:space="0" w:color="auto"/>
            </w:tcBorders>
            <w:shd w:val="clear" w:color="000000" w:fill="FFFFFF"/>
            <w:vAlign w:val="bottom"/>
            <w:hideMark/>
          </w:tcPr>
          <w:p w14:paraId="6D806488"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Cavity wall insulation remaining potential (including a split by easy and hard to treat properties)</w:t>
            </w:r>
          </w:p>
        </w:tc>
        <w:tc>
          <w:tcPr>
            <w:tcW w:w="1154" w:type="dxa"/>
            <w:tcBorders>
              <w:top w:val="nil"/>
              <w:left w:val="nil"/>
              <w:bottom w:val="single" w:sz="4" w:space="0" w:color="auto"/>
              <w:right w:val="single" w:sz="4" w:space="0" w:color="auto"/>
            </w:tcBorders>
            <w:shd w:val="clear" w:color="000000" w:fill="FFFFFF"/>
            <w:noWrap/>
            <w:vAlign w:val="bottom"/>
            <w:hideMark/>
          </w:tcPr>
          <w:p w14:paraId="719DADAA"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491C4121"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5BFB57E4"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57EC03A7" w14:textId="5B6CBB9F" w:rsidR="00FF416E" w:rsidRPr="00FF416E" w:rsidRDefault="00FF416E" w:rsidP="00FF416E">
            <w:pPr>
              <w:spacing w:before="0" w:after="60"/>
              <w:jc w:val="center"/>
              <w:rPr>
                <w:rFonts w:asciiTheme="majorHAnsi" w:hAnsiTheme="majorHAnsi" w:cstheme="majorHAnsi"/>
                <w:sz w:val="22"/>
                <w:szCs w:val="22"/>
              </w:rPr>
            </w:pPr>
            <w:r w:rsidRPr="00FF416E">
              <w:rPr>
                <w:rFonts w:asciiTheme="majorHAnsi" w:hAnsiTheme="majorHAnsi" w:cstheme="majorHAnsi"/>
                <w:sz w:val="22"/>
                <w:szCs w:val="22"/>
              </w:rPr>
              <w:t>N/A</w:t>
            </w:r>
          </w:p>
        </w:tc>
      </w:tr>
      <w:tr w:rsidR="00FF416E" w:rsidRPr="00AD666C" w14:paraId="0358F412" w14:textId="145514FF" w:rsidTr="00FF416E">
        <w:trPr>
          <w:trHeight w:val="300"/>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2AA0E40A"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2.7</w:t>
            </w:r>
          </w:p>
        </w:tc>
        <w:tc>
          <w:tcPr>
            <w:tcW w:w="8595" w:type="dxa"/>
            <w:tcBorders>
              <w:top w:val="nil"/>
              <w:left w:val="nil"/>
              <w:bottom w:val="single" w:sz="4" w:space="0" w:color="auto"/>
              <w:right w:val="single" w:sz="4" w:space="0" w:color="auto"/>
            </w:tcBorders>
            <w:shd w:val="clear" w:color="000000" w:fill="FFFFFF"/>
            <w:vAlign w:val="bottom"/>
            <w:hideMark/>
          </w:tcPr>
          <w:p w14:paraId="795919EA"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Loft insulation remaining potential (including a split by easy and hard to treat properties)</w:t>
            </w:r>
          </w:p>
        </w:tc>
        <w:tc>
          <w:tcPr>
            <w:tcW w:w="1154" w:type="dxa"/>
            <w:tcBorders>
              <w:top w:val="nil"/>
              <w:left w:val="nil"/>
              <w:bottom w:val="single" w:sz="4" w:space="0" w:color="auto"/>
              <w:right w:val="single" w:sz="4" w:space="0" w:color="auto"/>
            </w:tcBorders>
            <w:shd w:val="clear" w:color="000000" w:fill="FFFFFF"/>
            <w:noWrap/>
            <w:vAlign w:val="bottom"/>
            <w:hideMark/>
          </w:tcPr>
          <w:p w14:paraId="6A440E61"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4FE8A07D"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2A61C1EA" w14:textId="77777777" w:rsidR="00FF416E" w:rsidRPr="00AD666C" w:rsidRDefault="00FF416E"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1F13250C" w14:textId="7566A178" w:rsidR="00FF416E" w:rsidRPr="00FF416E" w:rsidRDefault="00FF416E" w:rsidP="00FF416E">
            <w:pPr>
              <w:spacing w:before="0" w:after="60"/>
              <w:jc w:val="center"/>
              <w:rPr>
                <w:rFonts w:asciiTheme="majorHAnsi" w:hAnsiTheme="majorHAnsi" w:cstheme="majorHAnsi"/>
                <w:sz w:val="22"/>
                <w:szCs w:val="22"/>
              </w:rPr>
            </w:pPr>
            <w:r w:rsidRPr="00FF416E">
              <w:rPr>
                <w:rFonts w:asciiTheme="majorHAnsi" w:hAnsiTheme="majorHAnsi" w:cstheme="majorHAnsi"/>
                <w:sz w:val="22"/>
                <w:szCs w:val="22"/>
              </w:rPr>
              <w:t>N/A</w:t>
            </w:r>
          </w:p>
        </w:tc>
      </w:tr>
      <w:tr w:rsidR="001A7457" w:rsidRPr="00AD666C" w14:paraId="683BF3A8" w14:textId="3C810FDB" w:rsidTr="00FF416E">
        <w:trPr>
          <w:trHeight w:val="300"/>
        </w:trPr>
        <w:tc>
          <w:tcPr>
            <w:tcW w:w="1183" w:type="dxa"/>
            <w:tcBorders>
              <w:top w:val="single" w:sz="4" w:space="0" w:color="auto"/>
              <w:left w:val="nil"/>
              <w:bottom w:val="single" w:sz="4" w:space="0" w:color="auto"/>
              <w:right w:val="nil"/>
            </w:tcBorders>
            <w:shd w:val="clear" w:color="000000" w:fill="FFFFFF"/>
            <w:noWrap/>
            <w:vAlign w:val="bottom"/>
            <w:hideMark/>
          </w:tcPr>
          <w:p w14:paraId="069803A6"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8595" w:type="dxa"/>
            <w:tcBorders>
              <w:top w:val="single" w:sz="4" w:space="0" w:color="auto"/>
              <w:left w:val="nil"/>
              <w:bottom w:val="single" w:sz="4" w:space="0" w:color="auto"/>
              <w:right w:val="nil"/>
            </w:tcBorders>
            <w:shd w:val="clear" w:color="000000" w:fill="FFFFFF"/>
            <w:vAlign w:val="bottom"/>
            <w:hideMark/>
          </w:tcPr>
          <w:p w14:paraId="10D0B81F"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4" w:type="dxa"/>
            <w:tcBorders>
              <w:top w:val="nil"/>
              <w:left w:val="nil"/>
              <w:bottom w:val="single" w:sz="4" w:space="0" w:color="auto"/>
              <w:right w:val="nil"/>
            </w:tcBorders>
            <w:shd w:val="clear" w:color="000000" w:fill="FFFFFF"/>
            <w:noWrap/>
            <w:vAlign w:val="bottom"/>
            <w:hideMark/>
          </w:tcPr>
          <w:p w14:paraId="3234354F"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nil"/>
            </w:tcBorders>
            <w:shd w:val="clear" w:color="000000" w:fill="FFFFFF"/>
            <w:noWrap/>
            <w:vAlign w:val="bottom"/>
            <w:hideMark/>
          </w:tcPr>
          <w:p w14:paraId="17EDEC72"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nil"/>
            </w:tcBorders>
            <w:shd w:val="clear" w:color="000000" w:fill="FFFFFF"/>
            <w:noWrap/>
            <w:vAlign w:val="bottom"/>
            <w:hideMark/>
          </w:tcPr>
          <w:p w14:paraId="1D94959A"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nil"/>
            </w:tcBorders>
            <w:shd w:val="clear" w:color="000000" w:fill="FFFFFF"/>
          </w:tcPr>
          <w:p w14:paraId="3E4A1DE0" w14:textId="77777777" w:rsidR="00F917B4" w:rsidRPr="00AD666C" w:rsidRDefault="00F917B4" w:rsidP="005504A3">
            <w:pPr>
              <w:spacing w:before="0" w:after="60"/>
              <w:rPr>
                <w:rFonts w:asciiTheme="majorHAnsi" w:hAnsiTheme="majorHAnsi" w:cstheme="majorHAnsi"/>
                <w:sz w:val="22"/>
                <w:szCs w:val="22"/>
              </w:rPr>
            </w:pPr>
          </w:p>
        </w:tc>
      </w:tr>
      <w:tr w:rsidR="001A7457" w:rsidRPr="00AD666C" w14:paraId="2CD4A4F5" w14:textId="3C68E1A2" w:rsidTr="00FF416E">
        <w:trPr>
          <w:trHeight w:val="525"/>
        </w:trPr>
        <w:tc>
          <w:tcPr>
            <w:tcW w:w="9778"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FF7581" w14:textId="77777777" w:rsidR="00F917B4" w:rsidRPr="00AD666C" w:rsidRDefault="00F917B4" w:rsidP="005504A3">
            <w:pPr>
              <w:spacing w:before="0" w:after="60"/>
              <w:rPr>
                <w:rFonts w:asciiTheme="majorHAnsi" w:hAnsiTheme="majorHAnsi" w:cstheme="majorHAnsi"/>
                <w:b/>
                <w:bCs/>
                <w:sz w:val="22"/>
                <w:szCs w:val="22"/>
              </w:rPr>
            </w:pPr>
            <w:r w:rsidRPr="00AD666C">
              <w:rPr>
                <w:rFonts w:asciiTheme="majorHAnsi" w:hAnsiTheme="majorHAnsi" w:cstheme="majorHAnsi"/>
                <w:b/>
                <w:bCs/>
                <w:sz w:val="22"/>
                <w:szCs w:val="22"/>
              </w:rPr>
              <w:t>Annex C - Household Energy Efficiency Schemes</w:t>
            </w:r>
          </w:p>
        </w:tc>
        <w:tc>
          <w:tcPr>
            <w:tcW w:w="1154" w:type="dxa"/>
            <w:tcBorders>
              <w:top w:val="nil"/>
              <w:left w:val="nil"/>
              <w:bottom w:val="single" w:sz="4" w:space="0" w:color="auto"/>
              <w:right w:val="single" w:sz="4" w:space="0" w:color="auto"/>
            </w:tcBorders>
            <w:shd w:val="clear" w:color="000000" w:fill="FFFFFF"/>
            <w:vAlign w:val="bottom"/>
            <w:hideMark/>
          </w:tcPr>
          <w:p w14:paraId="094BD146" w14:textId="77777777"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Keep in detailed release</w:t>
            </w:r>
          </w:p>
        </w:tc>
        <w:tc>
          <w:tcPr>
            <w:tcW w:w="1467" w:type="dxa"/>
            <w:tcBorders>
              <w:top w:val="nil"/>
              <w:left w:val="nil"/>
              <w:bottom w:val="single" w:sz="4" w:space="0" w:color="auto"/>
              <w:right w:val="single" w:sz="4" w:space="0" w:color="auto"/>
            </w:tcBorders>
            <w:shd w:val="clear" w:color="000000" w:fill="FFFFFF"/>
            <w:vAlign w:val="bottom"/>
            <w:hideMark/>
          </w:tcPr>
          <w:p w14:paraId="3CA82420" w14:textId="77777777"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Move to headline release</w:t>
            </w:r>
          </w:p>
        </w:tc>
        <w:tc>
          <w:tcPr>
            <w:tcW w:w="1153" w:type="dxa"/>
            <w:tcBorders>
              <w:top w:val="nil"/>
              <w:left w:val="nil"/>
              <w:bottom w:val="single" w:sz="4" w:space="0" w:color="auto"/>
              <w:right w:val="single" w:sz="4" w:space="0" w:color="auto"/>
            </w:tcBorders>
            <w:shd w:val="clear" w:color="000000" w:fill="FFFFFF"/>
            <w:vAlign w:val="bottom"/>
            <w:hideMark/>
          </w:tcPr>
          <w:p w14:paraId="197EB439" w14:textId="77777777" w:rsidR="00F917B4" w:rsidRPr="00AD666C" w:rsidRDefault="00F917B4"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Remove</w:t>
            </w:r>
          </w:p>
        </w:tc>
        <w:tc>
          <w:tcPr>
            <w:tcW w:w="1333" w:type="dxa"/>
            <w:tcBorders>
              <w:top w:val="nil"/>
              <w:left w:val="nil"/>
              <w:bottom w:val="single" w:sz="4" w:space="0" w:color="auto"/>
              <w:right w:val="single" w:sz="4" w:space="0" w:color="auto"/>
            </w:tcBorders>
            <w:shd w:val="clear" w:color="000000" w:fill="FFFFFF"/>
          </w:tcPr>
          <w:p w14:paraId="1EA4D3BA" w14:textId="02E697DE" w:rsidR="00F917B4" w:rsidRPr="00AD666C" w:rsidRDefault="00FF416E" w:rsidP="005504A3">
            <w:pPr>
              <w:spacing w:before="0" w:after="60"/>
              <w:jc w:val="center"/>
              <w:rPr>
                <w:rFonts w:asciiTheme="majorHAnsi" w:hAnsiTheme="majorHAnsi" w:cstheme="majorHAnsi"/>
                <w:b/>
                <w:bCs/>
                <w:sz w:val="22"/>
                <w:szCs w:val="22"/>
              </w:rPr>
            </w:pPr>
            <w:r w:rsidRPr="00AD666C">
              <w:rPr>
                <w:rFonts w:asciiTheme="majorHAnsi" w:hAnsiTheme="majorHAnsi" w:cstheme="majorHAnsi"/>
                <w:b/>
                <w:bCs/>
                <w:sz w:val="22"/>
                <w:szCs w:val="22"/>
              </w:rPr>
              <w:t>Reported until (due to end of scheme)</w:t>
            </w:r>
          </w:p>
        </w:tc>
      </w:tr>
      <w:tr w:rsidR="001A7457" w:rsidRPr="00AD666C" w14:paraId="50C7D48D" w14:textId="345B522D" w:rsidTr="00FF416E">
        <w:trPr>
          <w:trHeight w:val="585"/>
        </w:trPr>
        <w:tc>
          <w:tcPr>
            <w:tcW w:w="1183" w:type="dxa"/>
            <w:tcBorders>
              <w:top w:val="nil"/>
              <w:left w:val="single" w:sz="4" w:space="0" w:color="auto"/>
              <w:bottom w:val="single" w:sz="4" w:space="0" w:color="auto"/>
              <w:right w:val="single" w:sz="4" w:space="0" w:color="auto"/>
            </w:tcBorders>
            <w:shd w:val="clear" w:color="000000" w:fill="FFFFFF"/>
            <w:noWrap/>
            <w:vAlign w:val="bottom"/>
            <w:hideMark/>
          </w:tcPr>
          <w:p w14:paraId="74C911F5"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Table C1</w:t>
            </w:r>
          </w:p>
        </w:tc>
        <w:tc>
          <w:tcPr>
            <w:tcW w:w="8595" w:type="dxa"/>
            <w:tcBorders>
              <w:top w:val="nil"/>
              <w:left w:val="nil"/>
              <w:bottom w:val="single" w:sz="4" w:space="0" w:color="auto"/>
              <w:right w:val="single" w:sz="4" w:space="0" w:color="auto"/>
            </w:tcBorders>
            <w:shd w:val="clear" w:color="000000" w:fill="FFFFFF"/>
            <w:vAlign w:val="bottom"/>
            <w:hideMark/>
          </w:tcPr>
          <w:p w14:paraId="60C2E4BB"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Provisional number of individual households that have had measures installed through ECO, Cashback, using Green Deal Finance, GDHIF, benefitting from Feed-in Tariffs, Renewable Heat Premium Payment, Domestic Renewable Heat Incentive, by quarter of installation</w:t>
            </w:r>
          </w:p>
        </w:tc>
        <w:tc>
          <w:tcPr>
            <w:tcW w:w="1154" w:type="dxa"/>
            <w:tcBorders>
              <w:top w:val="nil"/>
              <w:left w:val="nil"/>
              <w:bottom w:val="single" w:sz="4" w:space="0" w:color="auto"/>
              <w:right w:val="single" w:sz="4" w:space="0" w:color="auto"/>
            </w:tcBorders>
            <w:shd w:val="clear" w:color="000000" w:fill="FFFFFF"/>
            <w:noWrap/>
            <w:vAlign w:val="bottom"/>
            <w:hideMark/>
          </w:tcPr>
          <w:p w14:paraId="2FCDB606"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467" w:type="dxa"/>
            <w:tcBorders>
              <w:top w:val="nil"/>
              <w:left w:val="nil"/>
              <w:bottom w:val="single" w:sz="4" w:space="0" w:color="auto"/>
              <w:right w:val="single" w:sz="4" w:space="0" w:color="auto"/>
            </w:tcBorders>
            <w:shd w:val="clear" w:color="000000" w:fill="FFFFFF"/>
            <w:noWrap/>
            <w:vAlign w:val="bottom"/>
            <w:hideMark/>
          </w:tcPr>
          <w:p w14:paraId="01CCC0BA"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153" w:type="dxa"/>
            <w:tcBorders>
              <w:top w:val="nil"/>
              <w:left w:val="nil"/>
              <w:bottom w:val="single" w:sz="4" w:space="0" w:color="auto"/>
              <w:right w:val="single" w:sz="4" w:space="0" w:color="auto"/>
            </w:tcBorders>
            <w:shd w:val="clear" w:color="000000" w:fill="FFFFFF"/>
            <w:noWrap/>
            <w:vAlign w:val="bottom"/>
            <w:hideMark/>
          </w:tcPr>
          <w:p w14:paraId="270A4A0E" w14:textId="77777777" w:rsidR="00F917B4" w:rsidRPr="00AD666C" w:rsidRDefault="00F917B4" w:rsidP="005504A3">
            <w:pPr>
              <w:spacing w:before="0" w:after="60"/>
              <w:rPr>
                <w:rFonts w:asciiTheme="majorHAnsi" w:hAnsiTheme="majorHAnsi" w:cstheme="majorHAnsi"/>
                <w:sz w:val="22"/>
                <w:szCs w:val="22"/>
              </w:rPr>
            </w:pPr>
            <w:r w:rsidRPr="00AD666C">
              <w:rPr>
                <w:rFonts w:asciiTheme="majorHAnsi" w:hAnsiTheme="majorHAnsi" w:cstheme="majorHAnsi"/>
                <w:sz w:val="22"/>
                <w:szCs w:val="22"/>
              </w:rPr>
              <w:t> </w:t>
            </w:r>
          </w:p>
        </w:tc>
        <w:tc>
          <w:tcPr>
            <w:tcW w:w="1333" w:type="dxa"/>
            <w:tcBorders>
              <w:top w:val="nil"/>
              <w:left w:val="nil"/>
              <w:bottom w:val="single" w:sz="4" w:space="0" w:color="auto"/>
              <w:right w:val="single" w:sz="4" w:space="0" w:color="auto"/>
            </w:tcBorders>
            <w:shd w:val="clear" w:color="000000" w:fill="FFFFFF"/>
          </w:tcPr>
          <w:p w14:paraId="2E6C4664" w14:textId="47687A09" w:rsidR="00F917B4" w:rsidRPr="00AD666C" w:rsidRDefault="00FF416E" w:rsidP="00FF416E">
            <w:pPr>
              <w:spacing w:before="0" w:after="60"/>
              <w:jc w:val="center"/>
              <w:rPr>
                <w:rFonts w:asciiTheme="majorHAnsi" w:hAnsiTheme="majorHAnsi" w:cstheme="majorHAnsi"/>
                <w:sz w:val="22"/>
                <w:szCs w:val="22"/>
              </w:rPr>
            </w:pPr>
            <w:r w:rsidRPr="00AD666C">
              <w:rPr>
                <w:rFonts w:asciiTheme="majorHAnsi" w:hAnsiTheme="majorHAnsi" w:cstheme="majorHAnsi"/>
                <w:sz w:val="22"/>
                <w:szCs w:val="22"/>
              </w:rPr>
              <w:t>No end date</w:t>
            </w:r>
          </w:p>
        </w:tc>
      </w:tr>
    </w:tbl>
    <w:p w14:paraId="3BB24EA3" w14:textId="605A1C78" w:rsidR="00084473" w:rsidRDefault="00B62385" w:rsidP="00B62385">
      <w:pPr>
        <w:autoSpaceDE/>
        <w:autoSpaceDN/>
        <w:adjustRightInd/>
        <w:spacing w:before="0" w:after="0" w:line="240" w:lineRule="auto"/>
      </w:pPr>
      <w:r>
        <w:t xml:space="preserve"> </w:t>
      </w:r>
    </w:p>
    <w:p w14:paraId="77B9F4D0" w14:textId="77777777" w:rsidR="000B6352" w:rsidRDefault="000B6352" w:rsidP="00D236C3"/>
    <w:p w14:paraId="2C381D82" w14:textId="77777777" w:rsidR="00635F33" w:rsidRDefault="00635F33" w:rsidP="00D24B2F">
      <w:pPr>
        <w:pStyle w:val="Heading1"/>
        <w:sectPr w:rsidR="00635F33" w:rsidSect="00471713">
          <w:pgSz w:w="16838" w:h="11906" w:orient="landscape" w:code="9"/>
          <w:pgMar w:top="907" w:right="907" w:bottom="907" w:left="1701" w:header="680" w:footer="680" w:gutter="0"/>
          <w:cols w:space="720"/>
          <w:titlePg/>
        </w:sectPr>
      </w:pPr>
    </w:p>
    <w:p w14:paraId="27E3E32D" w14:textId="662ECB3F" w:rsidR="00D24B2F" w:rsidRPr="00285D29" w:rsidRDefault="00D24B2F" w:rsidP="00D24B2F">
      <w:pPr>
        <w:pStyle w:val="Heading1"/>
      </w:pPr>
      <w:bookmarkStart w:id="15" w:name="_Annex_B:_Your"/>
      <w:bookmarkStart w:id="16" w:name="_Toc427590046"/>
      <w:bookmarkEnd w:id="15"/>
      <w:r>
        <w:lastRenderedPageBreak/>
        <w:t>Annex B: Your details</w:t>
      </w:r>
      <w:bookmarkEnd w:id="16"/>
    </w:p>
    <w:p w14:paraId="6247BEEE" w14:textId="5B435445" w:rsidR="001E716F" w:rsidRDefault="001E716F" w:rsidP="00524C2E">
      <w:pPr>
        <w:pStyle w:val="DECCIntrotext"/>
      </w:pPr>
      <w:r>
        <w:t>This user consultation requires you to provide some bas</w:t>
      </w:r>
      <w:r w:rsidR="00D12D93">
        <w:t>ic information relating to you.</w:t>
      </w:r>
      <w:r>
        <w:t xml:space="preserve"> </w:t>
      </w:r>
    </w:p>
    <w:p w14:paraId="7C1C7502" w14:textId="7B3C8FB0" w:rsidR="008454F1" w:rsidRDefault="008454F1" w:rsidP="00EB43AE">
      <w:pPr>
        <w:pStyle w:val="BodyText"/>
        <w:jc w:val="both"/>
      </w:pPr>
      <w:r>
        <w:t>This section is to help improve DECC’s understanding on who uses these statistics. Information in this section will not be published, will be handled securely and not shared with any third parties.</w:t>
      </w:r>
    </w:p>
    <w:p w14:paraId="73B5F676" w14:textId="77777777" w:rsidR="00015C4E" w:rsidRDefault="00015C4E" w:rsidP="00D236C3"/>
    <w:p w14:paraId="0AC52EFD" w14:textId="179BCFA2" w:rsidR="001E716F" w:rsidRPr="00C225EF" w:rsidRDefault="001E716F" w:rsidP="001E716F">
      <w:pPr>
        <w:pStyle w:val="BodyNumbering"/>
        <w:numPr>
          <w:ilvl w:val="0"/>
          <w:numId w:val="0"/>
        </w:numPr>
        <w:ind w:left="792" w:hanging="792"/>
      </w:pPr>
      <w:r>
        <w:t>P</w:t>
      </w:r>
      <w:r w:rsidRPr="00C225EF">
        <w:t xml:space="preserve">lease fill boxes to the right hand side: </w:t>
      </w:r>
    </w:p>
    <w:tbl>
      <w:tblPr>
        <w:tblStyle w:val="TableGrid"/>
        <w:tblW w:w="0" w:type="auto"/>
        <w:tblCellMar>
          <w:top w:w="28" w:type="dxa"/>
        </w:tblCellMar>
        <w:tblLook w:val="04A0" w:firstRow="1" w:lastRow="0" w:firstColumn="1" w:lastColumn="0" w:noHBand="0" w:noVBand="1"/>
      </w:tblPr>
      <w:tblGrid>
        <w:gridCol w:w="4261"/>
        <w:gridCol w:w="5061"/>
      </w:tblGrid>
      <w:tr w:rsidR="001E716F" w:rsidRPr="00C225EF" w14:paraId="68A077D5" w14:textId="77777777" w:rsidTr="0094331F">
        <w:trPr>
          <w:trHeight w:val="451"/>
        </w:trPr>
        <w:tc>
          <w:tcPr>
            <w:tcW w:w="4261" w:type="dxa"/>
          </w:tcPr>
          <w:p w14:paraId="49A86658" w14:textId="77777777" w:rsidR="001E716F" w:rsidRPr="00C225EF" w:rsidRDefault="001E716F" w:rsidP="008454F1">
            <w:pPr>
              <w:shd w:val="clear" w:color="auto" w:fill="FFFFFF"/>
              <w:spacing w:before="0" w:after="0" w:line="240" w:lineRule="exact"/>
              <w:outlineLvl w:val="2"/>
            </w:pPr>
            <w:r w:rsidRPr="00C225EF">
              <w:t>Name</w:t>
            </w:r>
          </w:p>
          <w:p w14:paraId="5C6B0DEA" w14:textId="77777777" w:rsidR="001E716F" w:rsidRPr="00C225EF" w:rsidRDefault="001E716F" w:rsidP="008454F1">
            <w:pPr>
              <w:spacing w:before="0" w:after="0" w:line="240" w:lineRule="exact"/>
              <w:outlineLvl w:val="2"/>
            </w:pPr>
          </w:p>
        </w:tc>
        <w:tc>
          <w:tcPr>
            <w:tcW w:w="5061" w:type="dxa"/>
          </w:tcPr>
          <w:p w14:paraId="1201C2F2" w14:textId="77777777" w:rsidR="001E716F" w:rsidRPr="00C225EF" w:rsidRDefault="001E716F" w:rsidP="008454F1">
            <w:pPr>
              <w:spacing w:before="0" w:after="0" w:line="240" w:lineRule="exact"/>
              <w:outlineLvl w:val="2"/>
            </w:pPr>
          </w:p>
        </w:tc>
      </w:tr>
      <w:tr w:rsidR="001E716F" w:rsidRPr="00C225EF" w14:paraId="117B56F2" w14:textId="77777777" w:rsidTr="0094331F">
        <w:tc>
          <w:tcPr>
            <w:tcW w:w="4261" w:type="dxa"/>
          </w:tcPr>
          <w:p w14:paraId="6F220FE0" w14:textId="77777777" w:rsidR="001E716F" w:rsidRPr="00C225EF" w:rsidRDefault="001E716F" w:rsidP="008454F1">
            <w:pPr>
              <w:shd w:val="clear" w:color="auto" w:fill="FFFFFF"/>
              <w:spacing w:before="0" w:after="0" w:line="240" w:lineRule="exact"/>
              <w:outlineLvl w:val="2"/>
            </w:pPr>
            <w:r w:rsidRPr="00C225EF">
              <w:t>Organisation</w:t>
            </w:r>
          </w:p>
          <w:p w14:paraId="08C7FAFD" w14:textId="77777777" w:rsidR="001E716F" w:rsidRPr="00C225EF" w:rsidRDefault="001E716F" w:rsidP="008454F1">
            <w:pPr>
              <w:spacing w:before="0" w:after="0" w:line="240" w:lineRule="exact"/>
              <w:outlineLvl w:val="2"/>
            </w:pPr>
          </w:p>
        </w:tc>
        <w:tc>
          <w:tcPr>
            <w:tcW w:w="5061" w:type="dxa"/>
          </w:tcPr>
          <w:p w14:paraId="7AF48410" w14:textId="77777777" w:rsidR="001E716F" w:rsidRPr="00C225EF" w:rsidRDefault="001E716F" w:rsidP="008454F1">
            <w:pPr>
              <w:spacing w:before="0" w:after="0" w:line="240" w:lineRule="exact"/>
              <w:outlineLvl w:val="2"/>
            </w:pPr>
          </w:p>
        </w:tc>
      </w:tr>
      <w:tr w:rsidR="001E716F" w:rsidRPr="00C225EF" w14:paraId="19FDE9D6" w14:textId="77777777" w:rsidTr="0094331F">
        <w:tc>
          <w:tcPr>
            <w:tcW w:w="4261" w:type="dxa"/>
          </w:tcPr>
          <w:p w14:paraId="43C3426D" w14:textId="77777777" w:rsidR="001E716F" w:rsidRPr="00C225EF" w:rsidRDefault="001E716F" w:rsidP="008454F1">
            <w:pPr>
              <w:shd w:val="clear" w:color="auto" w:fill="FFFFFF"/>
              <w:spacing w:before="0" w:after="0" w:line="240" w:lineRule="exact"/>
              <w:outlineLvl w:val="2"/>
            </w:pPr>
            <w:r w:rsidRPr="00C225EF">
              <w:t>Telephone number</w:t>
            </w:r>
          </w:p>
          <w:p w14:paraId="34D83880" w14:textId="77777777" w:rsidR="001E716F" w:rsidRPr="00C225EF" w:rsidRDefault="001E716F" w:rsidP="008454F1">
            <w:pPr>
              <w:spacing w:before="0" w:after="0" w:line="240" w:lineRule="exact"/>
              <w:outlineLvl w:val="2"/>
            </w:pPr>
          </w:p>
        </w:tc>
        <w:tc>
          <w:tcPr>
            <w:tcW w:w="5061" w:type="dxa"/>
          </w:tcPr>
          <w:p w14:paraId="65FC455D" w14:textId="77777777" w:rsidR="001E716F" w:rsidRPr="00C225EF" w:rsidRDefault="001E716F" w:rsidP="008454F1">
            <w:pPr>
              <w:spacing w:before="0" w:after="0" w:line="240" w:lineRule="exact"/>
              <w:outlineLvl w:val="2"/>
            </w:pPr>
          </w:p>
        </w:tc>
      </w:tr>
      <w:tr w:rsidR="001E716F" w:rsidRPr="00C225EF" w14:paraId="6114F33A" w14:textId="77777777" w:rsidTr="0094331F">
        <w:tc>
          <w:tcPr>
            <w:tcW w:w="4261" w:type="dxa"/>
          </w:tcPr>
          <w:p w14:paraId="3D00838B" w14:textId="77777777" w:rsidR="001E716F" w:rsidRPr="00C225EF" w:rsidRDefault="001E716F" w:rsidP="008454F1">
            <w:pPr>
              <w:shd w:val="clear" w:color="auto" w:fill="FFFFFF"/>
              <w:spacing w:before="0" w:after="0" w:line="240" w:lineRule="exact"/>
              <w:outlineLvl w:val="2"/>
            </w:pPr>
            <w:r w:rsidRPr="00C225EF">
              <w:t>Email address</w:t>
            </w:r>
          </w:p>
          <w:p w14:paraId="57C34C4D" w14:textId="77777777" w:rsidR="001E716F" w:rsidRPr="00C225EF" w:rsidRDefault="001E716F" w:rsidP="008454F1">
            <w:pPr>
              <w:spacing w:before="0" w:after="0" w:line="240" w:lineRule="exact"/>
              <w:outlineLvl w:val="2"/>
            </w:pPr>
          </w:p>
        </w:tc>
        <w:tc>
          <w:tcPr>
            <w:tcW w:w="5061" w:type="dxa"/>
          </w:tcPr>
          <w:p w14:paraId="7A5319E2" w14:textId="77777777" w:rsidR="001E716F" w:rsidRPr="00C225EF" w:rsidRDefault="001E716F" w:rsidP="008454F1">
            <w:pPr>
              <w:spacing w:before="0" w:after="0" w:line="240" w:lineRule="exact"/>
              <w:outlineLvl w:val="2"/>
            </w:pPr>
          </w:p>
        </w:tc>
      </w:tr>
      <w:tr w:rsidR="001E716F" w:rsidRPr="00C225EF" w14:paraId="2A727C03" w14:textId="77777777" w:rsidTr="0094331F">
        <w:trPr>
          <w:trHeight w:val="703"/>
        </w:trPr>
        <w:tc>
          <w:tcPr>
            <w:tcW w:w="4261" w:type="dxa"/>
          </w:tcPr>
          <w:p w14:paraId="7BC3E922" w14:textId="77777777" w:rsidR="001E716F" w:rsidRPr="00C225EF" w:rsidRDefault="001E716F" w:rsidP="008454F1">
            <w:pPr>
              <w:shd w:val="clear" w:color="auto" w:fill="FFFFFF"/>
              <w:spacing w:before="0" w:after="0" w:line="240" w:lineRule="exact"/>
              <w:outlineLvl w:val="2"/>
            </w:pPr>
            <w:r w:rsidRPr="00C225EF">
              <w:t>Postal address</w:t>
            </w:r>
          </w:p>
          <w:p w14:paraId="25D3C13A" w14:textId="77777777" w:rsidR="001E716F" w:rsidRPr="00C225EF" w:rsidRDefault="001E716F" w:rsidP="008454F1">
            <w:pPr>
              <w:spacing w:before="0" w:after="0" w:line="240" w:lineRule="exact"/>
              <w:outlineLvl w:val="2"/>
            </w:pPr>
          </w:p>
        </w:tc>
        <w:tc>
          <w:tcPr>
            <w:tcW w:w="5061" w:type="dxa"/>
          </w:tcPr>
          <w:p w14:paraId="635BE87D" w14:textId="77777777" w:rsidR="001E716F" w:rsidRDefault="001E716F" w:rsidP="008454F1">
            <w:pPr>
              <w:spacing w:before="0" w:after="0" w:line="240" w:lineRule="exact"/>
              <w:outlineLvl w:val="2"/>
            </w:pPr>
          </w:p>
          <w:p w14:paraId="57F2EEA2" w14:textId="77777777" w:rsidR="008454F1" w:rsidRDefault="008454F1" w:rsidP="008454F1">
            <w:pPr>
              <w:spacing w:before="0" w:after="0" w:line="240" w:lineRule="exact"/>
              <w:outlineLvl w:val="2"/>
            </w:pPr>
          </w:p>
          <w:p w14:paraId="1DB993EC" w14:textId="77777777" w:rsidR="008454F1" w:rsidRDefault="008454F1" w:rsidP="008454F1">
            <w:pPr>
              <w:spacing w:before="0" w:after="0" w:line="240" w:lineRule="exact"/>
              <w:outlineLvl w:val="2"/>
            </w:pPr>
          </w:p>
          <w:p w14:paraId="47A89BEC" w14:textId="77777777" w:rsidR="008454F1" w:rsidRPr="00C225EF" w:rsidRDefault="008454F1" w:rsidP="008454F1">
            <w:pPr>
              <w:spacing w:before="0" w:after="0" w:line="240" w:lineRule="exact"/>
              <w:outlineLvl w:val="2"/>
            </w:pPr>
          </w:p>
        </w:tc>
      </w:tr>
    </w:tbl>
    <w:p w14:paraId="7C92CF86" w14:textId="77777777" w:rsidR="001E716F" w:rsidRDefault="001E716F" w:rsidP="001E716F">
      <w:pPr>
        <w:pStyle w:val="BodyNumbering"/>
        <w:numPr>
          <w:ilvl w:val="0"/>
          <w:numId w:val="0"/>
        </w:numPr>
        <w:ind w:left="792" w:hanging="792"/>
      </w:pPr>
    </w:p>
    <w:p w14:paraId="40FF6AB5" w14:textId="77777777" w:rsidR="001E716F" w:rsidRPr="00C225EF" w:rsidRDefault="001E716F" w:rsidP="001E716F">
      <w:pPr>
        <w:pStyle w:val="BodyNumbering"/>
        <w:numPr>
          <w:ilvl w:val="0"/>
          <w:numId w:val="0"/>
        </w:numPr>
        <w:ind w:left="792" w:hanging="792"/>
      </w:pPr>
      <w:r w:rsidRPr="00C225EF">
        <w:t>Are you are responding as an individual or representing the views of an organisation?</w:t>
      </w:r>
    </w:p>
    <w:p w14:paraId="21AD87E2" w14:textId="77777777" w:rsidR="001E716F" w:rsidRPr="00C225EF" w:rsidRDefault="001E716F" w:rsidP="001E716F">
      <w:pPr>
        <w:pStyle w:val="BodyNumbering"/>
        <w:numPr>
          <w:ilvl w:val="0"/>
          <w:numId w:val="0"/>
        </w:numPr>
        <w:ind w:left="792" w:hanging="792"/>
      </w:pPr>
      <w:r w:rsidRPr="00C225EF">
        <w:rPr>
          <w:noProof/>
        </w:rPr>
        <mc:AlternateContent>
          <mc:Choice Requires="wps">
            <w:drawing>
              <wp:anchor distT="0" distB="0" distL="114300" distR="114300" simplePos="0" relativeHeight="251659264" behindDoc="0" locked="0" layoutInCell="1" allowOverlap="1" wp14:anchorId="41CB7B45" wp14:editId="51E29BB6">
                <wp:simplePos x="0" y="0"/>
                <wp:positionH relativeFrom="column">
                  <wp:posOffset>-90170</wp:posOffset>
                </wp:positionH>
                <wp:positionV relativeFrom="paragraph">
                  <wp:posOffset>81915</wp:posOffset>
                </wp:positionV>
                <wp:extent cx="5895975" cy="574158"/>
                <wp:effectExtent l="0" t="0" r="28575" b="165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74158"/>
                        </a:xfrm>
                        <a:prstGeom prst="rect">
                          <a:avLst/>
                        </a:prstGeom>
                        <a:solidFill>
                          <a:srgbClr val="FFFFFF"/>
                        </a:solidFill>
                        <a:ln w="9525">
                          <a:solidFill>
                            <a:srgbClr val="000000"/>
                          </a:solidFill>
                          <a:miter lim="800000"/>
                          <a:headEnd/>
                          <a:tailEnd/>
                        </a:ln>
                      </wps:spPr>
                      <wps:txbx>
                        <w:txbxContent>
                          <w:p w14:paraId="1ABE1F58" w14:textId="77777777" w:rsidR="006045DE" w:rsidRPr="00444D8C" w:rsidRDefault="006045DE" w:rsidP="001E716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45pt;width:464.2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ZiIwIAAEU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">
                <v:textbox>
                  <w:txbxContent>
                    <w:p w14:paraId="1ABE1F58" w14:textId="77777777" w:rsidR="006045DE" w:rsidRPr="00444D8C" w:rsidRDefault="006045DE" w:rsidP="001E716F">
                      <w:pPr>
                        <w:rPr>
                          <w:sz w:val="22"/>
                          <w:szCs w:val="22"/>
                        </w:rPr>
                      </w:pPr>
                    </w:p>
                  </w:txbxContent>
                </v:textbox>
              </v:shape>
            </w:pict>
          </mc:Fallback>
        </mc:AlternateContent>
      </w:r>
    </w:p>
    <w:p w14:paraId="1942B2AF" w14:textId="77777777" w:rsidR="001E716F" w:rsidRDefault="001E716F" w:rsidP="001E716F">
      <w:pPr>
        <w:pStyle w:val="BodyNumbering"/>
      </w:pPr>
    </w:p>
    <w:p w14:paraId="2ECDA54A" w14:textId="77777777" w:rsidR="001E716F" w:rsidRDefault="001E716F" w:rsidP="001E716F">
      <w:pPr>
        <w:pStyle w:val="BodyNumbering"/>
      </w:pPr>
    </w:p>
    <w:p w14:paraId="27303FCB" w14:textId="77777777" w:rsidR="001E716F" w:rsidRDefault="001E716F" w:rsidP="001E716F">
      <w:pPr>
        <w:pStyle w:val="BodyNumbering"/>
        <w:numPr>
          <w:ilvl w:val="0"/>
          <w:numId w:val="0"/>
        </w:numPr>
      </w:pPr>
    </w:p>
    <w:p w14:paraId="29BA564F" w14:textId="77777777" w:rsidR="001E716F" w:rsidRPr="00C225EF" w:rsidRDefault="001E716F" w:rsidP="001E716F">
      <w:pPr>
        <w:pStyle w:val="BodyNumbering"/>
        <w:numPr>
          <w:ilvl w:val="0"/>
          <w:numId w:val="0"/>
        </w:numPr>
        <w:spacing w:before="0" w:after="0" w:line="120" w:lineRule="atLeast"/>
      </w:pPr>
      <w:r w:rsidRPr="00C225EF">
        <w:t>What sector do you work in? Please put an ‘X’ in the relevant box</w:t>
      </w:r>
    </w:p>
    <w:tbl>
      <w:tblPr>
        <w:tblStyle w:val="TableGrid"/>
        <w:tblW w:w="0" w:type="auto"/>
        <w:tblLook w:val="04A0" w:firstRow="1" w:lastRow="0" w:firstColumn="1" w:lastColumn="0" w:noHBand="0" w:noVBand="1"/>
      </w:tblPr>
      <w:tblGrid>
        <w:gridCol w:w="5920"/>
        <w:gridCol w:w="3402"/>
      </w:tblGrid>
      <w:tr w:rsidR="001E716F" w:rsidRPr="00C225EF" w14:paraId="77CBD5BB" w14:textId="77777777" w:rsidTr="0026206A">
        <w:tc>
          <w:tcPr>
            <w:tcW w:w="5920" w:type="dxa"/>
          </w:tcPr>
          <w:p w14:paraId="1972B36C" w14:textId="135CC755" w:rsidR="001E716F" w:rsidRPr="00C225EF" w:rsidRDefault="001E716F" w:rsidP="008454F1">
            <w:pPr>
              <w:shd w:val="clear" w:color="auto" w:fill="FFFFFF"/>
              <w:spacing w:before="0" w:after="0" w:line="320" w:lineRule="atLeast"/>
              <w:outlineLvl w:val="2"/>
            </w:pPr>
            <w:r w:rsidRPr="00C225EF">
              <w:t>Academic / research</w:t>
            </w:r>
          </w:p>
        </w:tc>
        <w:tc>
          <w:tcPr>
            <w:tcW w:w="3402" w:type="dxa"/>
          </w:tcPr>
          <w:p w14:paraId="605A0056" w14:textId="77777777" w:rsidR="001E716F" w:rsidRPr="00C225EF" w:rsidRDefault="001E716F" w:rsidP="008454F1">
            <w:pPr>
              <w:spacing w:before="0" w:after="0" w:line="320" w:lineRule="atLeast"/>
              <w:outlineLvl w:val="2"/>
            </w:pPr>
          </w:p>
        </w:tc>
      </w:tr>
      <w:tr w:rsidR="001E716F" w:rsidRPr="00C225EF" w14:paraId="7ED85221" w14:textId="77777777" w:rsidTr="0026206A">
        <w:tc>
          <w:tcPr>
            <w:tcW w:w="5920" w:type="dxa"/>
          </w:tcPr>
          <w:p w14:paraId="038D9978" w14:textId="6957C9D0" w:rsidR="001E716F" w:rsidRPr="00C225EF" w:rsidRDefault="001E716F" w:rsidP="008454F1">
            <w:pPr>
              <w:shd w:val="clear" w:color="auto" w:fill="FFFFFF"/>
              <w:spacing w:before="0" w:after="0" w:line="320" w:lineRule="atLeast"/>
              <w:outlineLvl w:val="2"/>
            </w:pPr>
            <w:r w:rsidRPr="00C225EF">
              <w:t>Voluntary</w:t>
            </w:r>
          </w:p>
        </w:tc>
        <w:tc>
          <w:tcPr>
            <w:tcW w:w="3402" w:type="dxa"/>
          </w:tcPr>
          <w:p w14:paraId="6A454797" w14:textId="77777777" w:rsidR="001E716F" w:rsidRPr="00C225EF" w:rsidRDefault="001E716F" w:rsidP="008454F1">
            <w:pPr>
              <w:spacing w:before="0" w:after="0" w:line="320" w:lineRule="atLeast"/>
              <w:outlineLvl w:val="2"/>
            </w:pPr>
          </w:p>
        </w:tc>
      </w:tr>
      <w:tr w:rsidR="001E716F" w:rsidRPr="00C225EF" w14:paraId="3E7B7A46" w14:textId="77777777" w:rsidTr="0026206A">
        <w:tc>
          <w:tcPr>
            <w:tcW w:w="5920" w:type="dxa"/>
          </w:tcPr>
          <w:p w14:paraId="148E597C" w14:textId="70FA3834" w:rsidR="001E716F" w:rsidRPr="00C225EF" w:rsidRDefault="001E716F" w:rsidP="008454F1">
            <w:pPr>
              <w:shd w:val="clear" w:color="auto" w:fill="FFFFFF"/>
              <w:spacing w:before="0" w:after="0" w:line="320" w:lineRule="atLeast"/>
              <w:outlineLvl w:val="2"/>
            </w:pPr>
            <w:r w:rsidRPr="00C225EF">
              <w:t>Business</w:t>
            </w:r>
            <w:r w:rsidR="0026206A">
              <w:t xml:space="preserve"> – energy related</w:t>
            </w:r>
          </w:p>
        </w:tc>
        <w:tc>
          <w:tcPr>
            <w:tcW w:w="3402" w:type="dxa"/>
          </w:tcPr>
          <w:p w14:paraId="340BA9BD" w14:textId="77777777" w:rsidR="001E716F" w:rsidRPr="00C225EF" w:rsidRDefault="001E716F" w:rsidP="008454F1">
            <w:pPr>
              <w:spacing w:before="0" w:after="0" w:line="320" w:lineRule="atLeast"/>
              <w:outlineLvl w:val="2"/>
            </w:pPr>
          </w:p>
        </w:tc>
      </w:tr>
      <w:tr w:rsidR="0026206A" w:rsidRPr="00C225EF" w14:paraId="646C8B31" w14:textId="77777777" w:rsidTr="0026206A">
        <w:tc>
          <w:tcPr>
            <w:tcW w:w="5920" w:type="dxa"/>
          </w:tcPr>
          <w:p w14:paraId="10909012" w14:textId="3A0D5CB4" w:rsidR="0026206A" w:rsidRPr="00C225EF" w:rsidRDefault="0026206A" w:rsidP="008454F1">
            <w:pPr>
              <w:shd w:val="clear" w:color="auto" w:fill="FFFFFF"/>
              <w:spacing w:before="0" w:after="0" w:line="320" w:lineRule="atLeast"/>
              <w:outlineLvl w:val="2"/>
            </w:pPr>
            <w:r>
              <w:t xml:space="preserve">Business – other </w:t>
            </w:r>
            <w:r w:rsidRPr="00C225EF">
              <w:t>[please specify]</w:t>
            </w:r>
          </w:p>
        </w:tc>
        <w:tc>
          <w:tcPr>
            <w:tcW w:w="3402" w:type="dxa"/>
          </w:tcPr>
          <w:p w14:paraId="14F3B4D2" w14:textId="77777777" w:rsidR="0026206A" w:rsidRPr="00C225EF" w:rsidRDefault="0026206A" w:rsidP="008454F1">
            <w:pPr>
              <w:spacing w:before="0" w:after="0" w:line="320" w:lineRule="atLeast"/>
              <w:outlineLvl w:val="2"/>
            </w:pPr>
          </w:p>
        </w:tc>
      </w:tr>
      <w:tr w:rsidR="001E716F" w:rsidRPr="00C225EF" w14:paraId="43FBCBCF" w14:textId="77777777" w:rsidTr="0026206A">
        <w:tc>
          <w:tcPr>
            <w:tcW w:w="5920" w:type="dxa"/>
          </w:tcPr>
          <w:p w14:paraId="24811045" w14:textId="0403AB3A" w:rsidR="001E716F" w:rsidRPr="00C225EF" w:rsidRDefault="001E716F" w:rsidP="008454F1">
            <w:pPr>
              <w:shd w:val="clear" w:color="auto" w:fill="FFFFFF"/>
              <w:spacing w:before="0" w:after="0" w:line="320" w:lineRule="atLeast"/>
              <w:outlineLvl w:val="2"/>
            </w:pPr>
            <w:r w:rsidRPr="00C225EF">
              <w:t>Journalists / Media</w:t>
            </w:r>
          </w:p>
        </w:tc>
        <w:tc>
          <w:tcPr>
            <w:tcW w:w="3402" w:type="dxa"/>
          </w:tcPr>
          <w:p w14:paraId="0659F43F" w14:textId="77777777" w:rsidR="001E716F" w:rsidRPr="00C225EF" w:rsidRDefault="001E716F" w:rsidP="008454F1">
            <w:pPr>
              <w:spacing w:before="0" w:after="0" w:line="320" w:lineRule="atLeast"/>
              <w:outlineLvl w:val="2"/>
            </w:pPr>
          </w:p>
        </w:tc>
      </w:tr>
      <w:tr w:rsidR="001E716F" w:rsidRPr="00C225EF" w14:paraId="1187009A" w14:textId="77777777" w:rsidTr="0026206A">
        <w:tc>
          <w:tcPr>
            <w:tcW w:w="5920" w:type="dxa"/>
          </w:tcPr>
          <w:p w14:paraId="387B8DDD" w14:textId="1BCC7384" w:rsidR="001E716F" w:rsidRPr="00C225EF" w:rsidRDefault="001E716F" w:rsidP="008454F1">
            <w:pPr>
              <w:shd w:val="clear" w:color="auto" w:fill="FFFFFF"/>
              <w:spacing w:before="0" w:after="0" w:line="320" w:lineRule="atLeast"/>
              <w:outlineLvl w:val="2"/>
            </w:pPr>
            <w:r w:rsidRPr="00C225EF">
              <w:t>Local or regional government / public organisation</w:t>
            </w:r>
          </w:p>
        </w:tc>
        <w:tc>
          <w:tcPr>
            <w:tcW w:w="3402" w:type="dxa"/>
          </w:tcPr>
          <w:p w14:paraId="76FE36BE" w14:textId="77777777" w:rsidR="001E716F" w:rsidRPr="00C225EF" w:rsidRDefault="001E716F" w:rsidP="008454F1">
            <w:pPr>
              <w:spacing w:before="0" w:after="0" w:line="320" w:lineRule="atLeast"/>
              <w:outlineLvl w:val="2"/>
            </w:pPr>
          </w:p>
        </w:tc>
      </w:tr>
      <w:tr w:rsidR="001E716F" w:rsidRPr="00C225EF" w14:paraId="6FC4F0D1" w14:textId="77777777" w:rsidTr="0026206A">
        <w:tc>
          <w:tcPr>
            <w:tcW w:w="5920" w:type="dxa"/>
          </w:tcPr>
          <w:p w14:paraId="3443904E" w14:textId="0D783F36" w:rsidR="001E716F" w:rsidRPr="00C225EF" w:rsidRDefault="001E716F" w:rsidP="008454F1">
            <w:pPr>
              <w:shd w:val="clear" w:color="auto" w:fill="FFFFFF"/>
              <w:spacing w:before="0" w:after="0" w:line="320" w:lineRule="atLeast"/>
              <w:outlineLvl w:val="2"/>
            </w:pPr>
            <w:r w:rsidRPr="00C225EF">
              <w:t>National government department / organisation</w:t>
            </w:r>
          </w:p>
        </w:tc>
        <w:tc>
          <w:tcPr>
            <w:tcW w:w="3402" w:type="dxa"/>
          </w:tcPr>
          <w:p w14:paraId="1F03CC65" w14:textId="77777777" w:rsidR="001E716F" w:rsidRPr="00C225EF" w:rsidRDefault="001E716F" w:rsidP="008454F1">
            <w:pPr>
              <w:spacing w:before="0" w:after="0" w:line="320" w:lineRule="atLeast"/>
              <w:outlineLvl w:val="2"/>
            </w:pPr>
          </w:p>
        </w:tc>
      </w:tr>
      <w:tr w:rsidR="001E716F" w:rsidRPr="00C225EF" w14:paraId="09210C09" w14:textId="77777777" w:rsidTr="0026206A">
        <w:tc>
          <w:tcPr>
            <w:tcW w:w="5920" w:type="dxa"/>
          </w:tcPr>
          <w:p w14:paraId="4261FD9B" w14:textId="591DAD31" w:rsidR="001E716F" w:rsidRPr="00C225EF" w:rsidRDefault="001E716F" w:rsidP="008454F1">
            <w:pPr>
              <w:shd w:val="clear" w:color="auto" w:fill="FFFFFF"/>
              <w:spacing w:before="0" w:after="0" w:line="320" w:lineRule="atLeast"/>
              <w:outlineLvl w:val="2"/>
            </w:pPr>
            <w:r w:rsidRPr="00C225EF">
              <w:t>International organisation</w:t>
            </w:r>
          </w:p>
        </w:tc>
        <w:tc>
          <w:tcPr>
            <w:tcW w:w="3402" w:type="dxa"/>
          </w:tcPr>
          <w:p w14:paraId="444AEADD" w14:textId="77777777" w:rsidR="001E716F" w:rsidRPr="00C225EF" w:rsidRDefault="001E716F" w:rsidP="008454F1">
            <w:pPr>
              <w:spacing w:before="0" w:after="0" w:line="320" w:lineRule="atLeast"/>
              <w:outlineLvl w:val="2"/>
            </w:pPr>
          </w:p>
        </w:tc>
      </w:tr>
      <w:tr w:rsidR="001E716F" w:rsidRPr="00C225EF" w14:paraId="5D0C7403" w14:textId="77777777" w:rsidTr="0026206A">
        <w:tc>
          <w:tcPr>
            <w:tcW w:w="5920" w:type="dxa"/>
          </w:tcPr>
          <w:p w14:paraId="0AFF6BDF" w14:textId="628A21F1" w:rsidR="001E716F" w:rsidRPr="00C225EF" w:rsidRDefault="001E716F" w:rsidP="008454F1">
            <w:pPr>
              <w:spacing w:before="0" w:after="0" w:line="320" w:lineRule="atLeast"/>
              <w:outlineLvl w:val="2"/>
            </w:pPr>
            <w:r w:rsidRPr="00C225EF">
              <w:t>Other – [please specify]</w:t>
            </w:r>
          </w:p>
        </w:tc>
        <w:tc>
          <w:tcPr>
            <w:tcW w:w="3402" w:type="dxa"/>
          </w:tcPr>
          <w:p w14:paraId="03D9FEB1" w14:textId="77777777" w:rsidR="001E716F" w:rsidRPr="00C225EF" w:rsidRDefault="001E716F" w:rsidP="008454F1">
            <w:pPr>
              <w:spacing w:before="0" w:after="0" w:line="320" w:lineRule="atLeast"/>
              <w:outlineLvl w:val="2"/>
            </w:pPr>
          </w:p>
        </w:tc>
      </w:tr>
    </w:tbl>
    <w:p w14:paraId="26BCEF7A" w14:textId="77777777" w:rsidR="005B402C" w:rsidRDefault="005B402C" w:rsidP="00270ADC">
      <w:pPr>
        <w:pStyle w:val="BodyNumbering"/>
        <w:sectPr w:rsidR="005B402C" w:rsidSect="00635F33">
          <w:pgSz w:w="11906" w:h="16838" w:code="9"/>
          <w:pgMar w:top="1701" w:right="907" w:bottom="907" w:left="907" w:header="680" w:footer="680" w:gutter="0"/>
          <w:cols w:space="720"/>
          <w:titlePg/>
        </w:sectPr>
      </w:pPr>
    </w:p>
    <w:p w14:paraId="393BD04C" w14:textId="329F46DE" w:rsidR="00720261" w:rsidRPr="00E03A23" w:rsidRDefault="00523F45" w:rsidP="005853C8">
      <w:pPr>
        <w:pStyle w:val="DECCReference"/>
      </w:pPr>
      <w:r>
        <w:lastRenderedPageBreak/>
        <w:t>© Crown copyright 2015</w:t>
      </w:r>
    </w:p>
    <w:p w14:paraId="141E1631" w14:textId="77777777" w:rsidR="00E03A23" w:rsidRDefault="00E32ED5" w:rsidP="005853C8">
      <w:pPr>
        <w:pStyle w:val="DECCReference"/>
      </w:pPr>
      <w:r w:rsidRPr="00E03A23">
        <w:t>Department of Energy &amp; Climate Change</w:t>
      </w:r>
    </w:p>
    <w:p w14:paraId="60CE0496" w14:textId="61461BEF" w:rsidR="00E03A23" w:rsidRDefault="00E32ED5" w:rsidP="005853C8">
      <w:pPr>
        <w:pStyle w:val="DECCReference"/>
      </w:pPr>
      <w:r w:rsidRPr="00E03A23">
        <w:t>3 Whitehall Place</w:t>
      </w:r>
      <w:r w:rsidR="00720261" w:rsidRPr="00E03A23">
        <w:br/>
      </w:r>
      <w:r w:rsidRPr="00E03A23">
        <w:t>London SW1A 2HD</w:t>
      </w:r>
    </w:p>
    <w:p w14:paraId="46B2B732" w14:textId="6E3A6AC9" w:rsidR="005B402C" w:rsidRPr="005853C8" w:rsidRDefault="00E32ED5" w:rsidP="005853C8">
      <w:pPr>
        <w:pStyle w:val="DECCReference"/>
      </w:pPr>
      <w:r w:rsidRPr="005853C8">
        <w:t>www.</w:t>
      </w:r>
      <w:r w:rsidR="005853C8" w:rsidRPr="005853C8">
        <w:t>gov.uk/</w:t>
      </w:r>
      <w:r w:rsidRPr="005853C8">
        <w:t>decc</w:t>
      </w:r>
    </w:p>
    <w:p w14:paraId="512ACCDC" w14:textId="77777777" w:rsidR="0089619C" w:rsidRPr="00E03A23" w:rsidRDefault="0089619C" w:rsidP="005853C8">
      <w:pPr>
        <w:pStyle w:val="DECCReference"/>
      </w:pPr>
      <w:r w:rsidRPr="00E03A23">
        <w:t xml:space="preserve">URN </w:t>
      </w:r>
    </w:p>
    <w:sectPr w:rsidR="0089619C" w:rsidRPr="00E03A23" w:rsidSect="00635F33">
      <w:headerReference w:type="first" r:id="rId37"/>
      <w:footerReference w:type="first" r:id="rId38"/>
      <w:pgSz w:w="11906" w:h="16838" w:code="9"/>
      <w:pgMar w:top="1701" w:right="907" w:bottom="907" w:left="907"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4858A" w14:textId="77777777" w:rsidR="006045DE" w:rsidRDefault="006045DE" w:rsidP="00D236C3">
      <w:r>
        <w:separator/>
      </w:r>
    </w:p>
  </w:endnote>
  <w:endnote w:type="continuationSeparator" w:id="0">
    <w:p w14:paraId="79A6B1EC" w14:textId="77777777" w:rsidR="006045DE" w:rsidRDefault="006045DE" w:rsidP="00D2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E6F1" w14:textId="77777777" w:rsidR="006045DE" w:rsidRDefault="006045DE" w:rsidP="009261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218A5">
      <w:rPr>
        <w:rStyle w:val="PageNumber"/>
        <w:noProof/>
      </w:rPr>
      <w:t>21</w:t>
    </w:r>
    <w:r>
      <w:rPr>
        <w:rStyle w:val="PageNumber"/>
      </w:rPr>
      <w:fldChar w:fldCharType="end"/>
    </w:r>
  </w:p>
  <w:p w14:paraId="16FB633A" w14:textId="77777777" w:rsidR="006045DE" w:rsidRDefault="006045DE" w:rsidP="00F30E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0B241" w14:textId="77777777" w:rsidR="006045DE" w:rsidRDefault="006045DE" w:rsidP="009261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218A5">
      <w:rPr>
        <w:rStyle w:val="PageNumber"/>
        <w:noProof/>
      </w:rPr>
      <w:t>22</w:t>
    </w:r>
    <w:r>
      <w:rPr>
        <w:rStyle w:val="PageNumber"/>
      </w:rPr>
      <w:fldChar w:fldCharType="end"/>
    </w:r>
  </w:p>
  <w:p w14:paraId="77E3457F" w14:textId="77777777" w:rsidR="006045DE" w:rsidRDefault="006045DE" w:rsidP="008E407E">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EB0D" w14:textId="77777777" w:rsidR="006045DE" w:rsidRDefault="006045DE" w:rsidP="009261F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218A5">
      <w:rPr>
        <w:rStyle w:val="PageNumber"/>
        <w:noProof/>
      </w:rPr>
      <w:t>20</w:t>
    </w:r>
    <w:r>
      <w:rPr>
        <w:rStyle w:val="PageNumber"/>
      </w:rPr>
      <w:fldChar w:fldCharType="end"/>
    </w:r>
  </w:p>
  <w:p w14:paraId="4D750DD1" w14:textId="77777777" w:rsidR="006045DE" w:rsidRPr="006470B9" w:rsidRDefault="006045DE" w:rsidP="00F30EEE">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95D3" w14:textId="77777777" w:rsidR="006045DE" w:rsidRPr="00FC3779" w:rsidRDefault="006045DE" w:rsidP="006470B9">
    <w:pPr>
      <w:pStyle w:val="Footer"/>
      <w:rPr>
        <w:rStyle w:val="Page1White"/>
        <w:rFonts w:ascii="Times New Roman" w:hAnsi="Times New Roman"/>
        <w:color w:val="aut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9047E" w14:textId="77777777" w:rsidR="006045DE" w:rsidRDefault="006045DE" w:rsidP="00D236C3">
      <w:r>
        <w:separator/>
      </w:r>
    </w:p>
  </w:footnote>
  <w:footnote w:type="continuationSeparator" w:id="0">
    <w:p w14:paraId="5EAF1F08" w14:textId="77777777" w:rsidR="006045DE" w:rsidRDefault="006045DE" w:rsidP="00D23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5B3B" w14:textId="0A8A9A4A" w:rsidR="006045DE" w:rsidRDefault="00404494" w:rsidP="00D236C3">
    <w:pPr>
      <w:pStyle w:val="Header"/>
    </w:pPr>
    <w:fldSimple w:instr=" STYLEREF &quot;DECC Title&quot; \* MERGEFORMAT ">
      <w:r w:rsidR="005218A5">
        <w:rPr>
          <w:noProof/>
        </w:rPr>
        <w:t>DECC Household Energy Efficiency National Statistics User Consultation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02A2" w14:textId="3FBFF912" w:rsidR="006045DE" w:rsidRDefault="00404494" w:rsidP="00134211">
    <w:pPr>
      <w:pStyle w:val="Header"/>
      <w:jc w:val="right"/>
    </w:pPr>
    <w:fldSimple w:instr=" STYLEREF &quot;Heading 1,Chapter Head&quot; \* MERGEFORMAT ">
      <w:r w:rsidR="005218A5">
        <w:rPr>
          <w:noProof/>
        </w:rPr>
        <w:t>Annex A: Content of the statistical releases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7E40" w14:textId="77777777" w:rsidR="006045DE" w:rsidRDefault="006045DE">
    <w:pPr>
      <w:pStyle w:val="Header"/>
    </w:pPr>
    <w:r>
      <w:rPr>
        <w:noProof/>
      </w:rPr>
      <w:drawing>
        <wp:anchor distT="0" distB="0" distL="114300" distR="114300" simplePos="0" relativeHeight="251662848" behindDoc="1" locked="0" layoutInCell="1" allowOverlap="1" wp14:anchorId="45FD2431" wp14:editId="1B6247E4">
          <wp:simplePos x="0" y="0"/>
          <wp:positionH relativeFrom="column">
            <wp:posOffset>-575945</wp:posOffset>
          </wp:positionH>
          <wp:positionV relativeFrom="paragraph">
            <wp:posOffset>-426085</wp:posOffset>
          </wp:positionV>
          <wp:extent cx="7560310" cy="10680065"/>
          <wp:effectExtent l="0" t="0" r="8890" b="0"/>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246CB25F" wp14:editId="7903B75B">
          <wp:simplePos x="0" y="0"/>
          <wp:positionH relativeFrom="column">
            <wp:posOffset>-115570</wp:posOffset>
          </wp:positionH>
          <wp:positionV relativeFrom="paragraph">
            <wp:posOffset>152400</wp:posOffset>
          </wp:positionV>
          <wp:extent cx="1356995" cy="899795"/>
          <wp:effectExtent l="0" t="0" r="0" b="0"/>
          <wp:wrapNone/>
          <wp:docPr id="5" name="Picture 5"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0895" w14:textId="77777777" w:rsidR="006045DE" w:rsidRDefault="006045DE">
    <w:pPr>
      <w:pStyle w:val="Header"/>
    </w:pPr>
    <w:r>
      <w:rPr>
        <w:noProof/>
      </w:rPr>
      <w:drawing>
        <wp:anchor distT="0" distB="0" distL="114300" distR="114300" simplePos="0" relativeHeight="251663872" behindDoc="1" locked="0" layoutInCell="1" allowOverlap="1" wp14:anchorId="1E9E1DE3" wp14:editId="32ED62CF">
          <wp:simplePos x="0" y="0"/>
          <wp:positionH relativeFrom="page">
            <wp:posOffset>0</wp:posOffset>
          </wp:positionH>
          <wp:positionV relativeFrom="page">
            <wp:posOffset>0</wp:posOffset>
          </wp:positionV>
          <wp:extent cx="7560310" cy="10692130"/>
          <wp:effectExtent l="0" t="0" r="8890" b="1270"/>
          <wp:wrapNone/>
          <wp:docPr id="6" name="Picture 6" descr="solar Pa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ar Pan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39460" w14:textId="77777777" w:rsidR="006045DE" w:rsidRDefault="006045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DE68" w14:textId="77777777" w:rsidR="006045DE" w:rsidRDefault="006045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D1D7" w14:textId="6D732091" w:rsidR="006045DE" w:rsidRPr="00015C4E" w:rsidRDefault="006045DE" w:rsidP="00D236C3">
    <w:pPr>
      <w:pStyle w:val="Header"/>
    </w:pPr>
    <w:r>
      <w:rPr>
        <w:noProof/>
      </w:rPr>
      <w:drawing>
        <wp:anchor distT="0" distB="0" distL="114300" distR="114300" simplePos="0" relativeHeight="251665920" behindDoc="1" locked="0" layoutInCell="1" allowOverlap="1" wp14:anchorId="74B557E1" wp14:editId="26257083">
          <wp:simplePos x="0" y="0"/>
          <wp:positionH relativeFrom="column">
            <wp:posOffset>-575945</wp:posOffset>
          </wp:positionH>
          <wp:positionV relativeFrom="paragraph">
            <wp:posOffset>-425450</wp:posOffset>
          </wp:positionV>
          <wp:extent cx="7560310" cy="10680065"/>
          <wp:effectExtent l="0" t="0" r="8890" b="0"/>
          <wp:wrapNone/>
          <wp:docPr id="8" name="Picture 8"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1E8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6EE8D8"/>
    <w:lvl w:ilvl="0">
      <w:start w:val="1"/>
      <w:numFmt w:val="decimal"/>
      <w:lvlText w:val="%1."/>
      <w:lvlJc w:val="left"/>
      <w:pPr>
        <w:tabs>
          <w:tab w:val="num" w:pos="1492"/>
        </w:tabs>
        <w:ind w:left="1492" w:hanging="360"/>
      </w:pPr>
    </w:lvl>
  </w:abstractNum>
  <w:abstractNum w:abstractNumId="2">
    <w:nsid w:val="FFFFFF7D"/>
    <w:multiLevelType w:val="singleLevel"/>
    <w:tmpl w:val="91529652"/>
    <w:lvl w:ilvl="0">
      <w:start w:val="1"/>
      <w:numFmt w:val="decimal"/>
      <w:lvlText w:val="%1."/>
      <w:lvlJc w:val="left"/>
      <w:pPr>
        <w:tabs>
          <w:tab w:val="num" w:pos="1209"/>
        </w:tabs>
        <w:ind w:left="1209" w:hanging="360"/>
      </w:pPr>
    </w:lvl>
  </w:abstractNum>
  <w:abstractNum w:abstractNumId="3">
    <w:nsid w:val="FFFFFF7E"/>
    <w:multiLevelType w:val="singleLevel"/>
    <w:tmpl w:val="17128D18"/>
    <w:lvl w:ilvl="0">
      <w:start w:val="1"/>
      <w:numFmt w:val="decimal"/>
      <w:lvlText w:val="%1."/>
      <w:lvlJc w:val="left"/>
      <w:pPr>
        <w:tabs>
          <w:tab w:val="num" w:pos="926"/>
        </w:tabs>
        <w:ind w:left="926" w:hanging="360"/>
      </w:pPr>
    </w:lvl>
  </w:abstractNum>
  <w:abstractNum w:abstractNumId="4">
    <w:nsid w:val="FFFFFF7F"/>
    <w:multiLevelType w:val="singleLevel"/>
    <w:tmpl w:val="8BAA78DE"/>
    <w:lvl w:ilvl="0">
      <w:start w:val="1"/>
      <w:numFmt w:val="decimal"/>
      <w:lvlText w:val="%1."/>
      <w:lvlJc w:val="left"/>
      <w:pPr>
        <w:tabs>
          <w:tab w:val="num" w:pos="643"/>
        </w:tabs>
        <w:ind w:left="643" w:hanging="360"/>
      </w:pPr>
    </w:lvl>
  </w:abstractNum>
  <w:abstractNum w:abstractNumId="5">
    <w:nsid w:val="FFFFFF80"/>
    <w:multiLevelType w:val="singleLevel"/>
    <w:tmpl w:val="A082096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9BCAC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84C627E"/>
    <w:lvl w:ilvl="0">
      <w:start w:val="1"/>
      <w:numFmt w:val="bullet"/>
      <w:pStyle w:val="ListBullet3"/>
      <w:lvlText w:val=""/>
      <w:lvlJc w:val="left"/>
      <w:pPr>
        <w:tabs>
          <w:tab w:val="num" w:pos="926"/>
        </w:tabs>
        <w:ind w:left="926" w:hanging="360"/>
      </w:pPr>
      <w:rPr>
        <w:rFonts w:ascii="Arial" w:hAnsi="Arial" w:hint="default"/>
      </w:rPr>
    </w:lvl>
  </w:abstractNum>
  <w:abstractNum w:abstractNumId="8">
    <w:nsid w:val="FFFFFF83"/>
    <w:multiLevelType w:val="singleLevel"/>
    <w:tmpl w:val="974E27C8"/>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1B2C8F6"/>
    <w:lvl w:ilvl="0">
      <w:start w:val="1"/>
      <w:numFmt w:val="decimal"/>
      <w:lvlText w:val="%1."/>
      <w:lvlJc w:val="left"/>
      <w:pPr>
        <w:tabs>
          <w:tab w:val="num" w:pos="360"/>
        </w:tabs>
        <w:ind w:left="360" w:hanging="360"/>
      </w:pPr>
    </w:lvl>
  </w:abstractNum>
  <w:abstractNum w:abstractNumId="10">
    <w:nsid w:val="0AA63B13"/>
    <w:multiLevelType w:val="hybridMultilevel"/>
    <w:tmpl w:val="1BEA4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E811F6C"/>
    <w:multiLevelType w:val="multilevel"/>
    <w:tmpl w:val="A4606C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0A7148"/>
    <w:multiLevelType w:val="multilevel"/>
    <w:tmpl w:val="9E2A1D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D0CC8"/>
    <w:multiLevelType w:val="hybridMultilevel"/>
    <w:tmpl w:val="ED2432FE"/>
    <w:lvl w:ilvl="0" w:tplc="8054AE44">
      <w:start w:val="1"/>
      <w:numFmt w:val="bullet"/>
      <w:pStyle w:val="ListBullet"/>
      <w:lvlText w:val=""/>
      <w:lvlJc w:val="left"/>
      <w:pPr>
        <w:tabs>
          <w:tab w:val="num" w:pos="284"/>
        </w:tabs>
        <w:ind w:left="284" w:hanging="284"/>
      </w:pPr>
      <w:rPr>
        <w:rFonts w:ascii="Symbol" w:hAnsi="Symbol" w:hint="default"/>
        <w:color w:val="00AEEF"/>
        <w:sz w:val="24"/>
        <w:szCs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4">
    <w:nsid w:val="1A0971A6"/>
    <w:multiLevelType w:val="hybridMultilevel"/>
    <w:tmpl w:val="0D0CFD24"/>
    <w:lvl w:ilvl="0" w:tplc="15F4AC16">
      <w:start w:val="1"/>
      <w:numFmt w:val="lowerLetter"/>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F3FEB"/>
    <w:multiLevelType w:val="hybridMultilevel"/>
    <w:tmpl w:val="2DD25390"/>
    <w:lvl w:ilvl="0" w:tplc="486A6CD4">
      <w:start w:val="1"/>
      <w:numFmt w:val="lowerRoman"/>
      <w:pStyle w:val="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90257F"/>
    <w:multiLevelType w:val="multilevel"/>
    <w:tmpl w:val="C81C66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313617"/>
    <w:multiLevelType w:val="multilevel"/>
    <w:tmpl w:val="D38C5D68"/>
    <w:lvl w:ilvl="0">
      <w:start w:val="1"/>
      <w:numFmt w:val="decimal"/>
      <w:pStyle w:val="DECCNumberedChapterHead"/>
      <w:lvlText w:val="%1."/>
      <w:lvlJc w:val="left"/>
      <w:pPr>
        <w:ind w:left="360" w:hanging="360"/>
      </w:pPr>
      <w:rPr>
        <w:rFonts w:hint="default"/>
      </w:rPr>
    </w:lvl>
    <w:lvl w:ilvl="1">
      <w:start w:val="1"/>
      <w:numFmt w:val="decimal"/>
      <w:pStyle w:val="Body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9">
    <w:nsid w:val="349F00C8"/>
    <w:multiLevelType w:val="multilevel"/>
    <w:tmpl w:val="354E5F10"/>
    <w:lvl w:ilvl="0">
      <w:start w:val="1"/>
      <w:numFmt w:val="bullet"/>
      <w:lvlText w:val=""/>
      <w:lvlJc w:val="left"/>
      <w:pPr>
        <w:tabs>
          <w:tab w:val="num" w:pos="284"/>
        </w:tabs>
        <w:ind w:left="284" w:hanging="284"/>
      </w:pPr>
      <w:rPr>
        <w:rFonts w:ascii="Symbol" w:hAnsi="Symbol" w:hint="default"/>
        <w:color w:val="000000"/>
        <w:sz w:val="24"/>
      </w:rPr>
    </w:lvl>
    <w:lvl w:ilvl="1">
      <w:start w:val="1"/>
      <w:numFmt w:val="bullet"/>
      <w:lvlText w:val="o"/>
      <w:lvlJc w:val="left"/>
      <w:pPr>
        <w:tabs>
          <w:tab w:val="num" w:pos="1327"/>
        </w:tabs>
        <w:ind w:left="1327" w:hanging="360"/>
      </w:pPr>
      <w:rPr>
        <w:rFonts w:ascii="Courier New" w:hAnsi="Courier New" w:hint="default"/>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20">
    <w:nsid w:val="36DF51FD"/>
    <w:multiLevelType w:val="hybridMultilevel"/>
    <w:tmpl w:val="A404DB08"/>
    <w:lvl w:ilvl="0" w:tplc="92A44B5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444073"/>
    <w:multiLevelType w:val="hybridMultilevel"/>
    <w:tmpl w:val="12D263CE"/>
    <w:lvl w:ilvl="0" w:tplc="9B4053CE">
      <w:start w:val="1"/>
      <w:numFmt w:val="upperRoman"/>
      <w:lvlText w:val="%1)"/>
      <w:lvlJc w:val="righ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3641C98"/>
    <w:multiLevelType w:val="hybridMultilevel"/>
    <w:tmpl w:val="4EFEBE24"/>
    <w:lvl w:ilvl="0" w:tplc="095A291A">
      <w:start w:val="1"/>
      <w:numFmt w:val="bullet"/>
      <w:pStyle w:val="Listbulletintable"/>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nsid w:val="50EF36F7"/>
    <w:multiLevelType w:val="hybridMultilevel"/>
    <w:tmpl w:val="62A4A952"/>
    <w:lvl w:ilvl="0" w:tplc="C15806D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4D2332"/>
    <w:multiLevelType w:val="multilevel"/>
    <w:tmpl w:val="AAD08584"/>
    <w:lvl w:ilvl="0">
      <w:start w:val="1"/>
      <w:numFmt w:val="decimal"/>
      <w:lvlText w:val="%1.1"/>
      <w:lvlJc w:val="left"/>
      <w:pPr>
        <w:tabs>
          <w:tab w:val="num" w:pos="380"/>
        </w:tabs>
        <w:ind w:left="380" w:hanging="38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5CA136F"/>
    <w:multiLevelType w:val="hybridMultilevel"/>
    <w:tmpl w:val="BD8AD63C"/>
    <w:lvl w:ilvl="0" w:tplc="37541278">
      <w:start w:val="1"/>
      <w:numFmt w:val="bullet"/>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C144C49"/>
    <w:multiLevelType w:val="multilevel"/>
    <w:tmpl w:val="1ABE5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2"/>
  </w:num>
  <w:num w:numId="3">
    <w:abstractNumId w:val="13"/>
  </w:num>
  <w:num w:numId="4">
    <w:abstractNumId w:val="18"/>
  </w:num>
  <w:num w:numId="5">
    <w:abstractNumId w:val="22"/>
  </w:num>
  <w:num w:numId="6">
    <w:abstractNumId w:val="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2"/>
    <w:lvlOverride w:ilvl="0">
      <w:startOverride w:val="1"/>
    </w:lvlOverride>
  </w:num>
  <w:num w:numId="17">
    <w:abstractNumId w:val="24"/>
  </w:num>
  <w:num w:numId="18">
    <w:abstractNumId w:val="19"/>
  </w:num>
  <w:num w:numId="19">
    <w:abstractNumId w:val="13"/>
    <w:lvlOverride w:ilvl="0">
      <w:startOverride w:val="1"/>
    </w:lvlOverride>
  </w:num>
  <w:num w:numId="20">
    <w:abstractNumId w:val="16"/>
  </w:num>
  <w:num w:numId="21">
    <w:abstractNumId w:val="17"/>
  </w:num>
  <w:num w:numId="22">
    <w:abstractNumId w:val="11"/>
  </w:num>
  <w:num w:numId="23">
    <w:abstractNumId w:val="2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23"/>
  </w:num>
  <w:num w:numId="3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3249">
      <o:colormru v:ext="edit" colors="#009ee3,#aa0721,#06c,#00aeef,#9a9b00,#009ee0,#f08015,#742f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CF"/>
    <w:rsid w:val="00006019"/>
    <w:rsid w:val="00010660"/>
    <w:rsid w:val="000141B1"/>
    <w:rsid w:val="000156B4"/>
    <w:rsid w:val="00015C4E"/>
    <w:rsid w:val="000173E2"/>
    <w:rsid w:val="00025DA7"/>
    <w:rsid w:val="000322BE"/>
    <w:rsid w:val="00032919"/>
    <w:rsid w:val="0004623A"/>
    <w:rsid w:val="00046A38"/>
    <w:rsid w:val="00046CE9"/>
    <w:rsid w:val="00047A46"/>
    <w:rsid w:val="000510D9"/>
    <w:rsid w:val="00054635"/>
    <w:rsid w:val="0006296C"/>
    <w:rsid w:val="00064196"/>
    <w:rsid w:val="0007686E"/>
    <w:rsid w:val="00084473"/>
    <w:rsid w:val="00096FAD"/>
    <w:rsid w:val="00096FBF"/>
    <w:rsid w:val="000B142E"/>
    <w:rsid w:val="000B6352"/>
    <w:rsid w:val="000B7B04"/>
    <w:rsid w:val="000C0596"/>
    <w:rsid w:val="000D4D7C"/>
    <w:rsid w:val="000D5341"/>
    <w:rsid w:val="000E1F17"/>
    <w:rsid w:val="000E4F05"/>
    <w:rsid w:val="000E50CC"/>
    <w:rsid w:val="000E6ADA"/>
    <w:rsid w:val="000E7D34"/>
    <w:rsid w:val="000F230C"/>
    <w:rsid w:val="000F3D70"/>
    <w:rsid w:val="001100D6"/>
    <w:rsid w:val="00112C2C"/>
    <w:rsid w:val="001177DD"/>
    <w:rsid w:val="00121858"/>
    <w:rsid w:val="00124616"/>
    <w:rsid w:val="00134211"/>
    <w:rsid w:val="00134FF7"/>
    <w:rsid w:val="00135DB1"/>
    <w:rsid w:val="0014731E"/>
    <w:rsid w:val="001542C8"/>
    <w:rsid w:val="001664AD"/>
    <w:rsid w:val="001726DF"/>
    <w:rsid w:val="00182306"/>
    <w:rsid w:val="00185010"/>
    <w:rsid w:val="00191B54"/>
    <w:rsid w:val="001929F0"/>
    <w:rsid w:val="001945BC"/>
    <w:rsid w:val="00194681"/>
    <w:rsid w:val="00196994"/>
    <w:rsid w:val="001A3FE6"/>
    <w:rsid w:val="001A7457"/>
    <w:rsid w:val="001B493E"/>
    <w:rsid w:val="001C023B"/>
    <w:rsid w:val="001C1FE5"/>
    <w:rsid w:val="001C635F"/>
    <w:rsid w:val="001D0577"/>
    <w:rsid w:val="001D33B9"/>
    <w:rsid w:val="001E716F"/>
    <w:rsid w:val="001E7E00"/>
    <w:rsid w:val="001F40A7"/>
    <w:rsid w:val="00201B9C"/>
    <w:rsid w:val="00201F3B"/>
    <w:rsid w:val="0022450D"/>
    <w:rsid w:val="00224C7F"/>
    <w:rsid w:val="002250AA"/>
    <w:rsid w:val="00225913"/>
    <w:rsid w:val="00226C39"/>
    <w:rsid w:val="00232B67"/>
    <w:rsid w:val="0023304D"/>
    <w:rsid w:val="002451F0"/>
    <w:rsid w:val="00252864"/>
    <w:rsid w:val="0025699E"/>
    <w:rsid w:val="0026206A"/>
    <w:rsid w:val="002652DC"/>
    <w:rsid w:val="00270ADC"/>
    <w:rsid w:val="00273969"/>
    <w:rsid w:val="00277402"/>
    <w:rsid w:val="00277CA1"/>
    <w:rsid w:val="0028472F"/>
    <w:rsid w:val="00285D29"/>
    <w:rsid w:val="00291190"/>
    <w:rsid w:val="00291ED1"/>
    <w:rsid w:val="002967D2"/>
    <w:rsid w:val="002B6363"/>
    <w:rsid w:val="002D12B5"/>
    <w:rsid w:val="002E30B7"/>
    <w:rsid w:val="002E629A"/>
    <w:rsid w:val="002F035D"/>
    <w:rsid w:val="002F0F3B"/>
    <w:rsid w:val="002F1CC6"/>
    <w:rsid w:val="002F1FF4"/>
    <w:rsid w:val="00300710"/>
    <w:rsid w:val="00300E61"/>
    <w:rsid w:val="00303B03"/>
    <w:rsid w:val="00312582"/>
    <w:rsid w:val="00322F2B"/>
    <w:rsid w:val="00331D43"/>
    <w:rsid w:val="00336FC1"/>
    <w:rsid w:val="00340EEA"/>
    <w:rsid w:val="003608A4"/>
    <w:rsid w:val="003654E6"/>
    <w:rsid w:val="00382696"/>
    <w:rsid w:val="00394C0B"/>
    <w:rsid w:val="003966DE"/>
    <w:rsid w:val="003A2ABD"/>
    <w:rsid w:val="003A2CB0"/>
    <w:rsid w:val="003A3DD8"/>
    <w:rsid w:val="003B14CE"/>
    <w:rsid w:val="003B2330"/>
    <w:rsid w:val="003B321A"/>
    <w:rsid w:val="003B37B8"/>
    <w:rsid w:val="003B51BA"/>
    <w:rsid w:val="003C2743"/>
    <w:rsid w:val="003E26A0"/>
    <w:rsid w:val="003E4096"/>
    <w:rsid w:val="003F09D1"/>
    <w:rsid w:val="003F2277"/>
    <w:rsid w:val="003F35D6"/>
    <w:rsid w:val="00400AEA"/>
    <w:rsid w:val="00404494"/>
    <w:rsid w:val="0040687E"/>
    <w:rsid w:val="00407399"/>
    <w:rsid w:val="00415BA8"/>
    <w:rsid w:val="00421CB7"/>
    <w:rsid w:val="00421DE7"/>
    <w:rsid w:val="0043287E"/>
    <w:rsid w:val="00437251"/>
    <w:rsid w:val="00442169"/>
    <w:rsid w:val="004566DE"/>
    <w:rsid w:val="00471713"/>
    <w:rsid w:val="00471CA9"/>
    <w:rsid w:val="00475D78"/>
    <w:rsid w:val="004808D5"/>
    <w:rsid w:val="00484140"/>
    <w:rsid w:val="00484CA4"/>
    <w:rsid w:val="004973D7"/>
    <w:rsid w:val="004B68DA"/>
    <w:rsid w:val="004C16A0"/>
    <w:rsid w:val="004C282A"/>
    <w:rsid w:val="004D0F03"/>
    <w:rsid w:val="004D5BE6"/>
    <w:rsid w:val="004D6DE1"/>
    <w:rsid w:val="004E0380"/>
    <w:rsid w:val="004E6E64"/>
    <w:rsid w:val="004F1C5C"/>
    <w:rsid w:val="004F4F6E"/>
    <w:rsid w:val="004F5C6B"/>
    <w:rsid w:val="00500ACE"/>
    <w:rsid w:val="00517856"/>
    <w:rsid w:val="005218A5"/>
    <w:rsid w:val="00522188"/>
    <w:rsid w:val="00523F45"/>
    <w:rsid w:val="00524C2E"/>
    <w:rsid w:val="00526E94"/>
    <w:rsid w:val="0053015B"/>
    <w:rsid w:val="00533C58"/>
    <w:rsid w:val="00534564"/>
    <w:rsid w:val="00537D64"/>
    <w:rsid w:val="00545FB2"/>
    <w:rsid w:val="00546612"/>
    <w:rsid w:val="00547980"/>
    <w:rsid w:val="005504A3"/>
    <w:rsid w:val="00556A16"/>
    <w:rsid w:val="005718B1"/>
    <w:rsid w:val="00576565"/>
    <w:rsid w:val="005853C8"/>
    <w:rsid w:val="00585C48"/>
    <w:rsid w:val="00585ECB"/>
    <w:rsid w:val="0058658F"/>
    <w:rsid w:val="005917D7"/>
    <w:rsid w:val="005A169D"/>
    <w:rsid w:val="005A6936"/>
    <w:rsid w:val="005A7E77"/>
    <w:rsid w:val="005B402C"/>
    <w:rsid w:val="005C1E18"/>
    <w:rsid w:val="005C5846"/>
    <w:rsid w:val="005D123C"/>
    <w:rsid w:val="005D58CC"/>
    <w:rsid w:val="005D7CA8"/>
    <w:rsid w:val="005E17B6"/>
    <w:rsid w:val="005E3265"/>
    <w:rsid w:val="005E3993"/>
    <w:rsid w:val="005F68B5"/>
    <w:rsid w:val="00602B56"/>
    <w:rsid w:val="006045DE"/>
    <w:rsid w:val="00604A91"/>
    <w:rsid w:val="0061283E"/>
    <w:rsid w:val="006147CB"/>
    <w:rsid w:val="00615A03"/>
    <w:rsid w:val="00624791"/>
    <w:rsid w:val="00631D66"/>
    <w:rsid w:val="00632109"/>
    <w:rsid w:val="00635F33"/>
    <w:rsid w:val="00635FE9"/>
    <w:rsid w:val="00636BCA"/>
    <w:rsid w:val="006410EC"/>
    <w:rsid w:val="00643136"/>
    <w:rsid w:val="006470B9"/>
    <w:rsid w:val="00656562"/>
    <w:rsid w:val="00677247"/>
    <w:rsid w:val="00680AEB"/>
    <w:rsid w:val="00697423"/>
    <w:rsid w:val="0069767F"/>
    <w:rsid w:val="006A5C7B"/>
    <w:rsid w:val="006A640A"/>
    <w:rsid w:val="006B0064"/>
    <w:rsid w:val="006B1131"/>
    <w:rsid w:val="006C16BB"/>
    <w:rsid w:val="006F573C"/>
    <w:rsid w:val="00701FB7"/>
    <w:rsid w:val="00713CE5"/>
    <w:rsid w:val="0071484C"/>
    <w:rsid w:val="007175F2"/>
    <w:rsid w:val="00720261"/>
    <w:rsid w:val="007263F1"/>
    <w:rsid w:val="0072788C"/>
    <w:rsid w:val="00727BDD"/>
    <w:rsid w:val="007416ED"/>
    <w:rsid w:val="007466C5"/>
    <w:rsid w:val="007469E8"/>
    <w:rsid w:val="00753902"/>
    <w:rsid w:val="0075521A"/>
    <w:rsid w:val="007623DE"/>
    <w:rsid w:val="00785B2E"/>
    <w:rsid w:val="0079103D"/>
    <w:rsid w:val="0079142B"/>
    <w:rsid w:val="00797476"/>
    <w:rsid w:val="007B24BA"/>
    <w:rsid w:val="007B48E7"/>
    <w:rsid w:val="007B5090"/>
    <w:rsid w:val="007B74FA"/>
    <w:rsid w:val="007C5BFA"/>
    <w:rsid w:val="007D20FA"/>
    <w:rsid w:val="007D3C4C"/>
    <w:rsid w:val="007E2452"/>
    <w:rsid w:val="007E31ED"/>
    <w:rsid w:val="007E6C48"/>
    <w:rsid w:val="007F05D5"/>
    <w:rsid w:val="007F5A08"/>
    <w:rsid w:val="008026F6"/>
    <w:rsid w:val="0081658C"/>
    <w:rsid w:val="00817971"/>
    <w:rsid w:val="008300F9"/>
    <w:rsid w:val="00834D3E"/>
    <w:rsid w:val="00837B62"/>
    <w:rsid w:val="00843288"/>
    <w:rsid w:val="00843A47"/>
    <w:rsid w:val="008454F1"/>
    <w:rsid w:val="0085133D"/>
    <w:rsid w:val="00855EA4"/>
    <w:rsid w:val="008571A1"/>
    <w:rsid w:val="008637EB"/>
    <w:rsid w:val="00866529"/>
    <w:rsid w:val="0087154A"/>
    <w:rsid w:val="008774A1"/>
    <w:rsid w:val="00891F0E"/>
    <w:rsid w:val="0089619C"/>
    <w:rsid w:val="008B6F6E"/>
    <w:rsid w:val="008B723C"/>
    <w:rsid w:val="008C0CE6"/>
    <w:rsid w:val="008C5CDA"/>
    <w:rsid w:val="008C6170"/>
    <w:rsid w:val="008D1F16"/>
    <w:rsid w:val="008D7772"/>
    <w:rsid w:val="008E38E7"/>
    <w:rsid w:val="008E407E"/>
    <w:rsid w:val="008E41FC"/>
    <w:rsid w:val="008F5555"/>
    <w:rsid w:val="00900791"/>
    <w:rsid w:val="00902A26"/>
    <w:rsid w:val="00907797"/>
    <w:rsid w:val="00917816"/>
    <w:rsid w:val="00923859"/>
    <w:rsid w:val="009261FE"/>
    <w:rsid w:val="00937CC9"/>
    <w:rsid w:val="00942B20"/>
    <w:rsid w:val="0094331F"/>
    <w:rsid w:val="009465F7"/>
    <w:rsid w:val="00953116"/>
    <w:rsid w:val="0095568B"/>
    <w:rsid w:val="009603A8"/>
    <w:rsid w:val="009637E7"/>
    <w:rsid w:val="00965A03"/>
    <w:rsid w:val="00973031"/>
    <w:rsid w:val="00977187"/>
    <w:rsid w:val="009856B7"/>
    <w:rsid w:val="0099087A"/>
    <w:rsid w:val="00992226"/>
    <w:rsid w:val="00996754"/>
    <w:rsid w:val="009A333C"/>
    <w:rsid w:val="009B7354"/>
    <w:rsid w:val="009C3954"/>
    <w:rsid w:val="009C7346"/>
    <w:rsid w:val="009D777B"/>
    <w:rsid w:val="009E6ED3"/>
    <w:rsid w:val="009F05F4"/>
    <w:rsid w:val="009F0746"/>
    <w:rsid w:val="009F34E9"/>
    <w:rsid w:val="00A0254E"/>
    <w:rsid w:val="00A126E7"/>
    <w:rsid w:val="00A14146"/>
    <w:rsid w:val="00A21399"/>
    <w:rsid w:val="00A25310"/>
    <w:rsid w:val="00A26D57"/>
    <w:rsid w:val="00A359DF"/>
    <w:rsid w:val="00A41C0A"/>
    <w:rsid w:val="00A44045"/>
    <w:rsid w:val="00A44650"/>
    <w:rsid w:val="00A535E0"/>
    <w:rsid w:val="00A60F98"/>
    <w:rsid w:val="00A74A0F"/>
    <w:rsid w:val="00A7638C"/>
    <w:rsid w:val="00A77434"/>
    <w:rsid w:val="00A80033"/>
    <w:rsid w:val="00A81033"/>
    <w:rsid w:val="00A82CC6"/>
    <w:rsid w:val="00A9015E"/>
    <w:rsid w:val="00A91CB7"/>
    <w:rsid w:val="00A95640"/>
    <w:rsid w:val="00AA2774"/>
    <w:rsid w:val="00AA4EC3"/>
    <w:rsid w:val="00AC71E6"/>
    <w:rsid w:val="00AD666C"/>
    <w:rsid w:val="00AE7404"/>
    <w:rsid w:val="00B001D5"/>
    <w:rsid w:val="00B065F9"/>
    <w:rsid w:val="00B2030D"/>
    <w:rsid w:val="00B22870"/>
    <w:rsid w:val="00B328AD"/>
    <w:rsid w:val="00B445E1"/>
    <w:rsid w:val="00B50158"/>
    <w:rsid w:val="00B60C67"/>
    <w:rsid w:val="00B62385"/>
    <w:rsid w:val="00B67438"/>
    <w:rsid w:val="00B6757E"/>
    <w:rsid w:val="00B722F9"/>
    <w:rsid w:val="00B7593A"/>
    <w:rsid w:val="00B77F85"/>
    <w:rsid w:val="00B80BC9"/>
    <w:rsid w:val="00B90006"/>
    <w:rsid w:val="00B90335"/>
    <w:rsid w:val="00BA2C55"/>
    <w:rsid w:val="00BA3A1B"/>
    <w:rsid w:val="00BA4762"/>
    <w:rsid w:val="00BA54CC"/>
    <w:rsid w:val="00BA758C"/>
    <w:rsid w:val="00BB18FE"/>
    <w:rsid w:val="00BC1F9D"/>
    <w:rsid w:val="00BC4EA8"/>
    <w:rsid w:val="00BD0DFC"/>
    <w:rsid w:val="00BE0684"/>
    <w:rsid w:val="00BE144F"/>
    <w:rsid w:val="00BE4DA9"/>
    <w:rsid w:val="00BE7D4A"/>
    <w:rsid w:val="00BF458A"/>
    <w:rsid w:val="00BF7CC3"/>
    <w:rsid w:val="00C03EDE"/>
    <w:rsid w:val="00C041B2"/>
    <w:rsid w:val="00C04631"/>
    <w:rsid w:val="00C17161"/>
    <w:rsid w:val="00C171B6"/>
    <w:rsid w:val="00C2065F"/>
    <w:rsid w:val="00C20F5A"/>
    <w:rsid w:val="00C27E34"/>
    <w:rsid w:val="00C4370F"/>
    <w:rsid w:val="00C46715"/>
    <w:rsid w:val="00C5241A"/>
    <w:rsid w:val="00C53881"/>
    <w:rsid w:val="00C60C9A"/>
    <w:rsid w:val="00C638A7"/>
    <w:rsid w:val="00C72A2A"/>
    <w:rsid w:val="00C7334F"/>
    <w:rsid w:val="00C819BB"/>
    <w:rsid w:val="00C84580"/>
    <w:rsid w:val="00C913EC"/>
    <w:rsid w:val="00CA16AE"/>
    <w:rsid w:val="00CA78FA"/>
    <w:rsid w:val="00CB7622"/>
    <w:rsid w:val="00CC2842"/>
    <w:rsid w:val="00CD6821"/>
    <w:rsid w:val="00CF0A39"/>
    <w:rsid w:val="00CF24D9"/>
    <w:rsid w:val="00D01A0B"/>
    <w:rsid w:val="00D02889"/>
    <w:rsid w:val="00D12D93"/>
    <w:rsid w:val="00D236C3"/>
    <w:rsid w:val="00D24B2F"/>
    <w:rsid w:val="00D26486"/>
    <w:rsid w:val="00D27CDB"/>
    <w:rsid w:val="00D44A1B"/>
    <w:rsid w:val="00D56D9E"/>
    <w:rsid w:val="00D62329"/>
    <w:rsid w:val="00D729EF"/>
    <w:rsid w:val="00D86A24"/>
    <w:rsid w:val="00D90412"/>
    <w:rsid w:val="00D971BD"/>
    <w:rsid w:val="00DA75A8"/>
    <w:rsid w:val="00DB5BD0"/>
    <w:rsid w:val="00DE3421"/>
    <w:rsid w:val="00DE520A"/>
    <w:rsid w:val="00DE71E3"/>
    <w:rsid w:val="00DF2040"/>
    <w:rsid w:val="00DF5566"/>
    <w:rsid w:val="00DF6FA1"/>
    <w:rsid w:val="00DF7FE6"/>
    <w:rsid w:val="00E03A23"/>
    <w:rsid w:val="00E05591"/>
    <w:rsid w:val="00E06CFF"/>
    <w:rsid w:val="00E10B7E"/>
    <w:rsid w:val="00E32ED5"/>
    <w:rsid w:val="00E36454"/>
    <w:rsid w:val="00E439D9"/>
    <w:rsid w:val="00E44728"/>
    <w:rsid w:val="00E44C6F"/>
    <w:rsid w:val="00E45521"/>
    <w:rsid w:val="00E515B6"/>
    <w:rsid w:val="00E537A4"/>
    <w:rsid w:val="00E614A3"/>
    <w:rsid w:val="00E75B6D"/>
    <w:rsid w:val="00E84F9A"/>
    <w:rsid w:val="00E90FA0"/>
    <w:rsid w:val="00EB43AE"/>
    <w:rsid w:val="00EC05A7"/>
    <w:rsid w:val="00EC5B91"/>
    <w:rsid w:val="00ED6760"/>
    <w:rsid w:val="00EE0C20"/>
    <w:rsid w:val="00EF2FED"/>
    <w:rsid w:val="00F03585"/>
    <w:rsid w:val="00F23570"/>
    <w:rsid w:val="00F25ED1"/>
    <w:rsid w:val="00F30EEE"/>
    <w:rsid w:val="00F32304"/>
    <w:rsid w:val="00F332F9"/>
    <w:rsid w:val="00F33850"/>
    <w:rsid w:val="00F43FB0"/>
    <w:rsid w:val="00F50C31"/>
    <w:rsid w:val="00F513CF"/>
    <w:rsid w:val="00F51A8E"/>
    <w:rsid w:val="00F54E78"/>
    <w:rsid w:val="00F70B03"/>
    <w:rsid w:val="00F719E1"/>
    <w:rsid w:val="00F77043"/>
    <w:rsid w:val="00F85886"/>
    <w:rsid w:val="00F8677E"/>
    <w:rsid w:val="00F908DB"/>
    <w:rsid w:val="00F90D09"/>
    <w:rsid w:val="00F91167"/>
    <w:rsid w:val="00F917B4"/>
    <w:rsid w:val="00F93625"/>
    <w:rsid w:val="00FA79ED"/>
    <w:rsid w:val="00FA7E1B"/>
    <w:rsid w:val="00FB2ED2"/>
    <w:rsid w:val="00FB384A"/>
    <w:rsid w:val="00FB3AFE"/>
    <w:rsid w:val="00FB71C3"/>
    <w:rsid w:val="00FC133B"/>
    <w:rsid w:val="00FC3779"/>
    <w:rsid w:val="00FC5B64"/>
    <w:rsid w:val="00FC7F58"/>
    <w:rsid w:val="00FD19FD"/>
    <w:rsid w:val="00FD74B3"/>
    <w:rsid w:val="00FE08B7"/>
    <w:rsid w:val="00FE267B"/>
    <w:rsid w:val="00FE2BE1"/>
    <w:rsid w:val="00FE63FB"/>
    <w:rsid w:val="00FF09CE"/>
    <w:rsid w:val="00FF41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ru v:ext="edit" colors="#009ee3,#aa0721,#06c,#00aeef,#9a9b00,#009ee0,#f08015,#742f89"/>
    </o:shapedefaults>
    <o:shapelayout v:ext="edit">
      <o:idmap v:ext="edit" data="1"/>
    </o:shapelayout>
  </w:shapeDefaults>
  <w:decimalSymbol w:val="."/>
  <w:listSeparator w:val=","/>
  <w14:docId w14:val="039A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caption" w:semiHidden="1" w:unhideWhenUsed="1" w:qFormat="1"/>
    <w:lsdException w:name="List" w:qFormat="1"/>
    <w:lsdException w:name="List Bullet" w:qFormat="1"/>
    <w:lsdException w:name="List 2" w:qFormat="1"/>
    <w:lsdException w:name="List Bullet 2" w:qFormat="1"/>
    <w:lsdException w:name="List Bullet 3" w:qFormat="1"/>
    <w:lsdException w:name="Title" w:qFormat="1"/>
    <w:lsdException w:name="Body Text" w:qFormat="1"/>
    <w:lsdException w:name="Body Text Indent"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A3"/>
    <w:pPr>
      <w:autoSpaceDE w:val="0"/>
      <w:autoSpaceDN w:val="0"/>
      <w:adjustRightInd w:val="0"/>
      <w:spacing w:before="120" w:after="120" w:line="280" w:lineRule="exact"/>
    </w:pPr>
    <w:rPr>
      <w:rFonts w:ascii="Arial" w:hAnsi="Arial" w:cs="Arial"/>
      <w:color w:val="000000"/>
      <w:sz w:val="24"/>
      <w:szCs w:val="24"/>
      <w:lang w:eastAsia="en-GB"/>
    </w:rPr>
  </w:style>
  <w:style w:type="paragraph" w:styleId="Heading1">
    <w:name w:val="heading 1"/>
    <w:aliases w:val="Chapter Head"/>
    <w:next w:val="Normal"/>
    <w:qFormat/>
    <w:rsid w:val="000E6ADA"/>
    <w:pPr>
      <w:spacing w:before="1000" w:after="1000" w:line="540" w:lineRule="exact"/>
      <w:outlineLvl w:val="0"/>
    </w:pPr>
    <w:rPr>
      <w:rFonts w:ascii="Arial" w:hAnsi="Arial" w:cs="Arial"/>
      <w:bCs/>
      <w:color w:val="00AEEF"/>
      <w:kern w:val="32"/>
      <w:sz w:val="50"/>
      <w:szCs w:val="32"/>
      <w:lang w:eastAsia="en-GB"/>
    </w:rPr>
  </w:style>
  <w:style w:type="paragraph" w:styleId="Heading2">
    <w:name w:val="heading 2"/>
    <w:aliases w:val="Heading A"/>
    <w:next w:val="BodyText"/>
    <w:link w:val="Heading2Char"/>
    <w:unhideWhenUsed/>
    <w:qFormat/>
    <w:rsid w:val="000E6ADA"/>
    <w:pPr>
      <w:spacing w:before="240" w:after="120" w:line="380" w:lineRule="exact"/>
      <w:outlineLvl w:val="1"/>
    </w:pPr>
    <w:rPr>
      <w:rFonts w:ascii="Arial" w:hAnsi="Arial" w:cs="Arial"/>
      <w:color w:val="00AEEF"/>
      <w:sz w:val="32"/>
      <w:szCs w:val="32"/>
      <w:lang w:eastAsia="en-GB"/>
    </w:rPr>
  </w:style>
  <w:style w:type="paragraph" w:styleId="Heading3">
    <w:name w:val="heading 3"/>
    <w:aliases w:val="Heading B"/>
    <w:next w:val="BodyText"/>
    <w:link w:val="Heading3Char"/>
    <w:unhideWhenUsed/>
    <w:qFormat/>
    <w:rsid w:val="000E6ADA"/>
    <w:pPr>
      <w:spacing w:before="240" w:after="120" w:line="280" w:lineRule="exact"/>
      <w:outlineLvl w:val="2"/>
    </w:pPr>
    <w:rPr>
      <w:rFonts w:ascii="Arial" w:hAnsi="Arial" w:cs="Arial"/>
      <w:color w:val="00AEEF"/>
      <w:sz w:val="24"/>
      <w:szCs w:val="24"/>
      <w:lang w:eastAsia="en-GB"/>
    </w:rPr>
  </w:style>
  <w:style w:type="paragraph" w:styleId="Heading4">
    <w:name w:val="heading 4"/>
    <w:aliases w:val="Heading C"/>
    <w:basedOn w:val="Normal"/>
    <w:next w:val="BodyText"/>
    <w:link w:val="Heading4Char"/>
    <w:unhideWhenUsed/>
    <w:qFormat/>
    <w:rsid w:val="000E6ADA"/>
    <w:pPr>
      <w:keepNext/>
      <w:keepLines/>
      <w:outlineLvl w:val="3"/>
    </w:pPr>
    <w:rPr>
      <w:rFonts w:eastAsiaTheme="majorEastAsia"/>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CTitle">
    <w:name w:val="DECC Title"/>
    <w:next w:val="Normal"/>
    <w:autoRedefine/>
    <w:qFormat/>
    <w:rsid w:val="00404494"/>
    <w:pPr>
      <w:framePr w:hSpace="180" w:wrap="around" w:vAnchor="page" w:hAnchor="margin" w:y="3286"/>
      <w:spacing w:line="840" w:lineRule="exact"/>
    </w:pPr>
    <w:rPr>
      <w:rFonts w:ascii="Arial" w:hAnsi="Arial" w:cs="Arial"/>
      <w:bCs/>
      <w:color w:val="00AEEF"/>
      <w:kern w:val="32"/>
      <w:sz w:val="72"/>
      <w:szCs w:val="72"/>
      <w:lang w:eastAsia="en-GB"/>
    </w:rPr>
  </w:style>
  <w:style w:type="character" w:customStyle="1" w:styleId="Heading4Char">
    <w:name w:val="Heading 4 Char"/>
    <w:aliases w:val="Heading C Char"/>
    <w:basedOn w:val="DefaultParagraphFont"/>
    <w:link w:val="Heading4"/>
    <w:rsid w:val="000E6ADA"/>
    <w:rPr>
      <w:rFonts w:ascii="Arial" w:eastAsiaTheme="majorEastAsia" w:hAnsi="Arial" w:cs="Arial"/>
      <w:b/>
      <w:bCs/>
      <w:iCs/>
      <w:sz w:val="24"/>
      <w:szCs w:val="24"/>
      <w:lang w:eastAsia="en-GB"/>
    </w:rPr>
  </w:style>
  <w:style w:type="paragraph" w:styleId="TOC1">
    <w:name w:val="toc 1"/>
    <w:basedOn w:val="Normal"/>
    <w:next w:val="Normal"/>
    <w:autoRedefine/>
    <w:uiPriority w:val="39"/>
    <w:rsid w:val="000322BE"/>
    <w:pPr>
      <w:tabs>
        <w:tab w:val="right" w:leader="dot" w:pos="10082"/>
      </w:tabs>
      <w:spacing w:line="240" w:lineRule="auto"/>
    </w:pPr>
  </w:style>
  <w:style w:type="paragraph" w:styleId="TOC2">
    <w:name w:val="toc 2"/>
    <w:basedOn w:val="Normal"/>
    <w:next w:val="Normal"/>
    <w:autoRedefine/>
    <w:uiPriority w:val="39"/>
    <w:rsid w:val="000322BE"/>
    <w:pPr>
      <w:tabs>
        <w:tab w:val="right" w:leader="dot" w:pos="10082"/>
      </w:tabs>
      <w:spacing w:line="240" w:lineRule="auto"/>
      <w:ind w:left="238"/>
    </w:pPr>
    <w:rPr>
      <w:sz w:val="22"/>
    </w:rPr>
  </w:style>
  <w:style w:type="paragraph" w:styleId="TOC3">
    <w:name w:val="toc 3"/>
    <w:basedOn w:val="Normal"/>
    <w:next w:val="Normal"/>
    <w:autoRedefine/>
    <w:semiHidden/>
    <w:rsid w:val="00843288"/>
    <w:pPr>
      <w:ind w:left="482"/>
    </w:pPr>
    <w:rPr>
      <w:sz w:val="22"/>
    </w:rPr>
  </w:style>
  <w:style w:type="paragraph" w:customStyle="1" w:styleId="DECCReference">
    <w:name w:val="DECC Reference"/>
    <w:basedOn w:val="Normal"/>
    <w:autoRedefine/>
    <w:rsid w:val="005853C8"/>
    <w:pPr>
      <w:spacing w:before="60" w:after="60" w:line="320" w:lineRule="exact"/>
    </w:pPr>
    <w:rPr>
      <w:color w:val="FFFFFF" w:themeColor="background1"/>
    </w:rPr>
  </w:style>
  <w:style w:type="character" w:styleId="PageNumber">
    <w:name w:val="page number"/>
    <w:rsid w:val="006147CB"/>
    <w:rPr>
      <w:rFonts w:ascii="Arial" w:hAnsi="Arial"/>
      <w:color w:val="666666"/>
      <w:sz w:val="22"/>
    </w:rPr>
  </w:style>
  <w:style w:type="paragraph" w:customStyle="1" w:styleId="TableHeaders">
    <w:name w:val="Table Headers"/>
    <w:basedOn w:val="Normal"/>
    <w:next w:val="TableText"/>
    <w:qFormat/>
    <w:rsid w:val="00A9015E"/>
    <w:pPr>
      <w:spacing w:after="0"/>
      <w:ind w:left="113" w:right="113"/>
    </w:pPr>
    <w:rPr>
      <w:b/>
      <w:color w:val="FFFFFF"/>
    </w:rPr>
  </w:style>
  <w:style w:type="table" w:styleId="Table3Deffects1">
    <w:name w:val="Table 3D effects 1"/>
    <w:aliases w:val="DECC 1"/>
    <w:basedOn w:val="TableNormal"/>
    <w:rsid w:val="000E7D34"/>
    <w:pPr>
      <w:autoSpaceDE w:val="0"/>
      <w:autoSpaceDN w:val="0"/>
      <w:adjustRightInd w:val="0"/>
      <w:spacing w:before="120" w:after="120" w:line="280" w:lineRule="exact"/>
    </w:pPr>
    <w:rPr>
      <w:rFonts w:ascii="Arial" w:hAnsi="Arial"/>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57" w:type="dxa"/>
        <w:bottom w:w="57" w:type="dxa"/>
      </w:tblCellMar>
    </w:tblPr>
    <w:tcPr>
      <w:shd w:val="clear" w:color="C0C0C0" w:fill="auto"/>
    </w:tcPr>
    <w:tblStylePr w:type="firstRow">
      <w:pPr>
        <w:wordWrap/>
        <w:spacing w:beforeLines="100" w:before="100" w:beforeAutospacing="0" w:afterLines="100" w:after="100" w:afterAutospacing="0" w:line="240" w:lineRule="auto"/>
        <w:contextualSpacing w:val="0"/>
      </w:pPr>
      <w:rPr>
        <w:b/>
        <w14:textOutline w14:w="0" w14:cap="rnd" w14:cmpd="sng" w14:algn="ctr">
          <w14:noFill/>
          <w14:prstDash w14:val="solid"/>
          <w14:bevel/>
        </w14:textOutline>
      </w:rPr>
      <w:tblPr/>
      <w:trPr>
        <w:cantSplit/>
        <w:tblHeader/>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l2br w:val="nil"/>
          <w:tr2bl w:val="nil"/>
        </w:tcBorders>
        <w:shd w:val="clear" w:color="C0C0C0" w:fill="F79646" w:themeFill="accent6"/>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DECCIntrotext">
    <w:name w:val="DECC Intro text"/>
    <w:basedOn w:val="Normal"/>
    <w:next w:val="Normal"/>
    <w:autoRedefine/>
    <w:qFormat/>
    <w:rsid w:val="00524C2E"/>
    <w:pPr>
      <w:keepNext/>
      <w:spacing w:before="240" w:line="380" w:lineRule="exact"/>
      <w:jc w:val="both"/>
      <w:outlineLvl w:val="5"/>
    </w:pPr>
    <w:rPr>
      <w:bCs/>
      <w:color w:val="00AEEF"/>
      <w:kern w:val="32"/>
      <w:sz w:val="32"/>
      <w:szCs w:val="56"/>
    </w:rPr>
  </w:style>
  <w:style w:type="table" w:styleId="Table3Deffects2">
    <w:name w:val="Table 3D effects 2"/>
    <w:basedOn w:val="TableNormal"/>
    <w:rsid w:val="000156B4"/>
    <w:pPr>
      <w:autoSpaceDE w:val="0"/>
      <w:autoSpaceDN w:val="0"/>
      <w:adjustRightInd w:val="0"/>
      <w:spacing w:before="120" w:after="120" w:line="280" w:lineRule="exact"/>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paragraph" w:styleId="Footer">
    <w:name w:val="footer"/>
    <w:basedOn w:val="Normal"/>
    <w:rsid w:val="006470B9"/>
    <w:pPr>
      <w:tabs>
        <w:tab w:val="center" w:pos="4153"/>
        <w:tab w:val="right" w:pos="8306"/>
      </w:tabs>
      <w:spacing w:after="0"/>
    </w:pPr>
    <w:rPr>
      <w:sz w:val="22"/>
      <w:szCs w:val="22"/>
    </w:rPr>
  </w:style>
  <w:style w:type="paragraph" w:styleId="Header">
    <w:name w:val="header"/>
    <w:basedOn w:val="Normal"/>
    <w:qFormat/>
    <w:rsid w:val="00B6757E"/>
    <w:pPr>
      <w:spacing w:before="0" w:line="240" w:lineRule="auto"/>
    </w:pPr>
    <w:rPr>
      <w:color w:val="666666"/>
      <w:sz w:val="22"/>
    </w:rPr>
  </w:style>
  <w:style w:type="paragraph" w:customStyle="1" w:styleId="BodyNumbering">
    <w:name w:val="Body Numbering"/>
    <w:basedOn w:val="Normal"/>
    <w:qFormat/>
    <w:rsid w:val="00270ADC"/>
    <w:pPr>
      <w:numPr>
        <w:ilvl w:val="1"/>
        <w:numId w:val="21"/>
      </w:numPr>
      <w:tabs>
        <w:tab w:val="left" w:pos="851"/>
      </w:tabs>
      <w:ind w:right="11" w:hanging="792"/>
    </w:pPr>
  </w:style>
  <w:style w:type="numbering" w:customStyle="1" w:styleId="TableBullets">
    <w:name w:val="Table Bullets"/>
    <w:basedOn w:val="NoList"/>
    <w:rsid w:val="00F332F9"/>
    <w:pPr>
      <w:numPr>
        <w:numId w:val="4"/>
      </w:numPr>
    </w:pPr>
  </w:style>
  <w:style w:type="paragraph" w:styleId="Quote">
    <w:name w:val="Quote"/>
    <w:basedOn w:val="Notes"/>
    <w:next w:val="Normal"/>
    <w:link w:val="QuoteChar"/>
    <w:uiPriority w:val="73"/>
    <w:qFormat/>
    <w:rsid w:val="00E90FA0"/>
    <w:pPr>
      <w:ind w:left="567" w:right="567"/>
    </w:pPr>
    <w:rPr>
      <w:b w:val="0"/>
      <w:i/>
      <w:sz w:val="22"/>
      <w:szCs w:val="22"/>
    </w:rPr>
  </w:style>
  <w:style w:type="character" w:customStyle="1" w:styleId="Page1White">
    <w:name w:val="Page 1 White"/>
    <w:rsid w:val="0023304D"/>
    <w:rPr>
      <w:rFonts w:ascii="Arial" w:hAnsi="Arial"/>
      <w:color w:val="FFFFFF"/>
      <w:sz w:val="24"/>
    </w:rPr>
  </w:style>
  <w:style w:type="paragraph" w:customStyle="1" w:styleId="Figureschartstitle">
    <w:name w:val="Figures/charts title"/>
    <w:basedOn w:val="Normal"/>
    <w:next w:val="Normal"/>
    <w:qFormat/>
    <w:rsid w:val="00270ADC"/>
    <w:pPr>
      <w:pBdr>
        <w:top w:val="single" w:sz="8" w:space="4" w:color="00AEEF"/>
      </w:pBdr>
      <w:autoSpaceDE/>
      <w:autoSpaceDN/>
      <w:adjustRightInd/>
      <w:spacing w:after="60" w:line="240" w:lineRule="auto"/>
      <w:outlineLvl w:val="5"/>
    </w:pPr>
    <w:rPr>
      <w:rFonts w:cs="Times New Roman"/>
      <w:b/>
      <w:color w:val="00AEEF"/>
      <w:sz w:val="22"/>
      <w:szCs w:val="20"/>
      <w:lang w:eastAsia="en-US"/>
    </w:rPr>
  </w:style>
  <w:style w:type="paragraph" w:customStyle="1" w:styleId="BoxText">
    <w:name w:val="Box Text"/>
    <w:basedOn w:val="Normal"/>
    <w:next w:val="BodyText"/>
    <w:qFormat/>
    <w:rsid w:val="003F09D1"/>
    <w:pPr>
      <w:shd w:val="clear" w:color="auto" w:fill="CAEEFF"/>
      <w:spacing w:line="320" w:lineRule="exact"/>
      <w:ind w:left="567" w:right="567"/>
    </w:pPr>
    <w:rPr>
      <w:color w:val="auto"/>
    </w:rPr>
  </w:style>
  <w:style w:type="table" w:styleId="TableGrid">
    <w:name w:val="Table Grid"/>
    <w:basedOn w:val="TableNormal"/>
    <w:rsid w:val="0001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AC71E6"/>
    <w:pPr>
      <w:spacing w:before="60" w:after="60"/>
      <w:ind w:left="113" w:right="113"/>
    </w:pPr>
  </w:style>
  <w:style w:type="table" w:customStyle="1" w:styleId="DECC2">
    <w:name w:val="DECC 2"/>
    <w:basedOn w:val="TableNormal"/>
    <w:uiPriority w:val="99"/>
    <w:rsid w:val="000E7D34"/>
    <w:rPr>
      <w:rFonts w:ascii="Arial" w:hAnsi="Arial"/>
    </w:rPr>
    <w:tblPr>
      <w:tblBorders>
        <w:top w:val="single" w:sz="8" w:space="0" w:color="83389B"/>
        <w:left w:val="single" w:sz="8" w:space="0" w:color="83389B"/>
        <w:bottom w:val="single" w:sz="8" w:space="0" w:color="83389B"/>
        <w:right w:val="single" w:sz="8" w:space="0" w:color="83389B"/>
        <w:insideH w:val="single" w:sz="8" w:space="0" w:color="83389B"/>
        <w:insideV w:val="single" w:sz="8" w:space="0" w:color="83389B"/>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tblPr/>
      <w:trPr>
        <w:cantSplit/>
        <w:tblHeader/>
      </w:trPr>
      <w:tcPr>
        <w:shd w:val="clear" w:color="auto" w:fill="83389B"/>
      </w:tcPr>
    </w:tblStylePr>
  </w:style>
  <w:style w:type="character" w:customStyle="1" w:styleId="DECCPBlue">
    <w:name w:val="DECC P Blue"/>
    <w:rsid w:val="00533C58"/>
    <w:rPr>
      <w:color w:val="009EE3"/>
    </w:rPr>
  </w:style>
  <w:style w:type="character" w:customStyle="1" w:styleId="DECCPOrange">
    <w:name w:val="DECC P Orange"/>
    <w:rsid w:val="00533C58"/>
    <w:rPr>
      <w:color w:val="F08015"/>
    </w:rPr>
  </w:style>
  <w:style w:type="character" w:customStyle="1" w:styleId="DECCPRed">
    <w:name w:val="DECC P Red"/>
    <w:rsid w:val="00533C58"/>
    <w:rPr>
      <w:color w:val="AA0721"/>
    </w:rPr>
  </w:style>
  <w:style w:type="character" w:customStyle="1" w:styleId="DECCPPurple">
    <w:name w:val="DECC P Purple"/>
    <w:rsid w:val="00533C58"/>
    <w:rPr>
      <w:color w:val="742F89"/>
    </w:rPr>
  </w:style>
  <w:style w:type="paragraph" w:styleId="ListBullet">
    <w:name w:val="List Bullet"/>
    <w:basedOn w:val="Normal"/>
    <w:qFormat/>
    <w:rsid w:val="001929F0"/>
    <w:pPr>
      <w:numPr>
        <w:numId w:val="3"/>
      </w:numPr>
      <w:ind w:left="794" w:hanging="397"/>
    </w:pPr>
  </w:style>
  <w:style w:type="paragraph" w:customStyle="1" w:styleId="CoverFooter">
    <w:name w:val="Cover Footer"/>
    <w:basedOn w:val="Normal"/>
    <w:qFormat/>
    <w:rsid w:val="00CF24D9"/>
    <w:pPr>
      <w:spacing w:line="360" w:lineRule="exact"/>
      <w:ind w:right="28"/>
      <w:jc w:val="right"/>
    </w:pPr>
    <w:rPr>
      <w:color w:val="FFFFFF"/>
      <w:sz w:val="30"/>
    </w:rPr>
  </w:style>
  <w:style w:type="table" w:customStyle="1" w:styleId="DECC3">
    <w:name w:val="DECC 3"/>
    <w:basedOn w:val="TableNormal"/>
    <w:uiPriority w:val="99"/>
    <w:rsid w:val="000E7D34"/>
    <w:rPr>
      <w:rFonts w:ascii="Arial" w:hAnsi="Arial"/>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ConsulatationQuestionWhite">
    <w:name w:val="Consulatation Question White"/>
    <w:basedOn w:val="Normal"/>
    <w:rsid w:val="00A9015E"/>
    <w:pPr>
      <w:spacing w:after="0"/>
      <w:ind w:left="113" w:right="113"/>
    </w:pPr>
    <w:rPr>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efault">
    <w:name w:val="Default"/>
    <w:rsid w:val="005C1E18"/>
    <w:pPr>
      <w:autoSpaceDE w:val="0"/>
      <w:autoSpaceDN w:val="0"/>
      <w:adjustRightInd w:val="0"/>
    </w:pPr>
    <w:rPr>
      <w:rFonts w:ascii="Arial" w:hAnsi="Arial" w:cs="Arial"/>
      <w:color w:val="000000"/>
      <w:sz w:val="24"/>
      <w:szCs w:val="24"/>
      <w:lang w:eastAsia="en-GB"/>
    </w:rPr>
  </w:style>
  <w:style w:type="character" w:styleId="Hyperlink">
    <w:name w:val="Hyperlink"/>
    <w:rsid w:val="00475D78"/>
    <w:rPr>
      <w:color w:val="0000FF"/>
      <w:u w:val="single"/>
    </w:rPr>
  </w:style>
  <w:style w:type="character" w:styleId="FollowedHyperlink">
    <w:name w:val="FollowedHyperlink"/>
    <w:rsid w:val="006A5C7B"/>
    <w:rPr>
      <w:color w:val="800080"/>
      <w:u w:val="single"/>
    </w:rPr>
  </w:style>
  <w:style w:type="paragraph" w:styleId="BalloonText">
    <w:name w:val="Balloon Text"/>
    <w:basedOn w:val="Normal"/>
    <w:link w:val="BalloonTextChar"/>
    <w:rsid w:val="000C0596"/>
    <w:rPr>
      <w:rFonts w:ascii="Tahoma" w:hAnsi="Tahoma" w:cs="Tahoma"/>
      <w:sz w:val="16"/>
      <w:szCs w:val="16"/>
    </w:rPr>
  </w:style>
  <w:style w:type="character" w:customStyle="1" w:styleId="BalloonTextChar">
    <w:name w:val="Balloon Text Char"/>
    <w:link w:val="BalloonText"/>
    <w:rsid w:val="000C0596"/>
    <w:rPr>
      <w:rFonts w:ascii="Tahoma" w:hAnsi="Tahoma" w:cs="Tahoma"/>
      <w:color w:val="000000"/>
      <w:sz w:val="16"/>
      <w:szCs w:val="16"/>
    </w:rPr>
  </w:style>
  <w:style w:type="character" w:customStyle="1" w:styleId="Heading2Char">
    <w:name w:val="Heading 2 Char"/>
    <w:aliases w:val="Heading A Char"/>
    <w:link w:val="Heading2"/>
    <w:rsid w:val="000E6ADA"/>
    <w:rPr>
      <w:rFonts w:ascii="Arial" w:hAnsi="Arial" w:cs="Arial"/>
      <w:color w:val="00AEEF"/>
      <w:sz w:val="32"/>
      <w:szCs w:val="32"/>
      <w:lang w:eastAsia="en-GB"/>
    </w:rPr>
  </w:style>
  <w:style w:type="character" w:customStyle="1" w:styleId="Heading3Char">
    <w:name w:val="Heading 3 Char"/>
    <w:aliases w:val="Heading B Char"/>
    <w:link w:val="Heading3"/>
    <w:rsid w:val="000E6ADA"/>
    <w:rPr>
      <w:rFonts w:ascii="Arial" w:hAnsi="Arial" w:cs="Arial"/>
      <w:color w:val="00AEEF"/>
      <w:sz w:val="24"/>
      <w:szCs w:val="24"/>
      <w:lang w:eastAsia="en-GB"/>
    </w:rPr>
  </w:style>
  <w:style w:type="paragraph" w:customStyle="1" w:styleId="Listbulletintable">
    <w:name w:val="List bullet in table"/>
    <w:basedOn w:val="ListBullet"/>
    <w:qFormat/>
    <w:rsid w:val="00E36454"/>
    <w:pPr>
      <w:numPr>
        <w:numId w:val="5"/>
      </w:numPr>
      <w:spacing w:before="60" w:after="60"/>
      <w:ind w:left="463" w:hanging="350"/>
    </w:pPr>
  </w:style>
  <w:style w:type="paragraph" w:styleId="Subtitle">
    <w:name w:val="Subtitle"/>
    <w:aliases w:val="DECC Subtitle"/>
    <w:next w:val="Normal"/>
    <w:link w:val="SubtitleChar"/>
    <w:qFormat/>
    <w:rsid w:val="00421DE7"/>
    <w:pPr>
      <w:spacing w:before="120" w:after="120" w:line="520" w:lineRule="exact"/>
      <w:outlineLvl w:val="1"/>
    </w:pPr>
    <w:rPr>
      <w:rFonts w:ascii="Arial" w:hAnsi="Arial" w:cs="Arial"/>
      <w:color w:val="FFFFFF" w:themeColor="background1"/>
      <w:sz w:val="44"/>
      <w:szCs w:val="44"/>
      <w:lang w:eastAsia="en-GB"/>
    </w:rPr>
  </w:style>
  <w:style w:type="character" w:customStyle="1" w:styleId="SubtitleChar">
    <w:name w:val="Subtitle Char"/>
    <w:aliases w:val="DECC Subtitle Char"/>
    <w:basedOn w:val="DefaultParagraphFont"/>
    <w:link w:val="Subtitle"/>
    <w:rsid w:val="00421DE7"/>
    <w:rPr>
      <w:rFonts w:ascii="Arial" w:hAnsi="Arial" w:cs="Arial"/>
      <w:color w:val="FFFFFF" w:themeColor="background1"/>
      <w:sz w:val="44"/>
      <w:szCs w:val="44"/>
      <w:lang w:eastAsia="en-GB"/>
    </w:rPr>
  </w:style>
  <w:style w:type="paragraph" w:styleId="BodyText">
    <w:name w:val="Body Text"/>
    <w:basedOn w:val="Normal"/>
    <w:link w:val="BodyTextChar"/>
    <w:qFormat/>
    <w:rsid w:val="00537D64"/>
  </w:style>
  <w:style w:type="character" w:customStyle="1" w:styleId="BodyTextChar">
    <w:name w:val="Body Text Char"/>
    <w:basedOn w:val="DefaultParagraphFont"/>
    <w:link w:val="BodyText"/>
    <w:rsid w:val="00537D64"/>
    <w:rPr>
      <w:rFonts w:ascii="Arial" w:hAnsi="Arial" w:cs="Arial"/>
      <w:color w:val="000000"/>
      <w:sz w:val="24"/>
      <w:szCs w:val="24"/>
      <w:lang w:eastAsia="en-GB"/>
    </w:rPr>
  </w:style>
  <w:style w:type="paragraph" w:styleId="TOC4">
    <w:name w:val="toc 4"/>
    <w:basedOn w:val="Normal"/>
    <w:next w:val="Normal"/>
    <w:autoRedefine/>
    <w:rsid w:val="000322BE"/>
    <w:pPr>
      <w:ind w:left="720"/>
    </w:pPr>
  </w:style>
  <w:style w:type="paragraph" w:styleId="TOC5">
    <w:name w:val="toc 5"/>
    <w:basedOn w:val="Normal"/>
    <w:next w:val="Normal"/>
    <w:autoRedefine/>
    <w:rsid w:val="000322BE"/>
    <w:pPr>
      <w:ind w:left="960"/>
    </w:pPr>
  </w:style>
  <w:style w:type="paragraph" w:styleId="TOC6">
    <w:name w:val="toc 6"/>
    <w:basedOn w:val="Normal"/>
    <w:next w:val="Normal"/>
    <w:autoRedefine/>
    <w:rsid w:val="000322BE"/>
    <w:pPr>
      <w:ind w:left="1200"/>
    </w:pPr>
  </w:style>
  <w:style w:type="paragraph" w:styleId="TOC7">
    <w:name w:val="toc 7"/>
    <w:basedOn w:val="Normal"/>
    <w:next w:val="Normal"/>
    <w:autoRedefine/>
    <w:rsid w:val="000322BE"/>
    <w:pPr>
      <w:ind w:left="1440"/>
    </w:pPr>
  </w:style>
  <w:style w:type="paragraph" w:styleId="TOC8">
    <w:name w:val="toc 8"/>
    <w:basedOn w:val="Normal"/>
    <w:next w:val="Normal"/>
    <w:autoRedefine/>
    <w:rsid w:val="000322BE"/>
    <w:pPr>
      <w:ind w:left="1680"/>
    </w:pPr>
  </w:style>
  <w:style w:type="paragraph" w:styleId="TOC9">
    <w:name w:val="toc 9"/>
    <w:basedOn w:val="Normal"/>
    <w:next w:val="Normal"/>
    <w:autoRedefine/>
    <w:rsid w:val="000322BE"/>
    <w:pPr>
      <w:ind w:left="1920"/>
    </w:pPr>
  </w:style>
  <w:style w:type="paragraph" w:customStyle="1" w:styleId="DECCNumberedChapterHead">
    <w:name w:val="DECC Numbered Chapter Head"/>
    <w:basedOn w:val="Heading1"/>
    <w:next w:val="BodyText"/>
    <w:qFormat/>
    <w:rsid w:val="00437251"/>
    <w:pPr>
      <w:numPr>
        <w:numId w:val="21"/>
      </w:numPr>
    </w:pPr>
  </w:style>
  <w:style w:type="paragraph" w:styleId="ListBullet2">
    <w:name w:val="List Bullet 2"/>
    <w:basedOn w:val="Normal"/>
    <w:qFormat/>
    <w:rsid w:val="001929F0"/>
    <w:pPr>
      <w:numPr>
        <w:numId w:val="7"/>
      </w:numPr>
      <w:tabs>
        <w:tab w:val="clear" w:pos="643"/>
        <w:tab w:val="num" w:pos="1418"/>
      </w:tabs>
      <w:ind w:left="1418" w:hanging="567"/>
    </w:pPr>
  </w:style>
  <w:style w:type="paragraph" w:styleId="ListBullet3">
    <w:name w:val="List Bullet 3"/>
    <w:basedOn w:val="Normal"/>
    <w:qFormat/>
    <w:rsid w:val="00917816"/>
    <w:pPr>
      <w:numPr>
        <w:numId w:val="8"/>
      </w:numPr>
      <w:tabs>
        <w:tab w:val="clear" w:pos="926"/>
        <w:tab w:val="num" w:pos="1843"/>
      </w:tabs>
      <w:ind w:left="1843" w:hanging="425"/>
      <w:contextualSpacing/>
    </w:pPr>
  </w:style>
  <w:style w:type="paragraph" w:styleId="Caption">
    <w:name w:val="caption"/>
    <w:basedOn w:val="Normal"/>
    <w:next w:val="Normal"/>
    <w:qFormat/>
    <w:rsid w:val="003B37B8"/>
    <w:pPr>
      <w:autoSpaceDE/>
      <w:autoSpaceDN/>
      <w:adjustRightInd/>
    </w:pPr>
    <w:rPr>
      <w:b/>
      <w:bCs/>
      <w:color w:val="auto"/>
      <w:sz w:val="20"/>
      <w:szCs w:val="20"/>
      <w:lang w:eastAsia="en-US"/>
    </w:rPr>
  </w:style>
  <w:style w:type="paragraph" w:styleId="BodyTextIndent">
    <w:name w:val="Body Text Indent"/>
    <w:basedOn w:val="Normal"/>
    <w:link w:val="BodyTextIndentChar"/>
    <w:qFormat/>
    <w:rsid w:val="00291190"/>
    <w:pPr>
      <w:ind w:left="794"/>
    </w:pPr>
  </w:style>
  <w:style w:type="character" w:customStyle="1" w:styleId="BodyTextIndentChar">
    <w:name w:val="Body Text Indent Char"/>
    <w:basedOn w:val="DefaultParagraphFont"/>
    <w:link w:val="BodyTextIndent"/>
    <w:rsid w:val="00291190"/>
    <w:rPr>
      <w:rFonts w:ascii="Arial" w:hAnsi="Arial" w:cs="Arial"/>
      <w:color w:val="000000"/>
      <w:sz w:val="24"/>
      <w:szCs w:val="24"/>
      <w:lang w:eastAsia="en-GB"/>
    </w:rPr>
  </w:style>
  <w:style w:type="paragraph" w:styleId="ListParagraph">
    <w:name w:val="List Paragraph"/>
    <w:aliases w:val="List Paragraph2,Normal numbered,OBC Bullet,Dot pt,F5 List Paragraph,List Paragraph1,No Spacing1,List Paragraph Char Char Char,Indicator Text,Numbered Para 1,Bullet 1,Bullet Points,MAIN CONTENT,Colorful List - Accent 11,List Paragraph11"/>
    <w:basedOn w:val="Normal"/>
    <w:link w:val="ListParagraphChar"/>
    <w:uiPriority w:val="34"/>
    <w:qFormat/>
    <w:rsid w:val="0079142B"/>
    <w:pPr>
      <w:ind w:left="720"/>
      <w:contextualSpacing/>
    </w:pPr>
  </w:style>
  <w:style w:type="paragraph" w:styleId="List">
    <w:name w:val="List"/>
    <w:qFormat/>
    <w:rsid w:val="00196994"/>
    <w:pPr>
      <w:numPr>
        <w:numId w:val="27"/>
      </w:numPr>
      <w:spacing w:before="120" w:after="120" w:line="280" w:lineRule="exact"/>
      <w:ind w:left="794" w:hanging="397"/>
    </w:pPr>
    <w:rPr>
      <w:rFonts w:ascii="Arial" w:hAnsi="Arial" w:cs="Arial"/>
      <w:color w:val="000000"/>
      <w:sz w:val="24"/>
      <w:szCs w:val="24"/>
      <w:lang w:eastAsia="en-GB"/>
    </w:rPr>
  </w:style>
  <w:style w:type="paragraph" w:styleId="List2">
    <w:name w:val="List 2"/>
    <w:aliases w:val="List Alpha"/>
    <w:qFormat/>
    <w:rsid w:val="00196994"/>
    <w:pPr>
      <w:numPr>
        <w:numId w:val="29"/>
      </w:numPr>
      <w:spacing w:before="120" w:after="120" w:line="280" w:lineRule="exact"/>
      <w:ind w:left="794" w:hanging="397"/>
    </w:pPr>
    <w:rPr>
      <w:rFonts w:ascii="Arial" w:hAnsi="Arial" w:cs="Arial"/>
      <w:color w:val="000000"/>
      <w:sz w:val="24"/>
      <w:szCs w:val="24"/>
      <w:lang w:eastAsia="en-GB"/>
    </w:rPr>
  </w:style>
  <w:style w:type="paragraph" w:customStyle="1" w:styleId="Notes">
    <w:name w:val="Notes"/>
    <w:aliases w:val="Examples"/>
    <w:basedOn w:val="BodyText"/>
    <w:qFormat/>
    <w:rsid w:val="00E90FA0"/>
    <w:rPr>
      <w:b/>
    </w:rPr>
  </w:style>
  <w:style w:type="character" w:customStyle="1" w:styleId="QuoteChar">
    <w:name w:val="Quote Char"/>
    <w:basedOn w:val="DefaultParagraphFont"/>
    <w:link w:val="Quote"/>
    <w:uiPriority w:val="73"/>
    <w:rsid w:val="00E90FA0"/>
    <w:rPr>
      <w:rFonts w:ascii="Arial" w:hAnsi="Arial" w:cs="Arial"/>
      <w:i/>
      <w:color w:val="000000"/>
      <w:sz w:val="22"/>
      <w:szCs w:val="22"/>
      <w:lang w:eastAsia="en-GB"/>
    </w:rPr>
  </w:style>
  <w:style w:type="table" w:customStyle="1" w:styleId="DECC4">
    <w:name w:val="DECC 4"/>
    <w:basedOn w:val="TableNormal"/>
    <w:uiPriority w:val="99"/>
    <w:rsid w:val="000E7D34"/>
    <w:rPr>
      <w:rFonts w:ascii="Arial" w:hAnsi="Arial"/>
    </w:rPr>
    <w:tblPr>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rPr>
        <w:b w:val="0"/>
        <w:color w:val="FFFFFF" w:themeColor="background1"/>
      </w:rPr>
      <w:tblPr/>
      <w:trPr>
        <w:cantSplit/>
        <w:tblHeader/>
      </w:trPr>
      <w:tcPr>
        <w:shd w:val="clear" w:color="auto" w:fill="00AEEF"/>
      </w:tcPr>
    </w:tblStylePr>
  </w:style>
  <w:style w:type="table" w:customStyle="1" w:styleId="DECC5">
    <w:name w:val="DECC 5"/>
    <w:basedOn w:val="TableNormal"/>
    <w:uiPriority w:val="99"/>
    <w:rsid w:val="000E7D34"/>
    <w:pPr>
      <w:spacing w:before="120" w:after="120"/>
    </w:pPr>
    <w:rPr>
      <w:rFonts w:ascii="Arial" w:hAnsi="Arial"/>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table" w:customStyle="1" w:styleId="DECC6">
    <w:name w:val="DECC 6"/>
    <w:basedOn w:val="TableNormal"/>
    <w:uiPriority w:val="99"/>
    <w:rsid w:val="00AC71E6"/>
    <w:rPr>
      <w:rFonts w:ascii="Arial" w:hAnsi="Arial"/>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blStylePr w:type="firstRow">
      <w:pPr>
        <w:wordWrap/>
        <w:spacing w:beforeLines="50" w:before="50" w:beforeAutospacing="0" w:afterLines="50" w:after="50" w:afterAutospacing="0" w:line="240" w:lineRule="auto"/>
        <w:contextualSpacing w:val="0"/>
      </w:pPr>
      <w:tblPr/>
      <w:tcPr>
        <w:shd w:val="clear" w:color="auto" w:fill="00AEEF"/>
      </w:tcPr>
    </w:tblStylePr>
    <w:tblStylePr w:type="band1Horz">
      <w:tblPr/>
      <w:tcPr>
        <w:shd w:val="clear" w:color="auto" w:fill="CAEEFF"/>
      </w:tcPr>
    </w:tblStylePr>
    <w:tblStylePr w:type="band2Horz">
      <w:tblPr/>
      <w:tcPr>
        <w:shd w:val="clear" w:color="auto" w:fill="00AEEF"/>
      </w:tcPr>
    </w:tblStylePr>
  </w:style>
  <w:style w:type="character" w:customStyle="1" w:styleId="ListParagraphChar">
    <w:name w:val="List Paragraph Char"/>
    <w:aliases w:val="List Paragraph2 Char,Normal numbered Char,OBC Bullet Char,Dot pt Char,F5 List Paragraph Char,List Paragraph1 Char,No Spacing1 Char,List Paragraph Char Char Char Char,Indicator Text Char,Numbered Para 1 Char,Bullet 1 Char"/>
    <w:basedOn w:val="DefaultParagraphFont"/>
    <w:link w:val="ListParagraph"/>
    <w:uiPriority w:val="34"/>
    <w:qFormat/>
    <w:locked/>
    <w:rsid w:val="00FC5B64"/>
    <w:rPr>
      <w:rFonts w:ascii="Arial" w:hAnsi="Arial" w:cs="Arial"/>
      <w:color w:val="000000"/>
      <w:sz w:val="24"/>
      <w:szCs w:val="24"/>
      <w:lang w:eastAsia="en-GB"/>
    </w:rPr>
  </w:style>
  <w:style w:type="character" w:styleId="CommentReference">
    <w:name w:val="annotation reference"/>
    <w:basedOn w:val="DefaultParagraphFont"/>
    <w:rsid w:val="008C0CE6"/>
    <w:rPr>
      <w:sz w:val="16"/>
      <w:szCs w:val="16"/>
    </w:rPr>
  </w:style>
  <w:style w:type="paragraph" w:styleId="CommentText">
    <w:name w:val="annotation text"/>
    <w:basedOn w:val="Normal"/>
    <w:link w:val="CommentTextChar"/>
    <w:rsid w:val="008C0CE6"/>
    <w:pPr>
      <w:spacing w:line="240" w:lineRule="auto"/>
    </w:pPr>
    <w:rPr>
      <w:sz w:val="20"/>
      <w:szCs w:val="20"/>
    </w:rPr>
  </w:style>
  <w:style w:type="character" w:customStyle="1" w:styleId="CommentTextChar">
    <w:name w:val="Comment Text Char"/>
    <w:basedOn w:val="DefaultParagraphFont"/>
    <w:link w:val="CommentText"/>
    <w:rsid w:val="008C0CE6"/>
    <w:rPr>
      <w:rFonts w:ascii="Arial" w:hAnsi="Arial" w:cs="Arial"/>
      <w:color w:val="000000"/>
      <w:lang w:eastAsia="en-GB"/>
    </w:rPr>
  </w:style>
  <w:style w:type="paragraph" w:styleId="CommentSubject">
    <w:name w:val="annotation subject"/>
    <w:basedOn w:val="CommentText"/>
    <w:next w:val="CommentText"/>
    <w:link w:val="CommentSubjectChar"/>
    <w:rsid w:val="008C0CE6"/>
    <w:rPr>
      <w:b/>
      <w:bCs/>
    </w:rPr>
  </w:style>
  <w:style w:type="character" w:customStyle="1" w:styleId="CommentSubjectChar">
    <w:name w:val="Comment Subject Char"/>
    <w:basedOn w:val="CommentTextChar"/>
    <w:link w:val="CommentSubject"/>
    <w:rsid w:val="008C0CE6"/>
    <w:rPr>
      <w:rFonts w:ascii="Arial" w:hAnsi="Arial" w:cs="Arial"/>
      <w:b/>
      <w:bCs/>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caption" w:semiHidden="1" w:unhideWhenUsed="1" w:qFormat="1"/>
    <w:lsdException w:name="List" w:qFormat="1"/>
    <w:lsdException w:name="List Bullet" w:qFormat="1"/>
    <w:lsdException w:name="List 2" w:qFormat="1"/>
    <w:lsdException w:name="List Bullet 2" w:qFormat="1"/>
    <w:lsdException w:name="List Bullet 3" w:qFormat="1"/>
    <w:lsdException w:name="Title" w:qFormat="1"/>
    <w:lsdException w:name="Body Text" w:qFormat="1"/>
    <w:lsdException w:name="Body Text Indent"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A3"/>
    <w:pPr>
      <w:autoSpaceDE w:val="0"/>
      <w:autoSpaceDN w:val="0"/>
      <w:adjustRightInd w:val="0"/>
      <w:spacing w:before="120" w:after="120" w:line="280" w:lineRule="exact"/>
    </w:pPr>
    <w:rPr>
      <w:rFonts w:ascii="Arial" w:hAnsi="Arial" w:cs="Arial"/>
      <w:color w:val="000000"/>
      <w:sz w:val="24"/>
      <w:szCs w:val="24"/>
      <w:lang w:eastAsia="en-GB"/>
    </w:rPr>
  </w:style>
  <w:style w:type="paragraph" w:styleId="Heading1">
    <w:name w:val="heading 1"/>
    <w:aliases w:val="Chapter Head"/>
    <w:next w:val="Normal"/>
    <w:qFormat/>
    <w:rsid w:val="000E6ADA"/>
    <w:pPr>
      <w:spacing w:before="1000" w:after="1000" w:line="540" w:lineRule="exact"/>
      <w:outlineLvl w:val="0"/>
    </w:pPr>
    <w:rPr>
      <w:rFonts w:ascii="Arial" w:hAnsi="Arial" w:cs="Arial"/>
      <w:bCs/>
      <w:color w:val="00AEEF"/>
      <w:kern w:val="32"/>
      <w:sz w:val="50"/>
      <w:szCs w:val="32"/>
      <w:lang w:eastAsia="en-GB"/>
    </w:rPr>
  </w:style>
  <w:style w:type="paragraph" w:styleId="Heading2">
    <w:name w:val="heading 2"/>
    <w:aliases w:val="Heading A"/>
    <w:next w:val="BodyText"/>
    <w:link w:val="Heading2Char"/>
    <w:unhideWhenUsed/>
    <w:qFormat/>
    <w:rsid w:val="000E6ADA"/>
    <w:pPr>
      <w:spacing w:before="240" w:after="120" w:line="380" w:lineRule="exact"/>
      <w:outlineLvl w:val="1"/>
    </w:pPr>
    <w:rPr>
      <w:rFonts w:ascii="Arial" w:hAnsi="Arial" w:cs="Arial"/>
      <w:color w:val="00AEEF"/>
      <w:sz w:val="32"/>
      <w:szCs w:val="32"/>
      <w:lang w:eastAsia="en-GB"/>
    </w:rPr>
  </w:style>
  <w:style w:type="paragraph" w:styleId="Heading3">
    <w:name w:val="heading 3"/>
    <w:aliases w:val="Heading B"/>
    <w:next w:val="BodyText"/>
    <w:link w:val="Heading3Char"/>
    <w:unhideWhenUsed/>
    <w:qFormat/>
    <w:rsid w:val="000E6ADA"/>
    <w:pPr>
      <w:spacing w:before="240" w:after="120" w:line="280" w:lineRule="exact"/>
      <w:outlineLvl w:val="2"/>
    </w:pPr>
    <w:rPr>
      <w:rFonts w:ascii="Arial" w:hAnsi="Arial" w:cs="Arial"/>
      <w:color w:val="00AEEF"/>
      <w:sz w:val="24"/>
      <w:szCs w:val="24"/>
      <w:lang w:eastAsia="en-GB"/>
    </w:rPr>
  </w:style>
  <w:style w:type="paragraph" w:styleId="Heading4">
    <w:name w:val="heading 4"/>
    <w:aliases w:val="Heading C"/>
    <w:basedOn w:val="Normal"/>
    <w:next w:val="BodyText"/>
    <w:link w:val="Heading4Char"/>
    <w:unhideWhenUsed/>
    <w:qFormat/>
    <w:rsid w:val="000E6ADA"/>
    <w:pPr>
      <w:keepNext/>
      <w:keepLines/>
      <w:outlineLvl w:val="3"/>
    </w:pPr>
    <w:rPr>
      <w:rFonts w:eastAsiaTheme="majorEastAsia"/>
      <w:b/>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CTitle">
    <w:name w:val="DECC Title"/>
    <w:next w:val="Normal"/>
    <w:autoRedefine/>
    <w:qFormat/>
    <w:rsid w:val="00404494"/>
    <w:pPr>
      <w:framePr w:hSpace="180" w:wrap="around" w:vAnchor="page" w:hAnchor="margin" w:y="3286"/>
      <w:spacing w:line="840" w:lineRule="exact"/>
    </w:pPr>
    <w:rPr>
      <w:rFonts w:ascii="Arial" w:hAnsi="Arial" w:cs="Arial"/>
      <w:bCs/>
      <w:color w:val="00AEEF"/>
      <w:kern w:val="32"/>
      <w:sz w:val="72"/>
      <w:szCs w:val="72"/>
      <w:lang w:eastAsia="en-GB"/>
    </w:rPr>
  </w:style>
  <w:style w:type="character" w:customStyle="1" w:styleId="Heading4Char">
    <w:name w:val="Heading 4 Char"/>
    <w:aliases w:val="Heading C Char"/>
    <w:basedOn w:val="DefaultParagraphFont"/>
    <w:link w:val="Heading4"/>
    <w:rsid w:val="000E6ADA"/>
    <w:rPr>
      <w:rFonts w:ascii="Arial" w:eastAsiaTheme="majorEastAsia" w:hAnsi="Arial" w:cs="Arial"/>
      <w:b/>
      <w:bCs/>
      <w:iCs/>
      <w:sz w:val="24"/>
      <w:szCs w:val="24"/>
      <w:lang w:eastAsia="en-GB"/>
    </w:rPr>
  </w:style>
  <w:style w:type="paragraph" w:styleId="TOC1">
    <w:name w:val="toc 1"/>
    <w:basedOn w:val="Normal"/>
    <w:next w:val="Normal"/>
    <w:autoRedefine/>
    <w:uiPriority w:val="39"/>
    <w:rsid w:val="000322BE"/>
    <w:pPr>
      <w:tabs>
        <w:tab w:val="right" w:leader="dot" w:pos="10082"/>
      </w:tabs>
      <w:spacing w:line="240" w:lineRule="auto"/>
    </w:pPr>
  </w:style>
  <w:style w:type="paragraph" w:styleId="TOC2">
    <w:name w:val="toc 2"/>
    <w:basedOn w:val="Normal"/>
    <w:next w:val="Normal"/>
    <w:autoRedefine/>
    <w:uiPriority w:val="39"/>
    <w:rsid w:val="000322BE"/>
    <w:pPr>
      <w:tabs>
        <w:tab w:val="right" w:leader="dot" w:pos="10082"/>
      </w:tabs>
      <w:spacing w:line="240" w:lineRule="auto"/>
      <w:ind w:left="238"/>
    </w:pPr>
    <w:rPr>
      <w:sz w:val="22"/>
    </w:rPr>
  </w:style>
  <w:style w:type="paragraph" w:styleId="TOC3">
    <w:name w:val="toc 3"/>
    <w:basedOn w:val="Normal"/>
    <w:next w:val="Normal"/>
    <w:autoRedefine/>
    <w:semiHidden/>
    <w:rsid w:val="00843288"/>
    <w:pPr>
      <w:ind w:left="482"/>
    </w:pPr>
    <w:rPr>
      <w:sz w:val="22"/>
    </w:rPr>
  </w:style>
  <w:style w:type="paragraph" w:customStyle="1" w:styleId="DECCReference">
    <w:name w:val="DECC Reference"/>
    <w:basedOn w:val="Normal"/>
    <w:autoRedefine/>
    <w:rsid w:val="005853C8"/>
    <w:pPr>
      <w:spacing w:before="60" w:after="60" w:line="320" w:lineRule="exact"/>
    </w:pPr>
    <w:rPr>
      <w:color w:val="FFFFFF" w:themeColor="background1"/>
    </w:rPr>
  </w:style>
  <w:style w:type="character" w:styleId="PageNumber">
    <w:name w:val="page number"/>
    <w:rsid w:val="006147CB"/>
    <w:rPr>
      <w:rFonts w:ascii="Arial" w:hAnsi="Arial"/>
      <w:color w:val="666666"/>
      <w:sz w:val="22"/>
    </w:rPr>
  </w:style>
  <w:style w:type="paragraph" w:customStyle="1" w:styleId="TableHeaders">
    <w:name w:val="Table Headers"/>
    <w:basedOn w:val="Normal"/>
    <w:next w:val="TableText"/>
    <w:qFormat/>
    <w:rsid w:val="00A9015E"/>
    <w:pPr>
      <w:spacing w:after="0"/>
      <w:ind w:left="113" w:right="113"/>
    </w:pPr>
    <w:rPr>
      <w:b/>
      <w:color w:val="FFFFFF"/>
    </w:rPr>
  </w:style>
  <w:style w:type="table" w:styleId="Table3Deffects1">
    <w:name w:val="Table 3D effects 1"/>
    <w:aliases w:val="DECC 1"/>
    <w:basedOn w:val="TableNormal"/>
    <w:rsid w:val="000E7D34"/>
    <w:pPr>
      <w:autoSpaceDE w:val="0"/>
      <w:autoSpaceDN w:val="0"/>
      <w:adjustRightInd w:val="0"/>
      <w:spacing w:before="120" w:after="120" w:line="280" w:lineRule="exact"/>
    </w:pPr>
    <w:rPr>
      <w:rFonts w:ascii="Arial" w:hAnsi="Arial"/>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57" w:type="dxa"/>
        <w:bottom w:w="57" w:type="dxa"/>
      </w:tblCellMar>
    </w:tblPr>
    <w:tcPr>
      <w:shd w:val="clear" w:color="C0C0C0" w:fill="auto"/>
    </w:tcPr>
    <w:tblStylePr w:type="firstRow">
      <w:pPr>
        <w:wordWrap/>
        <w:spacing w:beforeLines="100" w:before="100" w:beforeAutospacing="0" w:afterLines="100" w:after="100" w:afterAutospacing="0" w:line="240" w:lineRule="auto"/>
        <w:contextualSpacing w:val="0"/>
      </w:pPr>
      <w:rPr>
        <w:b/>
        <w14:textOutline w14:w="0" w14:cap="rnd" w14:cmpd="sng" w14:algn="ctr">
          <w14:noFill/>
          <w14:prstDash w14:val="solid"/>
          <w14:bevel/>
        </w14:textOutline>
      </w:rPr>
      <w:tblPr/>
      <w:trPr>
        <w:cantSplit/>
        <w:tblHeader/>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l2br w:val="nil"/>
          <w:tr2bl w:val="nil"/>
        </w:tcBorders>
        <w:shd w:val="clear" w:color="C0C0C0" w:fill="F79646" w:themeFill="accent6"/>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DECCIntrotext">
    <w:name w:val="DECC Intro text"/>
    <w:basedOn w:val="Normal"/>
    <w:next w:val="Normal"/>
    <w:autoRedefine/>
    <w:qFormat/>
    <w:rsid w:val="00524C2E"/>
    <w:pPr>
      <w:keepNext/>
      <w:spacing w:before="240" w:line="380" w:lineRule="exact"/>
      <w:jc w:val="both"/>
      <w:outlineLvl w:val="5"/>
    </w:pPr>
    <w:rPr>
      <w:bCs/>
      <w:color w:val="00AEEF"/>
      <w:kern w:val="32"/>
      <w:sz w:val="32"/>
      <w:szCs w:val="56"/>
    </w:rPr>
  </w:style>
  <w:style w:type="table" w:styleId="Table3Deffects2">
    <w:name w:val="Table 3D effects 2"/>
    <w:basedOn w:val="TableNormal"/>
    <w:rsid w:val="000156B4"/>
    <w:pPr>
      <w:autoSpaceDE w:val="0"/>
      <w:autoSpaceDN w:val="0"/>
      <w:adjustRightInd w:val="0"/>
      <w:spacing w:before="120" w:after="120" w:line="280" w:lineRule="exact"/>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paragraph" w:styleId="Footer">
    <w:name w:val="footer"/>
    <w:basedOn w:val="Normal"/>
    <w:rsid w:val="006470B9"/>
    <w:pPr>
      <w:tabs>
        <w:tab w:val="center" w:pos="4153"/>
        <w:tab w:val="right" w:pos="8306"/>
      </w:tabs>
      <w:spacing w:after="0"/>
    </w:pPr>
    <w:rPr>
      <w:sz w:val="22"/>
      <w:szCs w:val="22"/>
    </w:rPr>
  </w:style>
  <w:style w:type="paragraph" w:styleId="Header">
    <w:name w:val="header"/>
    <w:basedOn w:val="Normal"/>
    <w:qFormat/>
    <w:rsid w:val="00B6757E"/>
    <w:pPr>
      <w:spacing w:before="0" w:line="240" w:lineRule="auto"/>
    </w:pPr>
    <w:rPr>
      <w:color w:val="666666"/>
      <w:sz w:val="22"/>
    </w:rPr>
  </w:style>
  <w:style w:type="paragraph" w:customStyle="1" w:styleId="BodyNumbering">
    <w:name w:val="Body Numbering"/>
    <w:basedOn w:val="Normal"/>
    <w:qFormat/>
    <w:rsid w:val="00270ADC"/>
    <w:pPr>
      <w:numPr>
        <w:ilvl w:val="1"/>
        <w:numId w:val="21"/>
      </w:numPr>
      <w:tabs>
        <w:tab w:val="left" w:pos="851"/>
      </w:tabs>
      <w:ind w:right="11" w:hanging="792"/>
    </w:pPr>
  </w:style>
  <w:style w:type="numbering" w:customStyle="1" w:styleId="TableBullets">
    <w:name w:val="Table Bullets"/>
    <w:basedOn w:val="NoList"/>
    <w:rsid w:val="00F332F9"/>
    <w:pPr>
      <w:numPr>
        <w:numId w:val="4"/>
      </w:numPr>
    </w:pPr>
  </w:style>
  <w:style w:type="paragraph" w:styleId="Quote">
    <w:name w:val="Quote"/>
    <w:basedOn w:val="Notes"/>
    <w:next w:val="Normal"/>
    <w:link w:val="QuoteChar"/>
    <w:uiPriority w:val="73"/>
    <w:qFormat/>
    <w:rsid w:val="00E90FA0"/>
    <w:pPr>
      <w:ind w:left="567" w:right="567"/>
    </w:pPr>
    <w:rPr>
      <w:b w:val="0"/>
      <w:i/>
      <w:sz w:val="22"/>
      <w:szCs w:val="22"/>
    </w:rPr>
  </w:style>
  <w:style w:type="character" w:customStyle="1" w:styleId="Page1White">
    <w:name w:val="Page 1 White"/>
    <w:rsid w:val="0023304D"/>
    <w:rPr>
      <w:rFonts w:ascii="Arial" w:hAnsi="Arial"/>
      <w:color w:val="FFFFFF"/>
      <w:sz w:val="24"/>
    </w:rPr>
  </w:style>
  <w:style w:type="paragraph" w:customStyle="1" w:styleId="Figureschartstitle">
    <w:name w:val="Figures/charts title"/>
    <w:basedOn w:val="Normal"/>
    <w:next w:val="Normal"/>
    <w:qFormat/>
    <w:rsid w:val="00270ADC"/>
    <w:pPr>
      <w:pBdr>
        <w:top w:val="single" w:sz="8" w:space="4" w:color="00AEEF"/>
      </w:pBdr>
      <w:autoSpaceDE/>
      <w:autoSpaceDN/>
      <w:adjustRightInd/>
      <w:spacing w:after="60" w:line="240" w:lineRule="auto"/>
      <w:outlineLvl w:val="5"/>
    </w:pPr>
    <w:rPr>
      <w:rFonts w:cs="Times New Roman"/>
      <w:b/>
      <w:color w:val="00AEEF"/>
      <w:sz w:val="22"/>
      <w:szCs w:val="20"/>
      <w:lang w:eastAsia="en-US"/>
    </w:rPr>
  </w:style>
  <w:style w:type="paragraph" w:customStyle="1" w:styleId="BoxText">
    <w:name w:val="Box Text"/>
    <w:basedOn w:val="Normal"/>
    <w:next w:val="BodyText"/>
    <w:qFormat/>
    <w:rsid w:val="003F09D1"/>
    <w:pPr>
      <w:shd w:val="clear" w:color="auto" w:fill="CAEEFF"/>
      <w:spacing w:line="320" w:lineRule="exact"/>
      <w:ind w:left="567" w:right="567"/>
    </w:pPr>
    <w:rPr>
      <w:color w:val="auto"/>
    </w:rPr>
  </w:style>
  <w:style w:type="table" w:styleId="TableGrid">
    <w:name w:val="Table Grid"/>
    <w:basedOn w:val="TableNormal"/>
    <w:rsid w:val="0001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AC71E6"/>
    <w:pPr>
      <w:spacing w:before="60" w:after="60"/>
      <w:ind w:left="113" w:right="113"/>
    </w:pPr>
  </w:style>
  <w:style w:type="table" w:customStyle="1" w:styleId="DECC2">
    <w:name w:val="DECC 2"/>
    <w:basedOn w:val="TableNormal"/>
    <w:uiPriority w:val="99"/>
    <w:rsid w:val="000E7D34"/>
    <w:rPr>
      <w:rFonts w:ascii="Arial" w:hAnsi="Arial"/>
    </w:rPr>
    <w:tblPr>
      <w:tblBorders>
        <w:top w:val="single" w:sz="8" w:space="0" w:color="83389B"/>
        <w:left w:val="single" w:sz="8" w:space="0" w:color="83389B"/>
        <w:bottom w:val="single" w:sz="8" w:space="0" w:color="83389B"/>
        <w:right w:val="single" w:sz="8" w:space="0" w:color="83389B"/>
        <w:insideH w:val="single" w:sz="8" w:space="0" w:color="83389B"/>
        <w:insideV w:val="single" w:sz="8" w:space="0" w:color="83389B"/>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tblPr/>
      <w:trPr>
        <w:cantSplit/>
        <w:tblHeader/>
      </w:trPr>
      <w:tcPr>
        <w:shd w:val="clear" w:color="auto" w:fill="83389B"/>
      </w:tcPr>
    </w:tblStylePr>
  </w:style>
  <w:style w:type="character" w:customStyle="1" w:styleId="DECCPBlue">
    <w:name w:val="DECC P Blue"/>
    <w:rsid w:val="00533C58"/>
    <w:rPr>
      <w:color w:val="009EE3"/>
    </w:rPr>
  </w:style>
  <w:style w:type="character" w:customStyle="1" w:styleId="DECCPOrange">
    <w:name w:val="DECC P Orange"/>
    <w:rsid w:val="00533C58"/>
    <w:rPr>
      <w:color w:val="F08015"/>
    </w:rPr>
  </w:style>
  <w:style w:type="character" w:customStyle="1" w:styleId="DECCPRed">
    <w:name w:val="DECC P Red"/>
    <w:rsid w:val="00533C58"/>
    <w:rPr>
      <w:color w:val="AA0721"/>
    </w:rPr>
  </w:style>
  <w:style w:type="character" w:customStyle="1" w:styleId="DECCPPurple">
    <w:name w:val="DECC P Purple"/>
    <w:rsid w:val="00533C58"/>
    <w:rPr>
      <w:color w:val="742F89"/>
    </w:rPr>
  </w:style>
  <w:style w:type="paragraph" w:styleId="ListBullet">
    <w:name w:val="List Bullet"/>
    <w:basedOn w:val="Normal"/>
    <w:qFormat/>
    <w:rsid w:val="001929F0"/>
    <w:pPr>
      <w:numPr>
        <w:numId w:val="3"/>
      </w:numPr>
      <w:ind w:left="794" w:hanging="397"/>
    </w:pPr>
  </w:style>
  <w:style w:type="paragraph" w:customStyle="1" w:styleId="CoverFooter">
    <w:name w:val="Cover Footer"/>
    <w:basedOn w:val="Normal"/>
    <w:qFormat/>
    <w:rsid w:val="00CF24D9"/>
    <w:pPr>
      <w:spacing w:line="360" w:lineRule="exact"/>
      <w:ind w:right="28"/>
      <w:jc w:val="right"/>
    </w:pPr>
    <w:rPr>
      <w:color w:val="FFFFFF"/>
      <w:sz w:val="30"/>
    </w:rPr>
  </w:style>
  <w:style w:type="table" w:customStyle="1" w:styleId="DECC3">
    <w:name w:val="DECC 3"/>
    <w:basedOn w:val="TableNormal"/>
    <w:uiPriority w:val="99"/>
    <w:rsid w:val="000E7D34"/>
    <w:rPr>
      <w:rFonts w:ascii="Arial" w:hAnsi="Arial"/>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ConsulatationQuestionWhite">
    <w:name w:val="Consulatation Question White"/>
    <w:basedOn w:val="Normal"/>
    <w:rsid w:val="00A9015E"/>
    <w:pPr>
      <w:spacing w:after="0"/>
      <w:ind w:left="113" w:right="113"/>
    </w:pPr>
    <w:rPr>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efault">
    <w:name w:val="Default"/>
    <w:rsid w:val="005C1E18"/>
    <w:pPr>
      <w:autoSpaceDE w:val="0"/>
      <w:autoSpaceDN w:val="0"/>
      <w:adjustRightInd w:val="0"/>
    </w:pPr>
    <w:rPr>
      <w:rFonts w:ascii="Arial" w:hAnsi="Arial" w:cs="Arial"/>
      <w:color w:val="000000"/>
      <w:sz w:val="24"/>
      <w:szCs w:val="24"/>
      <w:lang w:eastAsia="en-GB"/>
    </w:rPr>
  </w:style>
  <w:style w:type="character" w:styleId="Hyperlink">
    <w:name w:val="Hyperlink"/>
    <w:rsid w:val="00475D78"/>
    <w:rPr>
      <w:color w:val="0000FF"/>
      <w:u w:val="single"/>
    </w:rPr>
  </w:style>
  <w:style w:type="character" w:styleId="FollowedHyperlink">
    <w:name w:val="FollowedHyperlink"/>
    <w:rsid w:val="006A5C7B"/>
    <w:rPr>
      <w:color w:val="800080"/>
      <w:u w:val="single"/>
    </w:rPr>
  </w:style>
  <w:style w:type="paragraph" w:styleId="BalloonText">
    <w:name w:val="Balloon Text"/>
    <w:basedOn w:val="Normal"/>
    <w:link w:val="BalloonTextChar"/>
    <w:rsid w:val="000C0596"/>
    <w:rPr>
      <w:rFonts w:ascii="Tahoma" w:hAnsi="Tahoma" w:cs="Tahoma"/>
      <w:sz w:val="16"/>
      <w:szCs w:val="16"/>
    </w:rPr>
  </w:style>
  <w:style w:type="character" w:customStyle="1" w:styleId="BalloonTextChar">
    <w:name w:val="Balloon Text Char"/>
    <w:link w:val="BalloonText"/>
    <w:rsid w:val="000C0596"/>
    <w:rPr>
      <w:rFonts w:ascii="Tahoma" w:hAnsi="Tahoma" w:cs="Tahoma"/>
      <w:color w:val="000000"/>
      <w:sz w:val="16"/>
      <w:szCs w:val="16"/>
    </w:rPr>
  </w:style>
  <w:style w:type="character" w:customStyle="1" w:styleId="Heading2Char">
    <w:name w:val="Heading 2 Char"/>
    <w:aliases w:val="Heading A Char"/>
    <w:link w:val="Heading2"/>
    <w:rsid w:val="000E6ADA"/>
    <w:rPr>
      <w:rFonts w:ascii="Arial" w:hAnsi="Arial" w:cs="Arial"/>
      <w:color w:val="00AEEF"/>
      <w:sz w:val="32"/>
      <w:szCs w:val="32"/>
      <w:lang w:eastAsia="en-GB"/>
    </w:rPr>
  </w:style>
  <w:style w:type="character" w:customStyle="1" w:styleId="Heading3Char">
    <w:name w:val="Heading 3 Char"/>
    <w:aliases w:val="Heading B Char"/>
    <w:link w:val="Heading3"/>
    <w:rsid w:val="000E6ADA"/>
    <w:rPr>
      <w:rFonts w:ascii="Arial" w:hAnsi="Arial" w:cs="Arial"/>
      <w:color w:val="00AEEF"/>
      <w:sz w:val="24"/>
      <w:szCs w:val="24"/>
      <w:lang w:eastAsia="en-GB"/>
    </w:rPr>
  </w:style>
  <w:style w:type="paragraph" w:customStyle="1" w:styleId="Listbulletintable">
    <w:name w:val="List bullet in table"/>
    <w:basedOn w:val="ListBullet"/>
    <w:qFormat/>
    <w:rsid w:val="00E36454"/>
    <w:pPr>
      <w:numPr>
        <w:numId w:val="5"/>
      </w:numPr>
      <w:spacing w:before="60" w:after="60"/>
      <w:ind w:left="463" w:hanging="350"/>
    </w:pPr>
  </w:style>
  <w:style w:type="paragraph" w:styleId="Subtitle">
    <w:name w:val="Subtitle"/>
    <w:aliases w:val="DECC Subtitle"/>
    <w:next w:val="Normal"/>
    <w:link w:val="SubtitleChar"/>
    <w:qFormat/>
    <w:rsid w:val="00421DE7"/>
    <w:pPr>
      <w:spacing w:before="120" w:after="120" w:line="520" w:lineRule="exact"/>
      <w:outlineLvl w:val="1"/>
    </w:pPr>
    <w:rPr>
      <w:rFonts w:ascii="Arial" w:hAnsi="Arial" w:cs="Arial"/>
      <w:color w:val="FFFFFF" w:themeColor="background1"/>
      <w:sz w:val="44"/>
      <w:szCs w:val="44"/>
      <w:lang w:eastAsia="en-GB"/>
    </w:rPr>
  </w:style>
  <w:style w:type="character" w:customStyle="1" w:styleId="SubtitleChar">
    <w:name w:val="Subtitle Char"/>
    <w:aliases w:val="DECC Subtitle Char"/>
    <w:basedOn w:val="DefaultParagraphFont"/>
    <w:link w:val="Subtitle"/>
    <w:rsid w:val="00421DE7"/>
    <w:rPr>
      <w:rFonts w:ascii="Arial" w:hAnsi="Arial" w:cs="Arial"/>
      <w:color w:val="FFFFFF" w:themeColor="background1"/>
      <w:sz w:val="44"/>
      <w:szCs w:val="44"/>
      <w:lang w:eastAsia="en-GB"/>
    </w:rPr>
  </w:style>
  <w:style w:type="paragraph" w:styleId="BodyText">
    <w:name w:val="Body Text"/>
    <w:basedOn w:val="Normal"/>
    <w:link w:val="BodyTextChar"/>
    <w:qFormat/>
    <w:rsid w:val="00537D64"/>
  </w:style>
  <w:style w:type="character" w:customStyle="1" w:styleId="BodyTextChar">
    <w:name w:val="Body Text Char"/>
    <w:basedOn w:val="DefaultParagraphFont"/>
    <w:link w:val="BodyText"/>
    <w:rsid w:val="00537D64"/>
    <w:rPr>
      <w:rFonts w:ascii="Arial" w:hAnsi="Arial" w:cs="Arial"/>
      <w:color w:val="000000"/>
      <w:sz w:val="24"/>
      <w:szCs w:val="24"/>
      <w:lang w:eastAsia="en-GB"/>
    </w:rPr>
  </w:style>
  <w:style w:type="paragraph" w:styleId="TOC4">
    <w:name w:val="toc 4"/>
    <w:basedOn w:val="Normal"/>
    <w:next w:val="Normal"/>
    <w:autoRedefine/>
    <w:rsid w:val="000322BE"/>
    <w:pPr>
      <w:ind w:left="720"/>
    </w:pPr>
  </w:style>
  <w:style w:type="paragraph" w:styleId="TOC5">
    <w:name w:val="toc 5"/>
    <w:basedOn w:val="Normal"/>
    <w:next w:val="Normal"/>
    <w:autoRedefine/>
    <w:rsid w:val="000322BE"/>
    <w:pPr>
      <w:ind w:left="960"/>
    </w:pPr>
  </w:style>
  <w:style w:type="paragraph" w:styleId="TOC6">
    <w:name w:val="toc 6"/>
    <w:basedOn w:val="Normal"/>
    <w:next w:val="Normal"/>
    <w:autoRedefine/>
    <w:rsid w:val="000322BE"/>
    <w:pPr>
      <w:ind w:left="1200"/>
    </w:pPr>
  </w:style>
  <w:style w:type="paragraph" w:styleId="TOC7">
    <w:name w:val="toc 7"/>
    <w:basedOn w:val="Normal"/>
    <w:next w:val="Normal"/>
    <w:autoRedefine/>
    <w:rsid w:val="000322BE"/>
    <w:pPr>
      <w:ind w:left="1440"/>
    </w:pPr>
  </w:style>
  <w:style w:type="paragraph" w:styleId="TOC8">
    <w:name w:val="toc 8"/>
    <w:basedOn w:val="Normal"/>
    <w:next w:val="Normal"/>
    <w:autoRedefine/>
    <w:rsid w:val="000322BE"/>
    <w:pPr>
      <w:ind w:left="1680"/>
    </w:pPr>
  </w:style>
  <w:style w:type="paragraph" w:styleId="TOC9">
    <w:name w:val="toc 9"/>
    <w:basedOn w:val="Normal"/>
    <w:next w:val="Normal"/>
    <w:autoRedefine/>
    <w:rsid w:val="000322BE"/>
    <w:pPr>
      <w:ind w:left="1920"/>
    </w:pPr>
  </w:style>
  <w:style w:type="paragraph" w:customStyle="1" w:styleId="DECCNumberedChapterHead">
    <w:name w:val="DECC Numbered Chapter Head"/>
    <w:basedOn w:val="Heading1"/>
    <w:next w:val="BodyText"/>
    <w:qFormat/>
    <w:rsid w:val="00437251"/>
    <w:pPr>
      <w:numPr>
        <w:numId w:val="21"/>
      </w:numPr>
    </w:pPr>
  </w:style>
  <w:style w:type="paragraph" w:styleId="ListBullet2">
    <w:name w:val="List Bullet 2"/>
    <w:basedOn w:val="Normal"/>
    <w:qFormat/>
    <w:rsid w:val="001929F0"/>
    <w:pPr>
      <w:numPr>
        <w:numId w:val="7"/>
      </w:numPr>
      <w:tabs>
        <w:tab w:val="clear" w:pos="643"/>
        <w:tab w:val="num" w:pos="1418"/>
      </w:tabs>
      <w:ind w:left="1418" w:hanging="567"/>
    </w:pPr>
  </w:style>
  <w:style w:type="paragraph" w:styleId="ListBullet3">
    <w:name w:val="List Bullet 3"/>
    <w:basedOn w:val="Normal"/>
    <w:qFormat/>
    <w:rsid w:val="00917816"/>
    <w:pPr>
      <w:numPr>
        <w:numId w:val="8"/>
      </w:numPr>
      <w:tabs>
        <w:tab w:val="clear" w:pos="926"/>
        <w:tab w:val="num" w:pos="1843"/>
      </w:tabs>
      <w:ind w:left="1843" w:hanging="425"/>
      <w:contextualSpacing/>
    </w:pPr>
  </w:style>
  <w:style w:type="paragraph" w:styleId="Caption">
    <w:name w:val="caption"/>
    <w:basedOn w:val="Normal"/>
    <w:next w:val="Normal"/>
    <w:qFormat/>
    <w:rsid w:val="003B37B8"/>
    <w:pPr>
      <w:autoSpaceDE/>
      <w:autoSpaceDN/>
      <w:adjustRightInd/>
    </w:pPr>
    <w:rPr>
      <w:b/>
      <w:bCs/>
      <w:color w:val="auto"/>
      <w:sz w:val="20"/>
      <w:szCs w:val="20"/>
      <w:lang w:eastAsia="en-US"/>
    </w:rPr>
  </w:style>
  <w:style w:type="paragraph" w:styleId="BodyTextIndent">
    <w:name w:val="Body Text Indent"/>
    <w:basedOn w:val="Normal"/>
    <w:link w:val="BodyTextIndentChar"/>
    <w:qFormat/>
    <w:rsid w:val="00291190"/>
    <w:pPr>
      <w:ind w:left="794"/>
    </w:pPr>
  </w:style>
  <w:style w:type="character" w:customStyle="1" w:styleId="BodyTextIndentChar">
    <w:name w:val="Body Text Indent Char"/>
    <w:basedOn w:val="DefaultParagraphFont"/>
    <w:link w:val="BodyTextIndent"/>
    <w:rsid w:val="00291190"/>
    <w:rPr>
      <w:rFonts w:ascii="Arial" w:hAnsi="Arial" w:cs="Arial"/>
      <w:color w:val="000000"/>
      <w:sz w:val="24"/>
      <w:szCs w:val="24"/>
      <w:lang w:eastAsia="en-GB"/>
    </w:rPr>
  </w:style>
  <w:style w:type="paragraph" w:styleId="ListParagraph">
    <w:name w:val="List Paragraph"/>
    <w:aliases w:val="List Paragraph2,Normal numbered,OBC Bullet,Dot pt,F5 List Paragraph,List Paragraph1,No Spacing1,List Paragraph Char Char Char,Indicator Text,Numbered Para 1,Bullet 1,Bullet Points,MAIN CONTENT,Colorful List - Accent 11,List Paragraph11"/>
    <w:basedOn w:val="Normal"/>
    <w:link w:val="ListParagraphChar"/>
    <w:uiPriority w:val="34"/>
    <w:qFormat/>
    <w:rsid w:val="0079142B"/>
    <w:pPr>
      <w:ind w:left="720"/>
      <w:contextualSpacing/>
    </w:pPr>
  </w:style>
  <w:style w:type="paragraph" w:styleId="List">
    <w:name w:val="List"/>
    <w:qFormat/>
    <w:rsid w:val="00196994"/>
    <w:pPr>
      <w:numPr>
        <w:numId w:val="27"/>
      </w:numPr>
      <w:spacing w:before="120" w:after="120" w:line="280" w:lineRule="exact"/>
      <w:ind w:left="794" w:hanging="397"/>
    </w:pPr>
    <w:rPr>
      <w:rFonts w:ascii="Arial" w:hAnsi="Arial" w:cs="Arial"/>
      <w:color w:val="000000"/>
      <w:sz w:val="24"/>
      <w:szCs w:val="24"/>
      <w:lang w:eastAsia="en-GB"/>
    </w:rPr>
  </w:style>
  <w:style w:type="paragraph" w:styleId="List2">
    <w:name w:val="List 2"/>
    <w:aliases w:val="List Alpha"/>
    <w:qFormat/>
    <w:rsid w:val="00196994"/>
    <w:pPr>
      <w:numPr>
        <w:numId w:val="29"/>
      </w:numPr>
      <w:spacing w:before="120" w:after="120" w:line="280" w:lineRule="exact"/>
      <w:ind w:left="794" w:hanging="397"/>
    </w:pPr>
    <w:rPr>
      <w:rFonts w:ascii="Arial" w:hAnsi="Arial" w:cs="Arial"/>
      <w:color w:val="000000"/>
      <w:sz w:val="24"/>
      <w:szCs w:val="24"/>
      <w:lang w:eastAsia="en-GB"/>
    </w:rPr>
  </w:style>
  <w:style w:type="paragraph" w:customStyle="1" w:styleId="Notes">
    <w:name w:val="Notes"/>
    <w:aliases w:val="Examples"/>
    <w:basedOn w:val="BodyText"/>
    <w:qFormat/>
    <w:rsid w:val="00E90FA0"/>
    <w:rPr>
      <w:b/>
    </w:rPr>
  </w:style>
  <w:style w:type="character" w:customStyle="1" w:styleId="QuoteChar">
    <w:name w:val="Quote Char"/>
    <w:basedOn w:val="DefaultParagraphFont"/>
    <w:link w:val="Quote"/>
    <w:uiPriority w:val="73"/>
    <w:rsid w:val="00E90FA0"/>
    <w:rPr>
      <w:rFonts w:ascii="Arial" w:hAnsi="Arial" w:cs="Arial"/>
      <w:i/>
      <w:color w:val="000000"/>
      <w:sz w:val="22"/>
      <w:szCs w:val="22"/>
      <w:lang w:eastAsia="en-GB"/>
    </w:rPr>
  </w:style>
  <w:style w:type="table" w:customStyle="1" w:styleId="DECC4">
    <w:name w:val="DECC 4"/>
    <w:basedOn w:val="TableNormal"/>
    <w:uiPriority w:val="99"/>
    <w:rsid w:val="000E7D34"/>
    <w:rPr>
      <w:rFonts w:ascii="Arial" w:hAnsi="Arial"/>
    </w:rPr>
    <w:tblPr>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pPr>
      <w:rPr>
        <w:b w:val="0"/>
        <w:color w:val="FFFFFF" w:themeColor="background1"/>
      </w:rPr>
      <w:tblPr/>
      <w:trPr>
        <w:cantSplit/>
        <w:tblHeader/>
      </w:trPr>
      <w:tcPr>
        <w:shd w:val="clear" w:color="auto" w:fill="00AEEF"/>
      </w:tcPr>
    </w:tblStylePr>
  </w:style>
  <w:style w:type="table" w:customStyle="1" w:styleId="DECC5">
    <w:name w:val="DECC 5"/>
    <w:basedOn w:val="TableNormal"/>
    <w:uiPriority w:val="99"/>
    <w:rsid w:val="000E7D34"/>
    <w:pPr>
      <w:spacing w:before="120" w:after="120"/>
    </w:pPr>
    <w:rPr>
      <w:rFonts w:ascii="Arial" w:hAnsi="Arial"/>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table" w:customStyle="1" w:styleId="DECC6">
    <w:name w:val="DECC 6"/>
    <w:basedOn w:val="TableNormal"/>
    <w:uiPriority w:val="99"/>
    <w:rsid w:val="00AC71E6"/>
    <w:rPr>
      <w:rFonts w:ascii="Arial" w:hAnsi="Arial"/>
    </w:rPr>
    <w:tblPr>
      <w:tblStyleRowBandSize w:val="1"/>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CellMar>
        <w:top w:w="57" w:type="dxa"/>
        <w:bottom w:w="57" w:type="dxa"/>
      </w:tblCellMar>
    </w:tblPr>
    <w:tblStylePr w:type="firstRow">
      <w:pPr>
        <w:wordWrap/>
        <w:spacing w:beforeLines="50" w:before="50" w:beforeAutospacing="0" w:afterLines="50" w:after="50" w:afterAutospacing="0" w:line="240" w:lineRule="auto"/>
        <w:contextualSpacing w:val="0"/>
      </w:pPr>
      <w:tblPr/>
      <w:tcPr>
        <w:shd w:val="clear" w:color="auto" w:fill="00AEEF"/>
      </w:tcPr>
    </w:tblStylePr>
    <w:tblStylePr w:type="band1Horz">
      <w:tblPr/>
      <w:tcPr>
        <w:shd w:val="clear" w:color="auto" w:fill="CAEEFF"/>
      </w:tcPr>
    </w:tblStylePr>
    <w:tblStylePr w:type="band2Horz">
      <w:tblPr/>
      <w:tcPr>
        <w:shd w:val="clear" w:color="auto" w:fill="00AEEF"/>
      </w:tcPr>
    </w:tblStylePr>
  </w:style>
  <w:style w:type="character" w:customStyle="1" w:styleId="ListParagraphChar">
    <w:name w:val="List Paragraph Char"/>
    <w:aliases w:val="List Paragraph2 Char,Normal numbered Char,OBC Bullet Char,Dot pt Char,F5 List Paragraph Char,List Paragraph1 Char,No Spacing1 Char,List Paragraph Char Char Char Char,Indicator Text Char,Numbered Para 1 Char,Bullet 1 Char"/>
    <w:basedOn w:val="DefaultParagraphFont"/>
    <w:link w:val="ListParagraph"/>
    <w:uiPriority w:val="34"/>
    <w:qFormat/>
    <w:locked/>
    <w:rsid w:val="00FC5B64"/>
    <w:rPr>
      <w:rFonts w:ascii="Arial" w:hAnsi="Arial" w:cs="Arial"/>
      <w:color w:val="000000"/>
      <w:sz w:val="24"/>
      <w:szCs w:val="24"/>
      <w:lang w:eastAsia="en-GB"/>
    </w:rPr>
  </w:style>
  <w:style w:type="character" w:styleId="CommentReference">
    <w:name w:val="annotation reference"/>
    <w:basedOn w:val="DefaultParagraphFont"/>
    <w:rsid w:val="008C0CE6"/>
    <w:rPr>
      <w:sz w:val="16"/>
      <w:szCs w:val="16"/>
    </w:rPr>
  </w:style>
  <w:style w:type="paragraph" w:styleId="CommentText">
    <w:name w:val="annotation text"/>
    <w:basedOn w:val="Normal"/>
    <w:link w:val="CommentTextChar"/>
    <w:rsid w:val="008C0CE6"/>
    <w:pPr>
      <w:spacing w:line="240" w:lineRule="auto"/>
    </w:pPr>
    <w:rPr>
      <w:sz w:val="20"/>
      <w:szCs w:val="20"/>
    </w:rPr>
  </w:style>
  <w:style w:type="character" w:customStyle="1" w:styleId="CommentTextChar">
    <w:name w:val="Comment Text Char"/>
    <w:basedOn w:val="DefaultParagraphFont"/>
    <w:link w:val="CommentText"/>
    <w:rsid w:val="008C0CE6"/>
    <w:rPr>
      <w:rFonts w:ascii="Arial" w:hAnsi="Arial" w:cs="Arial"/>
      <w:color w:val="000000"/>
      <w:lang w:eastAsia="en-GB"/>
    </w:rPr>
  </w:style>
  <w:style w:type="paragraph" w:styleId="CommentSubject">
    <w:name w:val="annotation subject"/>
    <w:basedOn w:val="CommentText"/>
    <w:next w:val="CommentText"/>
    <w:link w:val="CommentSubjectChar"/>
    <w:rsid w:val="008C0CE6"/>
    <w:rPr>
      <w:b/>
      <w:bCs/>
    </w:rPr>
  </w:style>
  <w:style w:type="character" w:customStyle="1" w:styleId="CommentSubjectChar">
    <w:name w:val="Comment Subject Char"/>
    <w:basedOn w:val="CommentTextChar"/>
    <w:link w:val="CommentSubject"/>
    <w:rsid w:val="008C0CE6"/>
    <w:rPr>
      <w:rFonts w:ascii="Arial" w:hAnsi="Arial" w:cs="Arial"/>
      <w:b/>
      <w:bC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312">
      <w:bodyDiv w:val="1"/>
      <w:marLeft w:val="0"/>
      <w:marRight w:val="0"/>
      <w:marTop w:val="0"/>
      <w:marBottom w:val="0"/>
      <w:divBdr>
        <w:top w:val="none" w:sz="0" w:space="0" w:color="auto"/>
        <w:left w:val="none" w:sz="0" w:space="0" w:color="auto"/>
        <w:bottom w:val="none" w:sz="0" w:space="0" w:color="auto"/>
        <w:right w:val="none" w:sz="0" w:space="0" w:color="auto"/>
      </w:divBdr>
    </w:div>
    <w:div w:id="75129201">
      <w:bodyDiv w:val="1"/>
      <w:marLeft w:val="0"/>
      <w:marRight w:val="0"/>
      <w:marTop w:val="0"/>
      <w:marBottom w:val="0"/>
      <w:divBdr>
        <w:top w:val="none" w:sz="0" w:space="0" w:color="auto"/>
        <w:left w:val="none" w:sz="0" w:space="0" w:color="auto"/>
        <w:bottom w:val="none" w:sz="0" w:space="0" w:color="auto"/>
        <w:right w:val="none" w:sz="0" w:space="0" w:color="auto"/>
      </w:divBdr>
    </w:div>
    <w:div w:id="128938963">
      <w:bodyDiv w:val="1"/>
      <w:marLeft w:val="0"/>
      <w:marRight w:val="0"/>
      <w:marTop w:val="0"/>
      <w:marBottom w:val="0"/>
      <w:divBdr>
        <w:top w:val="none" w:sz="0" w:space="0" w:color="auto"/>
        <w:left w:val="none" w:sz="0" w:space="0" w:color="auto"/>
        <w:bottom w:val="none" w:sz="0" w:space="0" w:color="auto"/>
        <w:right w:val="none" w:sz="0" w:space="0" w:color="auto"/>
      </w:divBdr>
    </w:div>
    <w:div w:id="246380361">
      <w:bodyDiv w:val="1"/>
      <w:marLeft w:val="0"/>
      <w:marRight w:val="0"/>
      <w:marTop w:val="0"/>
      <w:marBottom w:val="0"/>
      <w:divBdr>
        <w:top w:val="none" w:sz="0" w:space="0" w:color="auto"/>
        <w:left w:val="none" w:sz="0" w:space="0" w:color="auto"/>
        <w:bottom w:val="none" w:sz="0" w:space="0" w:color="auto"/>
        <w:right w:val="none" w:sz="0" w:space="0" w:color="auto"/>
      </w:divBdr>
    </w:div>
    <w:div w:id="301083541">
      <w:bodyDiv w:val="1"/>
      <w:marLeft w:val="0"/>
      <w:marRight w:val="0"/>
      <w:marTop w:val="0"/>
      <w:marBottom w:val="0"/>
      <w:divBdr>
        <w:top w:val="none" w:sz="0" w:space="0" w:color="auto"/>
        <w:left w:val="none" w:sz="0" w:space="0" w:color="auto"/>
        <w:bottom w:val="none" w:sz="0" w:space="0" w:color="auto"/>
        <w:right w:val="none" w:sz="0" w:space="0" w:color="auto"/>
      </w:divBdr>
    </w:div>
    <w:div w:id="408768182">
      <w:bodyDiv w:val="1"/>
      <w:marLeft w:val="0"/>
      <w:marRight w:val="0"/>
      <w:marTop w:val="0"/>
      <w:marBottom w:val="0"/>
      <w:divBdr>
        <w:top w:val="none" w:sz="0" w:space="0" w:color="auto"/>
        <w:left w:val="none" w:sz="0" w:space="0" w:color="auto"/>
        <w:bottom w:val="none" w:sz="0" w:space="0" w:color="auto"/>
        <w:right w:val="none" w:sz="0" w:space="0" w:color="auto"/>
      </w:divBdr>
    </w:div>
    <w:div w:id="505242626">
      <w:bodyDiv w:val="1"/>
      <w:marLeft w:val="0"/>
      <w:marRight w:val="0"/>
      <w:marTop w:val="0"/>
      <w:marBottom w:val="0"/>
      <w:divBdr>
        <w:top w:val="none" w:sz="0" w:space="0" w:color="auto"/>
        <w:left w:val="none" w:sz="0" w:space="0" w:color="auto"/>
        <w:bottom w:val="none" w:sz="0" w:space="0" w:color="auto"/>
        <w:right w:val="none" w:sz="0" w:space="0" w:color="auto"/>
      </w:divBdr>
    </w:div>
    <w:div w:id="561647194">
      <w:bodyDiv w:val="1"/>
      <w:marLeft w:val="0"/>
      <w:marRight w:val="0"/>
      <w:marTop w:val="0"/>
      <w:marBottom w:val="0"/>
      <w:divBdr>
        <w:top w:val="none" w:sz="0" w:space="0" w:color="auto"/>
        <w:left w:val="none" w:sz="0" w:space="0" w:color="auto"/>
        <w:bottom w:val="none" w:sz="0" w:space="0" w:color="auto"/>
        <w:right w:val="none" w:sz="0" w:space="0" w:color="auto"/>
      </w:divBdr>
    </w:div>
    <w:div w:id="824316923">
      <w:bodyDiv w:val="1"/>
      <w:marLeft w:val="0"/>
      <w:marRight w:val="0"/>
      <w:marTop w:val="0"/>
      <w:marBottom w:val="0"/>
      <w:divBdr>
        <w:top w:val="none" w:sz="0" w:space="0" w:color="auto"/>
        <w:left w:val="none" w:sz="0" w:space="0" w:color="auto"/>
        <w:bottom w:val="none" w:sz="0" w:space="0" w:color="auto"/>
        <w:right w:val="none" w:sz="0" w:space="0" w:color="auto"/>
      </w:divBdr>
    </w:div>
    <w:div w:id="1285577071">
      <w:bodyDiv w:val="1"/>
      <w:marLeft w:val="0"/>
      <w:marRight w:val="0"/>
      <w:marTop w:val="0"/>
      <w:marBottom w:val="0"/>
      <w:divBdr>
        <w:top w:val="none" w:sz="0" w:space="0" w:color="auto"/>
        <w:left w:val="none" w:sz="0" w:space="0" w:color="auto"/>
        <w:bottom w:val="none" w:sz="0" w:space="0" w:color="auto"/>
        <w:right w:val="none" w:sz="0" w:space="0" w:color="auto"/>
      </w:divBdr>
    </w:div>
    <w:div w:id="1703506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yperlink" Target="mailto:EnergyEfficiency.Stats@decc.gsi.gov.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gov.uk/government/statistics/domestic-green-deal-and-eco-statistics-methodology-not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mailto:EnergyEfficiency.Stats@decc.gsi.gov.uk" TargetMode="External"/><Relationship Id="rId33" Type="http://schemas.openxmlformats.org/officeDocument/2006/relationships/hyperlink" Target="http://www.statisticsauthority.gov.uk/assessment/code-of-practice/"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consultations/decc-household-energy-efficiency-national-statistics-user-consultation" TargetMode="External"/><Relationship Id="rId29" Type="http://schemas.openxmlformats.org/officeDocument/2006/relationships/hyperlink" Target="https://www.gov.uk/government/publications/consultation-principles-guid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yperlink" Target="https://www.gov.uk/government/news/green-deal-finance-company-funding-to-end"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gov.uk/government/publications?departments%5B%5D=department-of-energy-climate-change&amp;publication_filter_option=consultations" TargetMode="External"/><Relationship Id="rId36" Type="http://schemas.openxmlformats.org/officeDocument/2006/relationships/hyperlink" Target="mailto:EnergyEfficiency.Stats@decc.gsi.gov.uk" TargetMode="External"/><Relationship Id="rId10" Type="http://schemas.openxmlformats.org/officeDocument/2006/relationships/settings" Target="settings.xml"/><Relationship Id="rId19" Type="http://schemas.openxmlformats.org/officeDocument/2006/relationships/hyperlink" Target="mailto:EnergyEfficiency.Stats@decc.gsi.gov.uk" TargetMode="External"/><Relationship Id="rId31" Type="http://schemas.openxmlformats.org/officeDocument/2006/relationships/hyperlink" Target="https://www.gov.uk/government/statistics/domestic-green-deal-and-eco-statistics-methodology-not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s://www.gov.uk/government/consultations/decc-household-energy-efficiency-national-statistics-user-consultation" TargetMode="External"/><Relationship Id="rId30" Type="http://schemas.openxmlformats.org/officeDocument/2006/relationships/hyperlink" Target="mailto:consultation.coordinator@decc.gsi.gov.uk" TargetMode="External"/><Relationship Id="rId35" Type="http://schemas.openxmlformats.org/officeDocument/2006/relationships/hyperlink" Target="https://www.gov.uk/government/collections/green-deal-and-energy-company-obligation-eco-statistic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c6981cf-ca77-4d25-a722-9ba9d442762a" ContentTypeId="0x01010020B27A3BB4AD4E469BDEA344273B4F2201" PreviousValue="false"/>
</file>

<file path=customXml/item3.xml><?xml version="1.0" encoding="utf-8"?>
<p:properties xmlns:p="http://schemas.microsoft.com/office/2006/metadata/properties" xmlns:xsi="http://www.w3.org/2001/XMLSchema-instance" xmlns:pc="http://schemas.microsoft.com/office/infopath/2007/PartnerControls">
  <documentManagement>
    <Document_x0020_Notes xmlns="f7e53c2a-c5c2-4bbb-ab47-6d506cb60401" xsi:nil="true"/>
    <Case_x0020_Reference_x0020_Number xmlns="f7e53c2a-c5c2-4bbb-ab47-6d506cb60401" xsi:nil="true"/>
    <Document_x0020_Security_x0020_Classification xmlns="f7e53c2a-c5c2-4bbb-ab47-6d506cb60401">Official Sensitive</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_dlc_DocId xmlns="f7e53c2a-c5c2-4bbb-ab47-6d506cb60401">DECCFCSJ-330-1215</_dlc_DocId>
    <_dlc_DocIdUrl xmlns="f7e53c2a-c5c2-4bbb-ab47-6d506cb60401">
      <Url>https://sharepoint.op1.psn360.fcos.gsi.gov.uk/FCS/dw/HEE/_layouts/15/DocIdRedir.aspx?ID=DECCFCSJ-330-1215</Url>
      <Description>DECCFCSJ-330-1215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ECC Document" ma:contentTypeID="0x01010020B27A3BB4AD4E469BDEA344273B4F220100AB105EBBC732AD4B9BCC75A0171B2413" ma:contentTypeVersion="3" ma:contentTypeDescription="DECC Microsoft Word Document Content Type" ma:contentTypeScope="" ma:versionID="79a7f94694c9a0a980c9beff8b3dba0e">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2326d2edf5bdf6becad5c5a9728f0066"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A18D-3098-4AB2-9476-E032314FAC48}">
  <ds:schemaRefs>
    <ds:schemaRef ds:uri="http://schemas.microsoft.com/sharepoint/v3/contenttype/forms"/>
  </ds:schemaRefs>
</ds:datastoreItem>
</file>

<file path=customXml/itemProps2.xml><?xml version="1.0" encoding="utf-8"?>
<ds:datastoreItem xmlns:ds="http://schemas.openxmlformats.org/officeDocument/2006/customXml" ds:itemID="{D269B960-E9AF-4E04-9239-9A4461258292}">
  <ds:schemaRefs>
    <ds:schemaRef ds:uri="Microsoft.SharePoint.Taxonomy.ContentTypeSync"/>
  </ds:schemaRefs>
</ds:datastoreItem>
</file>

<file path=customXml/itemProps3.xml><?xml version="1.0" encoding="utf-8"?>
<ds:datastoreItem xmlns:ds="http://schemas.openxmlformats.org/officeDocument/2006/customXml" ds:itemID="{F6634AE5-0124-4D05-B7A6-4F5C3B4EE022}">
  <ds:schemaRefs>
    <ds:schemaRef ds:uri="http://purl.org/dc/terms/"/>
    <ds:schemaRef ds:uri="f7e53c2a-c5c2-4bbb-ab47-6d506cb60401"/>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microsoft.com/sharepoint/v3"/>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CFE141C-4A29-4B6A-9E3D-088B1290D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195DB2-B7B9-4A14-8DE3-ADB3F8DD69D0}">
  <ds:schemaRefs>
    <ds:schemaRef ds:uri="http://schemas.microsoft.com/sharepoint/events"/>
  </ds:schemaRefs>
</ds:datastoreItem>
</file>

<file path=customXml/itemProps6.xml><?xml version="1.0" encoding="utf-8"?>
<ds:datastoreItem xmlns:ds="http://schemas.openxmlformats.org/officeDocument/2006/customXml" ds:itemID="{0EFAD124-5AB9-4DC3-BD23-18004C22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5502</Words>
  <Characters>31368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DECC consultation template</vt:lpstr>
    </vt:vector>
  </TitlesOfParts>
  <Company>DECC</Company>
  <LinksUpToDate>false</LinksUpToDate>
  <CharactersWithSpaces>36797</CharactersWithSpaces>
  <SharedDoc>false</SharedDoc>
  <HyperlinkBase/>
  <HLinks>
    <vt:vector size="36" baseType="variant">
      <vt:variant>
        <vt:i4>2359410</vt:i4>
      </vt:variant>
      <vt:variant>
        <vt:i4>15</vt:i4>
      </vt:variant>
      <vt:variant>
        <vt:i4>0</vt:i4>
      </vt:variant>
      <vt:variant>
        <vt:i4>5</vt:i4>
      </vt:variant>
      <vt:variant>
        <vt:lpwstr>C:\WINNT\Profiles\rgibson\Local Settings\Temporary Internet Files\Content.Outlook\CLIEQ7OP\www.decc.gov.uk</vt:lpwstr>
      </vt:variant>
      <vt:variant>
        <vt:lpwstr/>
      </vt:variant>
      <vt:variant>
        <vt:i4>852073</vt:i4>
      </vt:variant>
      <vt:variant>
        <vt:i4>12</vt:i4>
      </vt:variant>
      <vt:variant>
        <vt:i4>0</vt:i4>
      </vt:variant>
      <vt:variant>
        <vt:i4>5</vt:i4>
      </vt:variant>
      <vt:variant>
        <vt:lpwstr>mailto:consultation.coordinator@decc.gsi.gov.uk</vt:lpwstr>
      </vt:variant>
      <vt:variant>
        <vt:lpwstr/>
      </vt:variant>
      <vt:variant>
        <vt:i4>1441795</vt:i4>
      </vt:variant>
      <vt:variant>
        <vt:i4>9</vt:i4>
      </vt:variant>
      <vt:variant>
        <vt:i4>0</vt:i4>
      </vt:variant>
      <vt:variant>
        <vt:i4>5</vt:i4>
      </vt:variant>
      <vt:variant>
        <vt:lpwstr>http://www.bis.gov.uk/files/file47158.pdf</vt:lpwstr>
      </vt:variant>
      <vt:variant>
        <vt:lpwstr/>
      </vt:variant>
      <vt:variant>
        <vt:i4>4390939</vt:i4>
      </vt:variant>
      <vt:variant>
        <vt:i4>6</vt:i4>
      </vt:variant>
      <vt:variant>
        <vt:i4>0</vt:i4>
      </vt:variant>
      <vt:variant>
        <vt:i4>5</vt:i4>
      </vt:variant>
      <vt:variant>
        <vt:lpwstr>http://www.decc.gov.uk/en/content/cms/consultations/</vt:lpwstr>
      </vt:variant>
      <vt:variant>
        <vt:lpwstr/>
      </vt:variant>
      <vt:variant>
        <vt:i4>3538951</vt:i4>
      </vt:variant>
      <vt:variant>
        <vt:i4>3</vt:i4>
      </vt:variant>
      <vt:variant>
        <vt:i4>0</vt:i4>
      </vt:variant>
      <vt:variant>
        <vt:i4>5</vt:i4>
      </vt:variant>
      <vt:variant>
        <vt:lpwstr>mailto:xxxxxxxxxx@decc.gsi.gov.uk</vt:lpwstr>
      </vt:variant>
      <vt:variant>
        <vt:lpwstr/>
      </vt:variant>
      <vt:variant>
        <vt:i4>2621490</vt:i4>
      </vt:variant>
      <vt:variant>
        <vt:i4>0</vt:i4>
      </vt:variant>
      <vt:variant>
        <vt:i4>0</vt:i4>
      </vt:variant>
      <vt:variant>
        <vt:i4>5</vt:i4>
      </vt:variant>
      <vt:variant>
        <vt:lpwstr>http://www.decc.gov.uk/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consultation template</dc:title>
  <dc:creator>DECC</dc:creator>
  <cp:lastModifiedBy>Hollingshead Paul</cp:lastModifiedBy>
  <cp:revision>2</cp:revision>
  <cp:lastPrinted>2015-08-11T11:19:00Z</cp:lastPrinted>
  <dcterms:created xsi:type="dcterms:W3CDTF">2015-08-20T09:09:00Z</dcterms:created>
  <dcterms:modified xsi:type="dcterms:W3CDTF">2015-08-20T09:09:00Z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0x01010020B27A3BB4AD4E469BDEA344273B4F220100AB105EBBC732AD4B9BCC75A0171B2413</vt:lpwstr>
  </property>
  <property fmtid="{D5CDD505-2E9C-101B-9397-08002B2CF9AE}" pid="5" name="_dlc_DocIdItemGuid">
    <vt:lpwstr>c658238e-0076-492c-a4d0-f364074868d6</vt:lpwstr>
  </property>
</Properties>
</file>