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92" w:rsidRPr="006646D3" w:rsidRDefault="00212C92" w:rsidP="00C50627">
      <w:pPr>
        <w:spacing w:after="120"/>
        <w:rPr>
          <w:b/>
          <w:color w:val="003366"/>
          <w:sz w:val="26"/>
          <w:szCs w:val="26"/>
          <w:lang w:val="en" w:eastAsia="en-GB"/>
        </w:rPr>
      </w:pPr>
      <w:r w:rsidRPr="00AF2BA1">
        <w:rPr>
          <w:b/>
          <w:color w:val="003366"/>
          <w:sz w:val="26"/>
          <w:szCs w:val="26"/>
          <w:lang w:val="en" w:eastAsia="en-GB"/>
        </w:rPr>
        <w:t xml:space="preserve">VOA </w:t>
      </w:r>
      <w:r w:rsidR="009F5F5A" w:rsidRPr="00AF2BA1">
        <w:rPr>
          <w:b/>
          <w:color w:val="003366"/>
          <w:sz w:val="26"/>
          <w:szCs w:val="26"/>
          <w:lang w:val="en" w:eastAsia="en-GB"/>
        </w:rPr>
        <w:t xml:space="preserve">Official </w:t>
      </w:r>
      <w:r w:rsidRPr="00AF2BA1">
        <w:rPr>
          <w:b/>
          <w:color w:val="003366"/>
          <w:sz w:val="26"/>
          <w:szCs w:val="26"/>
          <w:lang w:val="en" w:eastAsia="en-GB"/>
        </w:rPr>
        <w:t>Statistic</w:t>
      </w:r>
      <w:r w:rsidR="009F5F5A" w:rsidRPr="00AF2BA1">
        <w:rPr>
          <w:b/>
          <w:color w:val="003366"/>
          <w:sz w:val="26"/>
          <w:szCs w:val="26"/>
          <w:lang w:val="en" w:eastAsia="en-GB"/>
        </w:rPr>
        <w:t>s</w:t>
      </w:r>
      <w:r w:rsidRPr="00AF2BA1">
        <w:rPr>
          <w:b/>
          <w:color w:val="003366"/>
          <w:sz w:val="26"/>
          <w:szCs w:val="26"/>
          <w:lang w:val="en" w:eastAsia="en-GB"/>
        </w:rPr>
        <w:t xml:space="preserve"> Release Timetable</w:t>
      </w:r>
    </w:p>
    <w:p w:rsidR="00C50627" w:rsidRDefault="00212C92" w:rsidP="00326B91">
      <w:pPr>
        <w:spacing w:after="120"/>
      </w:pPr>
      <w:r w:rsidRPr="007F446D">
        <w:t>Unless otherwise stated the</w:t>
      </w:r>
      <w:r w:rsidR="00A90522" w:rsidRPr="007F446D">
        <w:t xml:space="preserve"> statistics in the</w:t>
      </w:r>
      <w:r w:rsidRPr="007F446D">
        <w:t xml:space="preserve"> releases </w:t>
      </w:r>
      <w:r w:rsidR="00A90522" w:rsidRPr="007F446D">
        <w:t>listed bel</w:t>
      </w:r>
      <w:r w:rsidRPr="007F446D">
        <w:t xml:space="preserve">ow cover </w:t>
      </w:r>
      <w:smartTag w:uri="urn:schemas-microsoft-com:office:smarttags" w:element="country-region">
        <w:r w:rsidRPr="007F446D">
          <w:t>England</w:t>
        </w:r>
      </w:smartTag>
      <w:r w:rsidRPr="007F446D">
        <w:t xml:space="preserve"> and </w:t>
      </w:r>
      <w:smartTag w:uri="urn:schemas-microsoft-com:office:smarttags" w:element="country-region">
        <w:smartTag w:uri="urn:schemas-microsoft-com:office:smarttags" w:element="place">
          <w:r w:rsidRPr="007F446D">
            <w:t>Wales</w:t>
          </w:r>
        </w:smartTag>
      </w:smartTag>
      <w:r w:rsidR="006646D3">
        <w:t xml:space="preserve"> only. </w:t>
      </w:r>
      <w:r w:rsidR="00A90522" w:rsidRPr="007F446D">
        <w:t>This timetable will be updated with d</w:t>
      </w:r>
      <w:r w:rsidR="00134DDC" w:rsidRPr="007F446D">
        <w:t>ates for individual releases</w:t>
      </w:r>
      <w:r w:rsidR="00D360CF" w:rsidRPr="007F446D">
        <w:t xml:space="preserve"> at least one month in advance of</w:t>
      </w:r>
      <w:r w:rsidR="006646D3">
        <w:t xml:space="preserve"> their publication.</w:t>
      </w:r>
    </w:p>
    <w:p w:rsidR="00E3686E" w:rsidRPr="007F446D" w:rsidRDefault="00E3686E" w:rsidP="00326B91">
      <w:pPr>
        <w:spacing w:after="120"/>
        <w:rPr>
          <w:lang w:eastAsia="en-GB"/>
        </w:rPr>
      </w:pPr>
      <w:r w:rsidRPr="007F446D">
        <w:rPr>
          <w:lang w:eastAsia="en-GB"/>
        </w:rPr>
        <w:t xml:space="preserve">If you have any questions regarding VOA Official Statistics please direct your request to </w:t>
      </w:r>
      <w:hyperlink r:id="rId8" w:history="1">
        <w:r w:rsidRPr="007F446D">
          <w:rPr>
            <w:rStyle w:val="Hyperlink"/>
            <w:lang w:eastAsia="en-GB"/>
          </w:rPr>
          <w:t>statistics@voa.gsi.gov.uk</w:t>
        </w:r>
      </w:hyperlink>
      <w:r w:rsidRPr="007F446D">
        <w:rPr>
          <w:lang w:eastAsia="en-GB"/>
        </w:rPr>
        <w:t xml:space="preserve">. </w:t>
      </w: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97"/>
        <w:gridCol w:w="8208"/>
        <w:gridCol w:w="3281"/>
        <w:gridCol w:w="2410"/>
      </w:tblGrid>
      <w:tr w:rsidR="00E84242" w:rsidRPr="007F446D" w:rsidTr="00047CCE">
        <w:trPr>
          <w:trHeight w:hRule="exact" w:val="355"/>
        </w:trPr>
        <w:tc>
          <w:tcPr>
            <w:tcW w:w="851" w:type="dxa"/>
            <w:tcBorders>
              <w:bottom w:val="single" w:sz="4" w:space="0" w:color="auto"/>
            </w:tcBorders>
            <w:shd w:val="clear" w:color="auto" w:fill="auto"/>
          </w:tcPr>
          <w:p w:rsidR="00E84242" w:rsidRPr="007F446D" w:rsidRDefault="00E84242" w:rsidP="007F446D">
            <w:pPr>
              <w:spacing w:before="120" w:after="120"/>
              <w:rPr>
                <w:b/>
                <w:color w:val="003366"/>
                <w:lang w:val="en" w:eastAsia="en-GB"/>
              </w:rPr>
            </w:pPr>
            <w:r w:rsidRPr="007F446D">
              <w:rPr>
                <w:b/>
                <w:color w:val="003366"/>
                <w:lang w:val="en" w:eastAsia="en-GB"/>
              </w:rPr>
              <w:t>Year</w:t>
            </w:r>
          </w:p>
        </w:tc>
        <w:tc>
          <w:tcPr>
            <w:tcW w:w="1297" w:type="dxa"/>
            <w:shd w:val="clear" w:color="auto" w:fill="auto"/>
          </w:tcPr>
          <w:p w:rsidR="00E84242" w:rsidRPr="007F446D" w:rsidRDefault="00E84242" w:rsidP="007F446D">
            <w:pPr>
              <w:spacing w:before="120" w:after="120"/>
              <w:rPr>
                <w:b/>
                <w:color w:val="003366"/>
                <w:lang w:val="en" w:eastAsia="en-GB"/>
              </w:rPr>
            </w:pPr>
            <w:r w:rsidRPr="007F446D">
              <w:rPr>
                <w:b/>
                <w:color w:val="003366"/>
                <w:lang w:val="en" w:eastAsia="en-GB"/>
              </w:rPr>
              <w:t>Month</w:t>
            </w:r>
          </w:p>
        </w:tc>
        <w:tc>
          <w:tcPr>
            <w:tcW w:w="8208" w:type="dxa"/>
            <w:shd w:val="clear" w:color="auto" w:fill="auto"/>
          </w:tcPr>
          <w:p w:rsidR="00E84242" w:rsidRPr="007F446D" w:rsidRDefault="00E84242" w:rsidP="007F446D">
            <w:pPr>
              <w:spacing w:before="120" w:after="120"/>
              <w:rPr>
                <w:b/>
                <w:color w:val="003366"/>
                <w:lang w:val="en" w:eastAsia="en-GB"/>
              </w:rPr>
            </w:pPr>
            <w:r w:rsidRPr="007F446D">
              <w:rPr>
                <w:b/>
                <w:color w:val="003366"/>
                <w:lang w:val="en" w:eastAsia="en-GB"/>
              </w:rPr>
              <w:t>Publication</w:t>
            </w:r>
          </w:p>
        </w:tc>
        <w:tc>
          <w:tcPr>
            <w:tcW w:w="3281" w:type="dxa"/>
            <w:shd w:val="clear" w:color="auto" w:fill="auto"/>
          </w:tcPr>
          <w:p w:rsidR="00E84242" w:rsidRPr="007F446D" w:rsidRDefault="00E84242" w:rsidP="007F446D">
            <w:pPr>
              <w:spacing w:before="120" w:after="120"/>
              <w:rPr>
                <w:b/>
                <w:color w:val="003366"/>
                <w:lang w:val="en" w:eastAsia="en-GB"/>
              </w:rPr>
            </w:pPr>
            <w:r w:rsidRPr="007F446D">
              <w:rPr>
                <w:b/>
                <w:color w:val="003366"/>
                <w:lang w:val="en" w:eastAsia="en-GB"/>
              </w:rPr>
              <w:t>Period</w:t>
            </w:r>
          </w:p>
        </w:tc>
        <w:tc>
          <w:tcPr>
            <w:tcW w:w="2410" w:type="dxa"/>
            <w:shd w:val="clear" w:color="auto" w:fill="auto"/>
          </w:tcPr>
          <w:p w:rsidR="00E84242" w:rsidRPr="007F446D" w:rsidRDefault="00B116FF" w:rsidP="007F446D">
            <w:pPr>
              <w:spacing w:before="120" w:after="120"/>
              <w:rPr>
                <w:b/>
                <w:color w:val="003366"/>
                <w:lang w:val="en" w:eastAsia="en-GB"/>
              </w:rPr>
            </w:pPr>
            <w:r w:rsidRPr="007F446D">
              <w:rPr>
                <w:b/>
                <w:color w:val="003366"/>
                <w:lang w:val="en" w:eastAsia="en-GB"/>
              </w:rPr>
              <w:t>R</w:t>
            </w:r>
            <w:r w:rsidR="00E84242" w:rsidRPr="007F446D">
              <w:rPr>
                <w:b/>
                <w:color w:val="003366"/>
                <w:lang w:val="en" w:eastAsia="en-GB"/>
              </w:rPr>
              <w:t>elease</w:t>
            </w:r>
            <w:r w:rsidRPr="007F446D">
              <w:rPr>
                <w:b/>
                <w:color w:val="003366"/>
                <w:lang w:val="en" w:eastAsia="en-GB"/>
              </w:rPr>
              <w:t xml:space="preserve"> Date</w:t>
            </w:r>
          </w:p>
        </w:tc>
      </w:tr>
      <w:tr w:rsidR="00490679" w:rsidRPr="007F446D" w:rsidTr="00047CCE">
        <w:trPr>
          <w:trHeight w:hRule="exact" w:val="382"/>
        </w:trPr>
        <w:tc>
          <w:tcPr>
            <w:tcW w:w="851" w:type="dxa"/>
            <w:vMerge w:val="restart"/>
            <w:shd w:val="clear" w:color="auto" w:fill="auto"/>
          </w:tcPr>
          <w:p w:rsidR="00490679" w:rsidRPr="005C1A54" w:rsidRDefault="00490679" w:rsidP="00490679">
            <w:pPr>
              <w:spacing w:before="120" w:after="120"/>
            </w:pPr>
            <w:r w:rsidRPr="005C1A54">
              <w:t>2016</w:t>
            </w:r>
          </w:p>
        </w:tc>
        <w:tc>
          <w:tcPr>
            <w:tcW w:w="1297" w:type="dxa"/>
            <w:vMerge w:val="restart"/>
            <w:shd w:val="clear" w:color="auto" w:fill="auto"/>
          </w:tcPr>
          <w:p w:rsidR="00490679" w:rsidRPr="005C1A54" w:rsidRDefault="00490679" w:rsidP="007F446D">
            <w:pPr>
              <w:spacing w:before="120" w:after="120"/>
            </w:pPr>
            <w:r w:rsidRPr="005C1A54">
              <w:t>May</w:t>
            </w:r>
          </w:p>
        </w:tc>
        <w:tc>
          <w:tcPr>
            <w:tcW w:w="8208" w:type="dxa"/>
            <w:shd w:val="clear" w:color="auto" w:fill="auto"/>
          </w:tcPr>
          <w:p w:rsidR="00490679" w:rsidRPr="005C1A54" w:rsidRDefault="00490679" w:rsidP="00490679">
            <w:pPr>
              <w:spacing w:before="120" w:after="120"/>
            </w:pPr>
            <w:r w:rsidRPr="005C1A54">
              <w:t xml:space="preserve">Non-Domestic Rating: Challenges and changes, England and Wales </w:t>
            </w:r>
          </w:p>
        </w:tc>
        <w:tc>
          <w:tcPr>
            <w:tcW w:w="3281" w:type="dxa"/>
            <w:shd w:val="clear" w:color="auto" w:fill="auto"/>
          </w:tcPr>
          <w:p w:rsidR="00490679" w:rsidRPr="005C1A54" w:rsidRDefault="00490679" w:rsidP="00490679">
            <w:pPr>
              <w:spacing w:before="60"/>
            </w:pPr>
            <w:r w:rsidRPr="005C1A54">
              <w:t>As at 31 March 2016</w:t>
            </w:r>
          </w:p>
        </w:tc>
        <w:tc>
          <w:tcPr>
            <w:tcW w:w="2410" w:type="dxa"/>
            <w:shd w:val="clear" w:color="auto" w:fill="auto"/>
          </w:tcPr>
          <w:p w:rsidR="00490679" w:rsidRPr="005C1A54" w:rsidRDefault="00490679" w:rsidP="00490679">
            <w:pPr>
              <w:spacing w:before="60"/>
            </w:pPr>
            <w:r w:rsidRPr="005C1A54">
              <w:t>12 May 2016</w:t>
            </w:r>
          </w:p>
        </w:tc>
      </w:tr>
      <w:tr w:rsidR="00490679" w:rsidRPr="007F446D" w:rsidTr="00047CCE">
        <w:trPr>
          <w:trHeight w:hRule="exact" w:val="382"/>
        </w:trPr>
        <w:tc>
          <w:tcPr>
            <w:tcW w:w="851" w:type="dxa"/>
            <w:vMerge/>
            <w:shd w:val="clear" w:color="auto" w:fill="auto"/>
          </w:tcPr>
          <w:p w:rsidR="00490679" w:rsidRPr="005C1A54" w:rsidRDefault="00490679" w:rsidP="007F446D">
            <w:pPr>
              <w:spacing w:before="120" w:after="120"/>
            </w:pPr>
          </w:p>
        </w:tc>
        <w:tc>
          <w:tcPr>
            <w:tcW w:w="1297" w:type="dxa"/>
            <w:vMerge/>
            <w:shd w:val="clear" w:color="auto" w:fill="auto"/>
          </w:tcPr>
          <w:p w:rsidR="00490679" w:rsidRPr="005C1A54" w:rsidRDefault="00490679" w:rsidP="007F446D">
            <w:pPr>
              <w:spacing w:before="120" w:after="120"/>
            </w:pPr>
          </w:p>
        </w:tc>
        <w:tc>
          <w:tcPr>
            <w:tcW w:w="8208" w:type="dxa"/>
            <w:shd w:val="clear" w:color="auto" w:fill="auto"/>
          </w:tcPr>
          <w:p w:rsidR="00490679" w:rsidRPr="005C1A54" w:rsidRDefault="00490679" w:rsidP="00490679">
            <w:pPr>
              <w:spacing w:before="120" w:after="120"/>
            </w:pPr>
            <w:r w:rsidRPr="005C1A54">
              <w:t>Private rental market summary statistics, England, 2015-16</w:t>
            </w:r>
          </w:p>
        </w:tc>
        <w:tc>
          <w:tcPr>
            <w:tcW w:w="3281" w:type="dxa"/>
            <w:shd w:val="clear" w:color="auto" w:fill="auto"/>
          </w:tcPr>
          <w:p w:rsidR="00490679" w:rsidRPr="005C1A54" w:rsidRDefault="00490679" w:rsidP="00490679">
            <w:pPr>
              <w:spacing w:before="60"/>
            </w:pPr>
            <w:r w:rsidRPr="005C1A54">
              <w:t>Year to 31 March 2016</w:t>
            </w:r>
          </w:p>
        </w:tc>
        <w:tc>
          <w:tcPr>
            <w:tcW w:w="2410" w:type="dxa"/>
            <w:shd w:val="clear" w:color="auto" w:fill="auto"/>
          </w:tcPr>
          <w:p w:rsidR="00490679" w:rsidRPr="005C1A54" w:rsidRDefault="00490679" w:rsidP="00490679">
            <w:pPr>
              <w:spacing w:before="60"/>
            </w:pPr>
            <w:r w:rsidRPr="005C1A54">
              <w:t>19 May 2016</w:t>
            </w:r>
          </w:p>
        </w:tc>
      </w:tr>
      <w:tr w:rsidR="00490679" w:rsidRPr="007F446D" w:rsidTr="00047CCE">
        <w:trPr>
          <w:trHeight w:hRule="exact" w:val="382"/>
        </w:trPr>
        <w:tc>
          <w:tcPr>
            <w:tcW w:w="851" w:type="dxa"/>
            <w:vMerge/>
            <w:shd w:val="clear" w:color="auto" w:fill="auto"/>
          </w:tcPr>
          <w:p w:rsidR="00490679" w:rsidRPr="005C1A54" w:rsidRDefault="00490679" w:rsidP="007F446D">
            <w:pPr>
              <w:spacing w:before="120" w:after="120"/>
            </w:pPr>
          </w:p>
        </w:tc>
        <w:tc>
          <w:tcPr>
            <w:tcW w:w="1297" w:type="dxa"/>
            <w:shd w:val="clear" w:color="auto" w:fill="auto"/>
          </w:tcPr>
          <w:p w:rsidR="00490679" w:rsidRPr="005C1A54" w:rsidRDefault="00490679" w:rsidP="007F446D">
            <w:pPr>
              <w:spacing w:before="120" w:after="120"/>
            </w:pPr>
            <w:r w:rsidRPr="005C1A54">
              <w:t>June</w:t>
            </w:r>
          </w:p>
        </w:tc>
        <w:tc>
          <w:tcPr>
            <w:tcW w:w="8208" w:type="dxa"/>
            <w:shd w:val="clear" w:color="auto" w:fill="auto"/>
          </w:tcPr>
          <w:p w:rsidR="00490679" w:rsidRPr="005C1A54" w:rsidRDefault="00490679" w:rsidP="00490679">
            <w:pPr>
              <w:spacing w:before="120" w:after="120"/>
            </w:pPr>
            <w:r w:rsidRPr="005C1A54">
              <w:t>Council Tax: Stock of properties, England and Wales, 2016</w:t>
            </w:r>
          </w:p>
        </w:tc>
        <w:tc>
          <w:tcPr>
            <w:tcW w:w="3281" w:type="dxa"/>
            <w:shd w:val="clear" w:color="auto" w:fill="auto"/>
          </w:tcPr>
          <w:p w:rsidR="00490679" w:rsidRPr="005C1A54" w:rsidRDefault="00490679" w:rsidP="00490679">
            <w:pPr>
              <w:spacing w:before="60"/>
            </w:pPr>
            <w:r w:rsidRPr="005C1A54">
              <w:t>As at 31 March 2016</w:t>
            </w:r>
          </w:p>
        </w:tc>
        <w:tc>
          <w:tcPr>
            <w:tcW w:w="2410" w:type="dxa"/>
            <w:shd w:val="clear" w:color="auto" w:fill="auto"/>
          </w:tcPr>
          <w:p w:rsidR="00490679" w:rsidRPr="005C1A54" w:rsidRDefault="00490679" w:rsidP="00490679">
            <w:pPr>
              <w:spacing w:before="60"/>
            </w:pPr>
            <w:r w:rsidRPr="005C1A54">
              <w:t>30 June 2016</w:t>
            </w:r>
          </w:p>
        </w:tc>
      </w:tr>
      <w:tr w:rsidR="00490679" w:rsidRPr="007F446D" w:rsidTr="00047CCE">
        <w:trPr>
          <w:trHeight w:hRule="exact" w:val="382"/>
        </w:trPr>
        <w:tc>
          <w:tcPr>
            <w:tcW w:w="851" w:type="dxa"/>
            <w:vMerge/>
            <w:shd w:val="clear" w:color="auto" w:fill="auto"/>
          </w:tcPr>
          <w:p w:rsidR="00490679" w:rsidRPr="005C1A54" w:rsidRDefault="00490679" w:rsidP="007F446D">
            <w:pPr>
              <w:spacing w:before="120" w:after="120"/>
            </w:pPr>
          </w:p>
        </w:tc>
        <w:tc>
          <w:tcPr>
            <w:tcW w:w="1297" w:type="dxa"/>
            <w:vMerge w:val="restart"/>
            <w:shd w:val="clear" w:color="auto" w:fill="auto"/>
          </w:tcPr>
          <w:p w:rsidR="00490679" w:rsidRPr="005C1A54" w:rsidRDefault="00490679" w:rsidP="007F446D">
            <w:pPr>
              <w:spacing w:before="120" w:after="120"/>
            </w:pPr>
            <w:r w:rsidRPr="005C1A54">
              <w:t>August</w:t>
            </w:r>
            <w:r w:rsidRPr="005C1A54">
              <w:rPr>
                <w:rStyle w:val="FootnoteReference"/>
                <w:b/>
                <w:color w:val="FF0000"/>
              </w:rPr>
              <w:footnoteReference w:id="1"/>
            </w:r>
          </w:p>
        </w:tc>
        <w:tc>
          <w:tcPr>
            <w:tcW w:w="8208" w:type="dxa"/>
            <w:shd w:val="clear" w:color="auto" w:fill="auto"/>
          </w:tcPr>
          <w:p w:rsidR="00490679" w:rsidRPr="005C1A54" w:rsidRDefault="00490679" w:rsidP="00490679">
            <w:pPr>
              <w:spacing w:before="120" w:after="120"/>
            </w:pPr>
            <w:r w:rsidRPr="005C1A54">
              <w:t>Non-Domestic Rating: Challenges and changes, England and Wales</w:t>
            </w:r>
          </w:p>
        </w:tc>
        <w:tc>
          <w:tcPr>
            <w:tcW w:w="3281" w:type="dxa"/>
            <w:shd w:val="clear" w:color="auto" w:fill="auto"/>
          </w:tcPr>
          <w:p w:rsidR="00490679" w:rsidRPr="005C1A54" w:rsidRDefault="00490679" w:rsidP="00490679">
            <w:pPr>
              <w:spacing w:before="60"/>
            </w:pPr>
            <w:r w:rsidRPr="005C1A54">
              <w:t>As at 30 June 2016</w:t>
            </w:r>
          </w:p>
        </w:tc>
        <w:tc>
          <w:tcPr>
            <w:tcW w:w="2410" w:type="dxa"/>
            <w:shd w:val="clear" w:color="auto" w:fill="auto"/>
          </w:tcPr>
          <w:p w:rsidR="00490679" w:rsidRPr="005C1A54" w:rsidRDefault="00490679" w:rsidP="00490679">
            <w:pPr>
              <w:spacing w:before="60"/>
            </w:pPr>
            <w:r w:rsidRPr="005C1A54">
              <w:t>18 August 2016</w:t>
            </w:r>
          </w:p>
        </w:tc>
      </w:tr>
      <w:tr w:rsidR="00490679" w:rsidRPr="007F446D" w:rsidTr="00047CCE">
        <w:trPr>
          <w:trHeight w:hRule="exact" w:val="382"/>
        </w:trPr>
        <w:tc>
          <w:tcPr>
            <w:tcW w:w="851" w:type="dxa"/>
            <w:vMerge/>
            <w:shd w:val="clear" w:color="auto" w:fill="auto"/>
          </w:tcPr>
          <w:p w:rsidR="00490679" w:rsidRPr="005C1A54" w:rsidRDefault="00490679" w:rsidP="007F446D">
            <w:pPr>
              <w:spacing w:before="120" w:after="120"/>
            </w:pPr>
          </w:p>
        </w:tc>
        <w:tc>
          <w:tcPr>
            <w:tcW w:w="1297" w:type="dxa"/>
            <w:vMerge/>
            <w:shd w:val="clear" w:color="auto" w:fill="auto"/>
          </w:tcPr>
          <w:p w:rsidR="00490679" w:rsidRPr="005C1A54" w:rsidRDefault="00490679" w:rsidP="007F446D">
            <w:pPr>
              <w:spacing w:before="120" w:after="120"/>
            </w:pPr>
          </w:p>
        </w:tc>
        <w:tc>
          <w:tcPr>
            <w:tcW w:w="8208" w:type="dxa"/>
            <w:shd w:val="clear" w:color="auto" w:fill="auto"/>
          </w:tcPr>
          <w:p w:rsidR="00490679" w:rsidRPr="005C1A54" w:rsidRDefault="00490679" w:rsidP="00490679">
            <w:pPr>
              <w:spacing w:before="120" w:after="120"/>
            </w:pPr>
            <w:r w:rsidRPr="005C1A54">
              <w:t>Council Tax: Challenges and changes, England and Wales, 2015-16</w:t>
            </w:r>
          </w:p>
        </w:tc>
        <w:tc>
          <w:tcPr>
            <w:tcW w:w="3281" w:type="dxa"/>
            <w:shd w:val="clear" w:color="auto" w:fill="auto"/>
          </w:tcPr>
          <w:p w:rsidR="00490679" w:rsidRPr="005C1A54" w:rsidRDefault="00490679" w:rsidP="00490679">
            <w:pPr>
              <w:spacing w:before="60"/>
            </w:pPr>
            <w:r w:rsidRPr="005C1A54">
              <w:t>1 April 2015 to 31 March 2016</w:t>
            </w:r>
          </w:p>
        </w:tc>
        <w:tc>
          <w:tcPr>
            <w:tcW w:w="2410" w:type="dxa"/>
            <w:shd w:val="clear" w:color="auto" w:fill="auto"/>
          </w:tcPr>
          <w:p w:rsidR="00490679" w:rsidRPr="005C1A54" w:rsidRDefault="00490679" w:rsidP="00490679">
            <w:pPr>
              <w:spacing w:before="60"/>
            </w:pPr>
            <w:r w:rsidRPr="005C1A54">
              <w:t>25 August 2016</w:t>
            </w:r>
          </w:p>
        </w:tc>
      </w:tr>
      <w:tr w:rsidR="00490679" w:rsidRPr="007F446D" w:rsidTr="005C1A54">
        <w:trPr>
          <w:trHeight w:hRule="exact" w:val="716"/>
        </w:trPr>
        <w:tc>
          <w:tcPr>
            <w:tcW w:w="851" w:type="dxa"/>
            <w:vMerge/>
            <w:shd w:val="clear" w:color="auto" w:fill="auto"/>
          </w:tcPr>
          <w:p w:rsidR="00490679" w:rsidRPr="005C1A54" w:rsidRDefault="00490679" w:rsidP="007F446D">
            <w:pPr>
              <w:spacing w:before="120" w:after="120"/>
            </w:pPr>
          </w:p>
        </w:tc>
        <w:tc>
          <w:tcPr>
            <w:tcW w:w="1297" w:type="dxa"/>
            <w:vMerge w:val="restart"/>
            <w:shd w:val="clear" w:color="auto" w:fill="auto"/>
          </w:tcPr>
          <w:p w:rsidR="00490679" w:rsidRPr="005C1A54" w:rsidRDefault="00490679" w:rsidP="007F446D">
            <w:pPr>
              <w:spacing w:before="120" w:after="120"/>
            </w:pPr>
            <w:r w:rsidRPr="005C1A54">
              <w:t>September</w:t>
            </w:r>
          </w:p>
        </w:tc>
        <w:tc>
          <w:tcPr>
            <w:tcW w:w="8208" w:type="dxa"/>
            <w:shd w:val="clear" w:color="auto" w:fill="auto"/>
          </w:tcPr>
          <w:p w:rsidR="00490679" w:rsidRPr="005C1A54" w:rsidRDefault="00490679" w:rsidP="00490679">
            <w:pPr>
              <w:spacing w:before="120" w:after="120"/>
            </w:pPr>
            <w:r w:rsidRPr="005C1A54">
              <w:t>Non-Domestic Rating: High-level estimates of change in rateable value of rating lists, England and Wales, 2017 revaluation</w:t>
            </w:r>
          </w:p>
        </w:tc>
        <w:tc>
          <w:tcPr>
            <w:tcW w:w="3281" w:type="dxa"/>
            <w:shd w:val="clear" w:color="auto" w:fill="auto"/>
          </w:tcPr>
          <w:p w:rsidR="00490679" w:rsidRPr="005C1A54" w:rsidRDefault="00490679" w:rsidP="00490679">
            <w:pPr>
              <w:spacing w:before="60"/>
            </w:pPr>
            <w:r w:rsidRPr="005C1A54">
              <w:t>As at 1 August 2016</w:t>
            </w:r>
          </w:p>
        </w:tc>
        <w:tc>
          <w:tcPr>
            <w:tcW w:w="2410" w:type="dxa"/>
            <w:shd w:val="clear" w:color="auto" w:fill="auto"/>
          </w:tcPr>
          <w:p w:rsidR="00490679" w:rsidRPr="005C1A54" w:rsidRDefault="00490679" w:rsidP="00490679">
            <w:pPr>
              <w:spacing w:before="60"/>
            </w:pPr>
            <w:r w:rsidRPr="005C1A54">
              <w:t>28 September 2016</w:t>
            </w:r>
            <w:r w:rsidRPr="005C1A54">
              <w:rPr>
                <w:rStyle w:val="FootnoteReference"/>
                <w:b/>
                <w:color w:val="FF0000"/>
              </w:rPr>
              <w:footnoteReference w:id="2"/>
            </w:r>
          </w:p>
        </w:tc>
      </w:tr>
      <w:tr w:rsidR="00490679" w:rsidRPr="007F446D" w:rsidTr="00047CCE">
        <w:trPr>
          <w:trHeight w:hRule="exact" w:val="382"/>
        </w:trPr>
        <w:tc>
          <w:tcPr>
            <w:tcW w:w="851" w:type="dxa"/>
            <w:vMerge/>
            <w:shd w:val="clear" w:color="auto" w:fill="auto"/>
          </w:tcPr>
          <w:p w:rsidR="00490679" w:rsidRPr="005C1A54" w:rsidRDefault="00490679" w:rsidP="007F446D">
            <w:pPr>
              <w:spacing w:before="120" w:after="120"/>
            </w:pPr>
          </w:p>
        </w:tc>
        <w:tc>
          <w:tcPr>
            <w:tcW w:w="1297" w:type="dxa"/>
            <w:vMerge/>
            <w:shd w:val="clear" w:color="auto" w:fill="auto"/>
          </w:tcPr>
          <w:p w:rsidR="00490679" w:rsidRPr="005C1A54" w:rsidRDefault="00490679" w:rsidP="007F446D">
            <w:pPr>
              <w:spacing w:before="120" w:after="120"/>
            </w:pPr>
          </w:p>
        </w:tc>
        <w:tc>
          <w:tcPr>
            <w:tcW w:w="8208" w:type="dxa"/>
            <w:shd w:val="clear" w:color="auto" w:fill="auto"/>
          </w:tcPr>
          <w:p w:rsidR="00490679" w:rsidRPr="005C1A54" w:rsidRDefault="00490679" w:rsidP="00490679">
            <w:pPr>
              <w:spacing w:before="120" w:after="120"/>
            </w:pPr>
            <w:r w:rsidRPr="005C1A54">
              <w:t>Non-Domestic Rating: Stock of properties, England and Wales, 2016</w:t>
            </w:r>
          </w:p>
        </w:tc>
        <w:tc>
          <w:tcPr>
            <w:tcW w:w="3281" w:type="dxa"/>
            <w:shd w:val="clear" w:color="auto" w:fill="auto"/>
          </w:tcPr>
          <w:p w:rsidR="00490679" w:rsidRPr="005C1A54" w:rsidRDefault="00490679" w:rsidP="00490679">
            <w:pPr>
              <w:spacing w:before="60"/>
            </w:pPr>
            <w:r w:rsidRPr="005C1A54">
              <w:t>As at 31 March 2016</w:t>
            </w:r>
          </w:p>
        </w:tc>
        <w:tc>
          <w:tcPr>
            <w:tcW w:w="2410" w:type="dxa"/>
            <w:shd w:val="clear" w:color="auto" w:fill="auto"/>
          </w:tcPr>
          <w:p w:rsidR="00490679" w:rsidRPr="005C1A54" w:rsidRDefault="00490679" w:rsidP="00490679">
            <w:pPr>
              <w:spacing w:before="60"/>
            </w:pPr>
            <w:r w:rsidRPr="005C1A54">
              <w:t>15 September 2016</w:t>
            </w:r>
          </w:p>
        </w:tc>
      </w:tr>
      <w:tr w:rsidR="00490679" w:rsidRPr="007F446D" w:rsidTr="00047CCE">
        <w:trPr>
          <w:trHeight w:hRule="exact" w:val="382"/>
        </w:trPr>
        <w:tc>
          <w:tcPr>
            <w:tcW w:w="851" w:type="dxa"/>
            <w:vMerge/>
            <w:shd w:val="clear" w:color="auto" w:fill="auto"/>
          </w:tcPr>
          <w:p w:rsidR="00490679" w:rsidRPr="005C1A54" w:rsidRDefault="00490679" w:rsidP="007F446D">
            <w:pPr>
              <w:spacing w:before="120" w:after="120"/>
            </w:pPr>
          </w:p>
        </w:tc>
        <w:tc>
          <w:tcPr>
            <w:tcW w:w="1297" w:type="dxa"/>
            <w:vMerge/>
            <w:shd w:val="clear" w:color="auto" w:fill="auto"/>
          </w:tcPr>
          <w:p w:rsidR="00490679" w:rsidRPr="005C1A54" w:rsidRDefault="00490679" w:rsidP="007F446D">
            <w:pPr>
              <w:spacing w:before="120" w:after="120"/>
              <w:rPr>
                <w:color w:val="2E74B5"/>
              </w:rPr>
            </w:pPr>
          </w:p>
        </w:tc>
        <w:tc>
          <w:tcPr>
            <w:tcW w:w="8208" w:type="dxa"/>
            <w:shd w:val="clear" w:color="auto" w:fill="auto"/>
          </w:tcPr>
          <w:p w:rsidR="00490679" w:rsidRPr="005C1A54" w:rsidRDefault="00490679" w:rsidP="00490679">
            <w:pPr>
              <w:spacing w:before="120" w:after="120"/>
            </w:pPr>
            <w:r w:rsidRPr="005C1A54">
              <w:t>Council Tax: Stock of properties (supplementary table), England and Wales, 2016</w:t>
            </w:r>
          </w:p>
        </w:tc>
        <w:tc>
          <w:tcPr>
            <w:tcW w:w="3281" w:type="dxa"/>
            <w:shd w:val="clear" w:color="auto" w:fill="auto"/>
          </w:tcPr>
          <w:p w:rsidR="00490679" w:rsidRPr="005C1A54" w:rsidRDefault="00490679" w:rsidP="00490679">
            <w:pPr>
              <w:spacing w:before="60"/>
            </w:pPr>
            <w:r w:rsidRPr="005C1A54">
              <w:t>As at 12 September 2016</w:t>
            </w:r>
          </w:p>
        </w:tc>
        <w:tc>
          <w:tcPr>
            <w:tcW w:w="2410" w:type="dxa"/>
            <w:shd w:val="clear" w:color="auto" w:fill="auto"/>
          </w:tcPr>
          <w:p w:rsidR="00490679" w:rsidRPr="005C1A54" w:rsidRDefault="00490679" w:rsidP="00490679">
            <w:pPr>
              <w:spacing w:before="60"/>
            </w:pPr>
            <w:r w:rsidRPr="005C1A54">
              <w:t>22 September 2016</w:t>
            </w:r>
          </w:p>
        </w:tc>
      </w:tr>
      <w:tr w:rsidR="00490679" w:rsidRPr="007F446D" w:rsidTr="00490679">
        <w:trPr>
          <w:trHeight w:hRule="exact" w:val="650"/>
        </w:trPr>
        <w:tc>
          <w:tcPr>
            <w:tcW w:w="851" w:type="dxa"/>
            <w:vMerge/>
            <w:shd w:val="clear" w:color="auto" w:fill="auto"/>
          </w:tcPr>
          <w:p w:rsidR="00490679" w:rsidRPr="005C1A54" w:rsidRDefault="00490679" w:rsidP="00B20C63">
            <w:pPr>
              <w:spacing w:before="120" w:after="120"/>
            </w:pPr>
          </w:p>
        </w:tc>
        <w:tc>
          <w:tcPr>
            <w:tcW w:w="1297" w:type="dxa"/>
            <w:shd w:val="clear" w:color="auto" w:fill="auto"/>
          </w:tcPr>
          <w:p w:rsidR="00490679" w:rsidRPr="005C1A54" w:rsidRDefault="00490679" w:rsidP="00B20C63">
            <w:pPr>
              <w:spacing w:before="120" w:after="120"/>
            </w:pPr>
            <w:r w:rsidRPr="005C1A54">
              <w:t>October</w:t>
            </w:r>
          </w:p>
        </w:tc>
        <w:tc>
          <w:tcPr>
            <w:tcW w:w="8208" w:type="dxa"/>
            <w:shd w:val="clear" w:color="auto" w:fill="auto"/>
          </w:tcPr>
          <w:p w:rsidR="00490679" w:rsidRPr="005C1A54" w:rsidRDefault="00490679" w:rsidP="00490679">
            <w:pPr>
              <w:spacing w:before="120" w:after="120"/>
            </w:pPr>
            <w:r w:rsidRPr="005C1A54">
              <w:t>Non-Domestic Rating: Change in rateable value of rating lists, England and Wales, 2017 revaluation</w:t>
            </w:r>
          </w:p>
        </w:tc>
        <w:tc>
          <w:tcPr>
            <w:tcW w:w="3281" w:type="dxa"/>
            <w:shd w:val="clear" w:color="auto" w:fill="auto"/>
          </w:tcPr>
          <w:p w:rsidR="00490679" w:rsidRPr="005C1A54" w:rsidRDefault="00490679" w:rsidP="00490679">
            <w:pPr>
              <w:spacing w:before="60"/>
            </w:pPr>
            <w:r w:rsidRPr="005C1A54">
              <w:t>As at September 2016</w:t>
            </w:r>
          </w:p>
        </w:tc>
        <w:tc>
          <w:tcPr>
            <w:tcW w:w="2410" w:type="dxa"/>
            <w:shd w:val="clear" w:color="auto" w:fill="auto"/>
          </w:tcPr>
          <w:p w:rsidR="00490679" w:rsidRPr="005C1A54" w:rsidRDefault="00490679" w:rsidP="00490679">
            <w:pPr>
              <w:spacing w:before="60"/>
            </w:pPr>
            <w:r w:rsidRPr="005C1A54">
              <w:t>6 October 2016</w:t>
            </w:r>
          </w:p>
        </w:tc>
      </w:tr>
      <w:tr w:rsidR="00490679" w:rsidRPr="007F446D" w:rsidTr="00490679">
        <w:trPr>
          <w:trHeight w:hRule="exact" w:val="448"/>
        </w:trPr>
        <w:tc>
          <w:tcPr>
            <w:tcW w:w="851" w:type="dxa"/>
            <w:vMerge/>
            <w:shd w:val="clear" w:color="auto" w:fill="auto"/>
          </w:tcPr>
          <w:p w:rsidR="00490679" w:rsidRPr="005C1A54" w:rsidRDefault="00490679" w:rsidP="00B20C63">
            <w:pPr>
              <w:spacing w:before="120" w:after="120"/>
            </w:pPr>
          </w:p>
        </w:tc>
        <w:tc>
          <w:tcPr>
            <w:tcW w:w="1297" w:type="dxa"/>
            <w:vMerge w:val="restart"/>
            <w:shd w:val="clear" w:color="auto" w:fill="auto"/>
          </w:tcPr>
          <w:p w:rsidR="00490679" w:rsidRPr="005C1A54" w:rsidRDefault="00490679" w:rsidP="00B20C63">
            <w:pPr>
              <w:spacing w:before="120" w:after="120"/>
            </w:pPr>
            <w:r w:rsidRPr="005C1A54">
              <w:t>November</w:t>
            </w:r>
          </w:p>
        </w:tc>
        <w:tc>
          <w:tcPr>
            <w:tcW w:w="8208" w:type="dxa"/>
            <w:shd w:val="clear" w:color="auto" w:fill="auto"/>
          </w:tcPr>
          <w:p w:rsidR="00490679" w:rsidRPr="005C1A54" w:rsidRDefault="00490679" w:rsidP="00490679">
            <w:pPr>
              <w:spacing w:before="120" w:after="120"/>
            </w:pPr>
            <w:r w:rsidRPr="005C1A54">
              <w:t>Non-Domestic Rating: Challenges and changes, England and Wales</w:t>
            </w:r>
          </w:p>
        </w:tc>
        <w:tc>
          <w:tcPr>
            <w:tcW w:w="3281" w:type="dxa"/>
            <w:shd w:val="clear" w:color="auto" w:fill="auto"/>
          </w:tcPr>
          <w:p w:rsidR="00490679" w:rsidRPr="005C1A54" w:rsidRDefault="00490679" w:rsidP="00490679">
            <w:pPr>
              <w:spacing w:before="60"/>
            </w:pPr>
            <w:r w:rsidRPr="005C1A54">
              <w:t>As at 30 September 2016</w:t>
            </w:r>
          </w:p>
        </w:tc>
        <w:tc>
          <w:tcPr>
            <w:tcW w:w="2410" w:type="dxa"/>
            <w:shd w:val="clear" w:color="auto" w:fill="auto"/>
          </w:tcPr>
          <w:p w:rsidR="00490679" w:rsidRPr="005C1A54" w:rsidRDefault="00490679" w:rsidP="00490679">
            <w:pPr>
              <w:spacing w:before="60"/>
            </w:pPr>
            <w:r w:rsidRPr="005C1A54">
              <w:t>16 November 2016</w:t>
            </w:r>
          </w:p>
        </w:tc>
      </w:tr>
      <w:tr w:rsidR="00490679" w:rsidRPr="007F446D" w:rsidTr="00490679">
        <w:trPr>
          <w:trHeight w:hRule="exact" w:val="410"/>
        </w:trPr>
        <w:tc>
          <w:tcPr>
            <w:tcW w:w="851" w:type="dxa"/>
            <w:vMerge/>
            <w:shd w:val="clear" w:color="auto" w:fill="auto"/>
          </w:tcPr>
          <w:p w:rsidR="00490679" w:rsidRPr="005C1A54" w:rsidRDefault="00490679" w:rsidP="00B20C63">
            <w:pPr>
              <w:spacing w:before="120" w:after="120"/>
            </w:pPr>
          </w:p>
        </w:tc>
        <w:tc>
          <w:tcPr>
            <w:tcW w:w="1297" w:type="dxa"/>
            <w:vMerge/>
            <w:shd w:val="clear" w:color="auto" w:fill="auto"/>
          </w:tcPr>
          <w:p w:rsidR="00490679" w:rsidRPr="005C1A54" w:rsidRDefault="00490679" w:rsidP="00B20C63">
            <w:pPr>
              <w:spacing w:before="120" w:after="120"/>
            </w:pPr>
          </w:p>
        </w:tc>
        <w:tc>
          <w:tcPr>
            <w:tcW w:w="8208" w:type="dxa"/>
            <w:shd w:val="clear" w:color="auto" w:fill="auto"/>
          </w:tcPr>
          <w:p w:rsidR="00490679" w:rsidRPr="005C1A54" w:rsidRDefault="00490679" w:rsidP="00490679">
            <w:pPr>
              <w:spacing w:before="120" w:after="120"/>
            </w:pPr>
            <w:r w:rsidRPr="005C1A54">
              <w:t>Private rental market summary statistics – October 2015 to September 2016</w:t>
            </w:r>
          </w:p>
        </w:tc>
        <w:tc>
          <w:tcPr>
            <w:tcW w:w="3281" w:type="dxa"/>
            <w:shd w:val="clear" w:color="auto" w:fill="auto"/>
          </w:tcPr>
          <w:p w:rsidR="00490679" w:rsidRPr="005C1A54" w:rsidRDefault="00490679" w:rsidP="00490679">
            <w:pPr>
              <w:spacing w:before="60"/>
            </w:pPr>
            <w:r w:rsidRPr="005C1A54">
              <w:t>Year to 30 September 2016</w:t>
            </w:r>
          </w:p>
        </w:tc>
        <w:tc>
          <w:tcPr>
            <w:tcW w:w="2410" w:type="dxa"/>
            <w:shd w:val="clear" w:color="auto" w:fill="auto"/>
          </w:tcPr>
          <w:p w:rsidR="00490679" w:rsidRPr="005C1A54" w:rsidRDefault="00490679" w:rsidP="00490679">
            <w:pPr>
              <w:spacing w:before="60"/>
            </w:pPr>
            <w:r w:rsidRPr="005C1A54">
              <w:t>17 November 2016</w:t>
            </w:r>
          </w:p>
        </w:tc>
      </w:tr>
      <w:tr w:rsidR="00490679" w:rsidRPr="007F446D" w:rsidTr="00490679">
        <w:trPr>
          <w:trHeight w:hRule="exact" w:val="416"/>
        </w:trPr>
        <w:tc>
          <w:tcPr>
            <w:tcW w:w="851" w:type="dxa"/>
            <w:vMerge/>
            <w:shd w:val="clear" w:color="auto" w:fill="auto"/>
          </w:tcPr>
          <w:p w:rsidR="00490679" w:rsidRPr="005C1A54" w:rsidRDefault="00490679" w:rsidP="00B20C63">
            <w:pPr>
              <w:spacing w:before="120" w:after="120"/>
            </w:pPr>
          </w:p>
        </w:tc>
        <w:tc>
          <w:tcPr>
            <w:tcW w:w="1297" w:type="dxa"/>
            <w:shd w:val="clear" w:color="auto" w:fill="auto"/>
          </w:tcPr>
          <w:p w:rsidR="00490679" w:rsidRPr="005C1A54" w:rsidRDefault="00490679" w:rsidP="00B20C63">
            <w:pPr>
              <w:spacing w:before="120" w:after="120"/>
            </w:pPr>
            <w:r w:rsidRPr="005C1A54">
              <w:t>December</w:t>
            </w:r>
          </w:p>
        </w:tc>
        <w:tc>
          <w:tcPr>
            <w:tcW w:w="8208" w:type="dxa"/>
            <w:shd w:val="clear" w:color="auto" w:fill="auto"/>
          </w:tcPr>
          <w:p w:rsidR="00490679" w:rsidRPr="005C1A54" w:rsidRDefault="00490679" w:rsidP="00490679">
            <w:pPr>
              <w:spacing w:before="120" w:after="120"/>
            </w:pPr>
            <w:r w:rsidRPr="005C1A54">
              <w:t xml:space="preserve">Non-Domestic Rating: Business </w:t>
            </w:r>
            <w:proofErr w:type="spellStart"/>
            <w:r w:rsidRPr="005C1A54">
              <w:t>Floorspace</w:t>
            </w:r>
            <w:proofErr w:type="spellEnd"/>
            <w:r w:rsidRPr="005C1A54">
              <w:t>, England and Wales</w:t>
            </w:r>
          </w:p>
        </w:tc>
        <w:tc>
          <w:tcPr>
            <w:tcW w:w="3281" w:type="dxa"/>
            <w:shd w:val="clear" w:color="auto" w:fill="auto"/>
          </w:tcPr>
          <w:p w:rsidR="00490679" w:rsidRPr="005C1A54" w:rsidRDefault="00A21BB2" w:rsidP="00A21BB2">
            <w:pPr>
              <w:spacing w:before="60"/>
            </w:pPr>
            <w:bookmarkStart w:id="0" w:name="_GoBack"/>
            <w:bookmarkEnd w:id="0"/>
            <w:r>
              <w:t>2000-2016</w:t>
            </w:r>
          </w:p>
        </w:tc>
        <w:tc>
          <w:tcPr>
            <w:tcW w:w="2410" w:type="dxa"/>
            <w:shd w:val="clear" w:color="auto" w:fill="auto"/>
          </w:tcPr>
          <w:p w:rsidR="00490679" w:rsidRPr="005C1A54" w:rsidRDefault="00490679" w:rsidP="00490679">
            <w:pPr>
              <w:spacing w:before="60"/>
            </w:pPr>
            <w:r w:rsidRPr="005C1A54">
              <w:t>8 December 2016</w:t>
            </w:r>
          </w:p>
        </w:tc>
      </w:tr>
    </w:tbl>
    <w:p w:rsidR="0016206A" w:rsidRPr="001C2B83" w:rsidRDefault="0016206A" w:rsidP="00C50627">
      <w:pPr>
        <w:tabs>
          <w:tab w:val="left" w:pos="1845"/>
        </w:tabs>
      </w:pPr>
    </w:p>
    <w:sectPr w:rsidR="0016206A" w:rsidRPr="001C2B83" w:rsidSect="00CB0D73">
      <w:headerReference w:type="default" r:id="rId9"/>
      <w:footnotePr>
        <w:numRestart w:val="eachSect"/>
      </w:footnotePr>
      <w:pgSz w:w="16834" w:h="11909" w:orient="landscape"/>
      <w:pgMar w:top="720" w:right="964" w:bottom="720" w:left="964" w:header="284" w:footer="1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E6" w:rsidRDefault="00D707E6">
      <w:r>
        <w:separator/>
      </w:r>
    </w:p>
  </w:endnote>
  <w:endnote w:type="continuationSeparator" w:id="0">
    <w:p w:rsidR="00D707E6" w:rsidRDefault="00D7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E6" w:rsidRDefault="00D707E6">
      <w:r>
        <w:separator/>
      </w:r>
    </w:p>
  </w:footnote>
  <w:footnote w:type="continuationSeparator" w:id="0">
    <w:p w:rsidR="00D707E6" w:rsidRDefault="00D707E6">
      <w:r>
        <w:continuationSeparator/>
      </w:r>
    </w:p>
  </w:footnote>
  <w:footnote w:id="1">
    <w:p w:rsidR="00490679" w:rsidRPr="00AB6B77" w:rsidRDefault="00490679" w:rsidP="00945E84">
      <w:pPr>
        <w:rPr>
          <w:rFonts w:ascii="Calibri" w:hAnsi="Calibri" w:cs="Times New Roman"/>
          <w:color w:val="1F497D"/>
          <w:sz w:val="20"/>
          <w:szCs w:val="20"/>
        </w:rPr>
      </w:pPr>
      <w:r w:rsidRPr="00CC49C2">
        <w:rPr>
          <w:rStyle w:val="FootnoteReference"/>
          <w:b/>
          <w:color w:val="FF0000"/>
        </w:rPr>
        <w:footnoteRef/>
      </w:r>
      <w:r>
        <w:t xml:space="preserve"> </w:t>
      </w:r>
      <w:r w:rsidRPr="00CC49C2">
        <w:rPr>
          <w:sz w:val="20"/>
          <w:szCs w:val="20"/>
        </w:rPr>
        <w:t>The previously announced new Private Rental Market statistics publication provisionally scheduled for August 2016 has been postponed. Over the last year the VOA has been undertaking a methodological review of the Private Rental Market statistics aimed at improving its quality and usability. This work is still ongoing but data constraints mean that it is not feasible to implement the anticipated methodological improvements at this time. Further information will be published in due course as the review goes forward on both what and when changes will be implemented</w:t>
      </w:r>
      <w:r w:rsidRPr="00AB6B77">
        <w:rPr>
          <w:sz w:val="20"/>
          <w:szCs w:val="20"/>
        </w:rPr>
        <w:t>.</w:t>
      </w:r>
    </w:p>
    <w:p w:rsidR="00490679" w:rsidRPr="00AB6B77" w:rsidRDefault="00490679">
      <w:pPr>
        <w:pStyle w:val="FootnoteText"/>
      </w:pPr>
    </w:p>
  </w:footnote>
  <w:footnote w:id="2">
    <w:p w:rsidR="00490679" w:rsidRPr="00CC49C2" w:rsidRDefault="00490679" w:rsidP="00DC16C9">
      <w:pPr>
        <w:rPr>
          <w:rFonts w:ascii="Calibri" w:hAnsi="Calibri" w:cs="Times New Roman"/>
          <w:color w:val="1F497D"/>
          <w:sz w:val="20"/>
          <w:szCs w:val="20"/>
        </w:rPr>
      </w:pPr>
      <w:r w:rsidRPr="00CC49C2">
        <w:rPr>
          <w:rStyle w:val="FootnoteReference"/>
          <w:b/>
          <w:color w:val="FF0000"/>
          <w:sz w:val="20"/>
          <w:szCs w:val="20"/>
        </w:rPr>
        <w:footnoteRef/>
      </w:r>
      <w:r w:rsidRPr="00AB6B77">
        <w:rPr>
          <w:sz w:val="20"/>
          <w:szCs w:val="20"/>
        </w:rPr>
        <w:t xml:space="preserve"> </w:t>
      </w:r>
      <w:r>
        <w:rPr>
          <w:sz w:val="20"/>
          <w:szCs w:val="20"/>
        </w:rPr>
        <w:t>This</w:t>
      </w:r>
      <w:r w:rsidRPr="00603D22">
        <w:rPr>
          <w:sz w:val="20"/>
          <w:szCs w:val="20"/>
        </w:rPr>
        <w:t xml:space="preserve"> publication showing summary statistics for Revaluation </w:t>
      </w:r>
      <w:r w:rsidRPr="00C15516">
        <w:rPr>
          <w:sz w:val="20"/>
          <w:szCs w:val="20"/>
        </w:rPr>
        <w:t>2017 was</w:t>
      </w:r>
      <w:r>
        <w:rPr>
          <w:sz w:val="20"/>
          <w:szCs w:val="20"/>
        </w:rPr>
        <w:t xml:space="preserve"> subject to delay to ensure it was</w:t>
      </w:r>
      <w:r w:rsidRPr="00C15516">
        <w:rPr>
          <w:sz w:val="20"/>
          <w:szCs w:val="20"/>
        </w:rPr>
        <w:t xml:space="preserve"> published alongside related information from other government departments in order to provide clearer context for these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27" w:rsidRDefault="00C50627" w:rsidP="00C50627">
    <w:pPr>
      <w:pStyle w:val="Header"/>
      <w:jc w:val="right"/>
    </w:pPr>
    <w:r>
      <w:rPr>
        <w:noProof/>
        <w:lang w:eastAsia="en-GB"/>
      </w:rPr>
      <w:drawing>
        <wp:inline distT="0" distB="0" distL="0" distR="0" wp14:anchorId="13BD9153">
          <wp:extent cx="1383665" cy="6400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0048F"/>
    <w:multiLevelType w:val="hybridMultilevel"/>
    <w:tmpl w:val="2AEABC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A5387"/>
    <w:multiLevelType w:val="hybridMultilevel"/>
    <w:tmpl w:val="3100400E"/>
    <w:lvl w:ilvl="0" w:tplc="D2AEEFC6">
      <w:start w:val="1"/>
      <w:numFmt w:val="decimal"/>
      <w:lvlText w:val="%1."/>
      <w:lvlJc w:val="left"/>
      <w:pPr>
        <w:tabs>
          <w:tab w:val="num" w:pos="48"/>
        </w:tabs>
        <w:ind w:left="48" w:hanging="360"/>
      </w:pPr>
      <w:rPr>
        <w:rFonts w:hint="default"/>
      </w:rPr>
    </w:lvl>
    <w:lvl w:ilvl="1" w:tplc="08090019" w:tentative="1">
      <w:start w:val="1"/>
      <w:numFmt w:val="lowerLetter"/>
      <w:lvlText w:val="%2."/>
      <w:lvlJc w:val="left"/>
      <w:pPr>
        <w:tabs>
          <w:tab w:val="num" w:pos="768"/>
        </w:tabs>
        <w:ind w:left="768" w:hanging="360"/>
      </w:pPr>
    </w:lvl>
    <w:lvl w:ilvl="2" w:tplc="0809001B" w:tentative="1">
      <w:start w:val="1"/>
      <w:numFmt w:val="lowerRoman"/>
      <w:lvlText w:val="%3."/>
      <w:lvlJc w:val="right"/>
      <w:pPr>
        <w:tabs>
          <w:tab w:val="num" w:pos="1488"/>
        </w:tabs>
        <w:ind w:left="1488" w:hanging="180"/>
      </w:pPr>
    </w:lvl>
    <w:lvl w:ilvl="3" w:tplc="0809000F" w:tentative="1">
      <w:start w:val="1"/>
      <w:numFmt w:val="decimal"/>
      <w:lvlText w:val="%4."/>
      <w:lvlJc w:val="left"/>
      <w:pPr>
        <w:tabs>
          <w:tab w:val="num" w:pos="2208"/>
        </w:tabs>
        <w:ind w:left="2208" w:hanging="360"/>
      </w:pPr>
    </w:lvl>
    <w:lvl w:ilvl="4" w:tplc="08090019" w:tentative="1">
      <w:start w:val="1"/>
      <w:numFmt w:val="lowerLetter"/>
      <w:lvlText w:val="%5."/>
      <w:lvlJc w:val="left"/>
      <w:pPr>
        <w:tabs>
          <w:tab w:val="num" w:pos="2928"/>
        </w:tabs>
        <w:ind w:left="2928" w:hanging="360"/>
      </w:pPr>
    </w:lvl>
    <w:lvl w:ilvl="5" w:tplc="0809001B" w:tentative="1">
      <w:start w:val="1"/>
      <w:numFmt w:val="lowerRoman"/>
      <w:lvlText w:val="%6."/>
      <w:lvlJc w:val="right"/>
      <w:pPr>
        <w:tabs>
          <w:tab w:val="num" w:pos="3648"/>
        </w:tabs>
        <w:ind w:left="3648" w:hanging="180"/>
      </w:pPr>
    </w:lvl>
    <w:lvl w:ilvl="6" w:tplc="0809000F" w:tentative="1">
      <w:start w:val="1"/>
      <w:numFmt w:val="decimal"/>
      <w:lvlText w:val="%7."/>
      <w:lvlJc w:val="left"/>
      <w:pPr>
        <w:tabs>
          <w:tab w:val="num" w:pos="4368"/>
        </w:tabs>
        <w:ind w:left="4368" w:hanging="360"/>
      </w:pPr>
    </w:lvl>
    <w:lvl w:ilvl="7" w:tplc="08090019" w:tentative="1">
      <w:start w:val="1"/>
      <w:numFmt w:val="lowerLetter"/>
      <w:lvlText w:val="%8."/>
      <w:lvlJc w:val="left"/>
      <w:pPr>
        <w:tabs>
          <w:tab w:val="num" w:pos="5088"/>
        </w:tabs>
        <w:ind w:left="5088" w:hanging="360"/>
      </w:pPr>
    </w:lvl>
    <w:lvl w:ilvl="8" w:tplc="0809001B" w:tentative="1">
      <w:start w:val="1"/>
      <w:numFmt w:val="lowerRoman"/>
      <w:lvlText w:val="%9."/>
      <w:lvlJc w:val="right"/>
      <w:pPr>
        <w:tabs>
          <w:tab w:val="num" w:pos="5808"/>
        </w:tabs>
        <w:ind w:left="5808" w:hanging="180"/>
      </w:pPr>
    </w:lvl>
  </w:abstractNum>
  <w:abstractNum w:abstractNumId="2" w15:restartNumberingAfterBreak="0">
    <w:nsid w:val="2872638C"/>
    <w:multiLevelType w:val="hybridMultilevel"/>
    <w:tmpl w:val="B8341BE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46425"/>
    <w:multiLevelType w:val="hybridMultilevel"/>
    <w:tmpl w:val="B20CE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B7EBA"/>
    <w:multiLevelType w:val="hybridMultilevel"/>
    <w:tmpl w:val="3100400E"/>
    <w:lvl w:ilvl="0" w:tplc="D2AEEFC6">
      <w:start w:val="1"/>
      <w:numFmt w:val="decimal"/>
      <w:lvlText w:val="%1."/>
      <w:lvlJc w:val="left"/>
      <w:pPr>
        <w:tabs>
          <w:tab w:val="num" w:pos="48"/>
        </w:tabs>
        <w:ind w:left="48" w:hanging="360"/>
      </w:pPr>
      <w:rPr>
        <w:rFonts w:hint="default"/>
      </w:rPr>
    </w:lvl>
    <w:lvl w:ilvl="1" w:tplc="08090019" w:tentative="1">
      <w:start w:val="1"/>
      <w:numFmt w:val="lowerLetter"/>
      <w:lvlText w:val="%2."/>
      <w:lvlJc w:val="left"/>
      <w:pPr>
        <w:tabs>
          <w:tab w:val="num" w:pos="768"/>
        </w:tabs>
        <w:ind w:left="768" w:hanging="360"/>
      </w:pPr>
    </w:lvl>
    <w:lvl w:ilvl="2" w:tplc="0809001B" w:tentative="1">
      <w:start w:val="1"/>
      <w:numFmt w:val="lowerRoman"/>
      <w:lvlText w:val="%3."/>
      <w:lvlJc w:val="right"/>
      <w:pPr>
        <w:tabs>
          <w:tab w:val="num" w:pos="1488"/>
        </w:tabs>
        <w:ind w:left="1488" w:hanging="180"/>
      </w:pPr>
    </w:lvl>
    <w:lvl w:ilvl="3" w:tplc="0809000F" w:tentative="1">
      <w:start w:val="1"/>
      <w:numFmt w:val="decimal"/>
      <w:lvlText w:val="%4."/>
      <w:lvlJc w:val="left"/>
      <w:pPr>
        <w:tabs>
          <w:tab w:val="num" w:pos="2208"/>
        </w:tabs>
        <w:ind w:left="2208" w:hanging="360"/>
      </w:pPr>
    </w:lvl>
    <w:lvl w:ilvl="4" w:tplc="08090019" w:tentative="1">
      <w:start w:val="1"/>
      <w:numFmt w:val="lowerLetter"/>
      <w:lvlText w:val="%5."/>
      <w:lvlJc w:val="left"/>
      <w:pPr>
        <w:tabs>
          <w:tab w:val="num" w:pos="2928"/>
        </w:tabs>
        <w:ind w:left="2928" w:hanging="360"/>
      </w:pPr>
    </w:lvl>
    <w:lvl w:ilvl="5" w:tplc="0809001B" w:tentative="1">
      <w:start w:val="1"/>
      <w:numFmt w:val="lowerRoman"/>
      <w:lvlText w:val="%6."/>
      <w:lvlJc w:val="right"/>
      <w:pPr>
        <w:tabs>
          <w:tab w:val="num" w:pos="3648"/>
        </w:tabs>
        <w:ind w:left="3648" w:hanging="180"/>
      </w:pPr>
    </w:lvl>
    <w:lvl w:ilvl="6" w:tplc="0809000F" w:tentative="1">
      <w:start w:val="1"/>
      <w:numFmt w:val="decimal"/>
      <w:lvlText w:val="%7."/>
      <w:lvlJc w:val="left"/>
      <w:pPr>
        <w:tabs>
          <w:tab w:val="num" w:pos="4368"/>
        </w:tabs>
        <w:ind w:left="4368" w:hanging="360"/>
      </w:pPr>
    </w:lvl>
    <w:lvl w:ilvl="7" w:tplc="08090019" w:tentative="1">
      <w:start w:val="1"/>
      <w:numFmt w:val="lowerLetter"/>
      <w:lvlText w:val="%8."/>
      <w:lvlJc w:val="left"/>
      <w:pPr>
        <w:tabs>
          <w:tab w:val="num" w:pos="5088"/>
        </w:tabs>
        <w:ind w:left="5088" w:hanging="360"/>
      </w:pPr>
    </w:lvl>
    <w:lvl w:ilvl="8" w:tplc="0809001B" w:tentative="1">
      <w:start w:val="1"/>
      <w:numFmt w:val="lowerRoman"/>
      <w:lvlText w:val="%9."/>
      <w:lvlJc w:val="right"/>
      <w:pPr>
        <w:tabs>
          <w:tab w:val="num" w:pos="5808"/>
        </w:tabs>
        <w:ind w:left="5808"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2"/>
  <w:displayVerticalDrawingGridEvery w:val="2"/>
  <w:noPunctuationKerning/>
  <w:characterSpacingControl w:val="doNotCompress"/>
  <w:hdrShapeDefaults>
    <o:shapedefaults v:ext="edit" spidmax="56321"/>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D2"/>
    <w:rsid w:val="00023817"/>
    <w:rsid w:val="00027F86"/>
    <w:rsid w:val="0003220A"/>
    <w:rsid w:val="000414C3"/>
    <w:rsid w:val="00044748"/>
    <w:rsid w:val="00044E82"/>
    <w:rsid w:val="00047CCE"/>
    <w:rsid w:val="00047E18"/>
    <w:rsid w:val="000539FC"/>
    <w:rsid w:val="00056B98"/>
    <w:rsid w:val="00057D59"/>
    <w:rsid w:val="000601A3"/>
    <w:rsid w:val="0006339B"/>
    <w:rsid w:val="00064285"/>
    <w:rsid w:val="000720A7"/>
    <w:rsid w:val="00090358"/>
    <w:rsid w:val="00090CEF"/>
    <w:rsid w:val="000A3631"/>
    <w:rsid w:val="000A6E1A"/>
    <w:rsid w:val="000B07B7"/>
    <w:rsid w:val="000B2180"/>
    <w:rsid w:val="000B626C"/>
    <w:rsid w:val="000C3340"/>
    <w:rsid w:val="000D26E5"/>
    <w:rsid w:val="000D2D7C"/>
    <w:rsid w:val="000D4357"/>
    <w:rsid w:val="000D6F8B"/>
    <w:rsid w:val="00101D62"/>
    <w:rsid w:val="0010443B"/>
    <w:rsid w:val="0010586C"/>
    <w:rsid w:val="00113F8E"/>
    <w:rsid w:val="00134DDC"/>
    <w:rsid w:val="001351ED"/>
    <w:rsid w:val="0014047E"/>
    <w:rsid w:val="00144C05"/>
    <w:rsid w:val="0015139E"/>
    <w:rsid w:val="00154438"/>
    <w:rsid w:val="0015770A"/>
    <w:rsid w:val="0016206A"/>
    <w:rsid w:val="00172FC6"/>
    <w:rsid w:val="00175F86"/>
    <w:rsid w:val="00192045"/>
    <w:rsid w:val="00192BF1"/>
    <w:rsid w:val="0019316D"/>
    <w:rsid w:val="001B4923"/>
    <w:rsid w:val="001C1A32"/>
    <w:rsid w:val="001C2B83"/>
    <w:rsid w:val="001C309F"/>
    <w:rsid w:val="001C3B1D"/>
    <w:rsid w:val="001E4406"/>
    <w:rsid w:val="001E5995"/>
    <w:rsid w:val="001F33C7"/>
    <w:rsid w:val="001F5A88"/>
    <w:rsid w:val="0020389B"/>
    <w:rsid w:val="00212C92"/>
    <w:rsid w:val="0021311A"/>
    <w:rsid w:val="00220337"/>
    <w:rsid w:val="00221262"/>
    <w:rsid w:val="002214B7"/>
    <w:rsid w:val="00226F42"/>
    <w:rsid w:val="00237D1A"/>
    <w:rsid w:val="00240733"/>
    <w:rsid w:val="002836D6"/>
    <w:rsid w:val="002947EB"/>
    <w:rsid w:val="002A2156"/>
    <w:rsid w:val="002A6321"/>
    <w:rsid w:val="002B1129"/>
    <w:rsid w:val="002B5D21"/>
    <w:rsid w:val="002C1F08"/>
    <w:rsid w:val="002D1AE8"/>
    <w:rsid w:val="002D2D58"/>
    <w:rsid w:val="002D55E7"/>
    <w:rsid w:val="002E6BBA"/>
    <w:rsid w:val="002E6F22"/>
    <w:rsid w:val="002F1B4A"/>
    <w:rsid w:val="002F211A"/>
    <w:rsid w:val="002F3D87"/>
    <w:rsid w:val="003004EB"/>
    <w:rsid w:val="0030372F"/>
    <w:rsid w:val="003217AD"/>
    <w:rsid w:val="00326B91"/>
    <w:rsid w:val="003332F1"/>
    <w:rsid w:val="00335B95"/>
    <w:rsid w:val="00337328"/>
    <w:rsid w:val="0034586A"/>
    <w:rsid w:val="00346D08"/>
    <w:rsid w:val="00352E91"/>
    <w:rsid w:val="003941D2"/>
    <w:rsid w:val="003B2EC7"/>
    <w:rsid w:val="003B5370"/>
    <w:rsid w:val="003D27F8"/>
    <w:rsid w:val="003E45E4"/>
    <w:rsid w:val="003E71D5"/>
    <w:rsid w:val="003F0BDB"/>
    <w:rsid w:val="003F24BB"/>
    <w:rsid w:val="003F2F0C"/>
    <w:rsid w:val="003F6FCE"/>
    <w:rsid w:val="004101AD"/>
    <w:rsid w:val="00410FF3"/>
    <w:rsid w:val="00420D59"/>
    <w:rsid w:val="004223F1"/>
    <w:rsid w:val="00423D7B"/>
    <w:rsid w:val="00424CC4"/>
    <w:rsid w:val="0042535B"/>
    <w:rsid w:val="0045124B"/>
    <w:rsid w:val="00451D06"/>
    <w:rsid w:val="00455558"/>
    <w:rsid w:val="00460CCA"/>
    <w:rsid w:val="00462882"/>
    <w:rsid w:val="00463D1C"/>
    <w:rsid w:val="00463F13"/>
    <w:rsid w:val="00464088"/>
    <w:rsid w:val="00464D20"/>
    <w:rsid w:val="0046710B"/>
    <w:rsid w:val="00475E8B"/>
    <w:rsid w:val="004813DA"/>
    <w:rsid w:val="00483F3A"/>
    <w:rsid w:val="00490679"/>
    <w:rsid w:val="004919A3"/>
    <w:rsid w:val="00491B4D"/>
    <w:rsid w:val="004969E1"/>
    <w:rsid w:val="004A43D3"/>
    <w:rsid w:val="004A4FD3"/>
    <w:rsid w:val="004C30BF"/>
    <w:rsid w:val="004C38F2"/>
    <w:rsid w:val="004D2DD9"/>
    <w:rsid w:val="004D62D2"/>
    <w:rsid w:val="004D6870"/>
    <w:rsid w:val="004E570A"/>
    <w:rsid w:val="004F2214"/>
    <w:rsid w:val="00500FD5"/>
    <w:rsid w:val="0051479E"/>
    <w:rsid w:val="00514DB6"/>
    <w:rsid w:val="005254B8"/>
    <w:rsid w:val="00535DE7"/>
    <w:rsid w:val="005401FC"/>
    <w:rsid w:val="00562A5A"/>
    <w:rsid w:val="00566223"/>
    <w:rsid w:val="00583628"/>
    <w:rsid w:val="00583DCB"/>
    <w:rsid w:val="0059795C"/>
    <w:rsid w:val="00597AEB"/>
    <w:rsid w:val="005A7B4A"/>
    <w:rsid w:val="005A7DF9"/>
    <w:rsid w:val="005C0C5D"/>
    <w:rsid w:val="005C1A54"/>
    <w:rsid w:val="005C29CF"/>
    <w:rsid w:val="005C7254"/>
    <w:rsid w:val="005E4C41"/>
    <w:rsid w:val="005F0020"/>
    <w:rsid w:val="0060214D"/>
    <w:rsid w:val="00603115"/>
    <w:rsid w:val="006037BF"/>
    <w:rsid w:val="00603D22"/>
    <w:rsid w:val="0060784C"/>
    <w:rsid w:val="0061070F"/>
    <w:rsid w:val="00610AC7"/>
    <w:rsid w:val="00626EEF"/>
    <w:rsid w:val="00641944"/>
    <w:rsid w:val="00645F17"/>
    <w:rsid w:val="00646975"/>
    <w:rsid w:val="00650AF1"/>
    <w:rsid w:val="006516EB"/>
    <w:rsid w:val="006521B5"/>
    <w:rsid w:val="006646D3"/>
    <w:rsid w:val="00664FB0"/>
    <w:rsid w:val="00665169"/>
    <w:rsid w:val="00671BF3"/>
    <w:rsid w:val="006848D8"/>
    <w:rsid w:val="00690F12"/>
    <w:rsid w:val="00694155"/>
    <w:rsid w:val="006954EB"/>
    <w:rsid w:val="00697A46"/>
    <w:rsid w:val="00697F32"/>
    <w:rsid w:val="006A637A"/>
    <w:rsid w:val="006A74B9"/>
    <w:rsid w:val="006B50BB"/>
    <w:rsid w:val="006C0314"/>
    <w:rsid w:val="006C3271"/>
    <w:rsid w:val="006D024D"/>
    <w:rsid w:val="006D0D80"/>
    <w:rsid w:val="006F108A"/>
    <w:rsid w:val="006F1D4B"/>
    <w:rsid w:val="006F265F"/>
    <w:rsid w:val="00711AD1"/>
    <w:rsid w:val="0072791B"/>
    <w:rsid w:val="00730A6E"/>
    <w:rsid w:val="007431E4"/>
    <w:rsid w:val="007431F0"/>
    <w:rsid w:val="0074625A"/>
    <w:rsid w:val="00753C9F"/>
    <w:rsid w:val="00766FFF"/>
    <w:rsid w:val="00770380"/>
    <w:rsid w:val="00781CA0"/>
    <w:rsid w:val="0078303F"/>
    <w:rsid w:val="007866FD"/>
    <w:rsid w:val="0079367E"/>
    <w:rsid w:val="007A4489"/>
    <w:rsid w:val="007A5F3D"/>
    <w:rsid w:val="007C1ABE"/>
    <w:rsid w:val="007C23B6"/>
    <w:rsid w:val="007C5FDB"/>
    <w:rsid w:val="007D7644"/>
    <w:rsid w:val="007E7B8E"/>
    <w:rsid w:val="007F0917"/>
    <w:rsid w:val="007F0D9F"/>
    <w:rsid w:val="007F1A21"/>
    <w:rsid w:val="007F3616"/>
    <w:rsid w:val="007F36C9"/>
    <w:rsid w:val="007F446D"/>
    <w:rsid w:val="008108B3"/>
    <w:rsid w:val="00843B91"/>
    <w:rsid w:val="008464B4"/>
    <w:rsid w:val="008517E4"/>
    <w:rsid w:val="0085414A"/>
    <w:rsid w:val="0086061B"/>
    <w:rsid w:val="00863BB6"/>
    <w:rsid w:val="00873AA2"/>
    <w:rsid w:val="00896243"/>
    <w:rsid w:val="008A53C5"/>
    <w:rsid w:val="008A60DE"/>
    <w:rsid w:val="008A6F48"/>
    <w:rsid w:val="008C1847"/>
    <w:rsid w:val="008E4447"/>
    <w:rsid w:val="008F2413"/>
    <w:rsid w:val="008F2ABF"/>
    <w:rsid w:val="008F63CE"/>
    <w:rsid w:val="00904A4D"/>
    <w:rsid w:val="00904DF1"/>
    <w:rsid w:val="0091384E"/>
    <w:rsid w:val="00924AB8"/>
    <w:rsid w:val="00935840"/>
    <w:rsid w:val="0094060F"/>
    <w:rsid w:val="0094066F"/>
    <w:rsid w:val="00941F22"/>
    <w:rsid w:val="00945E84"/>
    <w:rsid w:val="00954A31"/>
    <w:rsid w:val="00955021"/>
    <w:rsid w:val="00955364"/>
    <w:rsid w:val="0095686C"/>
    <w:rsid w:val="0096697A"/>
    <w:rsid w:val="00972DFA"/>
    <w:rsid w:val="00973611"/>
    <w:rsid w:val="0097729D"/>
    <w:rsid w:val="009775B4"/>
    <w:rsid w:val="00992F58"/>
    <w:rsid w:val="009A5073"/>
    <w:rsid w:val="009B4741"/>
    <w:rsid w:val="009C061E"/>
    <w:rsid w:val="009C4D04"/>
    <w:rsid w:val="009D28AD"/>
    <w:rsid w:val="009D3CF8"/>
    <w:rsid w:val="009D3F13"/>
    <w:rsid w:val="009D7B0F"/>
    <w:rsid w:val="009E2E92"/>
    <w:rsid w:val="009E6B58"/>
    <w:rsid w:val="009F0C98"/>
    <w:rsid w:val="009F5F5A"/>
    <w:rsid w:val="009F61E3"/>
    <w:rsid w:val="00A078CF"/>
    <w:rsid w:val="00A11E8C"/>
    <w:rsid w:val="00A14D57"/>
    <w:rsid w:val="00A14DD5"/>
    <w:rsid w:val="00A15132"/>
    <w:rsid w:val="00A21BB2"/>
    <w:rsid w:val="00A402F8"/>
    <w:rsid w:val="00A55AC8"/>
    <w:rsid w:val="00A56F5A"/>
    <w:rsid w:val="00A60F4B"/>
    <w:rsid w:val="00A656DB"/>
    <w:rsid w:val="00A66E37"/>
    <w:rsid w:val="00A742C4"/>
    <w:rsid w:val="00A74899"/>
    <w:rsid w:val="00A77DB9"/>
    <w:rsid w:val="00A8672C"/>
    <w:rsid w:val="00A90522"/>
    <w:rsid w:val="00A96973"/>
    <w:rsid w:val="00A976EC"/>
    <w:rsid w:val="00AA38A7"/>
    <w:rsid w:val="00AB6B77"/>
    <w:rsid w:val="00AB6CF1"/>
    <w:rsid w:val="00AB6DD2"/>
    <w:rsid w:val="00AB76DA"/>
    <w:rsid w:val="00AC0EA2"/>
    <w:rsid w:val="00AC3137"/>
    <w:rsid w:val="00AC7E37"/>
    <w:rsid w:val="00AF2BA1"/>
    <w:rsid w:val="00AF579A"/>
    <w:rsid w:val="00B0014E"/>
    <w:rsid w:val="00B07A1E"/>
    <w:rsid w:val="00B116FF"/>
    <w:rsid w:val="00B11DE9"/>
    <w:rsid w:val="00B139A1"/>
    <w:rsid w:val="00B14D55"/>
    <w:rsid w:val="00B20B4D"/>
    <w:rsid w:val="00B20C63"/>
    <w:rsid w:val="00B21734"/>
    <w:rsid w:val="00B237AA"/>
    <w:rsid w:val="00B23E81"/>
    <w:rsid w:val="00B33505"/>
    <w:rsid w:val="00B536B2"/>
    <w:rsid w:val="00B56551"/>
    <w:rsid w:val="00B60B88"/>
    <w:rsid w:val="00B806B4"/>
    <w:rsid w:val="00B81113"/>
    <w:rsid w:val="00B83D48"/>
    <w:rsid w:val="00B84EB7"/>
    <w:rsid w:val="00B9227D"/>
    <w:rsid w:val="00B946B0"/>
    <w:rsid w:val="00B97414"/>
    <w:rsid w:val="00BA4578"/>
    <w:rsid w:val="00BA7305"/>
    <w:rsid w:val="00BC3740"/>
    <w:rsid w:val="00BD104A"/>
    <w:rsid w:val="00BE4148"/>
    <w:rsid w:val="00BF37F5"/>
    <w:rsid w:val="00BF4428"/>
    <w:rsid w:val="00BF456E"/>
    <w:rsid w:val="00C01D4D"/>
    <w:rsid w:val="00C15516"/>
    <w:rsid w:val="00C468DC"/>
    <w:rsid w:val="00C50627"/>
    <w:rsid w:val="00C53AEB"/>
    <w:rsid w:val="00C61E3D"/>
    <w:rsid w:val="00C6626E"/>
    <w:rsid w:val="00C66BCE"/>
    <w:rsid w:val="00C76D1F"/>
    <w:rsid w:val="00C83C29"/>
    <w:rsid w:val="00C8637C"/>
    <w:rsid w:val="00C932A9"/>
    <w:rsid w:val="00C94D0A"/>
    <w:rsid w:val="00C94F0B"/>
    <w:rsid w:val="00C9593D"/>
    <w:rsid w:val="00CA2F6B"/>
    <w:rsid w:val="00CB0D73"/>
    <w:rsid w:val="00CB27AC"/>
    <w:rsid w:val="00CB66C2"/>
    <w:rsid w:val="00CC49C2"/>
    <w:rsid w:val="00CE493A"/>
    <w:rsid w:val="00CF28AF"/>
    <w:rsid w:val="00CF397C"/>
    <w:rsid w:val="00D00FA7"/>
    <w:rsid w:val="00D033E8"/>
    <w:rsid w:val="00D04C0B"/>
    <w:rsid w:val="00D22758"/>
    <w:rsid w:val="00D2615B"/>
    <w:rsid w:val="00D360CF"/>
    <w:rsid w:val="00D42447"/>
    <w:rsid w:val="00D56F98"/>
    <w:rsid w:val="00D623D4"/>
    <w:rsid w:val="00D707E6"/>
    <w:rsid w:val="00D71CB8"/>
    <w:rsid w:val="00D75862"/>
    <w:rsid w:val="00D75F08"/>
    <w:rsid w:val="00D828BA"/>
    <w:rsid w:val="00D857D7"/>
    <w:rsid w:val="00D85A23"/>
    <w:rsid w:val="00D866CE"/>
    <w:rsid w:val="00D96891"/>
    <w:rsid w:val="00DA24B5"/>
    <w:rsid w:val="00DB031F"/>
    <w:rsid w:val="00DB4A10"/>
    <w:rsid w:val="00DC16C9"/>
    <w:rsid w:val="00DC18C0"/>
    <w:rsid w:val="00DC442D"/>
    <w:rsid w:val="00DC7791"/>
    <w:rsid w:val="00DD00E1"/>
    <w:rsid w:val="00DD16A1"/>
    <w:rsid w:val="00DD1977"/>
    <w:rsid w:val="00DD2B7F"/>
    <w:rsid w:val="00DD6DE0"/>
    <w:rsid w:val="00DD736C"/>
    <w:rsid w:val="00DE1EA7"/>
    <w:rsid w:val="00DE55B5"/>
    <w:rsid w:val="00DF1193"/>
    <w:rsid w:val="00DF357A"/>
    <w:rsid w:val="00E12DC5"/>
    <w:rsid w:val="00E21F72"/>
    <w:rsid w:val="00E228F4"/>
    <w:rsid w:val="00E25F5E"/>
    <w:rsid w:val="00E31834"/>
    <w:rsid w:val="00E3686E"/>
    <w:rsid w:val="00E445A9"/>
    <w:rsid w:val="00E449E2"/>
    <w:rsid w:val="00E55C5F"/>
    <w:rsid w:val="00E73EAE"/>
    <w:rsid w:val="00E81302"/>
    <w:rsid w:val="00E84242"/>
    <w:rsid w:val="00E85C51"/>
    <w:rsid w:val="00E920E5"/>
    <w:rsid w:val="00EA2214"/>
    <w:rsid w:val="00EB0849"/>
    <w:rsid w:val="00EB795A"/>
    <w:rsid w:val="00EC40A0"/>
    <w:rsid w:val="00ED0396"/>
    <w:rsid w:val="00ED174F"/>
    <w:rsid w:val="00EE698E"/>
    <w:rsid w:val="00EF03C7"/>
    <w:rsid w:val="00EF1882"/>
    <w:rsid w:val="00EF3915"/>
    <w:rsid w:val="00EF4837"/>
    <w:rsid w:val="00EF5946"/>
    <w:rsid w:val="00F138F5"/>
    <w:rsid w:val="00F14BE7"/>
    <w:rsid w:val="00F15FAF"/>
    <w:rsid w:val="00F2028D"/>
    <w:rsid w:val="00F23957"/>
    <w:rsid w:val="00F338DE"/>
    <w:rsid w:val="00F34C04"/>
    <w:rsid w:val="00F350C7"/>
    <w:rsid w:val="00F41074"/>
    <w:rsid w:val="00F44030"/>
    <w:rsid w:val="00F44E9B"/>
    <w:rsid w:val="00F47BD9"/>
    <w:rsid w:val="00F5027A"/>
    <w:rsid w:val="00F53CEA"/>
    <w:rsid w:val="00F544FB"/>
    <w:rsid w:val="00F56026"/>
    <w:rsid w:val="00F56D27"/>
    <w:rsid w:val="00F612A4"/>
    <w:rsid w:val="00F776F1"/>
    <w:rsid w:val="00F83192"/>
    <w:rsid w:val="00F86C84"/>
    <w:rsid w:val="00F90A73"/>
    <w:rsid w:val="00F96786"/>
    <w:rsid w:val="00FA5ABC"/>
    <w:rsid w:val="00FB5157"/>
    <w:rsid w:val="00FC064D"/>
    <w:rsid w:val="00FC07CC"/>
    <w:rsid w:val="00FC4BB3"/>
    <w:rsid w:val="00FD7E86"/>
    <w:rsid w:val="00FE3B3B"/>
    <w:rsid w:val="00FF068D"/>
    <w:rsid w:val="00FF0A56"/>
    <w:rsid w:val="00FF0D0A"/>
    <w:rsid w:val="00FF11E4"/>
    <w:rsid w:val="00FF4DFA"/>
    <w:rsid w:val="00FF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63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D2"/>
    <w:pPr>
      <w:overflowPunct w:val="0"/>
      <w:autoSpaceDE w:val="0"/>
      <w:autoSpaceDN w:val="0"/>
      <w:adjustRightInd w:val="0"/>
      <w:textAlignment w:val="baseline"/>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4DF1"/>
    <w:rPr>
      <w:sz w:val="16"/>
      <w:szCs w:val="16"/>
    </w:rPr>
  </w:style>
  <w:style w:type="paragraph" w:styleId="CommentText">
    <w:name w:val="annotation text"/>
    <w:basedOn w:val="Normal"/>
    <w:semiHidden/>
    <w:rsid w:val="00904DF1"/>
    <w:rPr>
      <w:sz w:val="20"/>
      <w:szCs w:val="20"/>
    </w:rPr>
  </w:style>
  <w:style w:type="paragraph" w:styleId="CommentSubject">
    <w:name w:val="annotation subject"/>
    <w:basedOn w:val="CommentText"/>
    <w:next w:val="CommentText"/>
    <w:semiHidden/>
    <w:rsid w:val="00904DF1"/>
    <w:rPr>
      <w:b/>
      <w:bCs/>
    </w:rPr>
  </w:style>
  <w:style w:type="paragraph" w:styleId="BalloonText">
    <w:name w:val="Balloon Text"/>
    <w:basedOn w:val="Normal"/>
    <w:semiHidden/>
    <w:rsid w:val="00904DF1"/>
    <w:rPr>
      <w:rFonts w:ascii="Tahoma" w:hAnsi="Tahoma" w:cs="Tahoma"/>
      <w:sz w:val="16"/>
      <w:szCs w:val="16"/>
    </w:rPr>
  </w:style>
  <w:style w:type="table" w:styleId="TableGrid">
    <w:name w:val="Table Grid"/>
    <w:basedOn w:val="TableNormal"/>
    <w:rsid w:val="003F6F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2C92"/>
    <w:rPr>
      <w:rFonts w:ascii="Times New Roman" w:hAnsi="Times New Roman" w:cs="Times New Roman"/>
      <w:sz w:val="20"/>
      <w:szCs w:val="20"/>
    </w:rPr>
  </w:style>
  <w:style w:type="character" w:styleId="FootnoteReference">
    <w:name w:val="footnote reference"/>
    <w:semiHidden/>
    <w:rsid w:val="00212C92"/>
    <w:rPr>
      <w:vertAlign w:val="superscript"/>
    </w:rPr>
  </w:style>
  <w:style w:type="character" w:styleId="Hyperlink">
    <w:name w:val="Hyperlink"/>
    <w:rsid w:val="00D75F08"/>
    <w:rPr>
      <w:color w:val="0000FF"/>
      <w:u w:val="single"/>
    </w:rPr>
  </w:style>
  <w:style w:type="paragraph" w:styleId="NormalWeb">
    <w:name w:val="Normal (Web)"/>
    <w:basedOn w:val="Normal"/>
    <w:rsid w:val="0042535B"/>
    <w:pPr>
      <w:overflowPunct/>
      <w:autoSpaceDE/>
      <w:autoSpaceDN/>
      <w:adjustRightInd/>
      <w:spacing w:before="100" w:beforeAutospacing="1" w:after="100" w:afterAutospacing="1"/>
      <w:textAlignment w:val="auto"/>
    </w:pPr>
    <w:rPr>
      <w:rFonts w:ascii="Times New Roman" w:hAnsi="Times New Roman" w:cs="Times New Roman"/>
      <w:sz w:val="24"/>
      <w:szCs w:val="24"/>
      <w:lang w:eastAsia="en-GB"/>
    </w:rPr>
  </w:style>
  <w:style w:type="paragraph" w:styleId="Footer">
    <w:name w:val="footer"/>
    <w:basedOn w:val="Normal"/>
    <w:link w:val="FooterChar"/>
    <w:uiPriority w:val="99"/>
    <w:rsid w:val="00935840"/>
    <w:pPr>
      <w:tabs>
        <w:tab w:val="center" w:pos="4153"/>
        <w:tab w:val="right" w:pos="8306"/>
      </w:tabs>
    </w:pPr>
    <w:rPr>
      <w:rFonts w:ascii="Times New Roman" w:hAnsi="Times New Roman" w:cs="Times New Roman"/>
      <w:sz w:val="20"/>
      <w:szCs w:val="20"/>
    </w:rPr>
  </w:style>
  <w:style w:type="paragraph" w:styleId="Header">
    <w:name w:val="header"/>
    <w:basedOn w:val="Normal"/>
    <w:link w:val="HeaderChar"/>
    <w:uiPriority w:val="99"/>
    <w:rsid w:val="00B14D55"/>
    <w:pPr>
      <w:tabs>
        <w:tab w:val="center" w:pos="4153"/>
        <w:tab w:val="right" w:pos="8306"/>
      </w:tabs>
    </w:pPr>
  </w:style>
  <w:style w:type="character" w:styleId="Strong">
    <w:name w:val="Strong"/>
    <w:qFormat/>
    <w:rsid w:val="00D033E8"/>
    <w:rPr>
      <w:b/>
      <w:bCs/>
    </w:rPr>
  </w:style>
  <w:style w:type="character" w:styleId="FollowedHyperlink">
    <w:name w:val="FollowedHyperlink"/>
    <w:rsid w:val="00EA2214"/>
    <w:rPr>
      <w:color w:val="800080"/>
      <w:u w:val="single"/>
    </w:rPr>
  </w:style>
  <w:style w:type="character" w:customStyle="1" w:styleId="HeaderChar">
    <w:name w:val="Header Char"/>
    <w:link w:val="Header"/>
    <w:uiPriority w:val="99"/>
    <w:rsid w:val="00C76D1F"/>
    <w:rPr>
      <w:rFonts w:ascii="Arial" w:hAnsi="Arial" w:cs="Arial"/>
      <w:sz w:val="22"/>
      <w:szCs w:val="22"/>
      <w:lang w:eastAsia="en-US"/>
    </w:rPr>
  </w:style>
  <w:style w:type="paragraph" w:styleId="Revision">
    <w:name w:val="Revision"/>
    <w:hidden/>
    <w:uiPriority w:val="99"/>
    <w:semiHidden/>
    <w:rsid w:val="002F1B4A"/>
    <w:rPr>
      <w:rFonts w:ascii="Arial" w:hAnsi="Arial" w:cs="Arial"/>
      <w:sz w:val="22"/>
      <w:szCs w:val="22"/>
      <w:lang w:eastAsia="en-US"/>
    </w:rPr>
  </w:style>
  <w:style w:type="character" w:customStyle="1" w:styleId="FooterChar">
    <w:name w:val="Footer Char"/>
    <w:basedOn w:val="DefaultParagraphFont"/>
    <w:link w:val="Footer"/>
    <w:uiPriority w:val="99"/>
    <w:rsid w:val="00CB0D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3669">
      <w:bodyDiv w:val="1"/>
      <w:marLeft w:val="0"/>
      <w:marRight w:val="0"/>
      <w:marTop w:val="0"/>
      <w:marBottom w:val="0"/>
      <w:divBdr>
        <w:top w:val="none" w:sz="0" w:space="0" w:color="auto"/>
        <w:left w:val="none" w:sz="0" w:space="0" w:color="auto"/>
        <w:bottom w:val="none" w:sz="0" w:space="0" w:color="auto"/>
        <w:right w:val="none" w:sz="0" w:space="0" w:color="auto"/>
      </w:divBdr>
    </w:div>
    <w:div w:id="1186745698">
      <w:bodyDiv w:val="1"/>
      <w:marLeft w:val="0"/>
      <w:marRight w:val="0"/>
      <w:marTop w:val="0"/>
      <w:marBottom w:val="0"/>
      <w:divBdr>
        <w:top w:val="none" w:sz="0" w:space="0" w:color="auto"/>
        <w:left w:val="none" w:sz="0" w:space="0" w:color="auto"/>
        <w:bottom w:val="none" w:sz="0" w:space="0" w:color="auto"/>
        <w:right w:val="none" w:sz="0" w:space="0" w:color="auto"/>
      </w:divBdr>
      <w:divsChild>
        <w:div w:id="353575847">
          <w:marLeft w:val="0"/>
          <w:marRight w:val="0"/>
          <w:marTop w:val="0"/>
          <w:marBottom w:val="0"/>
          <w:divBdr>
            <w:top w:val="none" w:sz="0" w:space="0" w:color="auto"/>
            <w:left w:val="none" w:sz="0" w:space="0" w:color="auto"/>
            <w:bottom w:val="none" w:sz="0" w:space="0" w:color="auto"/>
            <w:right w:val="none" w:sz="0" w:space="0" w:color="auto"/>
          </w:divBdr>
          <w:divsChild>
            <w:div w:id="10284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9703">
      <w:bodyDiv w:val="1"/>
      <w:marLeft w:val="0"/>
      <w:marRight w:val="0"/>
      <w:marTop w:val="0"/>
      <w:marBottom w:val="0"/>
      <w:divBdr>
        <w:top w:val="none" w:sz="0" w:space="0" w:color="auto"/>
        <w:left w:val="none" w:sz="0" w:space="0" w:color="auto"/>
        <w:bottom w:val="none" w:sz="0" w:space="0" w:color="auto"/>
        <w:right w:val="none" w:sz="0" w:space="0" w:color="auto"/>
      </w:divBdr>
    </w:div>
    <w:div w:id="1548881320">
      <w:bodyDiv w:val="1"/>
      <w:marLeft w:val="0"/>
      <w:marRight w:val="0"/>
      <w:marTop w:val="0"/>
      <w:marBottom w:val="0"/>
      <w:divBdr>
        <w:top w:val="none" w:sz="0" w:space="0" w:color="auto"/>
        <w:left w:val="none" w:sz="0" w:space="0" w:color="auto"/>
        <w:bottom w:val="none" w:sz="0" w:space="0" w:color="auto"/>
        <w:right w:val="none" w:sz="0" w:space="0" w:color="auto"/>
      </w:divBdr>
    </w:div>
    <w:div w:id="1734697431">
      <w:bodyDiv w:val="1"/>
      <w:marLeft w:val="0"/>
      <w:marRight w:val="0"/>
      <w:marTop w:val="0"/>
      <w:marBottom w:val="0"/>
      <w:divBdr>
        <w:top w:val="none" w:sz="0" w:space="0" w:color="auto"/>
        <w:left w:val="none" w:sz="0" w:space="0" w:color="auto"/>
        <w:bottom w:val="none" w:sz="0" w:space="0" w:color="auto"/>
        <w:right w:val="none" w:sz="0" w:space="0" w:color="auto"/>
      </w:divBdr>
    </w:div>
    <w:div w:id="187021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stics@voa.gsi.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EA37-187F-4BAB-9818-52492D04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2A1656CB</Template>
  <TotalTime>0</TotalTime>
  <Pages>1</Pages>
  <Words>278</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Links>
    <vt:vector size="6" baseType="variant">
      <vt:variant>
        <vt:i4>7864414</vt:i4>
      </vt:variant>
      <vt:variant>
        <vt:i4>0</vt:i4>
      </vt:variant>
      <vt:variant>
        <vt:i4>0</vt:i4>
      </vt:variant>
      <vt:variant>
        <vt:i4>5</vt:i4>
      </vt:variant>
      <vt:variant>
        <vt:lpwstr>mailto:statistics@voa.gsi.gov.uk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2016-11-02T09:51:00Z</dcterms:created>
  <dcterms:modified xsi:type="dcterms:W3CDTF">2016-11-02T15:29:00Z</dcterms:modified>
  <cp:contentStatus/>
</cp:coreProperties>
</file>