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4"/>
          <w:szCs w:val="24"/>
        </w:rPr>
        <w:t xml:space="preserve">Fees and Expenses paid to Low Pay Commissioners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between April 201</w:t>
      </w:r>
      <w:r w:rsidR="001A5937">
        <w:rPr>
          <w:rFonts w:ascii="Arial-BoldMT" w:hAnsi="Arial-BoldMT" w:cs="Arial-BoldMT"/>
          <w:b/>
          <w:bCs/>
          <w:sz w:val="24"/>
          <w:szCs w:val="24"/>
        </w:rPr>
        <w:t>5</w:t>
      </w:r>
      <w:proofErr w:type="gramEnd"/>
    </w:p>
    <w:p w:rsidR="00483512" w:rsidRDefault="00915AA1" w:rsidP="00915AA1">
      <w:pPr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and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March 201</w:t>
      </w:r>
      <w:r w:rsidR="001A5937">
        <w:rPr>
          <w:rFonts w:ascii="Arial-BoldMT" w:hAnsi="Arial-BoldMT" w:cs="Arial-BoldMT"/>
          <w:b/>
          <w:bCs/>
          <w:sz w:val="24"/>
          <w:szCs w:val="24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83512" w:rsidTr="00483512">
        <w:tc>
          <w:tcPr>
            <w:tcW w:w="3080" w:type="dxa"/>
          </w:tcPr>
          <w:p w:rsidR="00483512" w:rsidRPr="00AA0956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AA0956">
              <w:rPr>
                <w:rFonts w:ascii="Arial-BoldMT" w:hAnsi="Arial-BoldMT" w:cs="Arial-BoldMT"/>
                <w:b/>
                <w:bCs/>
                <w:sz w:val="24"/>
                <w:szCs w:val="24"/>
                <w:highlight w:val="lightGray"/>
              </w:rPr>
              <w:t>Commissioner</w:t>
            </w:r>
          </w:p>
        </w:tc>
        <w:tc>
          <w:tcPr>
            <w:tcW w:w="3081" w:type="dxa"/>
          </w:tcPr>
          <w:p w:rsidR="00483512" w:rsidRPr="00AA0956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AA0956">
              <w:rPr>
                <w:rFonts w:ascii="Arial-BoldMT" w:hAnsi="Arial-BoldMT" w:cs="Arial-BoldMT"/>
                <w:b/>
                <w:bCs/>
                <w:sz w:val="24"/>
                <w:szCs w:val="24"/>
                <w:highlight w:val="lightGray"/>
              </w:rPr>
              <w:t>Fees</w:t>
            </w:r>
          </w:p>
        </w:tc>
        <w:tc>
          <w:tcPr>
            <w:tcW w:w="3081" w:type="dxa"/>
          </w:tcPr>
          <w:p w:rsidR="00483512" w:rsidRPr="00AA0956" w:rsidRDefault="00483512" w:rsidP="0048351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highlight w:val="lightGray"/>
              </w:rPr>
            </w:pPr>
            <w:r w:rsidRPr="00AA0956">
              <w:rPr>
                <w:rFonts w:ascii="Arial-BoldMT" w:hAnsi="Arial-BoldMT" w:cs="Arial-BoldMT"/>
                <w:b/>
                <w:bCs/>
                <w:sz w:val="24"/>
                <w:szCs w:val="24"/>
                <w:highlight w:val="lightGray"/>
              </w:rPr>
              <w:t>Travel &amp; Subsistence</w:t>
            </w:r>
          </w:p>
          <w:p w:rsidR="00483512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AA0956">
              <w:rPr>
                <w:rFonts w:ascii="Arial-BoldMT" w:hAnsi="Arial-BoldMT" w:cs="Arial-BoldMT"/>
                <w:b/>
                <w:bCs/>
                <w:sz w:val="24"/>
                <w:szCs w:val="24"/>
                <w:highlight w:val="lightGray"/>
              </w:rPr>
              <w:t>Expenses</w:t>
            </w:r>
          </w:p>
        </w:tc>
      </w:tr>
      <w:tr w:rsidR="00085B7D" w:rsidTr="00483512">
        <w:tc>
          <w:tcPr>
            <w:tcW w:w="3080" w:type="dxa"/>
          </w:tcPr>
          <w:p w:rsidR="00085B7D" w:rsidRPr="006A5D15" w:rsidRDefault="00085B7D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6A5D15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Sarah Brown</w:t>
            </w:r>
          </w:p>
        </w:tc>
        <w:tc>
          <w:tcPr>
            <w:tcW w:w="3081" w:type="dxa"/>
          </w:tcPr>
          <w:p w:rsidR="00090852" w:rsidRPr="006A5D15" w:rsidRDefault="00090852" w:rsidP="00090852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6A5D15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3268.62</w:t>
            </w:r>
          </w:p>
        </w:tc>
        <w:tc>
          <w:tcPr>
            <w:tcW w:w="3081" w:type="dxa"/>
          </w:tcPr>
          <w:p w:rsidR="00085B7D" w:rsidRPr="006A5D15" w:rsidRDefault="00090852" w:rsidP="006A5D15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6A5D15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2412.39</w:t>
            </w:r>
          </w:p>
        </w:tc>
      </w:tr>
      <w:tr w:rsidR="00483512" w:rsidTr="00483512">
        <w:tc>
          <w:tcPr>
            <w:tcW w:w="3080" w:type="dxa"/>
          </w:tcPr>
          <w:p w:rsidR="00483512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Kay Carberry</w:t>
            </w:r>
          </w:p>
        </w:tc>
        <w:tc>
          <w:tcPr>
            <w:tcW w:w="3081" w:type="dxa"/>
          </w:tcPr>
          <w:p w:rsidR="00483512" w:rsidRDefault="00D32F0C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:rsidR="00483512" w:rsidRDefault="00090852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705.67</w:t>
            </w:r>
          </w:p>
        </w:tc>
      </w:tr>
      <w:tr w:rsidR="00681BE7" w:rsidTr="00483512">
        <w:tc>
          <w:tcPr>
            <w:tcW w:w="3080" w:type="dxa"/>
          </w:tcPr>
          <w:p w:rsidR="00681BE7" w:rsidRDefault="00681BE7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Neil Carberry</w:t>
            </w:r>
          </w:p>
        </w:tc>
        <w:tc>
          <w:tcPr>
            <w:tcW w:w="3081" w:type="dxa"/>
          </w:tcPr>
          <w:p w:rsidR="00681BE7" w:rsidRDefault="00D32F0C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:rsidR="00681BE7" w:rsidRDefault="00090852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266.50</w:t>
            </w:r>
          </w:p>
        </w:tc>
      </w:tr>
      <w:tr w:rsidR="00085B7D" w:rsidTr="00483512">
        <w:tc>
          <w:tcPr>
            <w:tcW w:w="3080" w:type="dxa"/>
          </w:tcPr>
          <w:p w:rsidR="00085B7D" w:rsidRDefault="00085B7D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Clare Chapman</w:t>
            </w:r>
          </w:p>
        </w:tc>
        <w:tc>
          <w:tcPr>
            <w:tcW w:w="3081" w:type="dxa"/>
          </w:tcPr>
          <w:p w:rsidR="00085B7D" w:rsidRDefault="00090852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2905.20</w:t>
            </w:r>
          </w:p>
        </w:tc>
        <w:tc>
          <w:tcPr>
            <w:tcW w:w="3081" w:type="dxa"/>
          </w:tcPr>
          <w:p w:rsidR="00085B7D" w:rsidRDefault="00090852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350.30</w:t>
            </w:r>
          </w:p>
        </w:tc>
      </w:tr>
      <w:tr w:rsidR="008B6D20" w:rsidTr="00483512">
        <w:tc>
          <w:tcPr>
            <w:tcW w:w="3080" w:type="dxa"/>
          </w:tcPr>
          <w:p w:rsidR="008B6D20" w:rsidRDefault="008B6D20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Richard Dickens</w:t>
            </w:r>
          </w:p>
        </w:tc>
        <w:tc>
          <w:tcPr>
            <w:tcW w:w="3081" w:type="dxa"/>
          </w:tcPr>
          <w:p w:rsidR="008B6D20" w:rsidRDefault="00090852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3752.86</w:t>
            </w:r>
          </w:p>
        </w:tc>
        <w:tc>
          <w:tcPr>
            <w:tcW w:w="3081" w:type="dxa"/>
          </w:tcPr>
          <w:p w:rsidR="008B6D20" w:rsidRDefault="00090852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1069.07</w:t>
            </w:r>
          </w:p>
        </w:tc>
      </w:tr>
      <w:tr w:rsidR="00483512" w:rsidTr="00483512">
        <w:tc>
          <w:tcPr>
            <w:tcW w:w="3080" w:type="dxa"/>
          </w:tcPr>
          <w:p w:rsidR="00483512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Peter Donaldson</w:t>
            </w:r>
          </w:p>
        </w:tc>
        <w:tc>
          <w:tcPr>
            <w:tcW w:w="3081" w:type="dxa"/>
          </w:tcPr>
          <w:p w:rsidR="00483512" w:rsidRDefault="00090852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4721.34</w:t>
            </w:r>
          </w:p>
        </w:tc>
        <w:tc>
          <w:tcPr>
            <w:tcW w:w="3081" w:type="dxa"/>
          </w:tcPr>
          <w:p w:rsidR="00483512" w:rsidRDefault="00090852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4477.98</w:t>
            </w:r>
          </w:p>
        </w:tc>
      </w:tr>
      <w:tr w:rsidR="00483512" w:rsidTr="00483512">
        <w:tc>
          <w:tcPr>
            <w:tcW w:w="3080" w:type="dxa"/>
          </w:tcPr>
          <w:p w:rsidR="00483512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Hannett</w:t>
            </w:r>
            <w:proofErr w:type="spellEnd"/>
          </w:p>
        </w:tc>
        <w:tc>
          <w:tcPr>
            <w:tcW w:w="3081" w:type="dxa"/>
          </w:tcPr>
          <w:p w:rsidR="00483512" w:rsidRDefault="00090852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2542.26</w:t>
            </w:r>
          </w:p>
        </w:tc>
        <w:tc>
          <w:tcPr>
            <w:tcW w:w="3081" w:type="dxa"/>
          </w:tcPr>
          <w:p w:rsidR="00483512" w:rsidRDefault="00090852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277.40</w:t>
            </w:r>
          </w:p>
        </w:tc>
      </w:tr>
      <w:tr w:rsidR="00483512" w:rsidTr="00483512">
        <w:tc>
          <w:tcPr>
            <w:tcW w:w="3080" w:type="dxa"/>
          </w:tcPr>
          <w:p w:rsidR="00483512" w:rsidRDefault="00483512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Norgrove</w:t>
            </w:r>
            <w:proofErr w:type="spellEnd"/>
          </w:p>
        </w:tc>
        <w:tc>
          <w:tcPr>
            <w:tcW w:w="3081" w:type="dxa"/>
          </w:tcPr>
          <w:p w:rsidR="00483512" w:rsidRDefault="001A5937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:rsidR="00483512" w:rsidRDefault="00090852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291.40</w:t>
            </w:r>
          </w:p>
        </w:tc>
      </w:tr>
      <w:tr w:rsidR="00483512" w:rsidTr="00483512">
        <w:tc>
          <w:tcPr>
            <w:tcW w:w="3080" w:type="dxa"/>
          </w:tcPr>
          <w:p w:rsidR="00483512" w:rsidRDefault="00681BE7" w:rsidP="00483512">
            <w:pPr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Strutton</w:t>
            </w:r>
            <w:proofErr w:type="spellEnd"/>
          </w:p>
        </w:tc>
        <w:tc>
          <w:tcPr>
            <w:tcW w:w="3081" w:type="dxa"/>
          </w:tcPr>
          <w:p w:rsidR="00483512" w:rsidRDefault="00085B7D" w:rsidP="002D62D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:rsidR="00483512" w:rsidRDefault="00090852" w:rsidP="006A5D15">
            <w:pPr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502.50</w:t>
            </w:r>
          </w:p>
        </w:tc>
      </w:tr>
    </w:tbl>
    <w:p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Notes</w:t>
      </w:r>
    </w:p>
    <w:p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All fees and expenses are paid in accordance with the LPC's guidance.</w:t>
      </w:r>
    </w:p>
    <w:p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Travel and subsistence expenses include hotel costs where appropriate.</w:t>
      </w:r>
    </w:p>
    <w:p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56206" w:rsidRDefault="00756206" w:rsidP="002E51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Commissioners contribute</w:t>
      </w:r>
      <w:r w:rsidR="00975A11">
        <w:rPr>
          <w:rFonts w:ascii="ArialMT" w:hAnsi="ArialMT" w:cs="ArialMT"/>
          <w:sz w:val="24"/>
          <w:szCs w:val="24"/>
        </w:rPr>
        <w:t>d</w:t>
      </w:r>
      <w:r>
        <w:rPr>
          <w:rFonts w:ascii="ArialMT" w:hAnsi="ArialMT" w:cs="ArialMT"/>
          <w:sz w:val="24"/>
          <w:szCs w:val="24"/>
        </w:rPr>
        <w:t xml:space="preserve"> </w:t>
      </w:r>
      <w:r w:rsidR="00975A11">
        <w:rPr>
          <w:rFonts w:ascii="ArialMT" w:hAnsi="ArialMT" w:cs="ArialMT"/>
          <w:sz w:val="24"/>
          <w:szCs w:val="24"/>
        </w:rPr>
        <w:t>up to 1</w:t>
      </w:r>
      <w:r w:rsidR="00484243">
        <w:rPr>
          <w:rFonts w:ascii="ArialMT" w:hAnsi="ArialMT" w:cs="ArialMT"/>
          <w:sz w:val="24"/>
          <w:szCs w:val="24"/>
        </w:rPr>
        <w:t>5</w:t>
      </w:r>
      <w:r w:rsidR="00975A11">
        <w:rPr>
          <w:rFonts w:ascii="ArialMT" w:hAnsi="ArialMT" w:cs="ArialMT"/>
          <w:sz w:val="24"/>
          <w:szCs w:val="24"/>
        </w:rPr>
        <w:t xml:space="preserve"> days</w:t>
      </w:r>
      <w:r w:rsidR="002E5462">
        <w:rPr>
          <w:rFonts w:ascii="ArialMT" w:hAnsi="ArialMT" w:cs="ArialMT"/>
          <w:sz w:val="24"/>
          <w:szCs w:val="24"/>
        </w:rPr>
        <w:t xml:space="preserve"> in work for the C</w:t>
      </w:r>
      <w:r w:rsidR="00975A11">
        <w:rPr>
          <w:rFonts w:ascii="ArialMT" w:hAnsi="ArialMT" w:cs="ArialMT"/>
          <w:sz w:val="24"/>
          <w:szCs w:val="24"/>
        </w:rPr>
        <w:t>o</w:t>
      </w:r>
      <w:r w:rsidR="002E5462">
        <w:rPr>
          <w:rFonts w:ascii="ArialMT" w:hAnsi="ArialMT" w:cs="ArialMT"/>
          <w:sz w:val="24"/>
          <w:szCs w:val="24"/>
        </w:rPr>
        <w:t>mmission</w:t>
      </w:r>
      <w:r w:rsidR="00975A11">
        <w:rPr>
          <w:rFonts w:ascii="ArialMT" w:hAnsi="ArialMT" w:cs="ArialMT"/>
          <w:sz w:val="24"/>
          <w:szCs w:val="24"/>
        </w:rPr>
        <w:t xml:space="preserve"> in 201</w:t>
      </w:r>
      <w:r w:rsidR="001A5937">
        <w:rPr>
          <w:rFonts w:ascii="ArialMT" w:hAnsi="ArialMT" w:cs="ArialMT"/>
          <w:sz w:val="24"/>
          <w:szCs w:val="24"/>
        </w:rPr>
        <w:t>5</w:t>
      </w:r>
      <w:r w:rsidR="00975A11">
        <w:rPr>
          <w:rFonts w:ascii="ArialMT" w:hAnsi="ArialMT" w:cs="ArialMT"/>
          <w:sz w:val="24"/>
          <w:szCs w:val="24"/>
        </w:rPr>
        <w:t>-1</w:t>
      </w:r>
      <w:r w:rsidR="001A5937">
        <w:rPr>
          <w:rFonts w:ascii="ArialMT" w:hAnsi="ArialMT" w:cs="ArialMT"/>
          <w:sz w:val="24"/>
          <w:szCs w:val="24"/>
        </w:rPr>
        <w:t>6</w:t>
      </w:r>
      <w:r>
        <w:rPr>
          <w:rFonts w:ascii="ArialMT" w:hAnsi="ArialMT" w:cs="ArialMT"/>
          <w:sz w:val="24"/>
          <w:szCs w:val="24"/>
        </w:rPr>
        <w:t>.</w:t>
      </w:r>
    </w:p>
    <w:p w:rsidR="007C582B" w:rsidRDefault="00756206" w:rsidP="002E51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</w:t>
      </w:r>
      <w:r w:rsidR="002E519E">
        <w:rPr>
          <w:rFonts w:ascii="ArialMT" w:hAnsi="ArialMT" w:cs="ArialMT"/>
          <w:sz w:val="24"/>
          <w:szCs w:val="24"/>
        </w:rPr>
        <w:t>ariations in Commissioner</w:t>
      </w:r>
      <w:r w:rsidR="006A5D15">
        <w:rPr>
          <w:rFonts w:ascii="ArialMT" w:hAnsi="ArialMT" w:cs="ArialMT"/>
          <w:sz w:val="24"/>
          <w:szCs w:val="24"/>
        </w:rPr>
        <w:t>s’</w:t>
      </w:r>
      <w:r w:rsidR="002E519E">
        <w:rPr>
          <w:rFonts w:ascii="ArialMT" w:hAnsi="ArialMT" w:cs="ArialMT"/>
          <w:sz w:val="24"/>
          <w:szCs w:val="24"/>
        </w:rPr>
        <w:t xml:space="preserve"> fees and expenses reflect </w:t>
      </w:r>
      <w:r w:rsidR="002E519E" w:rsidRPr="00874C33">
        <w:rPr>
          <w:rFonts w:ascii="ArialMT" w:hAnsi="ArialMT" w:cs="ArialMT"/>
          <w:sz w:val="24"/>
          <w:szCs w:val="24"/>
        </w:rPr>
        <w:t>that members live across the UK so some have higher travel and accommodation costs arising from attending Commission meetings in London</w:t>
      </w:r>
      <w:r w:rsidR="007C582B">
        <w:rPr>
          <w:rFonts w:ascii="ArialMT" w:hAnsi="ArialMT" w:cs="ArialMT"/>
          <w:sz w:val="24"/>
          <w:szCs w:val="24"/>
        </w:rPr>
        <w:t>. There is also some variation in the number</w:t>
      </w:r>
      <w:r w:rsidR="002E519E">
        <w:rPr>
          <w:rFonts w:ascii="ArialMT" w:hAnsi="ArialMT" w:cs="ArialMT"/>
          <w:sz w:val="24"/>
          <w:szCs w:val="24"/>
        </w:rPr>
        <w:t xml:space="preserve"> of days </w:t>
      </w:r>
      <w:r w:rsidR="007C582B">
        <w:rPr>
          <w:rFonts w:ascii="ArialMT" w:hAnsi="ArialMT" w:cs="ArialMT"/>
          <w:sz w:val="24"/>
          <w:szCs w:val="24"/>
        </w:rPr>
        <w:t>of work across the Commission: s</w:t>
      </w:r>
      <w:r w:rsidR="00FF1A23">
        <w:rPr>
          <w:rFonts w:ascii="ArialMT" w:hAnsi="ArialMT" w:cs="ArialMT"/>
          <w:sz w:val="24"/>
          <w:szCs w:val="24"/>
        </w:rPr>
        <w:t>everal</w:t>
      </w:r>
      <w:r w:rsidR="007C582B">
        <w:rPr>
          <w:rFonts w:ascii="ArialMT" w:hAnsi="ArialMT" w:cs="ArialMT"/>
          <w:sz w:val="24"/>
          <w:szCs w:val="24"/>
        </w:rPr>
        <w:t xml:space="preserve"> research</w:t>
      </w:r>
      <w:r w:rsidR="002E519E">
        <w:rPr>
          <w:rFonts w:ascii="ArialMT" w:hAnsi="ArialMT" w:cs="ArialMT"/>
          <w:sz w:val="24"/>
          <w:szCs w:val="24"/>
        </w:rPr>
        <w:t xml:space="preserve"> events </w:t>
      </w:r>
      <w:r w:rsidR="007C582B">
        <w:rPr>
          <w:rFonts w:ascii="ArialMT" w:hAnsi="ArialMT" w:cs="ArialMT"/>
          <w:sz w:val="24"/>
          <w:szCs w:val="24"/>
        </w:rPr>
        <w:t xml:space="preserve">and visits </w:t>
      </w:r>
      <w:r w:rsidR="002E519E">
        <w:rPr>
          <w:rFonts w:ascii="ArialMT" w:hAnsi="ArialMT" w:cs="ArialMT"/>
          <w:sz w:val="24"/>
          <w:szCs w:val="24"/>
        </w:rPr>
        <w:t>are optional</w:t>
      </w:r>
      <w:r w:rsidR="007C582B">
        <w:rPr>
          <w:rFonts w:ascii="ArialMT" w:hAnsi="ArialMT" w:cs="ArialMT"/>
          <w:sz w:val="24"/>
          <w:szCs w:val="24"/>
        </w:rPr>
        <w:t>, or were attended by specific subgroups of Commissioners</w:t>
      </w:r>
      <w:r w:rsidR="002E519E">
        <w:rPr>
          <w:rFonts w:ascii="ArialMT" w:hAnsi="ArialMT" w:cs="ArialMT"/>
          <w:sz w:val="24"/>
          <w:szCs w:val="24"/>
        </w:rPr>
        <w:t>.</w:t>
      </w:r>
      <w:r w:rsidR="007C582B">
        <w:rPr>
          <w:rFonts w:ascii="ArialMT" w:hAnsi="ArialMT" w:cs="ArialMT"/>
          <w:sz w:val="24"/>
          <w:szCs w:val="24"/>
        </w:rPr>
        <w:t xml:space="preserve"> </w:t>
      </w:r>
    </w:p>
    <w:p w:rsidR="007C582B" w:rsidRDefault="007C582B" w:rsidP="002E51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75A11" w:rsidRDefault="00975A11" w:rsidP="00975A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Four Commissioners have not claimed any fees to which they are entitled, and others have not claimed for all days spent attending Commission meetings. </w:t>
      </w:r>
    </w:p>
    <w:p w:rsidR="00874C33" w:rsidRDefault="00874C33" w:rsidP="002E51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74C33" w:rsidRDefault="009429F8" w:rsidP="00874C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Sarah Brown and </w:t>
      </w:r>
      <w:r w:rsidR="00AE2C1C">
        <w:rPr>
          <w:rFonts w:ascii="ArialMT" w:hAnsi="ArialMT" w:cs="ArialMT"/>
          <w:sz w:val="24"/>
          <w:szCs w:val="24"/>
        </w:rPr>
        <w:t>C</w:t>
      </w:r>
      <w:r>
        <w:rPr>
          <w:rFonts w:ascii="ArialMT" w:hAnsi="ArialMT" w:cs="ArialMT"/>
          <w:sz w:val="24"/>
          <w:szCs w:val="24"/>
        </w:rPr>
        <w:t>lare Chapman</w:t>
      </w:r>
      <w:r w:rsidR="00874C33">
        <w:rPr>
          <w:rFonts w:ascii="ArialMT" w:hAnsi="ArialMT" w:cs="ArialMT"/>
          <w:sz w:val="24"/>
          <w:szCs w:val="24"/>
        </w:rPr>
        <w:t xml:space="preserve"> were appointed on </w:t>
      </w:r>
      <w:r w:rsidR="00AE2C1C">
        <w:rPr>
          <w:rFonts w:ascii="ArialMT" w:hAnsi="ArialMT" w:cs="ArialMT"/>
          <w:sz w:val="24"/>
          <w:szCs w:val="24"/>
        </w:rPr>
        <w:t>25 March</w:t>
      </w:r>
      <w:r w:rsidR="00874C33">
        <w:rPr>
          <w:rFonts w:ascii="ArialMT" w:hAnsi="ArialMT" w:cs="ArialMT"/>
          <w:sz w:val="24"/>
          <w:szCs w:val="24"/>
        </w:rPr>
        <w:t xml:space="preserve"> 201</w:t>
      </w:r>
      <w:r>
        <w:rPr>
          <w:rFonts w:ascii="ArialMT" w:hAnsi="ArialMT" w:cs="ArialMT"/>
          <w:sz w:val="24"/>
          <w:szCs w:val="24"/>
        </w:rPr>
        <w:t>5</w:t>
      </w:r>
      <w:r w:rsidR="00874C33">
        <w:rPr>
          <w:rFonts w:ascii="ArialMT" w:hAnsi="ArialMT" w:cs="ArialMT"/>
          <w:sz w:val="24"/>
          <w:szCs w:val="24"/>
        </w:rPr>
        <w:t xml:space="preserve">. </w:t>
      </w:r>
    </w:p>
    <w:p w:rsidR="00915AA1" w:rsidRDefault="00915AA1" w:rsidP="00915A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15AA1" w:rsidRDefault="00915AA1" w:rsidP="008B6D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sectPr w:rsidR="0091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A98"/>
    <w:multiLevelType w:val="hybridMultilevel"/>
    <w:tmpl w:val="4BCE757C"/>
    <w:lvl w:ilvl="0" w:tplc="5A7E11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12"/>
    <w:rsid w:val="00085B7D"/>
    <w:rsid w:val="00090852"/>
    <w:rsid w:val="001A5937"/>
    <w:rsid w:val="002777DA"/>
    <w:rsid w:val="002D62D5"/>
    <w:rsid w:val="002E519E"/>
    <w:rsid w:val="002E5462"/>
    <w:rsid w:val="003675EF"/>
    <w:rsid w:val="00387084"/>
    <w:rsid w:val="00483512"/>
    <w:rsid w:val="00484243"/>
    <w:rsid w:val="00681BE7"/>
    <w:rsid w:val="006A5D15"/>
    <w:rsid w:val="00706863"/>
    <w:rsid w:val="00756206"/>
    <w:rsid w:val="007C582B"/>
    <w:rsid w:val="007F5AAA"/>
    <w:rsid w:val="00874C33"/>
    <w:rsid w:val="008B6D20"/>
    <w:rsid w:val="008C4C11"/>
    <w:rsid w:val="00915AA1"/>
    <w:rsid w:val="009429F8"/>
    <w:rsid w:val="00975A11"/>
    <w:rsid w:val="00993081"/>
    <w:rsid w:val="00A24D34"/>
    <w:rsid w:val="00AA0956"/>
    <w:rsid w:val="00AE2C1C"/>
    <w:rsid w:val="00C948FE"/>
    <w:rsid w:val="00CF43EE"/>
    <w:rsid w:val="00D32F0C"/>
    <w:rsid w:val="00D90494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8351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512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48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8351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512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483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Jay (LPC)</dc:creator>
  <cp:lastModifiedBy>Arjan Jay (LPC)</cp:lastModifiedBy>
  <cp:revision>2</cp:revision>
  <dcterms:created xsi:type="dcterms:W3CDTF">2016-07-18T09:46:00Z</dcterms:created>
  <dcterms:modified xsi:type="dcterms:W3CDTF">2016-07-18T09:46:00Z</dcterms:modified>
</cp:coreProperties>
</file>