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FA3F18" w:rsidRPr="00D739D7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FA3F18" w:rsidRPr="00C8797E" w:rsidRDefault="00FA3F18" w:rsidP="00CF776B">
            <w:pPr>
              <w:rPr>
                <w:rFonts w:ascii="Arial" w:hAnsi="Arial"/>
                <w:color w:val="000000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606D91"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55.25pt;height:45.75pt;visibility:visible">
                  <v:imagedata r:id="rId7" o:title=""/>
                </v:shape>
              </w:pict>
            </w:r>
          </w:p>
        </w:tc>
        <w:tc>
          <w:tcPr>
            <w:tcW w:w="180" w:type="dxa"/>
          </w:tcPr>
          <w:p w:rsidR="00FA3F18" w:rsidRPr="00C8797E" w:rsidRDefault="00FA3F1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FA3F18" w:rsidRPr="004349AB" w:rsidRDefault="00FA3F18" w:rsidP="00D739D7">
            <w:pPr>
              <w:shd w:val="clear" w:color="auto" w:fill="FFFFFF"/>
              <w:tabs>
                <w:tab w:val="left" w:pos="1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F18" w:rsidRPr="00D739D7" w:rsidRDefault="00FA3F18" w:rsidP="00D739D7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</w:tc>
      </w:tr>
      <w:tr w:rsidR="00FA3F18" w:rsidRPr="00944AA8" w:rsidTr="00CF776B">
        <w:trPr>
          <w:cantSplit/>
          <w:trHeight w:val="1259"/>
        </w:trPr>
        <w:tc>
          <w:tcPr>
            <w:tcW w:w="1214" w:type="dxa"/>
          </w:tcPr>
          <w:p w:rsidR="00FA3F18" w:rsidRPr="00D739D7" w:rsidRDefault="00FA3F18" w:rsidP="00CF776B">
            <w:pPr>
              <w:pStyle w:val="MOJtext-otheraddress"/>
              <w:rPr>
                <w:color w:val="000000"/>
                <w:sz w:val="22"/>
                <w:lang w:val="de-DE"/>
              </w:rPr>
            </w:pPr>
          </w:p>
        </w:tc>
        <w:tc>
          <w:tcPr>
            <w:tcW w:w="6120" w:type="dxa"/>
          </w:tcPr>
          <w:tbl>
            <w:tblPr>
              <w:tblW w:w="97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34"/>
            </w:tblGrid>
            <w:tr w:rsidR="00FA3F18" w:rsidRPr="00AC6C0E" w:rsidTr="005D00DF">
              <w:trPr>
                <w:trHeight w:val="1295"/>
              </w:trPr>
              <w:tc>
                <w:tcPr>
                  <w:tcW w:w="5597" w:type="dxa"/>
                </w:tcPr>
                <w:p w:rsidR="00FA3F18" w:rsidRPr="00D22783" w:rsidRDefault="00FA3F18" w:rsidP="005D00DF">
                  <w:pPr>
                    <w:spacing w:line="280" w:lineRule="atLeast"/>
                    <w:rPr>
                      <w:rFonts w:ascii="Arial" w:hAnsi="Arial" w:cs="Arial"/>
                      <w:b/>
                    </w:rPr>
                  </w:pPr>
                </w:p>
                <w:p w:rsidR="00FA3F18" w:rsidRPr="00AC6C0E" w:rsidRDefault="00FA3F18" w:rsidP="00606D91">
                  <w:pPr>
                    <w:spacing w:line="280" w:lineRule="atLeast"/>
                  </w:pPr>
                </w:p>
              </w:tc>
            </w:tr>
            <w:tr w:rsidR="00FA3F18" w:rsidRPr="00D22783" w:rsidTr="005D00DF">
              <w:trPr>
                <w:trHeight w:val="75"/>
              </w:trPr>
              <w:tc>
                <w:tcPr>
                  <w:tcW w:w="5597" w:type="dxa"/>
                </w:tcPr>
                <w:p w:rsidR="00FA3F18" w:rsidRPr="00D22783" w:rsidRDefault="00FA3F18" w:rsidP="005D00DF">
                  <w:pPr>
                    <w:spacing w:line="280" w:lineRule="atLeast"/>
                  </w:pPr>
                  <w:r w:rsidRPr="00D22783">
                    <w:rPr>
                      <w:rFonts w:ascii="Arial" w:hAnsi="Arial" w:cs="Arial"/>
                      <w:b/>
                      <w:sz w:val="22"/>
                      <w:szCs w:val="22"/>
                    </w:rPr>
                    <w:t>Our Reference: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FOI 102041</w:t>
                  </w:r>
                  <w:r w:rsidRPr="00D22783">
                    <w:rPr>
                      <w:rFonts w:ascii="Arial" w:hAnsi="Arial" w:cs="Arial"/>
                      <w:sz w:val="22"/>
                      <w:szCs w:val="22"/>
                    </w:rPr>
                    <w:t>/1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A3F18" w:rsidRPr="00944AA8" w:rsidRDefault="00FA3F18" w:rsidP="00CF776B">
            <w:pPr>
              <w:spacing w:line="28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FA3F18" w:rsidRPr="00944AA8" w:rsidRDefault="00FA3F1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FA3F18" w:rsidRPr="00944AA8" w:rsidRDefault="00FA3F18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FA3F18" w:rsidTr="00CF776B">
        <w:trPr>
          <w:cantSplit/>
          <w:trHeight w:val="73"/>
        </w:trPr>
        <w:tc>
          <w:tcPr>
            <w:tcW w:w="1214" w:type="dxa"/>
          </w:tcPr>
          <w:p w:rsidR="00FA3F18" w:rsidRPr="00944AA8" w:rsidRDefault="00FA3F1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FA3F18" w:rsidRPr="00CE6E9A" w:rsidRDefault="00FA3F18" w:rsidP="00CF776B">
            <w:pPr>
              <w:spacing w:line="280" w:lineRule="atLeast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80" w:type="dxa"/>
          </w:tcPr>
          <w:p w:rsidR="00FA3F18" w:rsidRPr="00924204" w:rsidRDefault="00FA3F18" w:rsidP="00CF776B">
            <w:pPr>
              <w:spacing w:line="280" w:lineRule="atLeast"/>
              <w:rPr>
                <w:rFonts w:ascii="Arial" w:hAnsi="Arial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FA3F18" w:rsidRPr="00864312" w:rsidRDefault="00FA3F18" w:rsidP="00CF776B">
            <w:pPr>
              <w:pStyle w:val="MOJ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January </w:t>
            </w:r>
            <w:r w:rsidRPr="00864312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6</w:t>
            </w:r>
          </w:p>
        </w:tc>
      </w:tr>
    </w:tbl>
    <w:p w:rsidR="00FA3F18" w:rsidRPr="0071076E" w:rsidRDefault="00FA3F18">
      <w:pPr>
        <w:rPr>
          <w:rFonts w:ascii="Arial" w:hAnsi="Arial" w:cs="Arial"/>
          <w:sz w:val="22"/>
          <w:szCs w:val="22"/>
        </w:rPr>
      </w:pPr>
    </w:p>
    <w:p w:rsidR="00FA3F18" w:rsidRPr="0071076E" w:rsidRDefault="00FA3F18">
      <w:pPr>
        <w:rPr>
          <w:rFonts w:ascii="Arial" w:hAnsi="Arial" w:cs="Arial"/>
          <w:sz w:val="22"/>
          <w:szCs w:val="22"/>
        </w:rPr>
      </w:pPr>
    </w:p>
    <w:p w:rsidR="00FA3F18" w:rsidRPr="0071076E" w:rsidRDefault="00FA3F18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71076E">
        <w:rPr>
          <w:rFonts w:ascii="Arial" w:hAnsi="Arial" w:cs="Arial"/>
          <w:b/>
          <w:sz w:val="22"/>
          <w:szCs w:val="22"/>
        </w:rPr>
        <w:t xml:space="preserve">Freedom of Information Request </w:t>
      </w:r>
    </w:p>
    <w:p w:rsidR="00FA3F18" w:rsidRPr="0071076E" w:rsidRDefault="00FA3F18" w:rsidP="0081625B">
      <w:pPr>
        <w:rPr>
          <w:rFonts w:ascii="Arial" w:hAnsi="Arial" w:cs="Arial"/>
          <w:color w:val="0000FF"/>
          <w:sz w:val="22"/>
          <w:szCs w:val="22"/>
        </w:rPr>
      </w:pPr>
    </w:p>
    <w:p w:rsidR="00FA3F18" w:rsidRPr="0071076E" w:rsidRDefault="00FA3F18" w:rsidP="0081625B">
      <w:pPr>
        <w:rPr>
          <w:rFonts w:ascii="Arial" w:hAnsi="Arial" w:cs="Arial"/>
          <w:color w:val="0000FF"/>
          <w:sz w:val="22"/>
          <w:szCs w:val="22"/>
        </w:rPr>
      </w:pPr>
    </w:p>
    <w:p w:rsidR="00FA3F18" w:rsidRDefault="00606D91" w:rsidP="00196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FA3F18" w:rsidRPr="00D22783">
        <w:rPr>
          <w:rFonts w:ascii="Arial" w:hAnsi="Arial" w:cs="Arial"/>
          <w:sz w:val="22"/>
          <w:szCs w:val="22"/>
        </w:rPr>
        <w:t>asked for the following information from the Ministry of Justice (MoJ):</w:t>
      </w:r>
    </w:p>
    <w:p w:rsidR="00FA3F18" w:rsidRPr="00CF7DEB" w:rsidRDefault="00FA3F18" w:rsidP="00196DA5">
      <w:pPr>
        <w:rPr>
          <w:b/>
          <w:sz w:val="22"/>
          <w:szCs w:val="22"/>
        </w:rPr>
      </w:pPr>
    </w:p>
    <w:p w:rsidR="00FA3F18" w:rsidRPr="002718FF" w:rsidRDefault="00FA3F18" w:rsidP="002718FF">
      <w:pPr>
        <w:rPr>
          <w:rFonts w:ascii="Arial" w:hAnsi="Arial" w:cs="Arial"/>
          <w:b/>
          <w:sz w:val="22"/>
          <w:szCs w:val="22"/>
        </w:rPr>
      </w:pPr>
      <w:r w:rsidRPr="002718FF">
        <w:rPr>
          <w:rFonts w:ascii="Arial" w:hAnsi="Arial" w:cs="Arial"/>
          <w:b/>
          <w:noProof/>
          <w:sz w:val="22"/>
          <w:szCs w:val="22"/>
        </w:rPr>
        <w:t xml:space="preserve">What were the </w:t>
      </w:r>
      <w:bookmarkStart w:id="0" w:name="_GoBack"/>
      <w:r w:rsidRPr="002718FF">
        <w:rPr>
          <w:rFonts w:ascii="Arial" w:hAnsi="Arial" w:cs="Arial"/>
          <w:b/>
          <w:noProof/>
          <w:sz w:val="22"/>
          <w:szCs w:val="22"/>
        </w:rPr>
        <w:t>total costs of runnin</w:t>
      </w:r>
      <w:r>
        <w:rPr>
          <w:rFonts w:ascii="Arial" w:hAnsi="Arial" w:cs="Arial"/>
          <w:b/>
          <w:noProof/>
          <w:sz w:val="22"/>
          <w:szCs w:val="22"/>
        </w:rPr>
        <w:t>g and maintaining Wormwood</w:t>
      </w:r>
      <w:r>
        <w:rPr>
          <w:rFonts w:ascii="Arial" w:hAnsi="Arial" w:cs="Arial"/>
          <w:b/>
          <w:noProof/>
          <w:sz w:val="22"/>
          <w:szCs w:val="22"/>
        </w:rPr>
        <w:br/>
        <w:t>S</w:t>
      </w:r>
      <w:r w:rsidRPr="002718FF">
        <w:rPr>
          <w:rFonts w:ascii="Arial" w:hAnsi="Arial" w:cs="Arial"/>
          <w:b/>
          <w:noProof/>
          <w:sz w:val="22"/>
          <w:szCs w:val="22"/>
        </w:rPr>
        <w:t>crubs prison</w:t>
      </w:r>
      <w:bookmarkEnd w:id="0"/>
      <w:r w:rsidRPr="002718FF">
        <w:rPr>
          <w:rFonts w:ascii="Arial" w:hAnsi="Arial" w:cs="Arial"/>
          <w:b/>
          <w:noProof/>
          <w:sz w:val="22"/>
          <w:szCs w:val="22"/>
        </w:rPr>
        <w:t xml:space="preserve"> in Hammersmith &amp; Fulham in the following years:</w:t>
      </w:r>
      <w:r w:rsidRPr="002718FF">
        <w:rPr>
          <w:rFonts w:ascii="Arial" w:hAnsi="Arial" w:cs="Arial"/>
          <w:b/>
          <w:noProof/>
          <w:sz w:val="22"/>
          <w:szCs w:val="22"/>
        </w:rPr>
        <w:br/>
        <w:t>    </w:t>
      </w:r>
      <w:r w:rsidRPr="002718FF">
        <w:rPr>
          <w:rFonts w:ascii="Arial" w:hAnsi="Arial" w:cs="Arial"/>
          <w:b/>
          <w:noProof/>
          <w:sz w:val="22"/>
          <w:szCs w:val="22"/>
        </w:rPr>
        <w:br/>
        <w:t>     2010</w:t>
      </w:r>
      <w:r w:rsidRPr="002718FF">
        <w:rPr>
          <w:rFonts w:ascii="Arial" w:hAnsi="Arial" w:cs="Arial"/>
          <w:b/>
          <w:noProof/>
          <w:sz w:val="22"/>
          <w:szCs w:val="22"/>
        </w:rPr>
        <w:br/>
        <w:t>     2011</w:t>
      </w:r>
      <w:r w:rsidRPr="002718FF">
        <w:rPr>
          <w:rFonts w:ascii="Arial" w:hAnsi="Arial" w:cs="Arial"/>
          <w:b/>
          <w:noProof/>
          <w:sz w:val="22"/>
          <w:szCs w:val="22"/>
        </w:rPr>
        <w:br/>
        <w:t>     2012</w:t>
      </w:r>
      <w:r w:rsidRPr="002718FF">
        <w:rPr>
          <w:rFonts w:ascii="Arial" w:hAnsi="Arial" w:cs="Arial"/>
          <w:b/>
          <w:noProof/>
          <w:sz w:val="22"/>
          <w:szCs w:val="22"/>
        </w:rPr>
        <w:br/>
        <w:t>     2013</w:t>
      </w:r>
      <w:r w:rsidRPr="002718FF">
        <w:rPr>
          <w:rFonts w:ascii="Arial" w:hAnsi="Arial" w:cs="Arial"/>
          <w:b/>
          <w:noProof/>
          <w:sz w:val="22"/>
          <w:szCs w:val="22"/>
        </w:rPr>
        <w:br/>
        <w:t>     2014</w:t>
      </w:r>
      <w:r w:rsidRPr="002718FF">
        <w:rPr>
          <w:rFonts w:ascii="Arial" w:hAnsi="Arial" w:cs="Arial"/>
          <w:b/>
          <w:noProof/>
          <w:sz w:val="22"/>
          <w:szCs w:val="22"/>
        </w:rPr>
        <w:br/>
        <w:t>     2015</w:t>
      </w:r>
    </w:p>
    <w:p w:rsidR="00FA3F18" w:rsidRPr="006807B7" w:rsidRDefault="00FA3F18" w:rsidP="00CB3947">
      <w:pPr>
        <w:rPr>
          <w:rFonts w:ascii="Arial" w:hAnsi="Arial" w:cs="Arial"/>
          <w:b/>
          <w:sz w:val="22"/>
          <w:szCs w:val="22"/>
        </w:rPr>
      </w:pPr>
    </w:p>
    <w:p w:rsidR="00FA3F18" w:rsidRDefault="00FA3F18" w:rsidP="002F6D03">
      <w:pPr>
        <w:rPr>
          <w:rFonts w:ascii="Arial" w:hAnsi="Arial" w:cs="Arial"/>
          <w:sz w:val="22"/>
          <w:szCs w:val="22"/>
        </w:rPr>
      </w:pPr>
      <w:r w:rsidRPr="00DC4463">
        <w:rPr>
          <w:rFonts w:ascii="Arial" w:hAnsi="Arial" w:cs="Arial"/>
          <w:sz w:val="22"/>
          <w:szCs w:val="22"/>
        </w:rPr>
        <w:t>Your request has been handled under the Freedom of Information Act 2000 (FOIA).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3F18" w:rsidRDefault="00FA3F18" w:rsidP="002F6D03">
      <w:pPr>
        <w:rPr>
          <w:rFonts w:ascii="Arial" w:hAnsi="Arial" w:cs="Arial"/>
          <w:sz w:val="22"/>
          <w:szCs w:val="22"/>
        </w:rPr>
      </w:pPr>
    </w:p>
    <w:p w:rsidR="00FA3F18" w:rsidRDefault="00FA3F18" w:rsidP="00BF2C7D">
      <w:pPr>
        <w:rPr>
          <w:rFonts w:ascii="Arial" w:hAnsi="Arial" w:cs="Arial"/>
          <w:sz w:val="22"/>
          <w:szCs w:val="22"/>
        </w:rPr>
      </w:pPr>
      <w:r w:rsidRPr="00E237F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can confirm that the MoJ holds </w:t>
      </w:r>
      <w:r w:rsidRPr="00E237FE">
        <w:rPr>
          <w:rFonts w:ascii="Arial" w:hAnsi="Arial" w:cs="Arial"/>
          <w:sz w:val="22"/>
          <w:szCs w:val="22"/>
        </w:rPr>
        <w:t xml:space="preserve">the information </w:t>
      </w:r>
      <w:r>
        <w:rPr>
          <w:rFonts w:ascii="Arial" w:hAnsi="Arial" w:cs="Arial"/>
          <w:sz w:val="22"/>
          <w:szCs w:val="22"/>
        </w:rPr>
        <w:t xml:space="preserve">that you have asked for, and I am pleased to provide this to you.  </w:t>
      </w:r>
    </w:p>
    <w:p w:rsidR="00FA3F18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</w:p>
    <w:p w:rsidR="00FA3F18" w:rsidRPr="001956CA" w:rsidRDefault="00FA3F18" w:rsidP="00357F93">
      <w:pPr>
        <w:rPr>
          <w:rFonts w:ascii="Arial" w:hAnsi="Arial" w:cs="Arial"/>
          <w:bCs/>
          <w:sz w:val="22"/>
          <w:szCs w:val="22"/>
        </w:rPr>
      </w:pPr>
      <w:r w:rsidRPr="001956CA">
        <w:rPr>
          <w:rFonts w:ascii="Arial" w:hAnsi="Arial" w:cs="Arial"/>
          <w:bCs/>
          <w:sz w:val="22"/>
          <w:szCs w:val="22"/>
        </w:rPr>
        <w:t xml:space="preserve">The table </w:t>
      </w:r>
      <w:r>
        <w:rPr>
          <w:rFonts w:ascii="Arial" w:hAnsi="Arial" w:cs="Arial"/>
          <w:bCs/>
          <w:sz w:val="22"/>
          <w:szCs w:val="22"/>
        </w:rPr>
        <w:t xml:space="preserve">below </w:t>
      </w:r>
      <w:r w:rsidRPr="001956CA">
        <w:rPr>
          <w:rFonts w:ascii="Arial" w:hAnsi="Arial" w:cs="Arial"/>
          <w:bCs/>
          <w:sz w:val="22"/>
          <w:szCs w:val="22"/>
        </w:rPr>
        <w:t>shows the direct and overall resource expenditure for HMP</w:t>
      </w:r>
      <w:r>
        <w:rPr>
          <w:rFonts w:ascii="Arial" w:hAnsi="Arial" w:cs="Arial"/>
          <w:bCs/>
          <w:sz w:val="22"/>
          <w:szCs w:val="22"/>
        </w:rPr>
        <w:t>S</w:t>
      </w:r>
      <w:r w:rsidRPr="001956CA">
        <w:rPr>
          <w:rFonts w:ascii="Arial" w:hAnsi="Arial" w:cs="Arial"/>
          <w:bCs/>
          <w:sz w:val="22"/>
          <w:szCs w:val="22"/>
        </w:rPr>
        <w:t xml:space="preserve"> Wormwood Scrubs for financial years 2010-11 to 2014-15. Figures for 2015-16 will be available after the end of the financial period. </w:t>
      </w:r>
    </w:p>
    <w:p w:rsidR="00FA3F18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6400" w:type="dxa"/>
        <w:tblLook w:val="00A0" w:firstRow="1" w:lastRow="0" w:firstColumn="1" w:lastColumn="0" w:noHBand="0" w:noVBand="0"/>
      </w:tblPr>
      <w:tblGrid>
        <w:gridCol w:w="3360"/>
        <w:gridCol w:w="1520"/>
        <w:gridCol w:w="1520"/>
      </w:tblGrid>
      <w:tr w:rsidR="00FA3F18" w:rsidTr="000C1AF1">
        <w:trPr>
          <w:trHeight w:val="6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A3F18" w:rsidRDefault="00FA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HMPS Wormwood Scrubs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A3F18" w:rsidRDefault="00FA3F18">
            <w:pPr>
              <w:jc w:val="center"/>
            </w:pPr>
            <w:r>
              <w:rPr>
                <w:sz w:val="22"/>
                <w:szCs w:val="22"/>
              </w:rPr>
              <w:t xml:space="preserve"> Resource Expenditure (£)</w:t>
            </w:r>
          </w:p>
        </w:tc>
      </w:tr>
      <w:tr w:rsidR="00FA3F18" w:rsidTr="000C1AF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Financial Years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Direct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Overall</w:t>
            </w:r>
          </w:p>
        </w:tc>
      </w:tr>
      <w:tr w:rsidR="00FA3F18" w:rsidTr="000C1AF1">
        <w:trPr>
          <w:trHeight w:val="42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2014/15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23,712,048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35,539,702</w:t>
            </w:r>
          </w:p>
        </w:tc>
      </w:tr>
      <w:tr w:rsidR="00FA3F18" w:rsidTr="000C1AF1">
        <w:trPr>
          <w:trHeight w:val="42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2013/14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25,655,718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36,736,250</w:t>
            </w:r>
          </w:p>
        </w:tc>
      </w:tr>
      <w:tr w:rsidR="00FA3F18" w:rsidTr="000C1AF1">
        <w:trPr>
          <w:trHeight w:val="42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2012/13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27,256,749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39,499,849</w:t>
            </w:r>
          </w:p>
        </w:tc>
      </w:tr>
      <w:tr w:rsidR="00FA3F18" w:rsidTr="000C1AF1">
        <w:trPr>
          <w:trHeight w:val="42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2011/12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26,935,953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37,786,900</w:t>
            </w:r>
          </w:p>
        </w:tc>
      </w:tr>
      <w:tr w:rsidR="00FA3F18" w:rsidTr="000C1AF1">
        <w:trPr>
          <w:trHeight w:val="4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3F18" w:rsidRDefault="00FA3F18">
            <w:r>
              <w:rPr>
                <w:sz w:val="22"/>
                <w:szCs w:val="22"/>
              </w:rPr>
              <w:t>2010/11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25,896,096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3F18" w:rsidRDefault="00FA3F18">
            <w:pPr>
              <w:jc w:val="right"/>
            </w:pPr>
            <w:r>
              <w:rPr>
                <w:sz w:val="22"/>
                <w:szCs w:val="22"/>
              </w:rPr>
              <w:t>39,053,965</w:t>
            </w:r>
          </w:p>
        </w:tc>
      </w:tr>
    </w:tbl>
    <w:p w:rsidR="00FA3F18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</w:p>
    <w:p w:rsidR="00FA3F18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</w:p>
    <w:p w:rsidR="00FA3F18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</w:p>
    <w:p w:rsidR="00FA3F18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</w:p>
    <w:p w:rsidR="00FA3F18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</w:p>
    <w:p w:rsidR="00FA3F18" w:rsidRDefault="00FA3F18" w:rsidP="00357F93">
      <w:pPr>
        <w:rPr>
          <w:rFonts w:ascii="Arial" w:hAnsi="Arial" w:cs="Arial"/>
          <w:bCs/>
          <w:sz w:val="22"/>
          <w:szCs w:val="22"/>
        </w:rPr>
      </w:pPr>
      <w:r w:rsidRPr="001956CA">
        <w:rPr>
          <w:rFonts w:ascii="Arial" w:hAnsi="Arial" w:cs="Arial"/>
          <w:bCs/>
          <w:sz w:val="22"/>
          <w:szCs w:val="22"/>
        </w:rPr>
        <w:lastRenderedPageBreak/>
        <w:t>Direct resource expenditure is net expenditure managed and rec</w:t>
      </w:r>
      <w:r>
        <w:rPr>
          <w:rFonts w:ascii="Arial" w:hAnsi="Arial" w:cs="Arial"/>
          <w:bCs/>
          <w:sz w:val="22"/>
          <w:szCs w:val="22"/>
        </w:rPr>
        <w:t>orded at each prison. O</w:t>
      </w:r>
      <w:r w:rsidRPr="001956CA">
        <w:rPr>
          <w:rFonts w:ascii="Arial" w:hAnsi="Arial" w:cs="Arial"/>
          <w:bCs/>
          <w:sz w:val="22"/>
          <w:szCs w:val="22"/>
        </w:rPr>
        <w:t xml:space="preserve">verall resource expenditure also includes net expenditure met at regional or national level and recorded in the Annual Accounts of the National Offender Management Service.  </w:t>
      </w:r>
      <w:r>
        <w:rPr>
          <w:rFonts w:ascii="Arial" w:hAnsi="Arial" w:cs="Arial"/>
          <w:bCs/>
          <w:sz w:val="22"/>
          <w:szCs w:val="22"/>
        </w:rPr>
        <w:t>Any expenditure met by other government departments, such as for health or education, is not included.</w:t>
      </w:r>
    </w:p>
    <w:p w:rsidR="00FA3F18" w:rsidRDefault="00FA3F18" w:rsidP="00357F93">
      <w:pPr>
        <w:rPr>
          <w:rFonts w:ascii="Arial" w:hAnsi="Arial" w:cs="Arial"/>
          <w:bCs/>
          <w:sz w:val="22"/>
          <w:szCs w:val="22"/>
        </w:rPr>
      </w:pPr>
    </w:p>
    <w:p w:rsidR="00FA3F18" w:rsidRPr="00196DA5" w:rsidRDefault="00FA3F18" w:rsidP="00357F93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note that due to changes in scope and accounting treatment, the figures may not be directly comparable from one year to another.</w:t>
      </w:r>
    </w:p>
    <w:sectPr w:rsidR="00FA3F18" w:rsidRPr="00196DA5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18" w:rsidRDefault="00FA3F18">
      <w:r>
        <w:separator/>
      </w:r>
    </w:p>
  </w:endnote>
  <w:endnote w:type="continuationSeparator" w:id="0">
    <w:p w:rsidR="00FA3F18" w:rsidRDefault="00FA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18" w:rsidRPr="002179DD" w:rsidRDefault="00FA3F18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18" w:rsidRDefault="00FA3F18">
      <w:r>
        <w:separator/>
      </w:r>
    </w:p>
  </w:footnote>
  <w:footnote w:type="continuationSeparator" w:id="0">
    <w:p w:rsidR="00FA3F18" w:rsidRDefault="00FA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69BC"/>
    <w:multiLevelType w:val="hybridMultilevel"/>
    <w:tmpl w:val="E9B0C714"/>
    <w:lvl w:ilvl="0" w:tplc="9F9468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58679F"/>
    <w:multiLevelType w:val="hybridMultilevel"/>
    <w:tmpl w:val="8102AB32"/>
    <w:lvl w:ilvl="0" w:tplc="85580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D6C478C"/>
    <w:multiLevelType w:val="hybridMultilevel"/>
    <w:tmpl w:val="EF7AD48A"/>
    <w:lvl w:ilvl="0" w:tplc="1BA4D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F11"/>
    <w:rsid w:val="0000395F"/>
    <w:rsid w:val="0001525C"/>
    <w:rsid w:val="00015448"/>
    <w:rsid w:val="00021E32"/>
    <w:rsid w:val="00022823"/>
    <w:rsid w:val="00031F17"/>
    <w:rsid w:val="000320A5"/>
    <w:rsid w:val="00037D95"/>
    <w:rsid w:val="00043C1B"/>
    <w:rsid w:val="00047492"/>
    <w:rsid w:val="000624EB"/>
    <w:rsid w:val="00064829"/>
    <w:rsid w:val="000651BF"/>
    <w:rsid w:val="00067395"/>
    <w:rsid w:val="0006784E"/>
    <w:rsid w:val="00076AEF"/>
    <w:rsid w:val="00077A2D"/>
    <w:rsid w:val="00077FAA"/>
    <w:rsid w:val="0008154D"/>
    <w:rsid w:val="0008197C"/>
    <w:rsid w:val="000829FA"/>
    <w:rsid w:val="000836A0"/>
    <w:rsid w:val="000849C5"/>
    <w:rsid w:val="0008658A"/>
    <w:rsid w:val="000900D8"/>
    <w:rsid w:val="00090481"/>
    <w:rsid w:val="00095861"/>
    <w:rsid w:val="000A0119"/>
    <w:rsid w:val="000A2BCA"/>
    <w:rsid w:val="000A4A2B"/>
    <w:rsid w:val="000A63A5"/>
    <w:rsid w:val="000B3336"/>
    <w:rsid w:val="000B3E9D"/>
    <w:rsid w:val="000B63BC"/>
    <w:rsid w:val="000B68B1"/>
    <w:rsid w:val="000B6AAF"/>
    <w:rsid w:val="000C0B3A"/>
    <w:rsid w:val="000C1593"/>
    <w:rsid w:val="000C1AF1"/>
    <w:rsid w:val="000C7644"/>
    <w:rsid w:val="000D10B2"/>
    <w:rsid w:val="000D1F8D"/>
    <w:rsid w:val="000D3A33"/>
    <w:rsid w:val="000D4990"/>
    <w:rsid w:val="000E01F8"/>
    <w:rsid w:val="000E2D45"/>
    <w:rsid w:val="000F067E"/>
    <w:rsid w:val="000F06D6"/>
    <w:rsid w:val="000F26B8"/>
    <w:rsid w:val="000F2877"/>
    <w:rsid w:val="000F2DDC"/>
    <w:rsid w:val="000F3F07"/>
    <w:rsid w:val="0010467C"/>
    <w:rsid w:val="00105E46"/>
    <w:rsid w:val="001070D4"/>
    <w:rsid w:val="00111D13"/>
    <w:rsid w:val="00115212"/>
    <w:rsid w:val="001211ED"/>
    <w:rsid w:val="00122C2F"/>
    <w:rsid w:val="00126443"/>
    <w:rsid w:val="00127A2D"/>
    <w:rsid w:val="0013675E"/>
    <w:rsid w:val="00140515"/>
    <w:rsid w:val="001435E7"/>
    <w:rsid w:val="00145B26"/>
    <w:rsid w:val="0014675E"/>
    <w:rsid w:val="00150A41"/>
    <w:rsid w:val="00153D98"/>
    <w:rsid w:val="0015428A"/>
    <w:rsid w:val="001547F5"/>
    <w:rsid w:val="00156562"/>
    <w:rsid w:val="00156C75"/>
    <w:rsid w:val="00164160"/>
    <w:rsid w:val="00175801"/>
    <w:rsid w:val="00181CBA"/>
    <w:rsid w:val="00184EB5"/>
    <w:rsid w:val="001854AF"/>
    <w:rsid w:val="001865FA"/>
    <w:rsid w:val="0019008C"/>
    <w:rsid w:val="001911A7"/>
    <w:rsid w:val="00193622"/>
    <w:rsid w:val="00193982"/>
    <w:rsid w:val="001956CA"/>
    <w:rsid w:val="00196DA5"/>
    <w:rsid w:val="00196EDB"/>
    <w:rsid w:val="001A485D"/>
    <w:rsid w:val="001A6C9B"/>
    <w:rsid w:val="001C1432"/>
    <w:rsid w:val="001C1F82"/>
    <w:rsid w:val="001C27E9"/>
    <w:rsid w:val="001C40F1"/>
    <w:rsid w:val="001C5776"/>
    <w:rsid w:val="001D01A8"/>
    <w:rsid w:val="001D0D46"/>
    <w:rsid w:val="001D2B65"/>
    <w:rsid w:val="001D7BC6"/>
    <w:rsid w:val="001E17E1"/>
    <w:rsid w:val="001E57BC"/>
    <w:rsid w:val="001F22AA"/>
    <w:rsid w:val="001F35FD"/>
    <w:rsid w:val="001F52B6"/>
    <w:rsid w:val="001F5F78"/>
    <w:rsid w:val="00200931"/>
    <w:rsid w:val="002034D8"/>
    <w:rsid w:val="00206265"/>
    <w:rsid w:val="002129ED"/>
    <w:rsid w:val="00213802"/>
    <w:rsid w:val="002141B6"/>
    <w:rsid w:val="002150CB"/>
    <w:rsid w:val="00216981"/>
    <w:rsid w:val="002179DD"/>
    <w:rsid w:val="0022089E"/>
    <w:rsid w:val="00224543"/>
    <w:rsid w:val="00227661"/>
    <w:rsid w:val="00227C71"/>
    <w:rsid w:val="00232953"/>
    <w:rsid w:val="0024050B"/>
    <w:rsid w:val="0024318F"/>
    <w:rsid w:val="00243C5D"/>
    <w:rsid w:val="00250EBC"/>
    <w:rsid w:val="00252F4F"/>
    <w:rsid w:val="00260CC0"/>
    <w:rsid w:val="00261B0E"/>
    <w:rsid w:val="00262C10"/>
    <w:rsid w:val="00267D77"/>
    <w:rsid w:val="00270484"/>
    <w:rsid w:val="002718FF"/>
    <w:rsid w:val="00276DE5"/>
    <w:rsid w:val="002807F4"/>
    <w:rsid w:val="00287080"/>
    <w:rsid w:val="002926F1"/>
    <w:rsid w:val="002975DD"/>
    <w:rsid w:val="002A2EA9"/>
    <w:rsid w:val="002A57DA"/>
    <w:rsid w:val="002A6628"/>
    <w:rsid w:val="002A77D9"/>
    <w:rsid w:val="002A7EEB"/>
    <w:rsid w:val="002B67B5"/>
    <w:rsid w:val="002B7232"/>
    <w:rsid w:val="002C627A"/>
    <w:rsid w:val="002D0124"/>
    <w:rsid w:val="002D353A"/>
    <w:rsid w:val="002D69B3"/>
    <w:rsid w:val="002E29F5"/>
    <w:rsid w:val="002F2280"/>
    <w:rsid w:val="002F4C2F"/>
    <w:rsid w:val="002F6D03"/>
    <w:rsid w:val="003039A3"/>
    <w:rsid w:val="00312B02"/>
    <w:rsid w:val="00316EF7"/>
    <w:rsid w:val="00317BA9"/>
    <w:rsid w:val="00327E0D"/>
    <w:rsid w:val="0033546A"/>
    <w:rsid w:val="00341845"/>
    <w:rsid w:val="00344359"/>
    <w:rsid w:val="003453AE"/>
    <w:rsid w:val="003525A8"/>
    <w:rsid w:val="0035788E"/>
    <w:rsid w:val="00357F93"/>
    <w:rsid w:val="00364020"/>
    <w:rsid w:val="003662A4"/>
    <w:rsid w:val="00370AC2"/>
    <w:rsid w:val="00372D40"/>
    <w:rsid w:val="003737A5"/>
    <w:rsid w:val="0037552A"/>
    <w:rsid w:val="00377547"/>
    <w:rsid w:val="0038013A"/>
    <w:rsid w:val="00382100"/>
    <w:rsid w:val="00386668"/>
    <w:rsid w:val="00395666"/>
    <w:rsid w:val="003A08AC"/>
    <w:rsid w:val="003A464E"/>
    <w:rsid w:val="003A6D5C"/>
    <w:rsid w:val="003B12D3"/>
    <w:rsid w:val="003B40A1"/>
    <w:rsid w:val="003C0D6F"/>
    <w:rsid w:val="003C7D03"/>
    <w:rsid w:val="003D231C"/>
    <w:rsid w:val="003D6852"/>
    <w:rsid w:val="003E07AA"/>
    <w:rsid w:val="003E5FE4"/>
    <w:rsid w:val="003E6CD2"/>
    <w:rsid w:val="003F59CE"/>
    <w:rsid w:val="003F6C63"/>
    <w:rsid w:val="003F6EB8"/>
    <w:rsid w:val="003F73C6"/>
    <w:rsid w:val="00400B42"/>
    <w:rsid w:val="004019CF"/>
    <w:rsid w:val="0040479F"/>
    <w:rsid w:val="00413525"/>
    <w:rsid w:val="004253BB"/>
    <w:rsid w:val="00425419"/>
    <w:rsid w:val="00425DB8"/>
    <w:rsid w:val="004300E2"/>
    <w:rsid w:val="004349AB"/>
    <w:rsid w:val="00434DCA"/>
    <w:rsid w:val="00437324"/>
    <w:rsid w:val="00437ED7"/>
    <w:rsid w:val="00445FB7"/>
    <w:rsid w:val="00453390"/>
    <w:rsid w:val="00457B52"/>
    <w:rsid w:val="004642F6"/>
    <w:rsid w:val="00464F20"/>
    <w:rsid w:val="00466CC1"/>
    <w:rsid w:val="004679D3"/>
    <w:rsid w:val="00472454"/>
    <w:rsid w:val="004734B5"/>
    <w:rsid w:val="004875CC"/>
    <w:rsid w:val="0049051C"/>
    <w:rsid w:val="00493D0B"/>
    <w:rsid w:val="00495A69"/>
    <w:rsid w:val="004A2156"/>
    <w:rsid w:val="004A4F79"/>
    <w:rsid w:val="004C045F"/>
    <w:rsid w:val="004C4132"/>
    <w:rsid w:val="004C70EB"/>
    <w:rsid w:val="004D05E6"/>
    <w:rsid w:val="004E0349"/>
    <w:rsid w:val="004E1E12"/>
    <w:rsid w:val="004F1406"/>
    <w:rsid w:val="004F161C"/>
    <w:rsid w:val="004F274C"/>
    <w:rsid w:val="0050034B"/>
    <w:rsid w:val="00505ACD"/>
    <w:rsid w:val="00505F9B"/>
    <w:rsid w:val="005107F1"/>
    <w:rsid w:val="0051284D"/>
    <w:rsid w:val="0051725D"/>
    <w:rsid w:val="005202DD"/>
    <w:rsid w:val="005218FF"/>
    <w:rsid w:val="00521BAE"/>
    <w:rsid w:val="00524332"/>
    <w:rsid w:val="00534021"/>
    <w:rsid w:val="00535756"/>
    <w:rsid w:val="00540E45"/>
    <w:rsid w:val="00541D90"/>
    <w:rsid w:val="00542B5F"/>
    <w:rsid w:val="00544727"/>
    <w:rsid w:val="005504E4"/>
    <w:rsid w:val="00553F54"/>
    <w:rsid w:val="00556383"/>
    <w:rsid w:val="005600B4"/>
    <w:rsid w:val="00561979"/>
    <w:rsid w:val="00563462"/>
    <w:rsid w:val="005711C1"/>
    <w:rsid w:val="005834B0"/>
    <w:rsid w:val="00586D8B"/>
    <w:rsid w:val="00587B46"/>
    <w:rsid w:val="00587D62"/>
    <w:rsid w:val="005A111B"/>
    <w:rsid w:val="005B1444"/>
    <w:rsid w:val="005B42A1"/>
    <w:rsid w:val="005B6710"/>
    <w:rsid w:val="005B7296"/>
    <w:rsid w:val="005C2AFE"/>
    <w:rsid w:val="005C3A12"/>
    <w:rsid w:val="005C3E54"/>
    <w:rsid w:val="005C4073"/>
    <w:rsid w:val="005C6C05"/>
    <w:rsid w:val="005D00DF"/>
    <w:rsid w:val="005D0A14"/>
    <w:rsid w:val="005D50D2"/>
    <w:rsid w:val="005E575A"/>
    <w:rsid w:val="005E5AEC"/>
    <w:rsid w:val="005F6ACD"/>
    <w:rsid w:val="00602967"/>
    <w:rsid w:val="00606D91"/>
    <w:rsid w:val="006112B0"/>
    <w:rsid w:val="006132D4"/>
    <w:rsid w:val="00615000"/>
    <w:rsid w:val="006201B1"/>
    <w:rsid w:val="00620A8D"/>
    <w:rsid w:val="006217E6"/>
    <w:rsid w:val="00621A86"/>
    <w:rsid w:val="006265E9"/>
    <w:rsid w:val="006269C1"/>
    <w:rsid w:val="00650305"/>
    <w:rsid w:val="00650E65"/>
    <w:rsid w:val="006548F0"/>
    <w:rsid w:val="0065699A"/>
    <w:rsid w:val="006648E5"/>
    <w:rsid w:val="00672972"/>
    <w:rsid w:val="00672C95"/>
    <w:rsid w:val="006807B7"/>
    <w:rsid w:val="0068407A"/>
    <w:rsid w:val="00693028"/>
    <w:rsid w:val="006A3A29"/>
    <w:rsid w:val="006A42BD"/>
    <w:rsid w:val="006A5B5E"/>
    <w:rsid w:val="006B2809"/>
    <w:rsid w:val="006B69A2"/>
    <w:rsid w:val="006B7EB9"/>
    <w:rsid w:val="006C023D"/>
    <w:rsid w:val="006C1A67"/>
    <w:rsid w:val="006C5F8A"/>
    <w:rsid w:val="006C751E"/>
    <w:rsid w:val="006D2142"/>
    <w:rsid w:val="006D3465"/>
    <w:rsid w:val="006D4B10"/>
    <w:rsid w:val="006D6511"/>
    <w:rsid w:val="006D7240"/>
    <w:rsid w:val="006E0C56"/>
    <w:rsid w:val="006E21CA"/>
    <w:rsid w:val="006E4F5C"/>
    <w:rsid w:val="006E7869"/>
    <w:rsid w:val="006F50CA"/>
    <w:rsid w:val="006F5236"/>
    <w:rsid w:val="00706E1A"/>
    <w:rsid w:val="00707F63"/>
    <w:rsid w:val="00710605"/>
    <w:rsid w:val="0071076E"/>
    <w:rsid w:val="0071544B"/>
    <w:rsid w:val="00722245"/>
    <w:rsid w:val="00724028"/>
    <w:rsid w:val="00726870"/>
    <w:rsid w:val="00734C43"/>
    <w:rsid w:val="00734C73"/>
    <w:rsid w:val="00734FD4"/>
    <w:rsid w:val="00746139"/>
    <w:rsid w:val="00746A7F"/>
    <w:rsid w:val="0075524F"/>
    <w:rsid w:val="00757C8B"/>
    <w:rsid w:val="00761760"/>
    <w:rsid w:val="00770B4A"/>
    <w:rsid w:val="00771633"/>
    <w:rsid w:val="0078785C"/>
    <w:rsid w:val="00790BC0"/>
    <w:rsid w:val="0079365C"/>
    <w:rsid w:val="00795CC3"/>
    <w:rsid w:val="007A17A9"/>
    <w:rsid w:val="007A5BD6"/>
    <w:rsid w:val="007B3821"/>
    <w:rsid w:val="007B643E"/>
    <w:rsid w:val="007B73CC"/>
    <w:rsid w:val="007B7B10"/>
    <w:rsid w:val="007C3838"/>
    <w:rsid w:val="007C75D2"/>
    <w:rsid w:val="007C7617"/>
    <w:rsid w:val="007D5C0E"/>
    <w:rsid w:val="007E2842"/>
    <w:rsid w:val="007E6BA2"/>
    <w:rsid w:val="007E7BAF"/>
    <w:rsid w:val="007E7F0F"/>
    <w:rsid w:val="007F03AC"/>
    <w:rsid w:val="007F1231"/>
    <w:rsid w:val="007F1AE7"/>
    <w:rsid w:val="007F2CB3"/>
    <w:rsid w:val="007F5E58"/>
    <w:rsid w:val="008024D4"/>
    <w:rsid w:val="00810A1A"/>
    <w:rsid w:val="00813A86"/>
    <w:rsid w:val="008146DB"/>
    <w:rsid w:val="0081625B"/>
    <w:rsid w:val="00816E71"/>
    <w:rsid w:val="00817615"/>
    <w:rsid w:val="00820737"/>
    <w:rsid w:val="008332FB"/>
    <w:rsid w:val="00834BE8"/>
    <w:rsid w:val="00834C04"/>
    <w:rsid w:val="00834CB4"/>
    <w:rsid w:val="0083714E"/>
    <w:rsid w:val="00837883"/>
    <w:rsid w:val="008431D9"/>
    <w:rsid w:val="00854CF2"/>
    <w:rsid w:val="008563E1"/>
    <w:rsid w:val="00857409"/>
    <w:rsid w:val="00861C64"/>
    <w:rsid w:val="00864312"/>
    <w:rsid w:val="00864AB2"/>
    <w:rsid w:val="008725E5"/>
    <w:rsid w:val="0088200A"/>
    <w:rsid w:val="00894551"/>
    <w:rsid w:val="00895C51"/>
    <w:rsid w:val="008A7949"/>
    <w:rsid w:val="008B1203"/>
    <w:rsid w:val="008B4BFE"/>
    <w:rsid w:val="008B6367"/>
    <w:rsid w:val="008B6B3E"/>
    <w:rsid w:val="008B7D5B"/>
    <w:rsid w:val="008D3C7D"/>
    <w:rsid w:val="008E3070"/>
    <w:rsid w:val="008E6775"/>
    <w:rsid w:val="009023CE"/>
    <w:rsid w:val="009058B8"/>
    <w:rsid w:val="00911CC0"/>
    <w:rsid w:val="00911D7C"/>
    <w:rsid w:val="009138B0"/>
    <w:rsid w:val="00924204"/>
    <w:rsid w:val="009269B3"/>
    <w:rsid w:val="00930108"/>
    <w:rsid w:val="009301EB"/>
    <w:rsid w:val="0093103A"/>
    <w:rsid w:val="0093395A"/>
    <w:rsid w:val="0093475F"/>
    <w:rsid w:val="009355F7"/>
    <w:rsid w:val="0093595C"/>
    <w:rsid w:val="00935F3F"/>
    <w:rsid w:val="00944AA8"/>
    <w:rsid w:val="00961028"/>
    <w:rsid w:val="0097024A"/>
    <w:rsid w:val="00987278"/>
    <w:rsid w:val="00992635"/>
    <w:rsid w:val="00997FC3"/>
    <w:rsid w:val="009A15CA"/>
    <w:rsid w:val="009A5606"/>
    <w:rsid w:val="009B4AD9"/>
    <w:rsid w:val="009B624A"/>
    <w:rsid w:val="009C6789"/>
    <w:rsid w:val="009C6C91"/>
    <w:rsid w:val="009E122C"/>
    <w:rsid w:val="009E28A5"/>
    <w:rsid w:val="009E4F35"/>
    <w:rsid w:val="009E501C"/>
    <w:rsid w:val="009F08CB"/>
    <w:rsid w:val="009F092D"/>
    <w:rsid w:val="009F0C85"/>
    <w:rsid w:val="009F2BFC"/>
    <w:rsid w:val="009F5CA7"/>
    <w:rsid w:val="00A02D5D"/>
    <w:rsid w:val="00A06B84"/>
    <w:rsid w:val="00A1057E"/>
    <w:rsid w:val="00A1211B"/>
    <w:rsid w:val="00A1278F"/>
    <w:rsid w:val="00A15836"/>
    <w:rsid w:val="00A20F19"/>
    <w:rsid w:val="00A22157"/>
    <w:rsid w:val="00A31A0E"/>
    <w:rsid w:val="00A4070B"/>
    <w:rsid w:val="00A40EAA"/>
    <w:rsid w:val="00A57940"/>
    <w:rsid w:val="00A71659"/>
    <w:rsid w:val="00A72A6A"/>
    <w:rsid w:val="00A82615"/>
    <w:rsid w:val="00A843EA"/>
    <w:rsid w:val="00A868F0"/>
    <w:rsid w:val="00A9326F"/>
    <w:rsid w:val="00A9524B"/>
    <w:rsid w:val="00A956B8"/>
    <w:rsid w:val="00AA13C5"/>
    <w:rsid w:val="00AA3332"/>
    <w:rsid w:val="00AA3570"/>
    <w:rsid w:val="00AA3A3A"/>
    <w:rsid w:val="00AB1154"/>
    <w:rsid w:val="00AB1F5B"/>
    <w:rsid w:val="00AB3DC4"/>
    <w:rsid w:val="00AB604C"/>
    <w:rsid w:val="00AB6924"/>
    <w:rsid w:val="00AC6C0E"/>
    <w:rsid w:val="00AD085B"/>
    <w:rsid w:val="00AD2600"/>
    <w:rsid w:val="00AD699A"/>
    <w:rsid w:val="00AE065E"/>
    <w:rsid w:val="00AE632B"/>
    <w:rsid w:val="00AF0113"/>
    <w:rsid w:val="00AF281C"/>
    <w:rsid w:val="00AF2AA4"/>
    <w:rsid w:val="00AF6F11"/>
    <w:rsid w:val="00B0156D"/>
    <w:rsid w:val="00B045A7"/>
    <w:rsid w:val="00B07645"/>
    <w:rsid w:val="00B076C1"/>
    <w:rsid w:val="00B11E5A"/>
    <w:rsid w:val="00B227CD"/>
    <w:rsid w:val="00B22C44"/>
    <w:rsid w:val="00B27CC9"/>
    <w:rsid w:val="00B306FB"/>
    <w:rsid w:val="00B35979"/>
    <w:rsid w:val="00B35AAD"/>
    <w:rsid w:val="00B40DEE"/>
    <w:rsid w:val="00B41A47"/>
    <w:rsid w:val="00B50B96"/>
    <w:rsid w:val="00B54283"/>
    <w:rsid w:val="00B55A9E"/>
    <w:rsid w:val="00B610B9"/>
    <w:rsid w:val="00B620DC"/>
    <w:rsid w:val="00B6405C"/>
    <w:rsid w:val="00B70D7C"/>
    <w:rsid w:val="00B71B66"/>
    <w:rsid w:val="00B80539"/>
    <w:rsid w:val="00B81932"/>
    <w:rsid w:val="00B82DBF"/>
    <w:rsid w:val="00B9177A"/>
    <w:rsid w:val="00B941CD"/>
    <w:rsid w:val="00BA06D8"/>
    <w:rsid w:val="00BA4E81"/>
    <w:rsid w:val="00BB1F0E"/>
    <w:rsid w:val="00BB3159"/>
    <w:rsid w:val="00BC2127"/>
    <w:rsid w:val="00BC498A"/>
    <w:rsid w:val="00BD1779"/>
    <w:rsid w:val="00BD2BAB"/>
    <w:rsid w:val="00BD520B"/>
    <w:rsid w:val="00BD7931"/>
    <w:rsid w:val="00BD7BF6"/>
    <w:rsid w:val="00BE6C90"/>
    <w:rsid w:val="00BF0DE3"/>
    <w:rsid w:val="00BF10DD"/>
    <w:rsid w:val="00BF247F"/>
    <w:rsid w:val="00BF2C7D"/>
    <w:rsid w:val="00BF5D91"/>
    <w:rsid w:val="00C00996"/>
    <w:rsid w:val="00C02CA9"/>
    <w:rsid w:val="00C04031"/>
    <w:rsid w:val="00C133BB"/>
    <w:rsid w:val="00C133E4"/>
    <w:rsid w:val="00C14B15"/>
    <w:rsid w:val="00C15BC6"/>
    <w:rsid w:val="00C17FA3"/>
    <w:rsid w:val="00C204B5"/>
    <w:rsid w:val="00C2299E"/>
    <w:rsid w:val="00C2379A"/>
    <w:rsid w:val="00C241C3"/>
    <w:rsid w:val="00C24B24"/>
    <w:rsid w:val="00C32E92"/>
    <w:rsid w:val="00C41056"/>
    <w:rsid w:val="00C47CEE"/>
    <w:rsid w:val="00C524ED"/>
    <w:rsid w:val="00C62979"/>
    <w:rsid w:val="00C63306"/>
    <w:rsid w:val="00C6538F"/>
    <w:rsid w:val="00C71E31"/>
    <w:rsid w:val="00C7220F"/>
    <w:rsid w:val="00C74196"/>
    <w:rsid w:val="00C77531"/>
    <w:rsid w:val="00C876CD"/>
    <w:rsid w:val="00C8797E"/>
    <w:rsid w:val="00C91EE5"/>
    <w:rsid w:val="00C93370"/>
    <w:rsid w:val="00C93797"/>
    <w:rsid w:val="00C955B8"/>
    <w:rsid w:val="00C976B5"/>
    <w:rsid w:val="00C97F31"/>
    <w:rsid w:val="00CA01D7"/>
    <w:rsid w:val="00CA09C9"/>
    <w:rsid w:val="00CA54FA"/>
    <w:rsid w:val="00CA76A6"/>
    <w:rsid w:val="00CB3947"/>
    <w:rsid w:val="00CC047C"/>
    <w:rsid w:val="00CC64E6"/>
    <w:rsid w:val="00CC75B0"/>
    <w:rsid w:val="00CD7501"/>
    <w:rsid w:val="00CE053E"/>
    <w:rsid w:val="00CE6E9A"/>
    <w:rsid w:val="00CF2DEA"/>
    <w:rsid w:val="00CF776B"/>
    <w:rsid w:val="00CF7DEB"/>
    <w:rsid w:val="00D012FC"/>
    <w:rsid w:val="00D01F26"/>
    <w:rsid w:val="00D10860"/>
    <w:rsid w:val="00D1279D"/>
    <w:rsid w:val="00D144A7"/>
    <w:rsid w:val="00D21C5F"/>
    <w:rsid w:val="00D22783"/>
    <w:rsid w:val="00D23F26"/>
    <w:rsid w:val="00D273C8"/>
    <w:rsid w:val="00D27C9E"/>
    <w:rsid w:val="00D31A00"/>
    <w:rsid w:val="00D32332"/>
    <w:rsid w:val="00D36DB2"/>
    <w:rsid w:val="00D377A1"/>
    <w:rsid w:val="00D4636F"/>
    <w:rsid w:val="00D464CE"/>
    <w:rsid w:val="00D50116"/>
    <w:rsid w:val="00D51611"/>
    <w:rsid w:val="00D71F9D"/>
    <w:rsid w:val="00D739D7"/>
    <w:rsid w:val="00D74CAC"/>
    <w:rsid w:val="00D82A07"/>
    <w:rsid w:val="00D8325C"/>
    <w:rsid w:val="00D91394"/>
    <w:rsid w:val="00D91C0D"/>
    <w:rsid w:val="00D95B36"/>
    <w:rsid w:val="00DB04DA"/>
    <w:rsid w:val="00DB3A21"/>
    <w:rsid w:val="00DC4463"/>
    <w:rsid w:val="00DE1C4C"/>
    <w:rsid w:val="00DE6020"/>
    <w:rsid w:val="00DF23A1"/>
    <w:rsid w:val="00DF3B0B"/>
    <w:rsid w:val="00DF4FFE"/>
    <w:rsid w:val="00E015A9"/>
    <w:rsid w:val="00E0506C"/>
    <w:rsid w:val="00E050EE"/>
    <w:rsid w:val="00E0591C"/>
    <w:rsid w:val="00E06ED8"/>
    <w:rsid w:val="00E1544C"/>
    <w:rsid w:val="00E20AE3"/>
    <w:rsid w:val="00E22449"/>
    <w:rsid w:val="00E237FE"/>
    <w:rsid w:val="00E318F3"/>
    <w:rsid w:val="00E31E40"/>
    <w:rsid w:val="00E31E7A"/>
    <w:rsid w:val="00E3426F"/>
    <w:rsid w:val="00E34E4D"/>
    <w:rsid w:val="00E36BAC"/>
    <w:rsid w:val="00E4286B"/>
    <w:rsid w:val="00E44861"/>
    <w:rsid w:val="00E53ED7"/>
    <w:rsid w:val="00E54CA4"/>
    <w:rsid w:val="00E5794D"/>
    <w:rsid w:val="00E61626"/>
    <w:rsid w:val="00E70B75"/>
    <w:rsid w:val="00E70ED4"/>
    <w:rsid w:val="00E710C0"/>
    <w:rsid w:val="00E7423D"/>
    <w:rsid w:val="00E77A5C"/>
    <w:rsid w:val="00E814E5"/>
    <w:rsid w:val="00E84E96"/>
    <w:rsid w:val="00E86701"/>
    <w:rsid w:val="00E873AE"/>
    <w:rsid w:val="00E87FE4"/>
    <w:rsid w:val="00E9442F"/>
    <w:rsid w:val="00EA1F16"/>
    <w:rsid w:val="00EA6A7B"/>
    <w:rsid w:val="00EB090D"/>
    <w:rsid w:val="00EB5663"/>
    <w:rsid w:val="00EC17A3"/>
    <w:rsid w:val="00EC1B9F"/>
    <w:rsid w:val="00ED02F5"/>
    <w:rsid w:val="00ED5ED7"/>
    <w:rsid w:val="00ED60A0"/>
    <w:rsid w:val="00ED7C29"/>
    <w:rsid w:val="00EE04EF"/>
    <w:rsid w:val="00EE46BD"/>
    <w:rsid w:val="00EF20B7"/>
    <w:rsid w:val="00EF52FD"/>
    <w:rsid w:val="00EF5F09"/>
    <w:rsid w:val="00EF64B7"/>
    <w:rsid w:val="00EF723B"/>
    <w:rsid w:val="00EF7DAC"/>
    <w:rsid w:val="00F0129C"/>
    <w:rsid w:val="00F10C19"/>
    <w:rsid w:val="00F158B0"/>
    <w:rsid w:val="00F16EBD"/>
    <w:rsid w:val="00F263DA"/>
    <w:rsid w:val="00F27C6A"/>
    <w:rsid w:val="00F3055B"/>
    <w:rsid w:val="00F316BB"/>
    <w:rsid w:val="00F34F99"/>
    <w:rsid w:val="00F35B4A"/>
    <w:rsid w:val="00F470E6"/>
    <w:rsid w:val="00F50828"/>
    <w:rsid w:val="00F512E6"/>
    <w:rsid w:val="00F5150D"/>
    <w:rsid w:val="00F51CD5"/>
    <w:rsid w:val="00F53C6F"/>
    <w:rsid w:val="00F66A46"/>
    <w:rsid w:val="00F70804"/>
    <w:rsid w:val="00F71342"/>
    <w:rsid w:val="00F743E6"/>
    <w:rsid w:val="00F74997"/>
    <w:rsid w:val="00F80D88"/>
    <w:rsid w:val="00F830B3"/>
    <w:rsid w:val="00F85F14"/>
    <w:rsid w:val="00F873B8"/>
    <w:rsid w:val="00F9166D"/>
    <w:rsid w:val="00FA32EC"/>
    <w:rsid w:val="00FA3F18"/>
    <w:rsid w:val="00FB0AB9"/>
    <w:rsid w:val="00FB196F"/>
    <w:rsid w:val="00FB674A"/>
    <w:rsid w:val="00FC5A2A"/>
    <w:rsid w:val="00FD2CED"/>
    <w:rsid w:val="00FD607E"/>
    <w:rsid w:val="00FD6639"/>
    <w:rsid w:val="00FD68E1"/>
    <w:rsid w:val="00FF0241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E727EB1-30E4-4095-86E9-83DE00F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C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9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95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9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9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95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95F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C41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4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9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4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95F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0A4A2B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character" w:customStyle="1" w:styleId="PlainTextChar">
    <w:name w:val="Plain Text Char"/>
    <w:uiPriority w:val="99"/>
    <w:locked/>
    <w:rsid w:val="00ED02F5"/>
    <w:rPr>
      <w:rFonts w:ascii="Calibri" w:hAnsi="Calibri"/>
    </w:rPr>
  </w:style>
  <w:style w:type="paragraph" w:styleId="PlainText">
    <w:name w:val="Plain Text"/>
    <w:basedOn w:val="Normal"/>
    <w:link w:val="PlainTextChar1"/>
    <w:uiPriority w:val="99"/>
    <w:rsid w:val="00ED02F5"/>
    <w:rPr>
      <w:rFonts w:ascii="Calibri" w:hAnsi="Calibri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0395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28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28929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Ministry of Justice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pharlow</dc:creator>
  <cp:keywords/>
  <dc:description/>
  <cp:lastModifiedBy>Watson, Laura</cp:lastModifiedBy>
  <cp:revision>2</cp:revision>
  <cp:lastPrinted>2015-11-05T10:45:00Z</cp:lastPrinted>
  <dcterms:created xsi:type="dcterms:W3CDTF">2016-01-18T16:06:00Z</dcterms:created>
  <dcterms:modified xsi:type="dcterms:W3CDTF">2016-01-18T16:06:00Z</dcterms:modified>
</cp:coreProperties>
</file>