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2A27C" w14:textId="176406DB" w:rsidR="003C5600" w:rsidRPr="004026B4" w:rsidRDefault="00593497" w:rsidP="00593497">
      <w:pPr>
        <w:pStyle w:val="TitleNOsubtitle"/>
      </w:pPr>
      <w:r w:rsidRPr="00593497">
        <w:t xml:space="preserve">How well are further education and skills providers implementing the </w:t>
      </w:r>
      <w:r w:rsidR="00C5048D">
        <w:t>‘Prevent’</w:t>
      </w:r>
      <w:r w:rsidRPr="00593497">
        <w:t xml:space="preserve"> duty?</w:t>
      </w:r>
    </w:p>
    <w:p w14:paraId="40904B0F" w14:textId="40C3241D" w:rsidR="00593497" w:rsidRPr="00B84539" w:rsidRDefault="00593497" w:rsidP="00B84539">
      <w:pPr>
        <w:pStyle w:val="Summary"/>
      </w:pPr>
      <w:r w:rsidRPr="00B84539">
        <w:t xml:space="preserve">The government published the </w:t>
      </w:r>
      <w:r w:rsidR="00C5048D" w:rsidRPr="00B84539">
        <w:t>‘Prevent’</w:t>
      </w:r>
      <w:r w:rsidRPr="00B84539">
        <w:t xml:space="preserve"> strategy in 2011 as part of its overall counter-terrorism strategy, CONTEST. </w:t>
      </w:r>
      <w:r w:rsidR="00C5048D" w:rsidRPr="00B84539">
        <w:t>‘Prevent’</w:t>
      </w:r>
      <w:r w:rsidRPr="00B84539">
        <w:t xml:space="preserve"> duty guidance, first published in February 2015, </w:t>
      </w:r>
      <w:proofErr w:type="gramStart"/>
      <w:r w:rsidRPr="00B84539">
        <w:t>was</w:t>
      </w:r>
      <w:proofErr w:type="gramEnd"/>
      <w:r w:rsidRPr="00B84539">
        <w:t xml:space="preserve"> </w:t>
      </w:r>
      <w:r w:rsidR="00397B6B" w:rsidRPr="00B84539">
        <w:t xml:space="preserve">put into place </w:t>
      </w:r>
      <w:r w:rsidRPr="00B84539">
        <w:t xml:space="preserve">in the further education and skills sector on </w:t>
      </w:r>
      <w:r w:rsidR="008942A0" w:rsidRPr="00B84539">
        <w:t>18</w:t>
      </w:r>
      <w:r w:rsidRPr="00B84539">
        <w:t xml:space="preserve"> September 2015. As a result, all further education and skills providers in England must have </w:t>
      </w:r>
      <w:r w:rsidR="003F11EA" w:rsidRPr="00B84539">
        <w:t>‘</w:t>
      </w:r>
      <w:r w:rsidRPr="00B84539">
        <w:t>due regard</w:t>
      </w:r>
      <w:r w:rsidR="003F11EA" w:rsidRPr="00B84539">
        <w:t>’</w:t>
      </w:r>
      <w:r w:rsidRPr="00B84539">
        <w:t xml:space="preserve"> to the need to </w:t>
      </w:r>
      <w:r w:rsidR="003F11EA" w:rsidRPr="00B84539">
        <w:t>‘P</w:t>
      </w:r>
      <w:r w:rsidRPr="00B84539">
        <w:t>revent</w:t>
      </w:r>
      <w:r w:rsidR="003F11EA" w:rsidRPr="00B84539">
        <w:t>’</w:t>
      </w:r>
      <w:r w:rsidRPr="00B84539">
        <w:t xml:space="preserve"> people from being drawn into terrorism. </w:t>
      </w:r>
      <w:r w:rsidR="00A12145" w:rsidRPr="00B84539">
        <w:t>The</w:t>
      </w:r>
      <w:r w:rsidR="00753BBA" w:rsidRPr="00B84539">
        <w:t>refore,</w:t>
      </w:r>
      <w:r w:rsidR="00A12145" w:rsidRPr="00B84539">
        <w:t xml:space="preserve"> 2015/16 is the first </w:t>
      </w:r>
      <w:r w:rsidR="00753BBA" w:rsidRPr="00B84539">
        <w:t xml:space="preserve">academic </w:t>
      </w:r>
      <w:r w:rsidR="00A12145" w:rsidRPr="00B84539">
        <w:t xml:space="preserve">year of </w:t>
      </w:r>
      <w:r w:rsidR="00EA434A" w:rsidRPr="00B84539">
        <w:t>the duty</w:t>
      </w:r>
      <w:r w:rsidR="00397B6B" w:rsidRPr="00B84539">
        <w:t xml:space="preserve"> being</w:t>
      </w:r>
      <w:r w:rsidR="00DE0440" w:rsidRPr="00B84539">
        <w:t xml:space="preserve"> put</w:t>
      </w:r>
      <w:r w:rsidR="00397B6B" w:rsidRPr="00B84539">
        <w:t xml:space="preserve"> in</w:t>
      </w:r>
      <w:r w:rsidR="00DE0440" w:rsidRPr="00B84539">
        <w:t>to</w:t>
      </w:r>
      <w:r w:rsidR="00397B6B" w:rsidRPr="00B84539">
        <w:t xml:space="preserve"> p</w:t>
      </w:r>
      <w:r w:rsidR="00DE0440" w:rsidRPr="00B84539">
        <w:t>racti</w:t>
      </w:r>
      <w:r w:rsidR="00397B6B" w:rsidRPr="00B84539">
        <w:t>ce</w:t>
      </w:r>
      <w:r w:rsidR="00F207D9" w:rsidRPr="00B84539">
        <w:t xml:space="preserve"> formally</w:t>
      </w:r>
      <w:r w:rsidR="00A12145" w:rsidRPr="00B84539">
        <w:t>.</w:t>
      </w:r>
    </w:p>
    <w:p w14:paraId="7A9C5A62" w14:textId="77777777" w:rsidR="00593497" w:rsidRPr="00B84539" w:rsidRDefault="00593497" w:rsidP="00B84539">
      <w:pPr>
        <w:pStyle w:val="Summary"/>
      </w:pPr>
    </w:p>
    <w:p w14:paraId="5B445CEF" w14:textId="1EA6BE0C" w:rsidR="00593497" w:rsidRPr="00B84539" w:rsidRDefault="00593497" w:rsidP="00B84539">
      <w:pPr>
        <w:pStyle w:val="Summary"/>
      </w:pPr>
      <w:r w:rsidRPr="00B84539">
        <w:t xml:space="preserve">The purpose of this survey was to evaluate how well further education and skills providers are implementing the </w:t>
      </w:r>
      <w:r w:rsidR="00C5048D" w:rsidRPr="00B84539">
        <w:t>‘Prevent’</w:t>
      </w:r>
      <w:r w:rsidRPr="00B84539">
        <w:t xml:space="preserve"> duty in its first year, and to assess the impact of the work being done to protect learners from those who wish to promote extremism. Her Majesty’s Inspectors carried out the fieldwork for this survey between November 2015 and </w:t>
      </w:r>
      <w:r w:rsidR="00015D6E" w:rsidRPr="00B84539">
        <w:t>May</w:t>
      </w:r>
      <w:r w:rsidRPr="00B84539">
        <w:t xml:space="preserve"> 2016.</w:t>
      </w:r>
    </w:p>
    <w:p w14:paraId="68AE1610" w14:textId="6DFB6EAF" w:rsidR="00542C27" w:rsidRDefault="00542C27" w:rsidP="00542C27">
      <w:pPr>
        <w:pStyle w:val="CoverStats"/>
        <w:spacing w:before="4536"/>
      </w:pPr>
      <w:r w:rsidRPr="00AB22BC">
        <w:rPr>
          <w:rStyle w:val="StyleCoverStatsBoldChar"/>
        </w:rPr>
        <w:t>Age group:</w:t>
      </w:r>
      <w:r>
        <w:t xml:space="preserve"> </w:t>
      </w:r>
      <w:r w:rsidR="00084715">
        <w:t>Post-16</w:t>
      </w:r>
    </w:p>
    <w:p w14:paraId="79914A76" w14:textId="6EDEA145" w:rsidR="003C5600" w:rsidRDefault="003C5600" w:rsidP="003C5600">
      <w:pPr>
        <w:pStyle w:val="CoverStats"/>
      </w:pPr>
      <w:r w:rsidRPr="00AB22BC">
        <w:rPr>
          <w:rStyle w:val="StyleCoverStatsBoldChar"/>
        </w:rPr>
        <w:t>Published:</w:t>
      </w:r>
      <w:r w:rsidR="007B340C">
        <w:t xml:space="preserve"> </w:t>
      </w:r>
      <w:r w:rsidR="00E7448E">
        <w:t>Ju</w:t>
      </w:r>
      <w:r w:rsidR="004F28AB">
        <w:t>ly</w:t>
      </w:r>
      <w:r w:rsidR="00E7448E">
        <w:t xml:space="preserve"> 2016</w:t>
      </w:r>
    </w:p>
    <w:p w14:paraId="55E28B39" w14:textId="64BD0213"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B84539">
        <w:t>160041</w:t>
      </w:r>
    </w:p>
    <w:p w14:paraId="6F03FB5F" w14:textId="77777777" w:rsidR="00EB2E3E" w:rsidRDefault="00EB2E3E" w:rsidP="003C5600">
      <w:pPr>
        <w:pStyle w:val="Unnumberedparagraph"/>
        <w:spacing w:after="0"/>
        <w:sectPr w:rsidR="00EB2E3E" w:rsidSect="0071679F">
          <w:headerReference w:type="even" r:id="rId10"/>
          <w:headerReference w:type="default" r:id="rId11"/>
          <w:footerReference w:type="even" r:id="rId12"/>
          <w:footerReference w:type="default" r:id="rId13"/>
          <w:headerReference w:type="first" r:id="rId14"/>
          <w:footerReference w:type="first" r:id="rId15"/>
          <w:pgSz w:w="11906" w:h="16838" w:code="9"/>
          <w:pgMar w:top="2438" w:right="1418" w:bottom="1134" w:left="1418" w:header="567" w:footer="567" w:gutter="0"/>
          <w:cols w:space="708"/>
          <w:docGrid w:linePitch="360"/>
        </w:sectPr>
      </w:pPr>
    </w:p>
    <w:p w14:paraId="06CF5A69" w14:textId="77777777" w:rsidR="003C5600" w:rsidRDefault="003C5600" w:rsidP="003C5600">
      <w:pPr>
        <w:pStyle w:val="Unnumberedparagraph"/>
        <w:spacing w:after="0"/>
      </w:pPr>
    </w:p>
    <w:p w14:paraId="5BCC1B06" w14:textId="77777777" w:rsidR="002E55A9" w:rsidRDefault="002E55A9">
      <w:pPr>
        <w:rPr>
          <w:vanish/>
        </w:rPr>
      </w:pPr>
    </w:p>
    <w:p w14:paraId="4035ADD1" w14:textId="77777777" w:rsidR="002E55A9" w:rsidRDefault="002E55A9">
      <w:pPr>
        <w:rPr>
          <w:vanish/>
        </w:rPr>
      </w:pPr>
    </w:p>
    <w:p w14:paraId="6659EF55" w14:textId="77777777" w:rsidR="00BB4268" w:rsidRDefault="00BB4268" w:rsidP="00BB4268">
      <w:pPr>
        <w:pStyle w:val="Contentsheading"/>
      </w:pPr>
      <w:r>
        <w:t>Contents</w:t>
      </w:r>
    </w:p>
    <w:p w14:paraId="618F4458" w14:textId="77777777" w:rsidR="00DE0440" w:rsidRDefault="00593497">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454282635" w:history="1">
        <w:r w:rsidR="00DE0440" w:rsidRPr="00AA4AB6">
          <w:rPr>
            <w:rStyle w:val="Hyperlink"/>
            <w:noProof/>
          </w:rPr>
          <w:t>Executive summary</w:t>
        </w:r>
        <w:r w:rsidR="00DE0440">
          <w:rPr>
            <w:noProof/>
            <w:webHidden/>
          </w:rPr>
          <w:tab/>
        </w:r>
        <w:r w:rsidR="00DE0440">
          <w:rPr>
            <w:noProof/>
            <w:webHidden/>
          </w:rPr>
          <w:fldChar w:fldCharType="begin"/>
        </w:r>
        <w:r w:rsidR="00DE0440">
          <w:rPr>
            <w:noProof/>
            <w:webHidden/>
          </w:rPr>
          <w:instrText xml:space="preserve"> PAGEREF _Toc454282635 \h </w:instrText>
        </w:r>
        <w:r w:rsidR="00DE0440">
          <w:rPr>
            <w:noProof/>
            <w:webHidden/>
          </w:rPr>
        </w:r>
        <w:r w:rsidR="00DE0440">
          <w:rPr>
            <w:noProof/>
            <w:webHidden/>
          </w:rPr>
          <w:fldChar w:fldCharType="separate"/>
        </w:r>
        <w:r w:rsidR="00A24090">
          <w:rPr>
            <w:noProof/>
            <w:webHidden/>
          </w:rPr>
          <w:t>3</w:t>
        </w:r>
        <w:r w:rsidR="00DE0440">
          <w:rPr>
            <w:noProof/>
            <w:webHidden/>
          </w:rPr>
          <w:fldChar w:fldCharType="end"/>
        </w:r>
      </w:hyperlink>
    </w:p>
    <w:p w14:paraId="503DD855" w14:textId="77777777" w:rsidR="00DE0440" w:rsidRDefault="00D74808">
      <w:pPr>
        <w:pStyle w:val="TOC1"/>
        <w:rPr>
          <w:rFonts w:asciiTheme="minorHAnsi" w:eastAsiaTheme="minorEastAsia" w:hAnsiTheme="minorHAnsi" w:cstheme="minorBidi"/>
          <w:b w:val="0"/>
          <w:noProof/>
          <w:color w:val="auto"/>
          <w:sz w:val="22"/>
          <w:szCs w:val="22"/>
          <w:lang w:eastAsia="en-GB"/>
        </w:rPr>
      </w:pPr>
      <w:hyperlink w:anchor="_Toc454282636" w:history="1">
        <w:r w:rsidR="00DE0440" w:rsidRPr="00AA4AB6">
          <w:rPr>
            <w:rStyle w:val="Hyperlink"/>
            <w:noProof/>
          </w:rPr>
          <w:t>Key findings</w:t>
        </w:r>
        <w:r w:rsidR="00DE0440">
          <w:rPr>
            <w:noProof/>
            <w:webHidden/>
          </w:rPr>
          <w:tab/>
        </w:r>
        <w:r w:rsidR="00DE0440">
          <w:rPr>
            <w:noProof/>
            <w:webHidden/>
          </w:rPr>
          <w:fldChar w:fldCharType="begin"/>
        </w:r>
        <w:r w:rsidR="00DE0440">
          <w:rPr>
            <w:noProof/>
            <w:webHidden/>
          </w:rPr>
          <w:instrText xml:space="preserve"> PAGEREF _Toc454282636 \h </w:instrText>
        </w:r>
        <w:r w:rsidR="00DE0440">
          <w:rPr>
            <w:noProof/>
            <w:webHidden/>
          </w:rPr>
        </w:r>
        <w:r w:rsidR="00DE0440">
          <w:rPr>
            <w:noProof/>
            <w:webHidden/>
          </w:rPr>
          <w:fldChar w:fldCharType="separate"/>
        </w:r>
        <w:r w:rsidR="00A24090">
          <w:rPr>
            <w:noProof/>
            <w:webHidden/>
          </w:rPr>
          <w:t>6</w:t>
        </w:r>
        <w:r w:rsidR="00DE0440">
          <w:rPr>
            <w:noProof/>
            <w:webHidden/>
          </w:rPr>
          <w:fldChar w:fldCharType="end"/>
        </w:r>
      </w:hyperlink>
    </w:p>
    <w:p w14:paraId="6FA11216" w14:textId="77777777" w:rsidR="00DE0440" w:rsidRDefault="00D74808">
      <w:pPr>
        <w:pStyle w:val="TOC1"/>
        <w:rPr>
          <w:rFonts w:asciiTheme="minorHAnsi" w:eastAsiaTheme="minorEastAsia" w:hAnsiTheme="minorHAnsi" w:cstheme="minorBidi"/>
          <w:b w:val="0"/>
          <w:noProof/>
          <w:color w:val="auto"/>
          <w:sz w:val="22"/>
          <w:szCs w:val="22"/>
          <w:lang w:eastAsia="en-GB"/>
        </w:rPr>
      </w:pPr>
      <w:hyperlink w:anchor="_Toc454282637" w:history="1">
        <w:r w:rsidR="00DE0440" w:rsidRPr="00AA4AB6">
          <w:rPr>
            <w:rStyle w:val="Hyperlink"/>
            <w:noProof/>
          </w:rPr>
          <w:t>Recommendations</w:t>
        </w:r>
        <w:r w:rsidR="00DE0440">
          <w:rPr>
            <w:noProof/>
            <w:webHidden/>
          </w:rPr>
          <w:tab/>
        </w:r>
        <w:r w:rsidR="00DE0440">
          <w:rPr>
            <w:noProof/>
            <w:webHidden/>
          </w:rPr>
          <w:fldChar w:fldCharType="begin"/>
        </w:r>
        <w:r w:rsidR="00DE0440">
          <w:rPr>
            <w:noProof/>
            <w:webHidden/>
          </w:rPr>
          <w:instrText xml:space="preserve"> PAGEREF _Toc454282637 \h </w:instrText>
        </w:r>
        <w:r w:rsidR="00DE0440">
          <w:rPr>
            <w:noProof/>
            <w:webHidden/>
          </w:rPr>
        </w:r>
        <w:r w:rsidR="00DE0440">
          <w:rPr>
            <w:noProof/>
            <w:webHidden/>
          </w:rPr>
          <w:fldChar w:fldCharType="separate"/>
        </w:r>
        <w:r w:rsidR="00A24090">
          <w:rPr>
            <w:noProof/>
            <w:webHidden/>
          </w:rPr>
          <w:t>7</w:t>
        </w:r>
        <w:r w:rsidR="00DE0440">
          <w:rPr>
            <w:noProof/>
            <w:webHidden/>
          </w:rPr>
          <w:fldChar w:fldCharType="end"/>
        </w:r>
      </w:hyperlink>
    </w:p>
    <w:p w14:paraId="113FD4B3" w14:textId="77777777" w:rsidR="00DE0440" w:rsidRDefault="00D74808">
      <w:pPr>
        <w:pStyle w:val="TOC1"/>
        <w:rPr>
          <w:rFonts w:asciiTheme="minorHAnsi" w:eastAsiaTheme="minorEastAsia" w:hAnsiTheme="minorHAnsi" w:cstheme="minorBidi"/>
          <w:b w:val="0"/>
          <w:noProof/>
          <w:color w:val="auto"/>
          <w:sz w:val="22"/>
          <w:szCs w:val="22"/>
          <w:lang w:eastAsia="en-GB"/>
        </w:rPr>
      </w:pPr>
      <w:hyperlink w:anchor="_Toc454282638" w:history="1">
        <w:r w:rsidR="00DE0440" w:rsidRPr="00AA4AB6">
          <w:rPr>
            <w:rStyle w:val="Hyperlink"/>
            <w:rFonts w:eastAsia="Calibri"/>
            <w:noProof/>
          </w:rPr>
          <w:t>Introduction</w:t>
        </w:r>
        <w:r w:rsidR="00DE0440">
          <w:rPr>
            <w:noProof/>
            <w:webHidden/>
          </w:rPr>
          <w:tab/>
        </w:r>
        <w:r w:rsidR="00DE0440">
          <w:rPr>
            <w:noProof/>
            <w:webHidden/>
          </w:rPr>
          <w:fldChar w:fldCharType="begin"/>
        </w:r>
        <w:r w:rsidR="00DE0440">
          <w:rPr>
            <w:noProof/>
            <w:webHidden/>
          </w:rPr>
          <w:instrText xml:space="preserve"> PAGEREF _Toc454282638 \h </w:instrText>
        </w:r>
        <w:r w:rsidR="00DE0440">
          <w:rPr>
            <w:noProof/>
            <w:webHidden/>
          </w:rPr>
        </w:r>
        <w:r w:rsidR="00DE0440">
          <w:rPr>
            <w:noProof/>
            <w:webHidden/>
          </w:rPr>
          <w:fldChar w:fldCharType="separate"/>
        </w:r>
        <w:r w:rsidR="00A24090">
          <w:rPr>
            <w:noProof/>
            <w:webHidden/>
          </w:rPr>
          <w:t>8</w:t>
        </w:r>
        <w:r w:rsidR="00DE0440">
          <w:rPr>
            <w:noProof/>
            <w:webHidden/>
          </w:rPr>
          <w:fldChar w:fldCharType="end"/>
        </w:r>
      </w:hyperlink>
    </w:p>
    <w:p w14:paraId="58CF907F" w14:textId="77777777" w:rsidR="00DE0440" w:rsidRDefault="00D74808">
      <w:pPr>
        <w:pStyle w:val="TOC1"/>
        <w:rPr>
          <w:rFonts w:asciiTheme="minorHAnsi" w:eastAsiaTheme="minorEastAsia" w:hAnsiTheme="minorHAnsi" w:cstheme="minorBidi"/>
          <w:b w:val="0"/>
          <w:noProof/>
          <w:color w:val="auto"/>
          <w:sz w:val="22"/>
          <w:szCs w:val="22"/>
          <w:lang w:eastAsia="en-GB"/>
        </w:rPr>
      </w:pPr>
      <w:hyperlink w:anchor="_Toc454282639" w:history="1">
        <w:r w:rsidR="00DE0440" w:rsidRPr="00AA4AB6">
          <w:rPr>
            <w:rStyle w:val="Hyperlink"/>
            <w:noProof/>
          </w:rPr>
          <w:t>Main findings</w:t>
        </w:r>
        <w:r w:rsidR="00DE0440">
          <w:rPr>
            <w:noProof/>
            <w:webHidden/>
          </w:rPr>
          <w:tab/>
        </w:r>
        <w:r w:rsidR="00DE0440">
          <w:rPr>
            <w:noProof/>
            <w:webHidden/>
          </w:rPr>
          <w:fldChar w:fldCharType="begin"/>
        </w:r>
        <w:r w:rsidR="00DE0440">
          <w:rPr>
            <w:noProof/>
            <w:webHidden/>
          </w:rPr>
          <w:instrText xml:space="preserve"> PAGEREF _Toc454282639 \h </w:instrText>
        </w:r>
        <w:r w:rsidR="00DE0440">
          <w:rPr>
            <w:noProof/>
            <w:webHidden/>
          </w:rPr>
        </w:r>
        <w:r w:rsidR="00DE0440">
          <w:rPr>
            <w:noProof/>
            <w:webHidden/>
          </w:rPr>
          <w:fldChar w:fldCharType="separate"/>
        </w:r>
        <w:r w:rsidR="00A24090">
          <w:rPr>
            <w:noProof/>
            <w:webHidden/>
          </w:rPr>
          <w:t>8</w:t>
        </w:r>
        <w:r w:rsidR="00DE0440">
          <w:rPr>
            <w:noProof/>
            <w:webHidden/>
          </w:rPr>
          <w:fldChar w:fldCharType="end"/>
        </w:r>
      </w:hyperlink>
    </w:p>
    <w:p w14:paraId="2DE73E31" w14:textId="77777777" w:rsidR="00DE0440" w:rsidRDefault="00D74808">
      <w:pPr>
        <w:pStyle w:val="TOC2"/>
        <w:tabs>
          <w:tab w:val="right" w:pos="9053"/>
        </w:tabs>
        <w:rPr>
          <w:rFonts w:asciiTheme="minorHAnsi" w:eastAsiaTheme="minorEastAsia" w:hAnsiTheme="minorHAnsi" w:cstheme="minorBidi"/>
          <w:noProof/>
          <w:color w:val="auto"/>
          <w:sz w:val="22"/>
          <w:szCs w:val="22"/>
          <w:lang w:eastAsia="en-GB"/>
        </w:rPr>
      </w:pPr>
      <w:hyperlink w:anchor="_Toc454282640" w:history="1">
        <w:r w:rsidR="00DE0440" w:rsidRPr="00AA4AB6">
          <w:rPr>
            <w:rStyle w:val="Hyperlink"/>
            <w:noProof/>
          </w:rPr>
          <w:t>Oversight</w:t>
        </w:r>
        <w:r w:rsidR="00DE0440">
          <w:rPr>
            <w:noProof/>
            <w:webHidden/>
          </w:rPr>
          <w:tab/>
        </w:r>
        <w:r w:rsidR="00DE0440">
          <w:rPr>
            <w:noProof/>
            <w:webHidden/>
          </w:rPr>
          <w:fldChar w:fldCharType="begin"/>
        </w:r>
        <w:r w:rsidR="00DE0440">
          <w:rPr>
            <w:noProof/>
            <w:webHidden/>
          </w:rPr>
          <w:instrText xml:space="preserve"> PAGEREF _Toc454282640 \h </w:instrText>
        </w:r>
        <w:r w:rsidR="00DE0440">
          <w:rPr>
            <w:noProof/>
            <w:webHidden/>
          </w:rPr>
        </w:r>
        <w:r w:rsidR="00DE0440">
          <w:rPr>
            <w:noProof/>
            <w:webHidden/>
          </w:rPr>
          <w:fldChar w:fldCharType="separate"/>
        </w:r>
        <w:r w:rsidR="00A24090">
          <w:rPr>
            <w:noProof/>
            <w:webHidden/>
          </w:rPr>
          <w:t>10</w:t>
        </w:r>
        <w:r w:rsidR="00DE0440">
          <w:rPr>
            <w:noProof/>
            <w:webHidden/>
          </w:rPr>
          <w:fldChar w:fldCharType="end"/>
        </w:r>
      </w:hyperlink>
    </w:p>
    <w:p w14:paraId="1B49A06A" w14:textId="77777777" w:rsidR="00DE0440" w:rsidRDefault="00D74808">
      <w:pPr>
        <w:pStyle w:val="TOC2"/>
        <w:tabs>
          <w:tab w:val="right" w:pos="9053"/>
        </w:tabs>
        <w:rPr>
          <w:rFonts w:asciiTheme="minorHAnsi" w:eastAsiaTheme="minorEastAsia" w:hAnsiTheme="minorHAnsi" w:cstheme="minorBidi"/>
          <w:noProof/>
          <w:color w:val="auto"/>
          <w:sz w:val="22"/>
          <w:szCs w:val="22"/>
          <w:lang w:eastAsia="en-GB"/>
        </w:rPr>
      </w:pPr>
      <w:hyperlink w:anchor="_Toc454282641" w:history="1">
        <w:r w:rsidR="00DE0440" w:rsidRPr="00AA4AB6">
          <w:rPr>
            <w:rStyle w:val="Hyperlink"/>
            <w:noProof/>
          </w:rPr>
          <w:t>Partnership working</w:t>
        </w:r>
        <w:r w:rsidR="00DE0440">
          <w:rPr>
            <w:noProof/>
            <w:webHidden/>
          </w:rPr>
          <w:tab/>
        </w:r>
        <w:r w:rsidR="00DE0440">
          <w:rPr>
            <w:noProof/>
            <w:webHidden/>
          </w:rPr>
          <w:fldChar w:fldCharType="begin"/>
        </w:r>
        <w:r w:rsidR="00DE0440">
          <w:rPr>
            <w:noProof/>
            <w:webHidden/>
          </w:rPr>
          <w:instrText xml:space="preserve"> PAGEREF _Toc454282641 \h </w:instrText>
        </w:r>
        <w:r w:rsidR="00DE0440">
          <w:rPr>
            <w:noProof/>
            <w:webHidden/>
          </w:rPr>
        </w:r>
        <w:r w:rsidR="00DE0440">
          <w:rPr>
            <w:noProof/>
            <w:webHidden/>
          </w:rPr>
          <w:fldChar w:fldCharType="separate"/>
        </w:r>
        <w:r w:rsidR="00A24090">
          <w:rPr>
            <w:noProof/>
            <w:webHidden/>
          </w:rPr>
          <w:t>10</w:t>
        </w:r>
        <w:r w:rsidR="00DE0440">
          <w:rPr>
            <w:noProof/>
            <w:webHidden/>
          </w:rPr>
          <w:fldChar w:fldCharType="end"/>
        </w:r>
      </w:hyperlink>
    </w:p>
    <w:p w14:paraId="729BC857" w14:textId="77777777" w:rsidR="00DE0440" w:rsidRDefault="00D74808">
      <w:pPr>
        <w:pStyle w:val="TOC2"/>
        <w:tabs>
          <w:tab w:val="right" w:pos="9053"/>
        </w:tabs>
        <w:rPr>
          <w:rFonts w:asciiTheme="minorHAnsi" w:eastAsiaTheme="minorEastAsia" w:hAnsiTheme="minorHAnsi" w:cstheme="minorBidi"/>
          <w:noProof/>
          <w:color w:val="auto"/>
          <w:sz w:val="22"/>
          <w:szCs w:val="22"/>
          <w:lang w:eastAsia="en-GB"/>
        </w:rPr>
      </w:pPr>
      <w:hyperlink w:anchor="_Toc454282642" w:history="1">
        <w:r w:rsidR="00DE0440" w:rsidRPr="00AA4AB6">
          <w:rPr>
            <w:rStyle w:val="Hyperlink"/>
            <w:rFonts w:eastAsia="Calibri"/>
            <w:noProof/>
          </w:rPr>
          <w:t>Risk assessments and action plans</w:t>
        </w:r>
        <w:r w:rsidR="00DE0440">
          <w:rPr>
            <w:noProof/>
            <w:webHidden/>
          </w:rPr>
          <w:tab/>
        </w:r>
        <w:r w:rsidR="00DE0440">
          <w:rPr>
            <w:noProof/>
            <w:webHidden/>
          </w:rPr>
          <w:fldChar w:fldCharType="begin"/>
        </w:r>
        <w:r w:rsidR="00DE0440">
          <w:rPr>
            <w:noProof/>
            <w:webHidden/>
          </w:rPr>
          <w:instrText xml:space="preserve"> PAGEREF _Toc454282642 \h </w:instrText>
        </w:r>
        <w:r w:rsidR="00DE0440">
          <w:rPr>
            <w:noProof/>
            <w:webHidden/>
          </w:rPr>
        </w:r>
        <w:r w:rsidR="00DE0440">
          <w:rPr>
            <w:noProof/>
            <w:webHidden/>
          </w:rPr>
          <w:fldChar w:fldCharType="separate"/>
        </w:r>
        <w:r w:rsidR="00A24090">
          <w:rPr>
            <w:noProof/>
            <w:webHidden/>
          </w:rPr>
          <w:t>13</w:t>
        </w:r>
        <w:r w:rsidR="00DE0440">
          <w:rPr>
            <w:noProof/>
            <w:webHidden/>
          </w:rPr>
          <w:fldChar w:fldCharType="end"/>
        </w:r>
      </w:hyperlink>
    </w:p>
    <w:p w14:paraId="5D619688" w14:textId="77777777" w:rsidR="00DE0440" w:rsidRDefault="00D74808">
      <w:pPr>
        <w:pStyle w:val="TOC2"/>
        <w:tabs>
          <w:tab w:val="right" w:pos="9053"/>
        </w:tabs>
        <w:rPr>
          <w:rFonts w:asciiTheme="minorHAnsi" w:eastAsiaTheme="minorEastAsia" w:hAnsiTheme="minorHAnsi" w:cstheme="minorBidi"/>
          <w:noProof/>
          <w:color w:val="auto"/>
          <w:sz w:val="22"/>
          <w:szCs w:val="22"/>
          <w:lang w:eastAsia="en-GB"/>
        </w:rPr>
      </w:pPr>
      <w:hyperlink w:anchor="_Toc454282643" w:history="1">
        <w:r w:rsidR="00DE0440" w:rsidRPr="00AA4AB6">
          <w:rPr>
            <w:rStyle w:val="Hyperlink"/>
            <w:noProof/>
          </w:rPr>
          <w:t>The monitoring of external speakers</w:t>
        </w:r>
        <w:r w:rsidR="00DE0440">
          <w:rPr>
            <w:noProof/>
            <w:webHidden/>
          </w:rPr>
          <w:tab/>
        </w:r>
        <w:r w:rsidR="00DE0440">
          <w:rPr>
            <w:noProof/>
            <w:webHidden/>
          </w:rPr>
          <w:fldChar w:fldCharType="begin"/>
        </w:r>
        <w:r w:rsidR="00DE0440">
          <w:rPr>
            <w:noProof/>
            <w:webHidden/>
          </w:rPr>
          <w:instrText xml:space="preserve"> PAGEREF _Toc454282643 \h </w:instrText>
        </w:r>
        <w:r w:rsidR="00DE0440">
          <w:rPr>
            <w:noProof/>
            <w:webHidden/>
          </w:rPr>
        </w:r>
        <w:r w:rsidR="00DE0440">
          <w:rPr>
            <w:noProof/>
            <w:webHidden/>
          </w:rPr>
          <w:fldChar w:fldCharType="separate"/>
        </w:r>
        <w:r w:rsidR="00A24090">
          <w:rPr>
            <w:noProof/>
            <w:webHidden/>
          </w:rPr>
          <w:t>14</w:t>
        </w:r>
        <w:r w:rsidR="00DE0440">
          <w:rPr>
            <w:noProof/>
            <w:webHidden/>
          </w:rPr>
          <w:fldChar w:fldCharType="end"/>
        </w:r>
      </w:hyperlink>
    </w:p>
    <w:p w14:paraId="03D8D306" w14:textId="77777777" w:rsidR="00DE0440" w:rsidRDefault="00D74808">
      <w:pPr>
        <w:pStyle w:val="TOC2"/>
        <w:tabs>
          <w:tab w:val="right" w:pos="9053"/>
        </w:tabs>
        <w:rPr>
          <w:rFonts w:asciiTheme="minorHAnsi" w:eastAsiaTheme="minorEastAsia" w:hAnsiTheme="minorHAnsi" w:cstheme="minorBidi"/>
          <w:noProof/>
          <w:color w:val="auto"/>
          <w:sz w:val="22"/>
          <w:szCs w:val="22"/>
          <w:lang w:eastAsia="en-GB"/>
        </w:rPr>
      </w:pPr>
      <w:hyperlink w:anchor="_Toc454282644" w:history="1">
        <w:r w:rsidR="00DE0440" w:rsidRPr="00AA4AB6">
          <w:rPr>
            <w:rStyle w:val="Hyperlink"/>
            <w:rFonts w:eastAsia="Calibri"/>
            <w:noProof/>
          </w:rPr>
          <w:t>The quality and impact of staff training</w:t>
        </w:r>
        <w:r w:rsidR="00DE0440">
          <w:rPr>
            <w:noProof/>
            <w:webHidden/>
          </w:rPr>
          <w:tab/>
        </w:r>
        <w:r w:rsidR="00DE0440">
          <w:rPr>
            <w:noProof/>
            <w:webHidden/>
          </w:rPr>
          <w:fldChar w:fldCharType="begin"/>
        </w:r>
        <w:r w:rsidR="00DE0440">
          <w:rPr>
            <w:noProof/>
            <w:webHidden/>
          </w:rPr>
          <w:instrText xml:space="preserve"> PAGEREF _Toc454282644 \h </w:instrText>
        </w:r>
        <w:r w:rsidR="00DE0440">
          <w:rPr>
            <w:noProof/>
            <w:webHidden/>
          </w:rPr>
        </w:r>
        <w:r w:rsidR="00DE0440">
          <w:rPr>
            <w:noProof/>
            <w:webHidden/>
          </w:rPr>
          <w:fldChar w:fldCharType="separate"/>
        </w:r>
        <w:r w:rsidR="00A24090">
          <w:rPr>
            <w:noProof/>
            <w:webHidden/>
          </w:rPr>
          <w:t>15</w:t>
        </w:r>
        <w:r w:rsidR="00DE0440">
          <w:rPr>
            <w:noProof/>
            <w:webHidden/>
          </w:rPr>
          <w:fldChar w:fldCharType="end"/>
        </w:r>
      </w:hyperlink>
    </w:p>
    <w:p w14:paraId="30244B12" w14:textId="77777777" w:rsidR="00DE0440" w:rsidRDefault="00D74808">
      <w:pPr>
        <w:pStyle w:val="TOC2"/>
        <w:tabs>
          <w:tab w:val="right" w:pos="9053"/>
        </w:tabs>
        <w:rPr>
          <w:rFonts w:asciiTheme="minorHAnsi" w:eastAsiaTheme="minorEastAsia" w:hAnsiTheme="minorHAnsi" w:cstheme="minorBidi"/>
          <w:noProof/>
          <w:color w:val="auto"/>
          <w:sz w:val="22"/>
          <w:szCs w:val="22"/>
          <w:lang w:eastAsia="en-GB"/>
        </w:rPr>
      </w:pPr>
      <w:hyperlink w:anchor="_Toc454282645" w:history="1">
        <w:r w:rsidR="00DE0440" w:rsidRPr="00AA4AB6">
          <w:rPr>
            <w:rStyle w:val="Hyperlink"/>
            <w:rFonts w:eastAsia="Calibri"/>
            <w:noProof/>
          </w:rPr>
          <w:t>Pastoral welfare and support in keeping learners safe from radicalisation and extremism</w:t>
        </w:r>
        <w:r w:rsidR="00DE0440">
          <w:rPr>
            <w:noProof/>
            <w:webHidden/>
          </w:rPr>
          <w:tab/>
        </w:r>
        <w:r w:rsidR="00DE0440">
          <w:rPr>
            <w:noProof/>
            <w:webHidden/>
          </w:rPr>
          <w:fldChar w:fldCharType="begin"/>
        </w:r>
        <w:r w:rsidR="00DE0440">
          <w:rPr>
            <w:noProof/>
            <w:webHidden/>
          </w:rPr>
          <w:instrText xml:space="preserve"> PAGEREF _Toc454282645 \h </w:instrText>
        </w:r>
        <w:r w:rsidR="00DE0440">
          <w:rPr>
            <w:noProof/>
            <w:webHidden/>
          </w:rPr>
        </w:r>
        <w:r w:rsidR="00DE0440">
          <w:rPr>
            <w:noProof/>
            <w:webHidden/>
          </w:rPr>
          <w:fldChar w:fldCharType="separate"/>
        </w:r>
        <w:r w:rsidR="00A24090">
          <w:rPr>
            <w:noProof/>
            <w:webHidden/>
          </w:rPr>
          <w:t>17</w:t>
        </w:r>
        <w:r w:rsidR="00DE0440">
          <w:rPr>
            <w:noProof/>
            <w:webHidden/>
          </w:rPr>
          <w:fldChar w:fldCharType="end"/>
        </w:r>
      </w:hyperlink>
    </w:p>
    <w:p w14:paraId="7B60CCB9" w14:textId="77777777" w:rsidR="00DE0440" w:rsidRDefault="00D74808">
      <w:pPr>
        <w:pStyle w:val="TOC2"/>
        <w:tabs>
          <w:tab w:val="right" w:pos="9053"/>
        </w:tabs>
        <w:rPr>
          <w:rFonts w:asciiTheme="minorHAnsi" w:eastAsiaTheme="minorEastAsia" w:hAnsiTheme="minorHAnsi" w:cstheme="minorBidi"/>
          <w:noProof/>
          <w:color w:val="auto"/>
          <w:sz w:val="22"/>
          <w:szCs w:val="22"/>
          <w:lang w:eastAsia="en-GB"/>
        </w:rPr>
      </w:pPr>
      <w:hyperlink w:anchor="_Toc454282646" w:history="1">
        <w:r w:rsidR="00DE0440" w:rsidRPr="00AA4AB6">
          <w:rPr>
            <w:rStyle w:val="Hyperlink"/>
            <w:rFonts w:eastAsia="Calibri"/>
            <w:noProof/>
          </w:rPr>
          <w:t>IT policies and their impact on learner safety</w:t>
        </w:r>
        <w:r w:rsidR="00DE0440">
          <w:rPr>
            <w:noProof/>
            <w:webHidden/>
          </w:rPr>
          <w:tab/>
        </w:r>
        <w:r w:rsidR="00DE0440">
          <w:rPr>
            <w:noProof/>
            <w:webHidden/>
          </w:rPr>
          <w:fldChar w:fldCharType="begin"/>
        </w:r>
        <w:r w:rsidR="00DE0440">
          <w:rPr>
            <w:noProof/>
            <w:webHidden/>
          </w:rPr>
          <w:instrText xml:space="preserve"> PAGEREF _Toc454282646 \h </w:instrText>
        </w:r>
        <w:r w:rsidR="00DE0440">
          <w:rPr>
            <w:noProof/>
            <w:webHidden/>
          </w:rPr>
        </w:r>
        <w:r w:rsidR="00DE0440">
          <w:rPr>
            <w:noProof/>
            <w:webHidden/>
          </w:rPr>
          <w:fldChar w:fldCharType="separate"/>
        </w:r>
        <w:r w:rsidR="00A24090">
          <w:rPr>
            <w:noProof/>
            <w:webHidden/>
          </w:rPr>
          <w:t>19</w:t>
        </w:r>
        <w:r w:rsidR="00DE0440">
          <w:rPr>
            <w:noProof/>
            <w:webHidden/>
          </w:rPr>
          <w:fldChar w:fldCharType="end"/>
        </w:r>
      </w:hyperlink>
    </w:p>
    <w:p w14:paraId="4B9AD795" w14:textId="133FCD00" w:rsidR="00DE0440" w:rsidRDefault="00D74808">
      <w:pPr>
        <w:pStyle w:val="TOC1"/>
        <w:rPr>
          <w:rFonts w:asciiTheme="minorHAnsi" w:eastAsiaTheme="minorEastAsia" w:hAnsiTheme="minorHAnsi" w:cstheme="minorBidi"/>
          <w:b w:val="0"/>
          <w:noProof/>
          <w:color w:val="auto"/>
          <w:sz w:val="22"/>
          <w:szCs w:val="22"/>
          <w:lang w:eastAsia="en-GB"/>
        </w:rPr>
      </w:pPr>
      <w:hyperlink w:anchor="_Toc454282647" w:history="1">
        <w:r w:rsidR="00DE0440" w:rsidRPr="00AA4AB6">
          <w:rPr>
            <w:rStyle w:val="Hyperlink"/>
            <w:noProof/>
          </w:rPr>
          <w:t>Notes</w:t>
        </w:r>
        <w:r w:rsidR="00DE0440">
          <w:rPr>
            <w:noProof/>
            <w:webHidden/>
          </w:rPr>
          <w:tab/>
        </w:r>
        <w:r w:rsidR="00DE0440">
          <w:rPr>
            <w:noProof/>
            <w:webHidden/>
          </w:rPr>
          <w:fldChar w:fldCharType="begin"/>
        </w:r>
        <w:r w:rsidR="00DE0440">
          <w:rPr>
            <w:noProof/>
            <w:webHidden/>
          </w:rPr>
          <w:instrText xml:space="preserve"> PAGEREF _Toc454282647 \h </w:instrText>
        </w:r>
        <w:r w:rsidR="00DE0440">
          <w:rPr>
            <w:noProof/>
            <w:webHidden/>
          </w:rPr>
        </w:r>
        <w:r w:rsidR="00DE0440">
          <w:rPr>
            <w:noProof/>
            <w:webHidden/>
          </w:rPr>
          <w:fldChar w:fldCharType="separate"/>
        </w:r>
        <w:r w:rsidR="00A24090">
          <w:rPr>
            <w:noProof/>
            <w:webHidden/>
          </w:rPr>
          <w:t>22</w:t>
        </w:r>
        <w:r w:rsidR="00DE0440">
          <w:rPr>
            <w:noProof/>
            <w:webHidden/>
          </w:rPr>
          <w:fldChar w:fldCharType="end"/>
        </w:r>
      </w:hyperlink>
    </w:p>
    <w:p w14:paraId="0E4D4B12" w14:textId="5FD7A8DB" w:rsidR="00DE0440" w:rsidRDefault="00D74808">
      <w:pPr>
        <w:pStyle w:val="TOC1"/>
        <w:rPr>
          <w:rFonts w:asciiTheme="minorHAnsi" w:eastAsiaTheme="minorEastAsia" w:hAnsiTheme="minorHAnsi" w:cstheme="minorBidi"/>
          <w:b w:val="0"/>
          <w:noProof/>
          <w:color w:val="auto"/>
          <w:sz w:val="22"/>
          <w:szCs w:val="22"/>
          <w:lang w:eastAsia="en-GB"/>
        </w:rPr>
      </w:pPr>
      <w:hyperlink w:anchor="_Toc454282648" w:history="1">
        <w:r w:rsidR="00DE0440" w:rsidRPr="00AA4AB6">
          <w:rPr>
            <w:rStyle w:val="Hyperlink"/>
            <w:noProof/>
          </w:rPr>
          <w:t>Annex A: List of providers visited</w:t>
        </w:r>
        <w:r w:rsidR="00DE0440">
          <w:rPr>
            <w:noProof/>
            <w:webHidden/>
          </w:rPr>
          <w:tab/>
        </w:r>
        <w:r w:rsidR="00DE0440">
          <w:rPr>
            <w:noProof/>
            <w:webHidden/>
          </w:rPr>
          <w:fldChar w:fldCharType="begin"/>
        </w:r>
        <w:r w:rsidR="00DE0440">
          <w:rPr>
            <w:noProof/>
            <w:webHidden/>
          </w:rPr>
          <w:instrText xml:space="preserve"> PAGEREF _Toc454282648 \h </w:instrText>
        </w:r>
        <w:r w:rsidR="00DE0440">
          <w:rPr>
            <w:noProof/>
            <w:webHidden/>
          </w:rPr>
        </w:r>
        <w:r w:rsidR="00DE0440">
          <w:rPr>
            <w:noProof/>
            <w:webHidden/>
          </w:rPr>
          <w:fldChar w:fldCharType="separate"/>
        </w:r>
        <w:r w:rsidR="00A24090">
          <w:rPr>
            <w:noProof/>
            <w:webHidden/>
          </w:rPr>
          <w:t>23</w:t>
        </w:r>
        <w:r w:rsidR="00DE0440">
          <w:rPr>
            <w:noProof/>
            <w:webHidden/>
          </w:rPr>
          <w:fldChar w:fldCharType="end"/>
        </w:r>
      </w:hyperlink>
    </w:p>
    <w:p w14:paraId="4645A025" w14:textId="6F75B50B" w:rsidR="00DE0440" w:rsidRDefault="00D74808">
      <w:pPr>
        <w:pStyle w:val="TOC1"/>
        <w:rPr>
          <w:rFonts w:asciiTheme="minorHAnsi" w:eastAsiaTheme="minorEastAsia" w:hAnsiTheme="minorHAnsi" w:cstheme="minorBidi"/>
          <w:b w:val="0"/>
          <w:noProof/>
          <w:color w:val="auto"/>
          <w:sz w:val="22"/>
          <w:szCs w:val="22"/>
          <w:lang w:eastAsia="en-GB"/>
        </w:rPr>
      </w:pPr>
      <w:hyperlink w:anchor="_Toc454282649" w:history="1">
        <w:r w:rsidR="00DE0440" w:rsidRPr="00AA4AB6">
          <w:rPr>
            <w:rStyle w:val="Hyperlink"/>
            <w:noProof/>
          </w:rPr>
          <w:t>Annex B: List of providers from which additional evidence from routine inspection was captured for the survey</w:t>
        </w:r>
        <w:r w:rsidR="00DE0440">
          <w:rPr>
            <w:noProof/>
            <w:webHidden/>
          </w:rPr>
          <w:tab/>
        </w:r>
        <w:r w:rsidR="00DE0440">
          <w:rPr>
            <w:noProof/>
            <w:webHidden/>
          </w:rPr>
          <w:fldChar w:fldCharType="begin"/>
        </w:r>
        <w:r w:rsidR="00DE0440">
          <w:rPr>
            <w:noProof/>
            <w:webHidden/>
          </w:rPr>
          <w:instrText xml:space="preserve"> PAGEREF _Toc454282649 \h </w:instrText>
        </w:r>
        <w:r w:rsidR="00DE0440">
          <w:rPr>
            <w:noProof/>
            <w:webHidden/>
          </w:rPr>
        </w:r>
        <w:r w:rsidR="00DE0440">
          <w:rPr>
            <w:noProof/>
            <w:webHidden/>
          </w:rPr>
          <w:fldChar w:fldCharType="separate"/>
        </w:r>
        <w:r w:rsidR="00A24090">
          <w:rPr>
            <w:noProof/>
            <w:webHidden/>
          </w:rPr>
          <w:t>25</w:t>
        </w:r>
        <w:r w:rsidR="00DE0440">
          <w:rPr>
            <w:noProof/>
            <w:webHidden/>
          </w:rPr>
          <w:fldChar w:fldCharType="end"/>
        </w:r>
      </w:hyperlink>
    </w:p>
    <w:p w14:paraId="23F507CD" w14:textId="77777777" w:rsidR="00593497" w:rsidRDefault="00593497">
      <w:r>
        <w:rPr>
          <w:b/>
          <w:bCs/>
          <w:noProof/>
        </w:rPr>
        <w:fldChar w:fldCharType="end"/>
      </w:r>
    </w:p>
    <w:p w14:paraId="0A391A8B" w14:textId="77777777" w:rsidR="000B0459" w:rsidRDefault="000B0459" w:rsidP="00837650">
      <w:pPr>
        <w:pStyle w:val="Heading1"/>
      </w:pPr>
    </w:p>
    <w:p w14:paraId="06478CB5" w14:textId="5158CC0B" w:rsidR="00593497" w:rsidRDefault="000B0459" w:rsidP="00911829">
      <w:pPr>
        <w:pStyle w:val="Heading1"/>
      </w:pPr>
      <w:r>
        <w:br w:type="page"/>
      </w:r>
    </w:p>
    <w:p w14:paraId="143D7511" w14:textId="56989BFC" w:rsidR="00593497" w:rsidRDefault="00593497" w:rsidP="00593497">
      <w:pPr>
        <w:pStyle w:val="Heading1"/>
      </w:pPr>
      <w:bookmarkStart w:id="0" w:name="_Toc260827241"/>
      <w:bookmarkStart w:id="1" w:name="_Toc273346310"/>
      <w:bookmarkStart w:id="2" w:name="_Toc447729290"/>
      <w:bookmarkStart w:id="3" w:name="_Toc447732111"/>
      <w:bookmarkStart w:id="4" w:name="_Toc454282635"/>
      <w:r w:rsidRPr="0042383D">
        <w:lastRenderedPageBreak/>
        <w:t>Executive summary</w:t>
      </w:r>
      <w:bookmarkEnd w:id="0"/>
      <w:bookmarkEnd w:id="1"/>
      <w:bookmarkEnd w:id="2"/>
      <w:bookmarkEnd w:id="3"/>
      <w:bookmarkEnd w:id="4"/>
    </w:p>
    <w:p w14:paraId="14C0DC4E" w14:textId="1522F9BF" w:rsidR="00593497" w:rsidRDefault="00593497" w:rsidP="00593497">
      <w:pPr>
        <w:pStyle w:val="Unnumberedparagraph"/>
        <w:rPr>
          <w:rFonts w:eastAsia="Calibri"/>
        </w:rPr>
      </w:pPr>
      <w:r>
        <w:rPr>
          <w:rFonts w:eastAsia="Calibri"/>
        </w:rPr>
        <w:t xml:space="preserve">According to the </w:t>
      </w:r>
      <w:r w:rsidR="00A53BA5">
        <w:rPr>
          <w:rFonts w:eastAsia="Calibri"/>
        </w:rPr>
        <w:t xml:space="preserve">government </w:t>
      </w:r>
      <w:r>
        <w:rPr>
          <w:rFonts w:eastAsia="Calibri"/>
        </w:rPr>
        <w:t>and security services, the UK is ‘highly likely’ to suffer a terrorist attack</w:t>
      </w:r>
      <w:r w:rsidR="00A53BA5">
        <w:rPr>
          <w:rFonts w:eastAsia="Calibri"/>
        </w:rPr>
        <w:t>. The</w:t>
      </w:r>
      <w:r>
        <w:rPr>
          <w:rFonts w:eastAsia="Calibri"/>
        </w:rPr>
        <w:t xml:space="preserve"> current threat level </w:t>
      </w:r>
      <w:r w:rsidR="00A53BA5">
        <w:rPr>
          <w:rFonts w:eastAsia="Calibri"/>
        </w:rPr>
        <w:t xml:space="preserve">is </w:t>
      </w:r>
      <w:r>
        <w:rPr>
          <w:rFonts w:eastAsia="Calibri"/>
        </w:rPr>
        <w:t>‘severe’. M</w:t>
      </w:r>
      <w:r w:rsidRPr="00C34351">
        <w:rPr>
          <w:rFonts w:eastAsia="Calibri"/>
        </w:rPr>
        <w:t xml:space="preserve">edia reports of young people leaving their studies to </w:t>
      </w:r>
      <w:r>
        <w:rPr>
          <w:rFonts w:eastAsia="Calibri"/>
        </w:rPr>
        <w:t>become involved in terrorism, either here in Britain or overseas, have</w:t>
      </w:r>
      <w:r w:rsidRPr="00B90C34">
        <w:rPr>
          <w:rFonts w:eastAsia="Calibri"/>
        </w:rPr>
        <w:t xml:space="preserve"> led to </w:t>
      </w:r>
      <w:r w:rsidR="00015D6E">
        <w:rPr>
          <w:rFonts w:eastAsia="Calibri"/>
        </w:rPr>
        <w:t>increased</w:t>
      </w:r>
      <w:r>
        <w:rPr>
          <w:rFonts w:eastAsia="Calibri"/>
        </w:rPr>
        <w:t xml:space="preserve"> </w:t>
      </w:r>
      <w:r w:rsidRPr="00B90C34">
        <w:rPr>
          <w:rFonts w:eastAsia="Calibri"/>
        </w:rPr>
        <w:t>concerns about radicalisation and extremism</w:t>
      </w:r>
      <w:r>
        <w:rPr>
          <w:rFonts w:eastAsia="Calibri"/>
        </w:rPr>
        <w:t xml:space="preserve"> </w:t>
      </w:r>
      <w:r w:rsidRPr="00B90C34">
        <w:rPr>
          <w:rFonts w:eastAsia="Calibri"/>
        </w:rPr>
        <w:t xml:space="preserve">in the </w:t>
      </w:r>
      <w:r>
        <w:rPr>
          <w:rFonts w:eastAsia="Calibri"/>
        </w:rPr>
        <w:t xml:space="preserve">further education </w:t>
      </w:r>
      <w:r w:rsidRPr="00B90C34">
        <w:rPr>
          <w:rFonts w:eastAsia="Calibri"/>
        </w:rPr>
        <w:t xml:space="preserve">sector. </w:t>
      </w:r>
    </w:p>
    <w:p w14:paraId="45D05F9F" w14:textId="0B370305" w:rsidR="00593497" w:rsidRDefault="00593497" w:rsidP="001052DD">
      <w:pPr>
        <w:pStyle w:val="Unnumberedparagraph"/>
      </w:pPr>
      <w:r>
        <w:t>Since</w:t>
      </w:r>
      <w:r w:rsidRPr="00507FCE">
        <w:t xml:space="preserve"> </w:t>
      </w:r>
      <w:r w:rsidR="008942A0">
        <w:t>18</w:t>
      </w:r>
      <w:r w:rsidRPr="00507FCE">
        <w:t xml:space="preserve"> </w:t>
      </w:r>
      <w:r>
        <w:t>September 2015,</w:t>
      </w:r>
      <w:r w:rsidRPr="00507FCE">
        <w:t xml:space="preserve"> further education and skills providers </w:t>
      </w:r>
      <w:r>
        <w:t>have been</w:t>
      </w:r>
      <w:r w:rsidRPr="00507FCE">
        <w:t xml:space="preserve"> </w:t>
      </w:r>
      <w:r w:rsidR="002F3F48">
        <w:t xml:space="preserve">placed under a </w:t>
      </w:r>
      <w:r w:rsidRPr="00507FCE">
        <w:t>legal</w:t>
      </w:r>
      <w:r w:rsidR="002F3F48">
        <w:t xml:space="preserve"> duty </w:t>
      </w:r>
      <w:r w:rsidRPr="00507FCE">
        <w:t xml:space="preserve">to </w:t>
      </w:r>
      <w:r w:rsidR="00015D6E">
        <w:t xml:space="preserve">have </w:t>
      </w:r>
      <w:r w:rsidR="00A53BA5">
        <w:t>‘</w:t>
      </w:r>
      <w:r w:rsidR="00015D6E">
        <w:t>due regard</w:t>
      </w:r>
      <w:r w:rsidR="00A53BA5">
        <w:t>’</w:t>
      </w:r>
      <w:r w:rsidR="00015D6E">
        <w:t xml:space="preserve"> to the risk of</w:t>
      </w:r>
      <w:r>
        <w:t xml:space="preserve"> learners being drawn into terrorism.</w:t>
      </w:r>
      <w:r w:rsidRPr="00507FCE">
        <w:t xml:space="preserve"> </w:t>
      </w:r>
      <w:r w:rsidR="001052DD">
        <w:t xml:space="preserve">The government issued specific guidance </w:t>
      </w:r>
      <w:r w:rsidR="004A3709">
        <w:t xml:space="preserve">that </w:t>
      </w:r>
      <w:r w:rsidR="001052DD">
        <w:t>clarif</w:t>
      </w:r>
      <w:r w:rsidR="004A3709">
        <w:t xml:space="preserve">ies </w:t>
      </w:r>
      <w:r w:rsidR="001052DD">
        <w:t xml:space="preserve">what it expects </w:t>
      </w:r>
      <w:r w:rsidR="004A3709">
        <w:t>further education providers</w:t>
      </w:r>
      <w:r w:rsidR="001052DD">
        <w:t xml:space="preserve"> to </w:t>
      </w:r>
      <w:r w:rsidR="00267EBC">
        <w:t>deliver</w:t>
      </w:r>
      <w:r w:rsidR="001052DD">
        <w:t xml:space="preserve"> to comply with this duty.</w:t>
      </w:r>
      <w:r w:rsidR="000A4291">
        <w:rPr>
          <w:rStyle w:val="FootnoteReference"/>
        </w:rPr>
        <w:footnoteReference w:id="1"/>
      </w:r>
      <w:r w:rsidR="00A12145">
        <w:t xml:space="preserve"> </w:t>
      </w:r>
      <w:r>
        <w:t xml:space="preserve">The </w:t>
      </w:r>
      <w:r w:rsidR="00C5048D">
        <w:t>‘Prevent’</w:t>
      </w:r>
      <w:r>
        <w:t xml:space="preserve"> duty </w:t>
      </w:r>
      <w:r w:rsidR="000A4291">
        <w:t xml:space="preserve">guidance </w:t>
      </w:r>
      <w:r>
        <w:t xml:space="preserve">makes clear the important role of further education leaders in </w:t>
      </w:r>
      <w:r w:rsidRPr="00507FCE">
        <w:t>stop</w:t>
      </w:r>
      <w:r>
        <w:t>ping</w:t>
      </w:r>
      <w:r w:rsidRPr="00507FCE">
        <w:t xml:space="preserve"> extremists </w:t>
      </w:r>
      <w:r>
        <w:t xml:space="preserve">seeking to radicalise </w:t>
      </w:r>
      <w:r w:rsidRPr="00507FCE">
        <w:t xml:space="preserve">learners on campuses and </w:t>
      </w:r>
      <w:r>
        <w:t xml:space="preserve">in </w:t>
      </w:r>
      <w:r w:rsidRPr="00507FCE">
        <w:t>support</w:t>
      </w:r>
      <w:r>
        <w:t>ing</w:t>
      </w:r>
      <w:r w:rsidRPr="00507FCE">
        <w:t xml:space="preserve"> learners at risk of </w:t>
      </w:r>
      <w:r>
        <w:t xml:space="preserve">extremist influences. </w:t>
      </w:r>
    </w:p>
    <w:p w14:paraId="65F134F2" w14:textId="7D729C73" w:rsidR="00593497" w:rsidRDefault="00593497" w:rsidP="00593497">
      <w:pPr>
        <w:pStyle w:val="Unnumberedparagraph"/>
        <w:rPr>
          <w:rFonts w:eastAsia="Calibri"/>
        </w:rPr>
      </w:pPr>
      <w:r w:rsidRPr="00507FCE">
        <w:t xml:space="preserve">Ofsted </w:t>
      </w:r>
      <w:r>
        <w:t>has</w:t>
      </w:r>
      <w:r w:rsidRPr="00507FCE">
        <w:t xml:space="preserve"> responsibility for monitoring </w:t>
      </w:r>
      <w:r>
        <w:t>t</w:t>
      </w:r>
      <w:r w:rsidRPr="00507FCE">
        <w:t>he</w:t>
      </w:r>
      <w:r>
        <w:t xml:space="preserve"> </w:t>
      </w:r>
      <w:r w:rsidR="00C5048D">
        <w:t>‘Prevent’</w:t>
      </w:r>
      <w:r w:rsidRPr="00507FCE">
        <w:t xml:space="preserve"> duty in</w:t>
      </w:r>
      <w:r>
        <w:t xml:space="preserve"> publicly funded</w:t>
      </w:r>
      <w:r w:rsidRPr="00507FCE">
        <w:t xml:space="preserve"> further education and skills providers</w:t>
      </w:r>
      <w:r>
        <w:t xml:space="preserve">. The Chief Inspector commissioned Her Majesty’s Inspectors (HMI) to </w:t>
      </w:r>
      <w:r w:rsidR="003F11EA">
        <w:t>undertake</w:t>
      </w:r>
      <w:r>
        <w:t xml:space="preserve"> this survey </w:t>
      </w:r>
      <w:r w:rsidRPr="00B90C34">
        <w:rPr>
          <w:rFonts w:eastAsia="Calibri"/>
        </w:rPr>
        <w:t>to establish how well</w:t>
      </w:r>
      <w:r>
        <w:rPr>
          <w:rFonts w:eastAsia="Calibri"/>
        </w:rPr>
        <w:t xml:space="preserve"> providers </w:t>
      </w:r>
      <w:r w:rsidR="0096318B">
        <w:rPr>
          <w:rFonts w:eastAsia="Calibri"/>
        </w:rPr>
        <w:t>are</w:t>
      </w:r>
      <w:r>
        <w:rPr>
          <w:rFonts w:eastAsia="Calibri"/>
        </w:rPr>
        <w:t xml:space="preserve"> </w:t>
      </w:r>
      <w:r w:rsidR="003F11EA">
        <w:rPr>
          <w:rFonts w:eastAsia="Calibri"/>
        </w:rPr>
        <w:t>implementing</w:t>
      </w:r>
      <w:r>
        <w:rPr>
          <w:rFonts w:eastAsia="Calibri"/>
        </w:rPr>
        <w:t xml:space="preserve"> the duty.</w:t>
      </w:r>
      <w:r w:rsidRPr="00B90C34">
        <w:rPr>
          <w:rFonts w:eastAsia="Calibri"/>
        </w:rPr>
        <w:t xml:space="preserve"> </w:t>
      </w:r>
    </w:p>
    <w:p w14:paraId="71890E1D" w14:textId="6DC37CB5" w:rsidR="00593497" w:rsidRDefault="00593497" w:rsidP="00593497">
      <w:pPr>
        <w:pStyle w:val="Unnumberedparagraph"/>
        <w:rPr>
          <w:rFonts w:eastAsia="Calibri"/>
        </w:rPr>
      </w:pPr>
      <w:r>
        <w:rPr>
          <w:rFonts w:eastAsia="Calibri"/>
        </w:rPr>
        <w:t xml:space="preserve">The survey focused on key matters outlined in the </w:t>
      </w:r>
      <w:r w:rsidR="00C5048D">
        <w:rPr>
          <w:rFonts w:eastAsia="Calibri"/>
        </w:rPr>
        <w:t>‘Prevent’</w:t>
      </w:r>
      <w:r>
        <w:rPr>
          <w:rFonts w:eastAsia="Calibri"/>
        </w:rPr>
        <w:t xml:space="preserve"> duty</w:t>
      </w:r>
      <w:r w:rsidR="00377439">
        <w:rPr>
          <w:rFonts w:eastAsia="Calibri"/>
        </w:rPr>
        <w:t xml:space="preserve"> guidance</w:t>
      </w:r>
      <w:r w:rsidR="004F69A5">
        <w:rPr>
          <w:rFonts w:eastAsia="Calibri"/>
        </w:rPr>
        <w:t>.</w:t>
      </w:r>
      <w:r>
        <w:rPr>
          <w:rFonts w:eastAsia="Calibri"/>
        </w:rPr>
        <w:t xml:space="preserve"> </w:t>
      </w:r>
    </w:p>
    <w:p w14:paraId="31EF6573" w14:textId="7F94206A" w:rsidR="00593497" w:rsidRDefault="00593497" w:rsidP="00593497">
      <w:pPr>
        <w:pStyle w:val="Bulletsspaced"/>
        <w:rPr>
          <w:rFonts w:eastAsia="Calibri"/>
        </w:rPr>
      </w:pPr>
      <w:r>
        <w:rPr>
          <w:rFonts w:eastAsia="Calibri"/>
        </w:rPr>
        <w:t xml:space="preserve">Are providers ensuring that external speakers and events </w:t>
      </w:r>
      <w:r w:rsidR="00162847">
        <w:rPr>
          <w:rFonts w:eastAsia="Calibri"/>
        </w:rPr>
        <w:t>are appropriately risk assessed to safeguard learners</w:t>
      </w:r>
      <w:r w:rsidR="004F69A5">
        <w:rPr>
          <w:rFonts w:eastAsia="Calibri"/>
        </w:rPr>
        <w:t>?</w:t>
      </w:r>
      <w:r w:rsidR="00162847">
        <w:rPr>
          <w:rFonts w:eastAsia="Calibri"/>
        </w:rPr>
        <w:t xml:space="preserve"> </w:t>
      </w:r>
    </w:p>
    <w:p w14:paraId="4813AA71" w14:textId="77777777" w:rsidR="00593497" w:rsidRDefault="00593497" w:rsidP="00593497">
      <w:pPr>
        <w:pStyle w:val="Bulletsspaced"/>
        <w:rPr>
          <w:rFonts w:eastAsia="Calibri"/>
        </w:rPr>
      </w:pPr>
      <w:r>
        <w:rPr>
          <w:rFonts w:eastAsia="Calibri"/>
        </w:rPr>
        <w:t>Are the partnerships between different agencies effective in identifying and reducing the spread of extremist influences?</w:t>
      </w:r>
    </w:p>
    <w:p w14:paraId="357E9DB3" w14:textId="77777777" w:rsidR="00593497" w:rsidRDefault="00593497" w:rsidP="00593497">
      <w:pPr>
        <w:pStyle w:val="Bulletsspaced"/>
        <w:rPr>
          <w:rFonts w:eastAsia="Calibri"/>
        </w:rPr>
      </w:pPr>
      <w:r>
        <w:rPr>
          <w:rFonts w:eastAsia="Calibri"/>
        </w:rPr>
        <w:t xml:space="preserve">Are providers assessing the risks that their learners may face, and taking effective action to reduce these risks? </w:t>
      </w:r>
    </w:p>
    <w:p w14:paraId="55749E0A" w14:textId="77777777" w:rsidR="00593497" w:rsidRDefault="00593497" w:rsidP="00593497">
      <w:pPr>
        <w:pStyle w:val="Bulletsspaced"/>
        <w:rPr>
          <w:rFonts w:eastAsia="Calibri"/>
        </w:rPr>
      </w:pPr>
      <w:r>
        <w:rPr>
          <w:rFonts w:eastAsia="Calibri"/>
        </w:rPr>
        <w:t xml:space="preserve">Are learners being protected from inappropriate use of the internet and social media? </w:t>
      </w:r>
    </w:p>
    <w:p w14:paraId="75DFC071" w14:textId="77777777" w:rsidR="00593497" w:rsidRPr="00B90C34" w:rsidRDefault="00593497" w:rsidP="00593497">
      <w:pPr>
        <w:pStyle w:val="Bulletsspaced-lastbullet"/>
        <w:rPr>
          <w:rFonts w:eastAsia="Calibri"/>
        </w:rPr>
      </w:pPr>
      <w:r>
        <w:rPr>
          <w:rFonts w:eastAsia="Calibri"/>
        </w:rPr>
        <w:t xml:space="preserve">To what extent are staff training and pastoral welfare support contributing to learners’ safety? </w:t>
      </w:r>
    </w:p>
    <w:p w14:paraId="6FD11538" w14:textId="42D4811C" w:rsidR="008942A0" w:rsidRDefault="00593497" w:rsidP="00593497">
      <w:pPr>
        <w:pStyle w:val="Unnumberedparagraph"/>
        <w:rPr>
          <w:rFonts w:eastAsia="Calibri"/>
        </w:rPr>
      </w:pPr>
      <w:r>
        <w:rPr>
          <w:color w:val="auto"/>
        </w:rPr>
        <w:t>The evidence in this report is based on survey visits to 37 further education and skills providers, combined with findings from 4</w:t>
      </w:r>
      <w:r w:rsidR="00091BB7">
        <w:rPr>
          <w:color w:val="auto"/>
        </w:rPr>
        <w:t>6</w:t>
      </w:r>
      <w:r>
        <w:rPr>
          <w:color w:val="auto"/>
        </w:rPr>
        <w:t xml:space="preserve"> full inspections or monitoring visits between November 2015 and May 2016.</w:t>
      </w:r>
      <w:r>
        <w:rPr>
          <w:rFonts w:eastAsia="Calibri"/>
        </w:rPr>
        <w:t xml:space="preserve"> </w:t>
      </w:r>
    </w:p>
    <w:p w14:paraId="23E6B4F3" w14:textId="3E921E52" w:rsidR="00593497" w:rsidRDefault="00593497" w:rsidP="00593497">
      <w:pPr>
        <w:pStyle w:val="Unnumberedparagraph"/>
      </w:pPr>
      <w:r>
        <w:rPr>
          <w:rFonts w:eastAsia="Calibri"/>
        </w:rPr>
        <w:t xml:space="preserve">HMI </w:t>
      </w:r>
      <w:r w:rsidRPr="005E31BC">
        <w:rPr>
          <w:rFonts w:eastAsia="Calibri"/>
        </w:rPr>
        <w:t xml:space="preserve">found </w:t>
      </w:r>
      <w:r w:rsidR="008B579C">
        <w:rPr>
          <w:rFonts w:eastAsia="Calibri"/>
        </w:rPr>
        <w:t>considerable</w:t>
      </w:r>
      <w:r w:rsidR="008B579C" w:rsidRPr="005E31BC">
        <w:rPr>
          <w:rFonts w:eastAsia="Calibri"/>
        </w:rPr>
        <w:t xml:space="preserve"> </w:t>
      </w:r>
      <w:r w:rsidRPr="005E31BC">
        <w:rPr>
          <w:rFonts w:eastAsia="Calibri"/>
        </w:rPr>
        <w:t xml:space="preserve">variation in how effectively providers have implemented the </w:t>
      </w:r>
      <w:r w:rsidR="00C5048D">
        <w:rPr>
          <w:rFonts w:eastAsia="Calibri"/>
        </w:rPr>
        <w:t>‘Prevent’</w:t>
      </w:r>
      <w:r w:rsidRPr="005E31BC">
        <w:rPr>
          <w:rFonts w:eastAsia="Calibri"/>
        </w:rPr>
        <w:t xml:space="preserve"> duty.</w:t>
      </w:r>
      <w:r w:rsidR="008942A0">
        <w:t xml:space="preserve"> </w:t>
      </w:r>
      <w:r>
        <w:t>General further education and sixth</w:t>
      </w:r>
      <w:r w:rsidR="00091152">
        <w:t xml:space="preserve"> </w:t>
      </w:r>
      <w:r>
        <w:t>form colleges</w:t>
      </w:r>
      <w:r w:rsidR="0096318B">
        <w:t xml:space="preserve">, where the majority of learners were </w:t>
      </w:r>
      <w:r w:rsidR="004F69A5">
        <w:t>enrolled</w:t>
      </w:r>
      <w:r w:rsidR="0096318B">
        <w:t>,</w:t>
      </w:r>
      <w:r>
        <w:t xml:space="preserve"> ha</w:t>
      </w:r>
      <w:r w:rsidR="00732EF4">
        <w:t>d</w:t>
      </w:r>
      <w:r>
        <w:t xml:space="preserve"> made more progress than the other types of provider</w:t>
      </w:r>
      <w:r w:rsidR="00465082">
        <w:t>s</w:t>
      </w:r>
      <w:r>
        <w:t xml:space="preserve"> visited. </w:t>
      </w:r>
      <w:r w:rsidR="0096318B" w:rsidRPr="004B6D37">
        <w:t xml:space="preserve">The majority of providers had implemented the </w:t>
      </w:r>
      <w:r w:rsidR="006B4941">
        <w:t>‘</w:t>
      </w:r>
      <w:r w:rsidR="004F69A5">
        <w:t>P</w:t>
      </w:r>
      <w:r w:rsidR="0096318B" w:rsidRPr="004B6D37">
        <w:t>revent</w:t>
      </w:r>
      <w:r w:rsidR="006B4941">
        <w:t>’</w:t>
      </w:r>
      <w:r w:rsidR="0096318B" w:rsidRPr="004B6D37">
        <w:t xml:space="preserve"> duty guidance well.</w:t>
      </w:r>
      <w:r w:rsidR="0096318B">
        <w:t xml:space="preserve"> </w:t>
      </w:r>
      <w:r w:rsidR="000A4E35">
        <w:t>However, some</w:t>
      </w:r>
      <w:r w:rsidRPr="005E31BC">
        <w:t xml:space="preserve"> providers viewed the duty as </w:t>
      </w:r>
      <w:r>
        <w:t>a list of conditions</w:t>
      </w:r>
      <w:r w:rsidRPr="005E31BC">
        <w:t xml:space="preserve"> </w:t>
      </w:r>
      <w:r w:rsidR="002422D3">
        <w:t xml:space="preserve">just </w:t>
      </w:r>
      <w:r w:rsidRPr="005E31BC">
        <w:t>to comply</w:t>
      </w:r>
      <w:r>
        <w:t xml:space="preserve"> with</w:t>
      </w:r>
      <w:r w:rsidR="002422D3">
        <w:t xml:space="preserve"> </w:t>
      </w:r>
      <w:r w:rsidR="002422D3">
        <w:lastRenderedPageBreak/>
        <w:t xml:space="preserve">and have </w:t>
      </w:r>
      <w:r>
        <w:t>adopt</w:t>
      </w:r>
      <w:r w:rsidR="002422D3">
        <w:t xml:space="preserve">ed </w:t>
      </w:r>
      <w:r>
        <w:t xml:space="preserve">a ‘tick-box’ approach. This goes against the spirit of the </w:t>
      </w:r>
      <w:r w:rsidR="002422D3">
        <w:t xml:space="preserve">government’s </w:t>
      </w:r>
      <w:r>
        <w:t xml:space="preserve">guidance, which seeks to promote meaningful ways to reduce the specific risks of radicalisation and extremism for learners and the local community. </w:t>
      </w:r>
    </w:p>
    <w:p w14:paraId="64B89888" w14:textId="0996D738" w:rsidR="00593497" w:rsidRDefault="00593497" w:rsidP="00593497">
      <w:pPr>
        <w:pStyle w:val="Unnumberedparagraph"/>
      </w:pPr>
      <w:r>
        <w:t>In 1</w:t>
      </w:r>
      <w:r w:rsidR="003F72DD">
        <w:t>3</w:t>
      </w:r>
      <w:r>
        <w:t xml:space="preserve"> of the providers visited, inspectors judged that the implementation of at least one aspect of the duty was slow</w:t>
      </w:r>
      <w:r w:rsidR="004B6D37">
        <w:t xml:space="preserve"> when compared to other providers,</w:t>
      </w:r>
      <w:r>
        <w:t xml:space="preserve"> or </w:t>
      </w:r>
      <w:r w:rsidR="00CF2A43">
        <w:t xml:space="preserve">was </w:t>
      </w:r>
      <w:r w:rsidR="00732EF4">
        <w:t>well</w:t>
      </w:r>
      <w:r>
        <w:t xml:space="preserve"> behind schedule. In two of the eight independent learning providers visited, not a single aspect of the </w:t>
      </w:r>
      <w:r w:rsidR="00C5048D">
        <w:t>‘Prevent’</w:t>
      </w:r>
      <w:r>
        <w:t xml:space="preserve"> duty had been implemented. In these providers, learners’ safety was </w:t>
      </w:r>
      <w:r w:rsidR="00053BC5">
        <w:t xml:space="preserve">potentially </w:t>
      </w:r>
      <w:r>
        <w:t xml:space="preserve">at risk as leaders and managers lacked the understanding to develop risk assessments that identified accurately the </w:t>
      </w:r>
      <w:r w:rsidR="00053BC5">
        <w:t xml:space="preserve">possible </w:t>
      </w:r>
      <w:r>
        <w:t xml:space="preserve">threats to learners and the local community. </w:t>
      </w:r>
    </w:p>
    <w:p w14:paraId="18C07379" w14:textId="32C64D94" w:rsidR="00593497" w:rsidRPr="00E967D1" w:rsidRDefault="00593497" w:rsidP="00593497">
      <w:pPr>
        <w:pStyle w:val="Unnumberedparagraph"/>
      </w:pPr>
      <w:r>
        <w:t xml:space="preserve">Six of the providers visited had no arrangements in place to check the suitability of external speakers. Even in </w:t>
      </w:r>
      <w:r w:rsidR="006D5055">
        <w:t xml:space="preserve">some of </w:t>
      </w:r>
      <w:r>
        <w:t xml:space="preserve">the 31 providers that had appropriate policies and procedures to </w:t>
      </w:r>
      <w:r w:rsidR="00A94A9E">
        <w:t xml:space="preserve">check </w:t>
      </w:r>
      <w:r>
        <w:t xml:space="preserve">external speakers and events, these did not </w:t>
      </w:r>
      <w:r w:rsidR="00732EF4">
        <w:t xml:space="preserve">always </w:t>
      </w:r>
      <w:r>
        <w:t>work well in practice. Nine providers allowed external speakers onto the premises without following their own monitoring procedures. Too ofte</w:t>
      </w:r>
      <w:r w:rsidR="007F64F7">
        <w:t>n</w:t>
      </w:r>
      <w:r w:rsidR="00A94A9E">
        <w:t>,</w:t>
      </w:r>
      <w:r w:rsidR="007F64F7">
        <w:t xml:space="preserve"> learners were potentially at risk because leaders had not ensured that suitable checks had been completed.  </w:t>
      </w:r>
      <w:r>
        <w:t xml:space="preserve">  </w:t>
      </w:r>
    </w:p>
    <w:p w14:paraId="7A76AD3C" w14:textId="7FDD695D" w:rsidR="003354B0" w:rsidRDefault="007F64F7" w:rsidP="003354B0">
      <w:pPr>
        <w:pStyle w:val="Unnumberedparagraph"/>
      </w:pPr>
      <w:r>
        <w:t xml:space="preserve">Partnership working was ineffective in </w:t>
      </w:r>
      <w:r w:rsidR="0096318B">
        <w:t>several</w:t>
      </w:r>
      <w:r w:rsidR="009477AE">
        <w:t xml:space="preserve"> </w:t>
      </w:r>
      <w:r w:rsidR="0096318B">
        <w:t>of the</w:t>
      </w:r>
      <w:r>
        <w:t xml:space="preserve"> providers visited. </w:t>
      </w:r>
      <w:r w:rsidR="00EE4531">
        <w:t xml:space="preserve">In </w:t>
      </w:r>
      <w:r w:rsidR="0096318B">
        <w:t xml:space="preserve">these </w:t>
      </w:r>
      <w:r w:rsidR="00EE4531">
        <w:t>weaker providers</w:t>
      </w:r>
      <w:r w:rsidR="00811BF1">
        <w:t>,</w:t>
      </w:r>
      <w:r w:rsidR="00593497">
        <w:t xml:space="preserve"> leaders and managers did not work well</w:t>
      </w:r>
      <w:r w:rsidR="00A47730">
        <w:t xml:space="preserve"> </w:t>
      </w:r>
      <w:r w:rsidR="00696ED4">
        <w:t xml:space="preserve">enough </w:t>
      </w:r>
      <w:r w:rsidR="00593497">
        <w:t>with</w:t>
      </w:r>
      <w:r w:rsidR="00A47730">
        <w:t xml:space="preserve"> </w:t>
      </w:r>
      <w:r w:rsidR="00593497">
        <w:t>partners</w:t>
      </w:r>
      <w:r w:rsidR="00A47730">
        <w:t xml:space="preserve"> to ensure the safety of learners.</w:t>
      </w:r>
      <w:r w:rsidR="00696ED4">
        <w:t xml:space="preserve"> </w:t>
      </w:r>
      <w:r w:rsidR="00053BC5">
        <w:t xml:space="preserve">Several </w:t>
      </w:r>
      <w:r w:rsidR="003354B0">
        <w:t>local authorities did not fulfil their responsibilities in developing multi-agency arrangements</w:t>
      </w:r>
      <w:r w:rsidR="00437FDD">
        <w:t>. They fa</w:t>
      </w:r>
      <w:r w:rsidR="003354B0">
        <w:t xml:space="preserve">iled to work </w:t>
      </w:r>
      <w:r w:rsidR="00437FDD">
        <w:t xml:space="preserve">with </w:t>
      </w:r>
      <w:r w:rsidR="003354B0">
        <w:t xml:space="preserve">further education and skills providers to share information and promote partnership working. Local authorities sometimes worked in isolation and focused </w:t>
      </w:r>
      <w:r w:rsidR="00F74745">
        <w:t>solely</w:t>
      </w:r>
      <w:r w:rsidR="003354B0">
        <w:t xml:space="preserve"> on schools</w:t>
      </w:r>
      <w:r w:rsidR="00437FDD">
        <w:t>. This</w:t>
      </w:r>
      <w:r w:rsidR="003354B0">
        <w:t xml:space="preserve"> potentially </w:t>
      </w:r>
      <w:r w:rsidR="00437FDD">
        <w:t xml:space="preserve">put </w:t>
      </w:r>
      <w:r w:rsidR="003354B0">
        <w:t xml:space="preserve">learners at risk of radicalisation and extremism </w:t>
      </w:r>
      <w:r w:rsidR="00437FDD">
        <w:t xml:space="preserve">because </w:t>
      </w:r>
      <w:r w:rsidR="003354B0">
        <w:t>information about known risks</w:t>
      </w:r>
      <w:r w:rsidR="00437FDD">
        <w:t xml:space="preserve"> was not shared</w:t>
      </w:r>
      <w:r w:rsidR="003354B0">
        <w:t xml:space="preserve">. </w:t>
      </w:r>
    </w:p>
    <w:p w14:paraId="2A1AA92C" w14:textId="4EBF61ED" w:rsidR="00593497" w:rsidRDefault="00A47730" w:rsidP="00593497">
      <w:pPr>
        <w:pStyle w:val="Unnumberedparagraph"/>
      </w:pPr>
      <w:r>
        <w:t>In some cases</w:t>
      </w:r>
      <w:r w:rsidR="00437FDD">
        <w:t>,</w:t>
      </w:r>
      <w:r>
        <w:t xml:space="preserve"> p</w:t>
      </w:r>
      <w:r w:rsidR="00593497">
        <w:t xml:space="preserve">roviders were too dependent on the Department </w:t>
      </w:r>
      <w:r w:rsidR="001D6244">
        <w:t xml:space="preserve">for </w:t>
      </w:r>
      <w:r w:rsidR="00593497">
        <w:t xml:space="preserve">Business, Innovation and Skills (BIS) </w:t>
      </w:r>
      <w:r w:rsidR="00C5048D">
        <w:t>‘Prevent’</w:t>
      </w:r>
      <w:r w:rsidR="00593497">
        <w:t xml:space="preserve"> coordinators, or the local authority and police </w:t>
      </w:r>
      <w:r w:rsidR="00C5048D">
        <w:t>‘Prevent’</w:t>
      </w:r>
      <w:r w:rsidR="00593497">
        <w:t xml:space="preserve"> teams. Where this was the case, the support available was often fragmented</w:t>
      </w:r>
      <w:r w:rsidR="00BE7ADB">
        <w:t>.</w:t>
      </w:r>
      <w:r w:rsidR="00593497">
        <w:t xml:space="preserve"> </w:t>
      </w:r>
      <w:r w:rsidR="00BE7ADB">
        <w:t xml:space="preserve">The </w:t>
      </w:r>
      <w:r w:rsidR="00593497">
        <w:t xml:space="preserve">agencies involved </w:t>
      </w:r>
      <w:r w:rsidR="00BE7ADB">
        <w:t xml:space="preserve">also </w:t>
      </w:r>
      <w:r w:rsidR="00593497">
        <w:t>gave inconsistent</w:t>
      </w:r>
      <w:r w:rsidR="00162847">
        <w:t xml:space="preserve"> or conflicting</w:t>
      </w:r>
      <w:r w:rsidR="00593497">
        <w:t xml:space="preserve"> messages about precisely what providers should be doing in response to the duty. </w:t>
      </w:r>
      <w:r w:rsidR="009B40E3">
        <w:t>Many provid</w:t>
      </w:r>
      <w:r w:rsidR="00CF15E5">
        <w:t xml:space="preserve">ers were unaware of the support, advice and guidance available through the </w:t>
      </w:r>
      <w:r w:rsidR="009B40E3">
        <w:t xml:space="preserve">Education Training Foundation (ETF). </w:t>
      </w:r>
      <w:r w:rsidR="00593497">
        <w:t xml:space="preserve">The more effective providers </w:t>
      </w:r>
      <w:r w:rsidR="00C5048D">
        <w:t xml:space="preserve">benefited </w:t>
      </w:r>
      <w:r w:rsidR="00593497">
        <w:t>from their long-standing relationships with a range of partners through community cohesion strategies and as part of the government’s CONTEST strategy.</w:t>
      </w:r>
      <w:r w:rsidR="00593497">
        <w:rPr>
          <w:rStyle w:val="FootnoteReference"/>
          <w:rFonts w:cs="Tahoma"/>
        </w:rPr>
        <w:footnoteReference w:id="2"/>
      </w:r>
      <w:r w:rsidR="00593497">
        <w:t xml:space="preserve"> </w:t>
      </w:r>
    </w:p>
    <w:p w14:paraId="26CAA471" w14:textId="08E04C7C" w:rsidR="00593497" w:rsidRDefault="00593497" w:rsidP="00593497">
      <w:pPr>
        <w:pStyle w:val="Unnumberedparagraph"/>
      </w:pPr>
      <w:r>
        <w:lastRenderedPageBreak/>
        <w:t xml:space="preserve">In around a third of the providers visited, risk assessments lacked </w:t>
      </w:r>
      <w:r w:rsidR="00B70075">
        <w:t>sufficient</w:t>
      </w:r>
      <w:r w:rsidR="00BE7ADB">
        <w:t xml:space="preserve"> </w:t>
      </w:r>
      <w:r>
        <w:t>detail</w:t>
      </w:r>
      <w:r w:rsidR="00BE7ADB">
        <w:t>. The</w:t>
      </w:r>
      <w:r w:rsidR="00857023">
        <w:t>se providers</w:t>
      </w:r>
      <w:r>
        <w:t xml:space="preserve"> did not adequately identify potential threats to learners, the provider or the community. Action plans </w:t>
      </w:r>
      <w:r w:rsidR="000A2C9E">
        <w:t xml:space="preserve">in these providers </w:t>
      </w:r>
      <w:r>
        <w:t>were generic and focused too much on procedures or systems rather than on the steps that could be taken to reduce the threats posed by extremists. As a result</w:t>
      </w:r>
      <w:r w:rsidR="00A32B63">
        <w:t>,</w:t>
      </w:r>
      <w:r>
        <w:t xml:space="preserve"> practical actions designed to reduce the risks to learners were often not taken.  </w:t>
      </w:r>
    </w:p>
    <w:p w14:paraId="4713443D" w14:textId="2D1A03AD" w:rsidR="00593497" w:rsidRDefault="00593497" w:rsidP="00593497">
      <w:pPr>
        <w:pStyle w:val="Unnumberedparagraph"/>
      </w:pPr>
      <w:r w:rsidRPr="004B32ED">
        <w:t>In nearly half the providers, not enough had been done to ensure that learners were</w:t>
      </w:r>
      <w:r>
        <w:t xml:space="preserve"> protected from the risk of radicalisation and extremism when using information technology (IT). Too often, policies and procedures for the appropriate use of IT were poor or did not work in practice. </w:t>
      </w:r>
      <w:r w:rsidR="00696ED4">
        <w:t>Over a third of providers</w:t>
      </w:r>
      <w:r w:rsidR="007F64F7">
        <w:t xml:space="preserve"> </w:t>
      </w:r>
      <w:r>
        <w:t xml:space="preserve">visited were </w:t>
      </w:r>
      <w:r w:rsidR="00696ED4">
        <w:t xml:space="preserve">not </w:t>
      </w:r>
      <w:r>
        <w:t>working with the Joint Information Systems Committee (</w:t>
      </w:r>
      <w:proofErr w:type="spellStart"/>
      <w:r w:rsidR="001D6244">
        <w:t>Jisc</w:t>
      </w:r>
      <w:proofErr w:type="spellEnd"/>
      <w:r>
        <w:t>) to develop IT policies and restrict learners’ access to harmful content on websites.</w:t>
      </w:r>
      <w:r>
        <w:rPr>
          <w:rStyle w:val="FootnoteReference"/>
          <w:rFonts w:cs="Tahoma"/>
        </w:rPr>
        <w:footnoteReference w:id="3"/>
      </w:r>
      <w:r>
        <w:t xml:space="preserve"> In the weakest providers, learners </w:t>
      </w:r>
      <w:r w:rsidR="00D22CD1">
        <w:t xml:space="preserve">said </w:t>
      </w:r>
      <w:r w:rsidR="00527824">
        <w:t xml:space="preserve">they </w:t>
      </w:r>
      <w:r>
        <w:t>could bypass security settings and access inappropriate websites</w:t>
      </w:r>
      <w:r w:rsidR="00D22CD1">
        <w:t>,</w:t>
      </w:r>
      <w:r w:rsidR="00D22CD1" w:rsidRPr="00D22CD1">
        <w:t xml:space="preserve"> </w:t>
      </w:r>
      <w:r w:rsidR="00D22CD1">
        <w:t>unchallenged by staff or their peers. This included websites</w:t>
      </w:r>
      <w:r>
        <w:t xml:space="preserve"> that promote terrorist ideology and that </w:t>
      </w:r>
      <w:r w:rsidR="00D22CD1">
        <w:t>sell</w:t>
      </w:r>
      <w:r>
        <w:t xml:space="preserve"> firearms. In one such provider, a learner had accessed a terrorist propaganda video showing a beheading. </w:t>
      </w:r>
    </w:p>
    <w:p w14:paraId="492DB30C" w14:textId="37894E99" w:rsidR="00593497" w:rsidRDefault="00593497" w:rsidP="00593497">
      <w:pPr>
        <w:pStyle w:val="Unnumberedparagraph"/>
      </w:pPr>
      <w:r>
        <w:t>Staff training was in</w:t>
      </w:r>
      <w:r w:rsidR="00A92577">
        <w:t>effective</w:t>
      </w:r>
      <w:r>
        <w:t xml:space="preserve"> in a third of the providers visited. In these providers, </w:t>
      </w:r>
      <w:r w:rsidR="003354B0">
        <w:t>while</w:t>
      </w:r>
      <w:r>
        <w:t xml:space="preserve"> senior managers were trained</w:t>
      </w:r>
      <w:r w:rsidR="003354B0">
        <w:t xml:space="preserve">, </w:t>
      </w:r>
      <w:r>
        <w:t>staff</w:t>
      </w:r>
      <w:r w:rsidR="003354B0">
        <w:t xml:space="preserve"> with direct day</w:t>
      </w:r>
      <w:r w:rsidR="007F64F7">
        <w:t>-</w:t>
      </w:r>
      <w:r w:rsidR="003354B0">
        <w:t>to</w:t>
      </w:r>
      <w:r w:rsidR="007F64F7">
        <w:t>-</w:t>
      </w:r>
      <w:r w:rsidR="003354B0">
        <w:t xml:space="preserve">day contact with learners had not received </w:t>
      </w:r>
      <w:r w:rsidR="00D22CD1">
        <w:t xml:space="preserve">enough </w:t>
      </w:r>
      <w:r w:rsidR="003354B0">
        <w:t xml:space="preserve">training to identify and </w:t>
      </w:r>
      <w:r w:rsidR="00F74745">
        <w:t>mitigate</w:t>
      </w:r>
      <w:r w:rsidR="003354B0">
        <w:t xml:space="preserve"> risks or to identify learners potentially at risk of radicalisation or extremism</w:t>
      </w:r>
      <w:r w:rsidR="007F64F7">
        <w:t>.</w:t>
      </w:r>
      <w:r>
        <w:t xml:space="preserve"> Too many providers adopted a ‘one-size-fits-all’ approach</w:t>
      </w:r>
      <w:r w:rsidR="005A0541">
        <w:t>. The</w:t>
      </w:r>
      <w:r w:rsidR="00D755E3">
        <w:t>se providers</w:t>
      </w:r>
      <w:r>
        <w:t xml:space="preserve"> typically relied on online training</w:t>
      </w:r>
      <w:r w:rsidR="005A0541">
        <w:t>,</w:t>
      </w:r>
      <w:r>
        <w:t xml:space="preserve"> such as basic </w:t>
      </w:r>
      <w:r w:rsidR="00C5048D">
        <w:t>‘Prevent’</w:t>
      </w:r>
      <w:r>
        <w:t xml:space="preserve"> and Channel awareness for teachers and support staff.</w:t>
      </w:r>
      <w:r w:rsidR="00465082" w:rsidRPr="00465082">
        <w:rPr>
          <w:rStyle w:val="FootnoteReference"/>
          <w:rFonts w:cs="Tahoma"/>
        </w:rPr>
        <w:t xml:space="preserve"> </w:t>
      </w:r>
      <w:r w:rsidR="00465082">
        <w:rPr>
          <w:rStyle w:val="FootnoteReference"/>
          <w:rFonts w:cs="Tahoma"/>
        </w:rPr>
        <w:footnoteReference w:id="4"/>
      </w:r>
      <w:r>
        <w:t xml:space="preserve"> Such training </w:t>
      </w:r>
      <w:r w:rsidR="00A92577">
        <w:t>wa</w:t>
      </w:r>
      <w:r>
        <w:t xml:space="preserve">s often too superficial to help staff understand the nature of specific risks in the communities that they serve. </w:t>
      </w:r>
    </w:p>
    <w:p w14:paraId="46A9BEFF" w14:textId="71069CD6" w:rsidR="00887CBF" w:rsidRDefault="00887CBF" w:rsidP="00887CBF">
      <w:pPr>
        <w:pStyle w:val="Unnumberedparagraph"/>
      </w:pPr>
      <w:r>
        <w:t>Where training was effective, the providers worked closely with external partners to prepare staff to identify the risks and threats of radicalisation and extremism. This was particularly the case for gene</w:t>
      </w:r>
      <w:r w:rsidR="00091152">
        <w:t xml:space="preserve">ral further education and sixth </w:t>
      </w:r>
      <w:r>
        <w:t xml:space="preserve">form colleges. College managers took full responsibility for training their own staff and provided follow-up training specific to the needs of the organisation. </w:t>
      </w:r>
    </w:p>
    <w:p w14:paraId="7F864FEC" w14:textId="04C309CA" w:rsidR="00F74745" w:rsidRDefault="00593497" w:rsidP="00593497">
      <w:pPr>
        <w:pStyle w:val="Unnumberedparagraph"/>
      </w:pPr>
      <w:r>
        <w:t xml:space="preserve">Where staff training on radicalisation and extremism was weak, poor practices </w:t>
      </w:r>
      <w:r w:rsidR="00081DC6">
        <w:t xml:space="preserve">had </w:t>
      </w:r>
      <w:r w:rsidR="00F74745">
        <w:t>the</w:t>
      </w:r>
      <w:r w:rsidR="00163012">
        <w:t xml:space="preserve"> potential </w:t>
      </w:r>
      <w:r>
        <w:t xml:space="preserve">to become embedded in </w:t>
      </w:r>
      <w:r w:rsidR="00163012">
        <w:t>provision</w:t>
      </w:r>
      <w:r>
        <w:t xml:space="preserve">. In one such provider, inspectors </w:t>
      </w:r>
      <w:r>
        <w:lastRenderedPageBreak/>
        <w:t xml:space="preserve">found a multi-faith room that was located in a remote part of the provider’s premises. The use of the room was not monitored </w:t>
      </w:r>
      <w:r w:rsidR="00081DC6">
        <w:t xml:space="preserve">enough </w:t>
      </w:r>
      <w:r>
        <w:t>by staff</w:t>
      </w:r>
      <w:r w:rsidR="00081DC6">
        <w:t>. A</w:t>
      </w:r>
      <w:r>
        <w:t>s a result</w:t>
      </w:r>
      <w:r w:rsidR="00081DC6">
        <w:t>,</w:t>
      </w:r>
      <w:r>
        <w:t xml:space="preserve"> it was dominated by a single</w:t>
      </w:r>
      <w:r w:rsidR="00081DC6">
        <w:t>-</w:t>
      </w:r>
      <w:r>
        <w:t>faith group</w:t>
      </w:r>
      <w:r w:rsidR="00081DC6">
        <w:t>,</w:t>
      </w:r>
      <w:r>
        <w:t xml:space="preserve"> where inappropriate gender segregation was permitted. Non-Muslim students said they did not use the room as they saw it as ‘the mosque’.  </w:t>
      </w:r>
    </w:p>
    <w:p w14:paraId="03262195" w14:textId="4DCB224C" w:rsidR="007F64F7" w:rsidRDefault="00F74745" w:rsidP="00593497">
      <w:pPr>
        <w:pStyle w:val="Unnumberedparagraph"/>
      </w:pPr>
      <w:r>
        <w:t xml:space="preserve">While most providers have made progress in implementing the </w:t>
      </w:r>
      <w:r w:rsidR="00C5048D">
        <w:t>‘Prevent’</w:t>
      </w:r>
      <w:r>
        <w:t xml:space="preserve"> duty guidance</w:t>
      </w:r>
      <w:r w:rsidR="00053BC5">
        <w:t>,</w:t>
      </w:r>
      <w:r>
        <w:t xml:space="preserve"> the sector needs to do more to ensure that all learners are protected from the risks of radicalisation and extremism.</w:t>
      </w:r>
      <w:r w:rsidR="007F64F7">
        <w:t xml:space="preserve"> </w:t>
      </w:r>
    </w:p>
    <w:p w14:paraId="5B4E1883" w14:textId="77777777" w:rsidR="00593497" w:rsidRPr="00673CBA" w:rsidRDefault="00593497" w:rsidP="00593497">
      <w:pPr>
        <w:pStyle w:val="Heading1"/>
      </w:pPr>
      <w:bookmarkStart w:id="5" w:name="_Toc447732112"/>
      <w:bookmarkStart w:id="6" w:name="_Toc454282636"/>
      <w:r w:rsidRPr="00673CBA">
        <w:t>Key findings</w:t>
      </w:r>
      <w:bookmarkEnd w:id="5"/>
      <w:bookmarkEnd w:id="6"/>
    </w:p>
    <w:p w14:paraId="5E0F47BC" w14:textId="5A0BD777" w:rsidR="00593497" w:rsidRDefault="00E07112" w:rsidP="00593497">
      <w:pPr>
        <w:pStyle w:val="Bulletskeyfindings"/>
      </w:pPr>
      <w:r>
        <w:rPr>
          <w:b/>
        </w:rPr>
        <w:t>Twenty-</w:t>
      </w:r>
      <w:r w:rsidR="007020D8">
        <w:rPr>
          <w:b/>
        </w:rPr>
        <w:t xml:space="preserve">two </w:t>
      </w:r>
      <w:r w:rsidR="00593497" w:rsidRPr="00774A4D">
        <w:rPr>
          <w:b/>
        </w:rPr>
        <w:t>of the 37 providers visited ha</w:t>
      </w:r>
      <w:r w:rsidR="000200AD">
        <w:rPr>
          <w:b/>
        </w:rPr>
        <w:t>d</w:t>
      </w:r>
      <w:r w:rsidR="00593497" w:rsidRPr="00774A4D">
        <w:rPr>
          <w:b/>
        </w:rPr>
        <w:t xml:space="preserve"> implemented the </w:t>
      </w:r>
      <w:r w:rsidR="00C5048D">
        <w:rPr>
          <w:b/>
        </w:rPr>
        <w:t>‘Prevent’</w:t>
      </w:r>
      <w:r w:rsidR="00593497" w:rsidRPr="00774A4D">
        <w:rPr>
          <w:b/>
        </w:rPr>
        <w:t xml:space="preserve"> duty well.</w:t>
      </w:r>
      <w:r w:rsidR="00593497">
        <w:t xml:space="preserve"> General further education and sixth</w:t>
      </w:r>
      <w:r w:rsidR="00091152">
        <w:t xml:space="preserve"> </w:t>
      </w:r>
      <w:r w:rsidR="00593497">
        <w:t>form colleges were the most successful</w:t>
      </w:r>
      <w:r w:rsidR="007020D8">
        <w:t>. They were</w:t>
      </w:r>
      <w:r w:rsidR="00593497">
        <w:t xml:space="preserve"> working closely with partners to ensure that good progress ha</w:t>
      </w:r>
      <w:r w:rsidR="000200AD">
        <w:t>d</w:t>
      </w:r>
      <w:r w:rsidR="00593497">
        <w:t xml:space="preserve"> been made on all aspects of the </w:t>
      </w:r>
      <w:r w:rsidR="00C5048D">
        <w:t>‘Prevent’</w:t>
      </w:r>
      <w:r w:rsidR="00593497">
        <w:t xml:space="preserve"> duty.</w:t>
      </w:r>
    </w:p>
    <w:p w14:paraId="0B3FD197" w14:textId="2E66EA49" w:rsidR="00593497" w:rsidRDefault="007020D8" w:rsidP="00593497">
      <w:pPr>
        <w:pStyle w:val="Bulletskeyfindings"/>
      </w:pPr>
      <w:r>
        <w:rPr>
          <w:b/>
        </w:rPr>
        <w:t>Thirteen</w:t>
      </w:r>
      <w:r w:rsidRPr="00256AA2">
        <w:rPr>
          <w:b/>
        </w:rPr>
        <w:t xml:space="preserve"> </w:t>
      </w:r>
      <w:r w:rsidR="00593497" w:rsidRPr="00256AA2">
        <w:rPr>
          <w:b/>
        </w:rPr>
        <w:t xml:space="preserve">providers had been slow in </w:t>
      </w:r>
      <w:r>
        <w:rPr>
          <w:b/>
        </w:rPr>
        <w:t>putting</w:t>
      </w:r>
      <w:r w:rsidR="00593497" w:rsidRPr="00256AA2">
        <w:rPr>
          <w:b/>
        </w:rPr>
        <w:t xml:space="preserve"> the duty</w:t>
      </w:r>
      <w:r>
        <w:rPr>
          <w:b/>
        </w:rPr>
        <w:t xml:space="preserve"> into practice</w:t>
      </w:r>
      <w:r w:rsidR="00593497">
        <w:rPr>
          <w:b/>
        </w:rPr>
        <w:t xml:space="preserve">. </w:t>
      </w:r>
      <w:r w:rsidR="00593497">
        <w:t xml:space="preserve">Too many providers focused on compliance rather than evaluating the impact of the steps taken to meet the </w:t>
      </w:r>
      <w:r w:rsidR="00C5048D">
        <w:t>‘Prevent’</w:t>
      </w:r>
      <w:r w:rsidR="00593497">
        <w:t xml:space="preserve"> duty and thereby reduce the risks posed by radicalisation and extremism. </w:t>
      </w:r>
    </w:p>
    <w:p w14:paraId="2A583C9D" w14:textId="7617A775" w:rsidR="00593497" w:rsidRDefault="00593497" w:rsidP="00593497">
      <w:pPr>
        <w:pStyle w:val="Bulletskeyfindings"/>
      </w:pPr>
      <w:r w:rsidRPr="00256AA2">
        <w:rPr>
          <w:b/>
        </w:rPr>
        <w:t xml:space="preserve">Two of the eight independent learning providers visited had not implemented any aspect of the </w:t>
      </w:r>
      <w:r w:rsidR="00C5048D">
        <w:rPr>
          <w:b/>
        </w:rPr>
        <w:t>‘Prevent’</w:t>
      </w:r>
      <w:r w:rsidRPr="00256AA2">
        <w:rPr>
          <w:b/>
        </w:rPr>
        <w:t xml:space="preserve"> duty. </w:t>
      </w:r>
      <w:r w:rsidR="000200AD" w:rsidRPr="000200AD">
        <w:t>The</w:t>
      </w:r>
      <w:r w:rsidR="000200AD">
        <w:rPr>
          <w:b/>
        </w:rPr>
        <w:t xml:space="preserve"> </w:t>
      </w:r>
      <w:r w:rsidR="00053BC5">
        <w:t>i</w:t>
      </w:r>
      <w:r>
        <w:t xml:space="preserve">ndependent learning providers tended to </w:t>
      </w:r>
      <w:r w:rsidRPr="00B90C34">
        <w:t>operat</w:t>
      </w:r>
      <w:r>
        <w:t xml:space="preserve">e </w:t>
      </w:r>
      <w:r w:rsidRPr="00B90C34">
        <w:t>in isolation</w:t>
      </w:r>
      <w:r>
        <w:t xml:space="preserve"> and </w:t>
      </w:r>
      <w:r w:rsidR="000200AD">
        <w:t>few had</w:t>
      </w:r>
      <w:r>
        <w:t xml:space="preserve"> adequate systems in place to ensure the safety of learners.</w:t>
      </w:r>
    </w:p>
    <w:p w14:paraId="01728A81" w14:textId="4E41D7B7" w:rsidR="00593497" w:rsidRDefault="00593497" w:rsidP="00593497">
      <w:pPr>
        <w:pStyle w:val="Bulletskeyfindings"/>
      </w:pPr>
      <w:r w:rsidRPr="00256AA2">
        <w:rPr>
          <w:b/>
        </w:rPr>
        <w:t xml:space="preserve">Leaders at the general further education and </w:t>
      </w:r>
      <w:r w:rsidR="00091152">
        <w:rPr>
          <w:b/>
        </w:rPr>
        <w:t>sixth form</w:t>
      </w:r>
      <w:r w:rsidRPr="00256AA2">
        <w:rPr>
          <w:b/>
        </w:rPr>
        <w:t xml:space="preserve"> colleges visited </w:t>
      </w:r>
      <w:r w:rsidR="00517791">
        <w:rPr>
          <w:b/>
        </w:rPr>
        <w:t>were the</w:t>
      </w:r>
      <w:r w:rsidRPr="00256AA2">
        <w:rPr>
          <w:b/>
        </w:rPr>
        <w:t xml:space="preserve"> most successful at implementing all aspects of the </w:t>
      </w:r>
      <w:r w:rsidR="00C5048D">
        <w:rPr>
          <w:b/>
        </w:rPr>
        <w:t>‘Prevent’</w:t>
      </w:r>
      <w:r w:rsidRPr="00256AA2">
        <w:rPr>
          <w:b/>
        </w:rPr>
        <w:t xml:space="preserve"> duty.</w:t>
      </w:r>
      <w:r w:rsidRPr="00B90C34">
        <w:t xml:space="preserve"> The</w:t>
      </w:r>
      <w:r>
        <w:t>y had generally formed strong partnerships with external agencies and stakeholders</w:t>
      </w:r>
      <w:r w:rsidR="00A71DB5">
        <w:t>. R</w:t>
      </w:r>
      <w:r>
        <w:t>isk assessments and action plans</w:t>
      </w:r>
      <w:r w:rsidRPr="00B90C34">
        <w:t xml:space="preserve"> </w:t>
      </w:r>
      <w:r w:rsidR="00752460">
        <w:t xml:space="preserve">in these providers </w:t>
      </w:r>
      <w:r>
        <w:t xml:space="preserve">were of good quality. </w:t>
      </w:r>
    </w:p>
    <w:p w14:paraId="22382D7D" w14:textId="2BD1344D" w:rsidR="00593497" w:rsidRDefault="00593497" w:rsidP="00593497">
      <w:pPr>
        <w:pStyle w:val="Bulletskeyfindings"/>
      </w:pPr>
      <w:r w:rsidRPr="00256AA2">
        <w:rPr>
          <w:b/>
        </w:rPr>
        <w:t>Partnership</w:t>
      </w:r>
      <w:r>
        <w:rPr>
          <w:b/>
        </w:rPr>
        <w:t xml:space="preserve"> working was often not effective</w:t>
      </w:r>
      <w:r>
        <w:t>. Approximately half the</w:t>
      </w:r>
      <w:r w:rsidRPr="00B90C34">
        <w:t xml:space="preserve"> providers</w:t>
      </w:r>
      <w:r>
        <w:t xml:space="preserve"> visited were</w:t>
      </w:r>
      <w:r w:rsidRPr="00B90C34">
        <w:t xml:space="preserve"> unaware of the support, information or intelligence available to them</w:t>
      </w:r>
      <w:r>
        <w:t xml:space="preserve"> from </w:t>
      </w:r>
      <w:r w:rsidR="00517791">
        <w:t>a</w:t>
      </w:r>
      <w:r>
        <w:t xml:space="preserve"> range of external partners</w:t>
      </w:r>
      <w:r w:rsidR="009B40E3">
        <w:t>, including the E</w:t>
      </w:r>
      <w:r w:rsidR="00CF15E5">
        <w:t>TF.</w:t>
      </w:r>
      <w:r w:rsidRPr="00B90C34">
        <w:t xml:space="preserve"> </w:t>
      </w:r>
    </w:p>
    <w:p w14:paraId="6035D7D8" w14:textId="72B5FAD7" w:rsidR="00593497" w:rsidRPr="00B90C34" w:rsidRDefault="00593497" w:rsidP="00593497">
      <w:pPr>
        <w:pStyle w:val="Bulletskeyfindings"/>
      </w:pPr>
      <w:r>
        <w:rPr>
          <w:b/>
        </w:rPr>
        <w:t>L</w:t>
      </w:r>
      <w:r w:rsidRPr="00256AA2">
        <w:rPr>
          <w:b/>
        </w:rPr>
        <w:t xml:space="preserve">ocal authorities had </w:t>
      </w:r>
      <w:r>
        <w:rPr>
          <w:b/>
        </w:rPr>
        <w:t xml:space="preserve">often </w:t>
      </w:r>
      <w:r w:rsidRPr="00256AA2">
        <w:rPr>
          <w:b/>
        </w:rPr>
        <w:t>not worked with providers</w:t>
      </w:r>
      <w:r>
        <w:rPr>
          <w:b/>
        </w:rPr>
        <w:t xml:space="preserve"> to </w:t>
      </w:r>
      <w:r w:rsidR="00162847">
        <w:rPr>
          <w:b/>
        </w:rPr>
        <w:t>build partnerships or share information effectively</w:t>
      </w:r>
      <w:r w:rsidR="0080253C">
        <w:rPr>
          <w:b/>
        </w:rPr>
        <w:t>.</w:t>
      </w:r>
      <w:r w:rsidRPr="00B90C34">
        <w:t xml:space="preserve"> </w:t>
      </w:r>
      <w:r w:rsidR="00CF15E5">
        <w:t>Several local authorities were not fulfi</w:t>
      </w:r>
      <w:r w:rsidR="00812A54">
        <w:t>lling their responsibilities</w:t>
      </w:r>
      <w:r w:rsidR="00CF15E5">
        <w:t xml:space="preserve"> in developing multi-agency</w:t>
      </w:r>
      <w:r w:rsidR="0080253C">
        <w:t xml:space="preserve"> arrangements and did not work closely enough with further education and skills providers</w:t>
      </w:r>
      <w:r w:rsidR="008942A0">
        <w:t xml:space="preserve"> to share information.</w:t>
      </w:r>
      <w:r>
        <w:t xml:space="preserve"> </w:t>
      </w:r>
    </w:p>
    <w:p w14:paraId="0CA67118" w14:textId="77777777" w:rsidR="00593497" w:rsidRDefault="00593497" w:rsidP="00593497">
      <w:pPr>
        <w:pStyle w:val="Bulletskeyfindings"/>
      </w:pPr>
      <w:r w:rsidRPr="00256AA2">
        <w:rPr>
          <w:b/>
        </w:rPr>
        <w:t xml:space="preserve">Independent learning providers’ arrangements for sharing information were </w:t>
      </w:r>
      <w:r>
        <w:rPr>
          <w:b/>
        </w:rPr>
        <w:t>ineffective</w:t>
      </w:r>
      <w:r w:rsidRPr="00256AA2">
        <w:rPr>
          <w:b/>
        </w:rPr>
        <w:t>.</w:t>
      </w:r>
      <w:r>
        <w:t xml:space="preserve"> These </w:t>
      </w:r>
      <w:r w:rsidRPr="00B90C34">
        <w:t>providers</w:t>
      </w:r>
      <w:r>
        <w:t xml:space="preserve"> typically</w:t>
      </w:r>
      <w:r w:rsidRPr="00B90C34">
        <w:t xml:space="preserve"> d</w:t>
      </w:r>
      <w:r>
        <w:t>id</w:t>
      </w:r>
      <w:r w:rsidRPr="00B90C34">
        <w:t xml:space="preserve"> not have the staff, skills or expertise to develop robust information</w:t>
      </w:r>
      <w:r>
        <w:t>-</w:t>
      </w:r>
      <w:r w:rsidRPr="00B90C34">
        <w:t>sharing protocols with partners or external agencies</w:t>
      </w:r>
      <w:r>
        <w:t xml:space="preserve">. </w:t>
      </w:r>
    </w:p>
    <w:p w14:paraId="684D6C00" w14:textId="296E09CA" w:rsidR="00593497" w:rsidRDefault="00593497" w:rsidP="00593497">
      <w:pPr>
        <w:pStyle w:val="Bulletskeyfindings"/>
      </w:pPr>
      <w:r w:rsidRPr="00256AA2">
        <w:rPr>
          <w:b/>
        </w:rPr>
        <w:t xml:space="preserve">The quality of staff training was ineffective in a third of </w:t>
      </w:r>
      <w:r w:rsidR="00674C73">
        <w:rPr>
          <w:b/>
        </w:rPr>
        <w:t xml:space="preserve">the </w:t>
      </w:r>
      <w:r w:rsidRPr="00256AA2">
        <w:rPr>
          <w:b/>
        </w:rPr>
        <w:t>providers visited.</w:t>
      </w:r>
      <w:r w:rsidRPr="00B90C34">
        <w:t xml:space="preserve"> T</w:t>
      </w:r>
      <w:r w:rsidR="00674C73">
        <w:t>hese providers tended to be</w:t>
      </w:r>
      <w:r w:rsidRPr="00B90C34">
        <w:t xml:space="preserve"> over-reliant on staff completing online training packages for </w:t>
      </w:r>
      <w:r w:rsidR="00C5048D">
        <w:t>‘Prevent’</w:t>
      </w:r>
      <w:r w:rsidR="00A71DB5">
        <w:t>. L</w:t>
      </w:r>
      <w:r>
        <w:t xml:space="preserve">ittle </w:t>
      </w:r>
      <w:r w:rsidR="00A71DB5">
        <w:t xml:space="preserve">thought was </w:t>
      </w:r>
      <w:r>
        <w:t>given to adapting training to meet the needs of all staff</w:t>
      </w:r>
      <w:r w:rsidR="00053BC5">
        <w:t xml:space="preserve"> or take account of the specific context of the provider</w:t>
      </w:r>
      <w:r>
        <w:t xml:space="preserve">. </w:t>
      </w:r>
    </w:p>
    <w:p w14:paraId="7D35245F" w14:textId="36DDAB96" w:rsidR="00593497" w:rsidRPr="00B90C34" w:rsidRDefault="00A71DB5" w:rsidP="00593497">
      <w:pPr>
        <w:pStyle w:val="Bulletskeyfindings"/>
      </w:pPr>
      <w:r>
        <w:rPr>
          <w:b/>
        </w:rPr>
        <w:lastRenderedPageBreak/>
        <w:t>S</w:t>
      </w:r>
      <w:r w:rsidR="000F7B05">
        <w:rPr>
          <w:b/>
        </w:rPr>
        <w:t>ome s</w:t>
      </w:r>
      <w:r>
        <w:rPr>
          <w:b/>
        </w:rPr>
        <w:t xml:space="preserve">enior leaders did not pass on information about </w:t>
      </w:r>
      <w:r w:rsidRPr="008C6D9C">
        <w:rPr>
          <w:b/>
        </w:rPr>
        <w:t xml:space="preserve">strategic developments with external partners </w:t>
      </w:r>
      <w:r>
        <w:rPr>
          <w:b/>
        </w:rPr>
        <w:t>to their m</w:t>
      </w:r>
      <w:r w:rsidR="00593497" w:rsidRPr="008C6D9C">
        <w:rPr>
          <w:b/>
        </w:rPr>
        <w:t>iddle managers</w:t>
      </w:r>
      <w:r w:rsidR="009B40E3">
        <w:rPr>
          <w:b/>
        </w:rPr>
        <w:t>.</w:t>
      </w:r>
      <w:r w:rsidR="00593497">
        <w:t xml:space="preserve"> Communications within </w:t>
      </w:r>
      <w:r w:rsidR="000F7B05">
        <w:t xml:space="preserve">some </w:t>
      </w:r>
      <w:r w:rsidR="00593497">
        <w:t xml:space="preserve">providers </w:t>
      </w:r>
      <w:r w:rsidR="00674C73">
        <w:t>we</w:t>
      </w:r>
      <w:r w:rsidR="00593497">
        <w:t>re not effective</w:t>
      </w:r>
      <w:r>
        <w:t>. M</w:t>
      </w:r>
      <w:r w:rsidR="00593497">
        <w:t>anagers with responsibility for implementation</w:t>
      </w:r>
      <w:r w:rsidR="00DE0440">
        <w:t xml:space="preserve"> </w:t>
      </w:r>
      <w:r w:rsidR="00674C73">
        <w:t>we</w:t>
      </w:r>
      <w:r w:rsidR="00593497">
        <w:t xml:space="preserve">re </w:t>
      </w:r>
      <w:r w:rsidR="009B40E3">
        <w:t xml:space="preserve">often </w:t>
      </w:r>
      <w:r w:rsidR="00593497">
        <w:t xml:space="preserve">too distant from decision-making processes. </w:t>
      </w:r>
    </w:p>
    <w:p w14:paraId="7AC151AF" w14:textId="765EBA6E" w:rsidR="00593497" w:rsidRPr="00B90C34" w:rsidRDefault="00593497" w:rsidP="00593497">
      <w:pPr>
        <w:pStyle w:val="Bulletskeyfindings"/>
      </w:pPr>
      <w:r w:rsidRPr="00256AA2">
        <w:rPr>
          <w:b/>
        </w:rPr>
        <w:t xml:space="preserve">Vetting and monitoring of external speakers </w:t>
      </w:r>
      <w:r>
        <w:rPr>
          <w:b/>
        </w:rPr>
        <w:t>were</w:t>
      </w:r>
      <w:r w:rsidRPr="00256AA2">
        <w:rPr>
          <w:b/>
        </w:rPr>
        <w:t xml:space="preserve"> inadequate in </w:t>
      </w:r>
      <w:r>
        <w:rPr>
          <w:b/>
        </w:rPr>
        <w:t xml:space="preserve">around a quarter of the </w:t>
      </w:r>
      <w:r w:rsidRPr="00256AA2">
        <w:rPr>
          <w:b/>
        </w:rPr>
        <w:t>providers</w:t>
      </w:r>
      <w:r>
        <w:rPr>
          <w:b/>
        </w:rPr>
        <w:t xml:space="preserve">. </w:t>
      </w:r>
      <w:r>
        <w:t xml:space="preserve">As a result, </w:t>
      </w:r>
      <w:r w:rsidR="00674C73">
        <w:t xml:space="preserve">in these providers, </w:t>
      </w:r>
      <w:r>
        <w:t>speakers were</w:t>
      </w:r>
      <w:r>
        <w:rPr>
          <w:b/>
        </w:rPr>
        <w:t xml:space="preserve"> </w:t>
      </w:r>
      <w:r>
        <w:t xml:space="preserve">allowed onto the premises to talk to learners without appropriate suitability checks. </w:t>
      </w:r>
    </w:p>
    <w:p w14:paraId="6567AC78" w14:textId="0A15FE7D" w:rsidR="00593497" w:rsidRPr="00B90C34" w:rsidRDefault="00593497" w:rsidP="00593497">
      <w:pPr>
        <w:pStyle w:val="Bulletskeyfindings"/>
      </w:pPr>
      <w:r w:rsidRPr="00256AA2">
        <w:rPr>
          <w:b/>
        </w:rPr>
        <w:t xml:space="preserve">The quality of risk assessments and action plans to reduce the risk of radicalisation and extremism was </w:t>
      </w:r>
      <w:r>
        <w:rPr>
          <w:b/>
        </w:rPr>
        <w:t>poor</w:t>
      </w:r>
      <w:r w:rsidRPr="00256AA2">
        <w:rPr>
          <w:b/>
        </w:rPr>
        <w:t xml:space="preserve"> in </w:t>
      </w:r>
      <w:r w:rsidR="00A71DB5">
        <w:rPr>
          <w:b/>
        </w:rPr>
        <w:t>11</w:t>
      </w:r>
      <w:r w:rsidR="00A71DB5" w:rsidRPr="00256AA2">
        <w:rPr>
          <w:b/>
        </w:rPr>
        <w:t xml:space="preserve"> </w:t>
      </w:r>
      <w:r w:rsidRPr="00256AA2">
        <w:rPr>
          <w:b/>
        </w:rPr>
        <w:t>of the providers.</w:t>
      </w:r>
      <w:r w:rsidRPr="00B90C34">
        <w:t xml:space="preserve"> </w:t>
      </w:r>
      <w:r>
        <w:t>Two</w:t>
      </w:r>
      <w:r w:rsidRPr="00B90C34">
        <w:t xml:space="preserve"> independent learning providers had no risk assessments in place</w:t>
      </w:r>
      <w:r>
        <w:t xml:space="preserve"> at all</w:t>
      </w:r>
      <w:r w:rsidRPr="00B90C34">
        <w:t xml:space="preserve">. </w:t>
      </w:r>
      <w:r w:rsidR="00887CBF">
        <w:t xml:space="preserve">Of the other nine providers, most </w:t>
      </w:r>
      <w:r w:rsidR="00F74745">
        <w:t>adopted</w:t>
      </w:r>
      <w:r w:rsidR="00887CBF">
        <w:t xml:space="preserve"> a</w:t>
      </w:r>
      <w:r w:rsidRPr="00B90C34">
        <w:t xml:space="preserve"> </w:t>
      </w:r>
      <w:r>
        <w:t>‘</w:t>
      </w:r>
      <w:r w:rsidRPr="00B90C34">
        <w:t>tick</w:t>
      </w:r>
      <w:r>
        <w:t>-</w:t>
      </w:r>
      <w:r w:rsidRPr="00B90C34">
        <w:t>box</w:t>
      </w:r>
      <w:r>
        <w:t>’</w:t>
      </w:r>
      <w:r w:rsidRPr="00B90C34">
        <w:t xml:space="preserve"> </w:t>
      </w:r>
      <w:r w:rsidR="00887CBF">
        <w:t>approach to risk assessment</w:t>
      </w:r>
      <w:r w:rsidRPr="00B90C34">
        <w:t xml:space="preserve"> rather than </w:t>
      </w:r>
      <w:r w:rsidR="00887CBF">
        <w:t xml:space="preserve">conducting </w:t>
      </w:r>
      <w:r>
        <w:t>a comprehensive evaluation of</w:t>
      </w:r>
      <w:r w:rsidRPr="00B90C34">
        <w:t xml:space="preserve"> risks.</w:t>
      </w:r>
    </w:p>
    <w:p w14:paraId="55506836" w14:textId="67312C63" w:rsidR="00593497" w:rsidRPr="00B90C34" w:rsidRDefault="00593497" w:rsidP="00593497">
      <w:pPr>
        <w:pStyle w:val="Bulletskeyfindings-lastbullet"/>
      </w:pPr>
      <w:r w:rsidRPr="00256AA2">
        <w:rPr>
          <w:b/>
        </w:rPr>
        <w:t>Leaders in nearly half the providers visited did not adequately protect learners from the risk of radicalisation and extremism when using IT systems.</w:t>
      </w:r>
      <w:r>
        <w:t xml:space="preserve"> </w:t>
      </w:r>
      <w:r w:rsidRPr="00B90C34">
        <w:t>Learners in</w:t>
      </w:r>
      <w:r>
        <w:t xml:space="preserve"> the weakest </w:t>
      </w:r>
      <w:r w:rsidRPr="00B90C34">
        <w:t xml:space="preserve">providers were able to </w:t>
      </w:r>
      <w:r>
        <w:t>bypass</w:t>
      </w:r>
      <w:r w:rsidRPr="00B90C34">
        <w:t xml:space="preserve"> firewalls to access inappropriate websites</w:t>
      </w:r>
      <w:r w:rsidR="00A71DB5">
        <w:t>,</w:t>
      </w:r>
      <w:r w:rsidRPr="00B90C34">
        <w:t xml:space="preserve"> including those promoting </w:t>
      </w:r>
      <w:r>
        <w:t>terrorist</w:t>
      </w:r>
      <w:r w:rsidRPr="00B90C34">
        <w:t xml:space="preserve"> ideology</w:t>
      </w:r>
      <w:r>
        <w:t>, right-wing extremism and the purchase of firearms</w:t>
      </w:r>
      <w:r w:rsidRPr="00B90C34">
        <w:t>.</w:t>
      </w:r>
      <w:r>
        <w:t xml:space="preserve"> </w:t>
      </w:r>
    </w:p>
    <w:p w14:paraId="08BAB9AF" w14:textId="77777777" w:rsidR="00593497" w:rsidRPr="007317E8" w:rsidRDefault="00593497" w:rsidP="00593497">
      <w:pPr>
        <w:pStyle w:val="Heading1"/>
      </w:pPr>
      <w:bookmarkStart w:id="7" w:name="_Toc447729291"/>
      <w:bookmarkStart w:id="8" w:name="_Toc447732113"/>
      <w:bookmarkStart w:id="9" w:name="_Toc454282637"/>
      <w:r w:rsidRPr="000C1E49">
        <w:t>Recommendations</w:t>
      </w:r>
      <w:bookmarkEnd w:id="7"/>
      <w:bookmarkEnd w:id="8"/>
      <w:bookmarkEnd w:id="9"/>
    </w:p>
    <w:p w14:paraId="7E722EC9" w14:textId="77777777" w:rsidR="00593497" w:rsidRPr="00B90C34" w:rsidRDefault="00593497" w:rsidP="00593497">
      <w:pPr>
        <w:pStyle w:val="Unnumberedparagraph"/>
      </w:pPr>
      <w:bookmarkStart w:id="10" w:name="_Toc260827247"/>
      <w:bookmarkStart w:id="11" w:name="_Toc273346316"/>
      <w:r w:rsidRPr="00B90C34">
        <w:t xml:space="preserve">The </w:t>
      </w:r>
      <w:r>
        <w:t>g</w:t>
      </w:r>
      <w:r w:rsidRPr="00B90C34">
        <w:t>overnment should:</w:t>
      </w:r>
    </w:p>
    <w:p w14:paraId="7D79C868" w14:textId="2F094E3D" w:rsidR="00593497" w:rsidRPr="00B90C34" w:rsidRDefault="00593497" w:rsidP="00906FB7">
      <w:pPr>
        <w:pStyle w:val="Bulletsspaced"/>
      </w:pPr>
      <w:r w:rsidRPr="00B90C34">
        <w:t xml:space="preserve">ensure </w:t>
      </w:r>
      <w:r w:rsidR="00B81E13">
        <w:t>the consistency of advice and guidance provided by</w:t>
      </w:r>
      <w:r w:rsidRPr="00B90C34">
        <w:t xml:space="preserve"> BIS </w:t>
      </w:r>
      <w:r w:rsidR="00C5048D">
        <w:t>‘Prevent’</w:t>
      </w:r>
      <w:r w:rsidRPr="00B90C34">
        <w:t xml:space="preserve"> coordinators, police </w:t>
      </w:r>
      <w:r w:rsidR="00C5048D">
        <w:t>‘Prevent’</w:t>
      </w:r>
      <w:r w:rsidRPr="00B90C34">
        <w:t xml:space="preserve"> teams and local authorities</w:t>
      </w:r>
    </w:p>
    <w:p w14:paraId="440A337E" w14:textId="1355E559" w:rsidR="00593497" w:rsidRDefault="00593497" w:rsidP="00906FB7">
      <w:pPr>
        <w:pStyle w:val="Bulletsspaced"/>
      </w:pPr>
      <w:r w:rsidRPr="00B90C34">
        <w:t xml:space="preserve">through </w:t>
      </w:r>
      <w:proofErr w:type="spellStart"/>
      <w:r w:rsidR="00E07112">
        <w:t>Jisc</w:t>
      </w:r>
      <w:proofErr w:type="spellEnd"/>
      <w:r w:rsidRPr="00B90C34">
        <w:t>, publicise</w:t>
      </w:r>
      <w:r>
        <w:t xml:space="preserve"> further </w:t>
      </w:r>
      <w:r w:rsidR="00B81E13">
        <w:t xml:space="preserve">the </w:t>
      </w:r>
      <w:r w:rsidRPr="00B90C34">
        <w:t xml:space="preserve">support </w:t>
      </w:r>
      <w:r>
        <w:t>available to</w:t>
      </w:r>
      <w:r w:rsidRPr="00B90C34">
        <w:t xml:space="preserve"> providers </w:t>
      </w:r>
      <w:r>
        <w:t>to</w:t>
      </w:r>
      <w:r w:rsidRPr="00B90C34">
        <w:t xml:space="preserve"> develop IT policies</w:t>
      </w:r>
      <w:r>
        <w:t xml:space="preserve"> that counter </w:t>
      </w:r>
      <w:r w:rsidRPr="00B90C34">
        <w:t>inappropriate internet access</w:t>
      </w:r>
    </w:p>
    <w:p w14:paraId="149CB1CE" w14:textId="4828AC1D" w:rsidR="00B81E13" w:rsidRDefault="00B81E13" w:rsidP="00084715">
      <w:pPr>
        <w:pStyle w:val="Bulletsspaced-lastbullet"/>
      </w:pPr>
      <w:proofErr w:type="gramStart"/>
      <w:r>
        <w:t>promote</w:t>
      </w:r>
      <w:proofErr w:type="gramEnd"/>
      <w:r>
        <w:t xml:space="preserve"> the support, advice and guidance available through ETF to enable providers to do more to protect learners</w:t>
      </w:r>
      <w:r w:rsidR="00376A1A">
        <w:t>.</w:t>
      </w:r>
    </w:p>
    <w:p w14:paraId="2E273AEA" w14:textId="130B5739" w:rsidR="00593497" w:rsidRPr="00B90C34" w:rsidRDefault="00593497" w:rsidP="00084715">
      <w:pPr>
        <w:pStyle w:val="Unnumberedparagraph"/>
      </w:pPr>
      <w:r>
        <w:t xml:space="preserve"> </w:t>
      </w:r>
      <w:r w:rsidRPr="00B90C34">
        <w:t>Providers should:</w:t>
      </w:r>
    </w:p>
    <w:p w14:paraId="320BDF07" w14:textId="27351161" w:rsidR="00593497" w:rsidRPr="00B90C34" w:rsidRDefault="00593497" w:rsidP="00906FB7">
      <w:pPr>
        <w:pStyle w:val="Bulletsspaced"/>
      </w:pPr>
      <w:r>
        <w:t>e</w:t>
      </w:r>
      <w:r w:rsidRPr="00B90C34">
        <w:t xml:space="preserve">nsure </w:t>
      </w:r>
      <w:r w:rsidR="00795698">
        <w:t xml:space="preserve">that </w:t>
      </w:r>
      <w:r w:rsidRPr="00B90C34">
        <w:t>appropriate policies and procedures are in place</w:t>
      </w:r>
      <w:r>
        <w:t>, and implemented effectively,</w:t>
      </w:r>
      <w:r w:rsidRPr="00B90C34">
        <w:t xml:space="preserve"> to </w:t>
      </w:r>
      <w:r w:rsidR="00B81E13">
        <w:t>protect learners from the risks posed by</w:t>
      </w:r>
      <w:r w:rsidR="00053BC5">
        <w:t xml:space="preserve"> </w:t>
      </w:r>
      <w:r w:rsidRPr="00B90C34">
        <w:t>external speakers and events</w:t>
      </w:r>
      <w:r>
        <w:t xml:space="preserve"> </w:t>
      </w:r>
    </w:p>
    <w:p w14:paraId="0C77D5FB" w14:textId="351DF01D" w:rsidR="00593497" w:rsidRPr="00B90C34" w:rsidRDefault="00593497" w:rsidP="00906FB7">
      <w:pPr>
        <w:pStyle w:val="Bulletsspaced"/>
      </w:pPr>
      <w:r w:rsidRPr="00B90C34">
        <w:t>develop stronger and more supportive links with partners</w:t>
      </w:r>
      <w:r>
        <w:t>, including local authorities,</w:t>
      </w:r>
      <w:r w:rsidRPr="00B90C34">
        <w:t xml:space="preserve"> to </w:t>
      </w:r>
      <w:r>
        <w:t xml:space="preserve">develop stringent information-sharing protocols and </w:t>
      </w:r>
      <w:r w:rsidRPr="00B90C34">
        <w:t>share intelligence</w:t>
      </w:r>
      <w:r>
        <w:t xml:space="preserve"> </w:t>
      </w:r>
    </w:p>
    <w:p w14:paraId="6C58A7C4" w14:textId="58914A2C" w:rsidR="00593497" w:rsidRPr="00B90C34" w:rsidRDefault="00593497" w:rsidP="00906FB7">
      <w:pPr>
        <w:pStyle w:val="Bulletsspaced"/>
      </w:pPr>
      <w:r w:rsidRPr="00B90C34">
        <w:t>ensure</w:t>
      </w:r>
      <w:r w:rsidR="00795698">
        <w:t xml:space="preserve"> that</w:t>
      </w:r>
      <w:r w:rsidRPr="00B90C34">
        <w:t xml:space="preserve"> risk assessments and associated action plans are </w:t>
      </w:r>
      <w:r>
        <w:t xml:space="preserve">of </w:t>
      </w:r>
      <w:r w:rsidRPr="00B90C34">
        <w:t xml:space="preserve">high quality and cover all aspects of the </w:t>
      </w:r>
      <w:r w:rsidR="00C5048D">
        <w:t>‘Prevent’</w:t>
      </w:r>
      <w:r w:rsidRPr="00B90C34">
        <w:t xml:space="preserve"> duty</w:t>
      </w:r>
    </w:p>
    <w:p w14:paraId="20290324" w14:textId="77777777" w:rsidR="00593497" w:rsidRPr="00B90C34" w:rsidRDefault="00593497" w:rsidP="00906FB7">
      <w:pPr>
        <w:pStyle w:val="Bulletsspaced"/>
      </w:pPr>
      <w:r w:rsidRPr="00B90C34">
        <w:t xml:space="preserve">provide </w:t>
      </w:r>
      <w:r>
        <w:t xml:space="preserve">staff </w:t>
      </w:r>
      <w:r w:rsidRPr="00B90C34">
        <w:t>training that is aligned to job roles</w:t>
      </w:r>
      <w:r>
        <w:t xml:space="preserve"> and evaluate this</w:t>
      </w:r>
      <w:r w:rsidRPr="00B90C34">
        <w:t xml:space="preserve"> to measure </w:t>
      </w:r>
      <w:r>
        <w:t xml:space="preserve">its </w:t>
      </w:r>
      <w:r w:rsidRPr="00B90C34">
        <w:t>impact across the organisation</w:t>
      </w:r>
    </w:p>
    <w:p w14:paraId="606A3625" w14:textId="77777777" w:rsidR="00593497" w:rsidRPr="00B90C34" w:rsidRDefault="00593497" w:rsidP="00906FB7">
      <w:pPr>
        <w:pStyle w:val="Bulletsspaced"/>
      </w:pPr>
      <w:r w:rsidRPr="00B90C34">
        <w:lastRenderedPageBreak/>
        <w:t xml:space="preserve">ensure </w:t>
      </w:r>
      <w:r>
        <w:t>that learners</w:t>
      </w:r>
      <w:r w:rsidRPr="00B90C34">
        <w:t xml:space="preserve"> have a good understanding of British values and the risks and threats of radicalisation and extremism</w:t>
      </w:r>
    </w:p>
    <w:p w14:paraId="65AC20E0" w14:textId="58D75851" w:rsidR="00593497" w:rsidRPr="00B90C34" w:rsidRDefault="00593497" w:rsidP="00593497">
      <w:pPr>
        <w:pStyle w:val="Bulletsspaced-lastbullet"/>
        <w:numPr>
          <w:ilvl w:val="0"/>
          <w:numId w:val="8"/>
        </w:numPr>
        <w:tabs>
          <w:tab w:val="clear" w:pos="567"/>
        </w:tabs>
      </w:pPr>
      <w:proofErr w:type="gramStart"/>
      <w:r>
        <w:t>refer</w:t>
      </w:r>
      <w:proofErr w:type="gramEnd"/>
      <w:r>
        <w:t xml:space="preserve"> to the</w:t>
      </w:r>
      <w:r w:rsidRPr="00B90C34">
        <w:t xml:space="preserve"> </w:t>
      </w:r>
      <w:r w:rsidR="00C5048D">
        <w:t>‘Prevent’</w:t>
      </w:r>
      <w:r>
        <w:t xml:space="preserve"> duty</w:t>
      </w:r>
      <w:r w:rsidRPr="00B90C34">
        <w:t xml:space="preserve"> explicitly in IT policies and procedures, closely monitor learner</w:t>
      </w:r>
      <w:r>
        <w:t>s’</w:t>
      </w:r>
      <w:r w:rsidRPr="00B90C34">
        <w:t xml:space="preserve"> use of IT facilities to identify inappropriate usage</w:t>
      </w:r>
      <w:r>
        <w:t>,</w:t>
      </w:r>
      <w:r w:rsidRPr="00B90C34">
        <w:t xml:space="preserve"> and work with partners and external agencies for additional support, information and intelligence.</w:t>
      </w:r>
    </w:p>
    <w:p w14:paraId="17761FBF" w14:textId="77777777" w:rsidR="00593497" w:rsidRPr="00B90C34" w:rsidRDefault="00593497" w:rsidP="00593497">
      <w:pPr>
        <w:pStyle w:val="Unnumberedparagraph"/>
      </w:pPr>
      <w:r w:rsidRPr="00B90C34">
        <w:t>Ofsted should:</w:t>
      </w:r>
    </w:p>
    <w:p w14:paraId="29ACAB38" w14:textId="45C51846" w:rsidR="00593497" w:rsidRDefault="00593497" w:rsidP="00593497">
      <w:pPr>
        <w:pStyle w:val="Bulletsspaced-lastbullet"/>
        <w:numPr>
          <w:ilvl w:val="0"/>
          <w:numId w:val="8"/>
        </w:numPr>
        <w:tabs>
          <w:tab w:val="clear" w:pos="567"/>
        </w:tabs>
      </w:pPr>
      <w:proofErr w:type="gramStart"/>
      <w:r>
        <w:t>from</w:t>
      </w:r>
      <w:proofErr w:type="gramEnd"/>
      <w:r>
        <w:t xml:space="preserve"> September 2016, raise further </w:t>
      </w:r>
      <w:r w:rsidR="00CC2F57">
        <w:t xml:space="preserve">its </w:t>
      </w:r>
      <w:r>
        <w:t xml:space="preserve">expectations </w:t>
      </w:r>
      <w:r w:rsidR="00D067AF">
        <w:t xml:space="preserve">of </w:t>
      </w:r>
      <w:r>
        <w:t xml:space="preserve">providers to implement all aspects of the </w:t>
      </w:r>
      <w:r w:rsidR="00C5048D">
        <w:t>‘Prevent’</w:t>
      </w:r>
      <w:r>
        <w:t xml:space="preserve"> duty, and evaluate the impact </w:t>
      </w:r>
      <w:r w:rsidR="008739B1">
        <w:t>this has on keeping learners safe</w:t>
      </w:r>
      <w:r w:rsidR="00A12145">
        <w:t>.</w:t>
      </w:r>
    </w:p>
    <w:p w14:paraId="60314C19" w14:textId="77777777" w:rsidR="00593497" w:rsidRPr="001815F8" w:rsidRDefault="00593497" w:rsidP="00593497">
      <w:pPr>
        <w:pStyle w:val="Heading1"/>
        <w:rPr>
          <w:rFonts w:eastAsia="Calibri"/>
        </w:rPr>
      </w:pPr>
      <w:bookmarkStart w:id="12" w:name="_Toc447732114"/>
      <w:bookmarkStart w:id="13" w:name="_Toc454282638"/>
      <w:r>
        <w:rPr>
          <w:rFonts w:eastAsia="Calibri"/>
        </w:rPr>
        <w:t>Introduction</w:t>
      </w:r>
      <w:bookmarkEnd w:id="12"/>
      <w:bookmarkEnd w:id="13"/>
    </w:p>
    <w:p w14:paraId="5E41433B" w14:textId="11B5F5FC" w:rsidR="00593497" w:rsidRPr="001E29AD" w:rsidRDefault="00593497" w:rsidP="00593497">
      <w:pPr>
        <w:pStyle w:val="Numberedparagraph"/>
      </w:pPr>
      <w:r>
        <w:t>F</w:t>
      </w:r>
      <w:r w:rsidRPr="001E29AD">
        <w:t xml:space="preserve">rom September 2015, further education and skills providers were required to comply with the updated </w:t>
      </w:r>
      <w:r>
        <w:t xml:space="preserve">statutory </w:t>
      </w:r>
      <w:r w:rsidR="00C5048D">
        <w:t>‘Prevent’</w:t>
      </w:r>
      <w:r w:rsidRPr="001E29AD">
        <w:t xml:space="preserve"> duty guidance.</w:t>
      </w:r>
    </w:p>
    <w:p w14:paraId="08BD1AB5" w14:textId="0CAA82E4" w:rsidR="00593497" w:rsidRPr="001E29AD" w:rsidRDefault="00593497" w:rsidP="00593497">
      <w:pPr>
        <w:pStyle w:val="Numberedparagraph"/>
      </w:pPr>
      <w:r w:rsidRPr="001E29AD">
        <w:t xml:space="preserve">The </w:t>
      </w:r>
      <w:r w:rsidR="00C5048D">
        <w:t>‘Prevent’</w:t>
      </w:r>
      <w:r w:rsidRPr="001E29AD">
        <w:t xml:space="preserve"> duty requires providers to have:</w:t>
      </w:r>
    </w:p>
    <w:p w14:paraId="59B65749" w14:textId="77777777" w:rsidR="00593497" w:rsidRPr="00906FB7" w:rsidRDefault="00593497" w:rsidP="00906FB7">
      <w:pPr>
        <w:pStyle w:val="Bulletsspaced"/>
      </w:pPr>
      <w:r w:rsidRPr="00906FB7">
        <w:t xml:space="preserve">appropriate policies and procedures in place for the management of external speakers and events </w:t>
      </w:r>
    </w:p>
    <w:p w14:paraId="433F7AF0" w14:textId="046C1D1A" w:rsidR="00593497" w:rsidRPr="00906FB7" w:rsidRDefault="00593497" w:rsidP="00906FB7">
      <w:pPr>
        <w:pStyle w:val="Bulletsspaced"/>
      </w:pPr>
      <w:r w:rsidRPr="00906FB7">
        <w:t>active engagement with partners</w:t>
      </w:r>
      <w:r w:rsidR="00795698">
        <w:t>,</w:t>
      </w:r>
      <w:r w:rsidRPr="00906FB7">
        <w:t xml:space="preserve"> including the police and BIS </w:t>
      </w:r>
      <w:r w:rsidR="00C5048D">
        <w:t>‘Prevent’</w:t>
      </w:r>
      <w:r w:rsidRPr="00906FB7">
        <w:t xml:space="preserve"> coordinators</w:t>
      </w:r>
    </w:p>
    <w:p w14:paraId="755C26D8" w14:textId="42A531BB" w:rsidR="00593497" w:rsidRPr="00906FB7" w:rsidRDefault="00593497" w:rsidP="00906FB7">
      <w:pPr>
        <w:pStyle w:val="Bulletsspaced"/>
      </w:pPr>
      <w:r w:rsidRPr="00906FB7">
        <w:t xml:space="preserve">a risk assessment </w:t>
      </w:r>
      <w:r w:rsidR="00795698">
        <w:t>that</w:t>
      </w:r>
      <w:r w:rsidR="00795698" w:rsidRPr="00906FB7">
        <w:t xml:space="preserve"> </w:t>
      </w:r>
      <w:r w:rsidRPr="00906FB7">
        <w:t>assesses where and how learners are at risk of being drawn into terrorism, and an action plan designed to reduce such risks</w:t>
      </w:r>
    </w:p>
    <w:p w14:paraId="6B4B2E9E" w14:textId="77777777" w:rsidR="00593497" w:rsidRPr="00906FB7" w:rsidRDefault="00593497" w:rsidP="00906FB7">
      <w:pPr>
        <w:pStyle w:val="Bulletsspaced"/>
      </w:pPr>
      <w:r w:rsidRPr="00906FB7">
        <w:t>appropriate training and development for principals, governors, leaders and staff</w:t>
      </w:r>
    </w:p>
    <w:p w14:paraId="3E4850DE" w14:textId="77777777" w:rsidR="00593497" w:rsidRPr="00906FB7" w:rsidRDefault="00593497" w:rsidP="00906FB7">
      <w:pPr>
        <w:pStyle w:val="Bulletsspaced"/>
      </w:pPr>
      <w:r w:rsidRPr="00906FB7">
        <w:t>welfare and pastoral/chaplaincy support, including widely available policies for the use of prayer rooms and other faith-related facilities</w:t>
      </w:r>
    </w:p>
    <w:p w14:paraId="77533D05" w14:textId="5671B11E" w:rsidR="00593497" w:rsidRDefault="00593497" w:rsidP="00593497">
      <w:pPr>
        <w:pStyle w:val="Bulletsspaced-lastbullet"/>
        <w:numPr>
          <w:ilvl w:val="0"/>
          <w:numId w:val="8"/>
        </w:numPr>
        <w:tabs>
          <w:tab w:val="clear" w:pos="567"/>
        </w:tabs>
      </w:pPr>
      <w:r w:rsidRPr="00507FCE">
        <w:t>IT policies</w:t>
      </w:r>
      <w:r>
        <w:t xml:space="preserve"> that make specific reference to the </w:t>
      </w:r>
      <w:r w:rsidR="00C5048D">
        <w:t>‘Prevent’</w:t>
      </w:r>
      <w:r>
        <w:t xml:space="preserve"> duty and</w:t>
      </w:r>
      <w:r w:rsidRPr="00507FCE">
        <w:t xml:space="preserve"> relat</w:t>
      </w:r>
      <w:r>
        <w:t>e</w:t>
      </w:r>
      <w:r w:rsidRPr="00507FCE">
        <w:t xml:space="preserve"> to the use of IT equipment</w:t>
      </w:r>
      <w:r>
        <w:t xml:space="preserve">. </w:t>
      </w:r>
      <w:r w:rsidRPr="00507FCE">
        <w:t xml:space="preserve">   </w:t>
      </w:r>
    </w:p>
    <w:p w14:paraId="211594CF" w14:textId="5A06A9A8" w:rsidR="00593497" w:rsidRPr="00593497" w:rsidRDefault="00593497" w:rsidP="00696ED4">
      <w:pPr>
        <w:pStyle w:val="Heading1"/>
      </w:pPr>
      <w:bookmarkStart w:id="14" w:name="_Toc447729292"/>
      <w:bookmarkStart w:id="15" w:name="_Toc447732115"/>
      <w:bookmarkStart w:id="16" w:name="_Toc454282639"/>
      <w:r w:rsidRPr="00B90C34">
        <w:t>Main findings</w:t>
      </w:r>
      <w:bookmarkEnd w:id="14"/>
      <w:bookmarkEnd w:id="15"/>
      <w:bookmarkEnd w:id="16"/>
    </w:p>
    <w:p w14:paraId="53FA9361" w14:textId="1C7CF6A7" w:rsidR="00593497" w:rsidRPr="00D32808" w:rsidRDefault="00593497" w:rsidP="00696ED4">
      <w:pPr>
        <w:pStyle w:val="Numberedparagraph"/>
      </w:pPr>
      <w:r>
        <w:t xml:space="preserve">Although </w:t>
      </w:r>
      <w:r w:rsidR="00FE6202">
        <w:t>35</w:t>
      </w:r>
      <w:r>
        <w:t xml:space="preserve"> of the </w:t>
      </w:r>
      <w:r w:rsidRPr="00B90C34">
        <w:t>further education and skills providers</w:t>
      </w:r>
      <w:r>
        <w:t xml:space="preserve"> visited</w:t>
      </w:r>
      <w:r w:rsidRPr="00B90C34">
        <w:t xml:space="preserve"> </w:t>
      </w:r>
      <w:r>
        <w:t>by HMI we</w:t>
      </w:r>
      <w:r w:rsidRPr="00B90C34">
        <w:t xml:space="preserve">re complying with the requirements of </w:t>
      </w:r>
      <w:r w:rsidRPr="00922AF3">
        <w:t xml:space="preserve">the </w:t>
      </w:r>
      <w:r w:rsidR="00C5048D">
        <w:t>‘Prevent’</w:t>
      </w:r>
      <w:r w:rsidR="00FB04F4">
        <w:t xml:space="preserve"> duty,</w:t>
      </w:r>
      <w:r w:rsidR="00CA4323">
        <w:t xml:space="preserve"> </w:t>
      </w:r>
      <w:r w:rsidRPr="00D32808">
        <w:t>1</w:t>
      </w:r>
      <w:r w:rsidR="00336C0C">
        <w:t>3</w:t>
      </w:r>
      <w:r w:rsidRPr="00D32808">
        <w:t xml:space="preserve"> </w:t>
      </w:r>
      <w:r>
        <w:t>of the</w:t>
      </w:r>
      <w:r w:rsidRPr="00D32808">
        <w:t xml:space="preserve"> 37 providers visited had been slow in implementing the duty</w:t>
      </w:r>
      <w:r w:rsidR="003A3976">
        <w:t>.</w:t>
      </w:r>
      <w:r w:rsidR="00846ED8">
        <w:t xml:space="preserve"> </w:t>
      </w:r>
      <w:r w:rsidR="00696ED4" w:rsidRPr="00D32808">
        <w:t xml:space="preserve">Two of the eight independent learning providers visited had not implemented any aspect of the </w:t>
      </w:r>
      <w:r w:rsidR="00C5048D">
        <w:t>‘Prevent’</w:t>
      </w:r>
      <w:r w:rsidR="00696ED4" w:rsidRPr="00D32808">
        <w:t xml:space="preserve"> duty</w:t>
      </w:r>
      <w:r w:rsidR="00696ED4">
        <w:t xml:space="preserve"> and did not have adequate systems in place to ensure the safety of their learners. Inspectors found that providers often</w:t>
      </w:r>
      <w:r w:rsidR="00F74745">
        <w:t xml:space="preserve"> u</w:t>
      </w:r>
      <w:r>
        <w:t xml:space="preserve">sed </w:t>
      </w:r>
      <w:r w:rsidRPr="00B90C34">
        <w:t xml:space="preserve">the </w:t>
      </w:r>
      <w:r w:rsidR="00C5048D">
        <w:t>‘Prevent’</w:t>
      </w:r>
      <w:r w:rsidR="00696ED4">
        <w:t xml:space="preserve"> </w:t>
      </w:r>
      <w:r w:rsidRPr="00B90C34">
        <w:t>duty</w:t>
      </w:r>
      <w:r>
        <w:t xml:space="preserve"> guidance</w:t>
      </w:r>
      <w:r w:rsidRPr="00B90C34">
        <w:t xml:space="preserve"> as </w:t>
      </w:r>
      <w:r>
        <w:t>a checklist</w:t>
      </w:r>
      <w:r w:rsidR="00795698">
        <w:t>,</w:t>
      </w:r>
      <w:r>
        <w:t xml:space="preserve"> rather than focusing on the impact of the steps taken to meet the duty. This has</w:t>
      </w:r>
      <w:r w:rsidRPr="00B90C34">
        <w:t xml:space="preserve"> resulted in </w:t>
      </w:r>
      <w:r w:rsidR="00336C0C">
        <w:t>these</w:t>
      </w:r>
      <w:r w:rsidR="00696ED4">
        <w:t xml:space="preserve"> </w:t>
      </w:r>
      <w:r>
        <w:t xml:space="preserve">providers not protecting learners from radicalisation and extremism </w:t>
      </w:r>
      <w:r w:rsidR="00696ED4">
        <w:t xml:space="preserve">as </w:t>
      </w:r>
      <w:r>
        <w:t>effectively</w:t>
      </w:r>
      <w:r w:rsidR="00696ED4">
        <w:t xml:space="preserve"> as they could</w:t>
      </w:r>
      <w:r w:rsidRPr="00B90C34">
        <w:t xml:space="preserve">. </w:t>
      </w:r>
    </w:p>
    <w:p w14:paraId="34209C50" w14:textId="694EFB2D" w:rsidR="00846ED8" w:rsidRPr="00EF5B33" w:rsidRDefault="00593497" w:rsidP="00846ED8">
      <w:pPr>
        <w:pStyle w:val="Numberedparagraph"/>
      </w:pPr>
      <w:r w:rsidRPr="00D32808">
        <w:lastRenderedPageBreak/>
        <w:t xml:space="preserve">Leaders at the general further education and </w:t>
      </w:r>
      <w:r w:rsidR="00091152">
        <w:t>sixth form</w:t>
      </w:r>
      <w:r w:rsidRPr="00D32808">
        <w:t xml:space="preserve"> colleges visited have been most successful at implementing all aspects of the </w:t>
      </w:r>
      <w:r w:rsidR="00C5048D">
        <w:t>‘Prevent’</w:t>
      </w:r>
      <w:r w:rsidRPr="00D32808">
        <w:t xml:space="preserve"> duty.</w:t>
      </w:r>
      <w:r w:rsidRPr="00B90C34">
        <w:t xml:space="preserve"> </w:t>
      </w:r>
      <w:r>
        <w:t>Most of the colleges visited</w:t>
      </w:r>
      <w:r w:rsidRPr="00B90C34">
        <w:t xml:space="preserve"> worked closely with key partners and external agencies </w:t>
      </w:r>
      <w:r>
        <w:t>to</w:t>
      </w:r>
      <w:r w:rsidRPr="00B90C34">
        <w:t xml:space="preserve"> ensur</w:t>
      </w:r>
      <w:r>
        <w:t>e</w:t>
      </w:r>
      <w:r w:rsidRPr="00B90C34">
        <w:t xml:space="preserve"> </w:t>
      </w:r>
      <w:r>
        <w:t xml:space="preserve">that relevant </w:t>
      </w:r>
      <w:r w:rsidRPr="00B90C34">
        <w:t>document</w:t>
      </w:r>
      <w:r>
        <w:t>s</w:t>
      </w:r>
      <w:r w:rsidRPr="00B90C34">
        <w:t xml:space="preserve"> w</w:t>
      </w:r>
      <w:r>
        <w:t>ere</w:t>
      </w:r>
      <w:r w:rsidRPr="00B90C34">
        <w:t xml:space="preserve"> of a good standard</w:t>
      </w:r>
      <w:r w:rsidR="00DE539D">
        <w:t xml:space="preserve">. </w:t>
      </w:r>
      <w:r w:rsidR="001A4A91">
        <w:t>They worked together to</w:t>
      </w:r>
      <w:r w:rsidR="00DE539D">
        <w:t xml:space="preserve"> ensure that</w:t>
      </w:r>
      <w:r w:rsidRPr="00B90C34">
        <w:t xml:space="preserve"> </w:t>
      </w:r>
      <w:r>
        <w:t xml:space="preserve">practical actions were taken to reduce the risks of radicalisation and extremism. </w:t>
      </w:r>
      <w:r w:rsidR="001A4A91">
        <w:t xml:space="preserve">Some </w:t>
      </w:r>
      <w:r>
        <w:t>p</w:t>
      </w:r>
      <w:r w:rsidRPr="00B90C34">
        <w:t xml:space="preserve">roviders had worked with partners </w:t>
      </w:r>
      <w:r w:rsidR="00DE539D">
        <w:t>before</w:t>
      </w:r>
      <w:r>
        <w:t>,</w:t>
      </w:r>
      <w:r w:rsidRPr="00B90C34">
        <w:t xml:space="preserve"> </w:t>
      </w:r>
      <w:r>
        <w:t xml:space="preserve">either as </w:t>
      </w:r>
      <w:r w:rsidRPr="00B90C34">
        <w:t>part of community cohesion strategies</w:t>
      </w:r>
      <w:r>
        <w:t xml:space="preserve"> or the CONTEST strategy</w:t>
      </w:r>
      <w:r w:rsidR="001A4A91">
        <w:t>. These providers</w:t>
      </w:r>
      <w:r w:rsidRPr="00B90C34">
        <w:t xml:space="preserve"> had a greater understanding of the </w:t>
      </w:r>
      <w:r w:rsidR="00C5048D">
        <w:t>‘Prevent’</w:t>
      </w:r>
      <w:r w:rsidRPr="00B90C34">
        <w:t xml:space="preserve"> duty</w:t>
      </w:r>
      <w:r>
        <w:t xml:space="preserve"> and made more rapid progress in its </w:t>
      </w:r>
      <w:r w:rsidR="00DE0440">
        <w:t>application</w:t>
      </w:r>
      <w:r w:rsidRPr="00B90C34">
        <w:t>.</w:t>
      </w:r>
      <w:r>
        <w:t xml:space="preserve"> </w:t>
      </w:r>
      <w:r w:rsidR="00846ED8">
        <w:t>I</w:t>
      </w:r>
      <w:r w:rsidR="00846ED8" w:rsidRPr="00EF5B33">
        <w:t xml:space="preserve">ndependent learning providers, particularly small </w:t>
      </w:r>
      <w:r w:rsidR="00846ED8">
        <w:t>providers and those</w:t>
      </w:r>
      <w:r w:rsidR="00846ED8" w:rsidRPr="00EF5B33">
        <w:t xml:space="preserve"> working in isolation</w:t>
      </w:r>
      <w:r w:rsidR="00846ED8">
        <w:t>,</w:t>
      </w:r>
      <w:r w:rsidR="00846ED8" w:rsidRPr="00EF5B33">
        <w:t xml:space="preserve"> tended to have </w:t>
      </w:r>
      <w:r w:rsidR="00846ED8">
        <w:t xml:space="preserve">the most </w:t>
      </w:r>
      <w:r w:rsidR="00846ED8" w:rsidRPr="00EF5B33">
        <w:t xml:space="preserve">difficulty in implementing all aspects of the </w:t>
      </w:r>
      <w:r w:rsidR="00C5048D">
        <w:t>‘Prevent’</w:t>
      </w:r>
      <w:r w:rsidR="00846ED8" w:rsidRPr="00EF5B33">
        <w:t xml:space="preserve"> duty.</w:t>
      </w:r>
    </w:p>
    <w:p w14:paraId="1EF67E94" w14:textId="4C525D03" w:rsidR="00593497" w:rsidRDefault="00593497" w:rsidP="00593497">
      <w:pPr>
        <w:pStyle w:val="Numberedparagraph"/>
      </w:pPr>
      <w:r w:rsidRPr="00EF5B33">
        <w:t>Senior leaders report</w:t>
      </w:r>
      <w:r w:rsidR="00A209E5">
        <w:t>ed</w:t>
      </w:r>
      <w:r w:rsidRPr="00EF5B33">
        <w:t xml:space="preserve"> that as they bec</w:t>
      </w:r>
      <w:r w:rsidR="00A209E5">
        <w:t>a</w:t>
      </w:r>
      <w:r w:rsidRPr="00EF5B33">
        <w:t xml:space="preserve">me more confident in understanding the requirements of the </w:t>
      </w:r>
      <w:r w:rsidR="00C5048D">
        <w:t>‘Prevent’</w:t>
      </w:r>
      <w:r w:rsidRPr="00EF5B33">
        <w:t xml:space="preserve"> duty, </w:t>
      </w:r>
      <w:r w:rsidR="00F1631F">
        <w:t>putting it into practice</w:t>
      </w:r>
      <w:r w:rsidRPr="00EF5B33">
        <w:t xml:space="preserve"> </w:t>
      </w:r>
      <w:r w:rsidR="00336C0C">
        <w:t>had also</w:t>
      </w:r>
      <w:r w:rsidRPr="00EF5B33">
        <w:t xml:space="preserve"> improv</w:t>
      </w:r>
      <w:r w:rsidR="00336C0C">
        <w:t>ed</w:t>
      </w:r>
      <w:r w:rsidRPr="00EF5B33">
        <w:t xml:space="preserve">. </w:t>
      </w:r>
      <w:r w:rsidR="00A209E5">
        <w:t>This view is mirrored by staff at m</w:t>
      </w:r>
      <w:r w:rsidRPr="00EF5B33">
        <w:t xml:space="preserve">any </w:t>
      </w:r>
      <w:r w:rsidR="00A209E5">
        <w:t xml:space="preserve">of the </w:t>
      </w:r>
      <w:r w:rsidRPr="00EF5B33">
        <w:t>providers visited</w:t>
      </w:r>
      <w:r w:rsidR="001A4A91">
        <w:t>. They</w:t>
      </w:r>
      <w:r w:rsidR="00A209E5">
        <w:t xml:space="preserve"> </w:t>
      </w:r>
      <w:r w:rsidR="001A4A91">
        <w:t xml:space="preserve">said </w:t>
      </w:r>
      <w:r w:rsidRPr="00EF5B33">
        <w:t xml:space="preserve">they </w:t>
      </w:r>
      <w:r w:rsidRPr="005828E0">
        <w:t>were becoming better at accessing support from key partners and other educational institutions</w:t>
      </w:r>
      <w:r w:rsidR="001A4A91">
        <w:t>. This</w:t>
      </w:r>
      <w:r w:rsidRPr="00880CF1">
        <w:t xml:space="preserve"> has helped them in implementing all aspects of the </w:t>
      </w:r>
      <w:r w:rsidR="00C5048D">
        <w:t>‘Prevent’</w:t>
      </w:r>
      <w:r w:rsidRPr="00031895">
        <w:t xml:space="preserve"> duty.</w:t>
      </w:r>
    </w:p>
    <w:p w14:paraId="7162C06A" w14:textId="04FD7005" w:rsidR="00593497" w:rsidRDefault="00593497" w:rsidP="00593497">
      <w:pPr>
        <w:pStyle w:val="Casestudy"/>
        <w:rPr>
          <w:rFonts w:eastAsia="Calibri"/>
          <w:b/>
        </w:rPr>
      </w:pPr>
      <w:r>
        <w:rPr>
          <w:rFonts w:eastAsia="Calibri"/>
          <w:b/>
        </w:rPr>
        <w:t xml:space="preserve">Case study: </w:t>
      </w:r>
      <w:r w:rsidR="00F262A4">
        <w:rPr>
          <w:rFonts w:eastAsia="Calibri"/>
          <w:b/>
        </w:rPr>
        <w:t>e</w:t>
      </w:r>
      <w:r>
        <w:rPr>
          <w:rFonts w:eastAsia="Calibri"/>
          <w:b/>
        </w:rPr>
        <w:t xml:space="preserve">ffective </w:t>
      </w:r>
      <w:r w:rsidR="00DE0440">
        <w:rPr>
          <w:rFonts w:eastAsia="Calibri"/>
          <w:b/>
        </w:rPr>
        <w:t xml:space="preserve">practice </w:t>
      </w:r>
      <w:r>
        <w:rPr>
          <w:rFonts w:eastAsia="Calibri"/>
          <w:b/>
        </w:rPr>
        <w:t>across Lancashire providers</w:t>
      </w:r>
    </w:p>
    <w:p w14:paraId="747C9BBD" w14:textId="1BBDEB74" w:rsidR="00593497" w:rsidRDefault="00593497" w:rsidP="00593497">
      <w:pPr>
        <w:pStyle w:val="Casestudy"/>
        <w:rPr>
          <w:rFonts w:eastAsia="Calibri"/>
        </w:rPr>
      </w:pPr>
      <w:r>
        <w:rPr>
          <w:rFonts w:eastAsia="Calibri"/>
        </w:rPr>
        <w:t xml:space="preserve">Following </w:t>
      </w:r>
      <w:r w:rsidRPr="001E29AD">
        <w:rPr>
          <w:rFonts w:eastAsia="Calibri"/>
        </w:rPr>
        <w:t>the</w:t>
      </w:r>
      <w:r>
        <w:rPr>
          <w:rFonts w:eastAsia="Calibri"/>
        </w:rPr>
        <w:t xml:space="preserve"> i</w:t>
      </w:r>
      <w:r w:rsidR="008739B1">
        <w:rPr>
          <w:rFonts w:eastAsia="Calibri"/>
        </w:rPr>
        <w:t>ntroduction</w:t>
      </w:r>
      <w:r>
        <w:rPr>
          <w:rFonts w:eastAsia="Calibri"/>
        </w:rPr>
        <w:t xml:space="preserve"> of the </w:t>
      </w:r>
      <w:r w:rsidR="00C5048D">
        <w:rPr>
          <w:rFonts w:eastAsia="Calibri"/>
        </w:rPr>
        <w:t>‘Prevent’</w:t>
      </w:r>
      <w:r>
        <w:rPr>
          <w:rFonts w:eastAsia="Calibri"/>
        </w:rPr>
        <w:t xml:space="preserve"> duty, leaders at Burnley College </w:t>
      </w:r>
      <w:r w:rsidR="001A4A91">
        <w:rPr>
          <w:rFonts w:eastAsia="Calibri"/>
        </w:rPr>
        <w:t>wanted</w:t>
      </w:r>
      <w:r>
        <w:rPr>
          <w:rFonts w:eastAsia="Calibri"/>
        </w:rPr>
        <w:t xml:space="preserve"> colleagues </w:t>
      </w:r>
      <w:r w:rsidR="001A4A91">
        <w:rPr>
          <w:rFonts w:eastAsia="Calibri"/>
        </w:rPr>
        <w:t xml:space="preserve">in </w:t>
      </w:r>
      <w:r>
        <w:rPr>
          <w:rFonts w:eastAsia="Calibri"/>
        </w:rPr>
        <w:t xml:space="preserve">the education sector </w:t>
      </w:r>
      <w:r w:rsidR="001A4A91">
        <w:rPr>
          <w:rFonts w:eastAsia="Calibri"/>
        </w:rPr>
        <w:t>to share</w:t>
      </w:r>
      <w:r>
        <w:rPr>
          <w:rFonts w:eastAsia="Calibri"/>
        </w:rPr>
        <w:t xml:space="preserve"> experience and practice. Further education and skills providers had been working in partnership on community cohesion strategies and also in preparation for </w:t>
      </w:r>
      <w:r w:rsidR="00F1631F">
        <w:rPr>
          <w:rFonts w:eastAsia="Calibri"/>
        </w:rPr>
        <w:t xml:space="preserve">putting </w:t>
      </w:r>
      <w:r>
        <w:rPr>
          <w:rFonts w:eastAsia="Calibri"/>
        </w:rPr>
        <w:t xml:space="preserve">the </w:t>
      </w:r>
      <w:r w:rsidR="00C5048D">
        <w:rPr>
          <w:rFonts w:eastAsia="Calibri"/>
        </w:rPr>
        <w:t>‘Prevent’</w:t>
      </w:r>
      <w:r>
        <w:rPr>
          <w:rFonts w:eastAsia="Calibri"/>
        </w:rPr>
        <w:t xml:space="preserve"> duty </w:t>
      </w:r>
      <w:r w:rsidR="00F1631F">
        <w:rPr>
          <w:rFonts w:eastAsia="Calibri"/>
        </w:rPr>
        <w:t xml:space="preserve">into practice </w:t>
      </w:r>
      <w:r>
        <w:rPr>
          <w:rFonts w:eastAsia="Calibri"/>
        </w:rPr>
        <w:t>as part of the Pan-Pennine College Group. College leaders wanted to extend this partnership working across Lancashire.</w:t>
      </w:r>
    </w:p>
    <w:p w14:paraId="6B6F9DF7" w14:textId="1E7B9DF2" w:rsidR="00593497" w:rsidRDefault="00593497" w:rsidP="00593497">
      <w:pPr>
        <w:pStyle w:val="Casestudy"/>
        <w:rPr>
          <w:rFonts w:eastAsia="Calibri"/>
        </w:rPr>
      </w:pPr>
      <w:r>
        <w:rPr>
          <w:rFonts w:eastAsia="Calibri"/>
        </w:rPr>
        <w:t xml:space="preserve">College leaders hosted a conference aimed at education settings that work with children and young people aged </w:t>
      </w:r>
      <w:r w:rsidR="009A16E4">
        <w:rPr>
          <w:rFonts w:eastAsia="Calibri"/>
        </w:rPr>
        <w:t xml:space="preserve">from birth to </w:t>
      </w:r>
      <w:r>
        <w:rPr>
          <w:rFonts w:eastAsia="Calibri"/>
        </w:rPr>
        <w:t xml:space="preserve">19 across Lancashire. Seventy-five providers, including general further education colleges, </w:t>
      </w:r>
      <w:r w:rsidR="00091152">
        <w:rPr>
          <w:rFonts w:eastAsia="Calibri"/>
        </w:rPr>
        <w:t>sixth form</w:t>
      </w:r>
      <w:r>
        <w:rPr>
          <w:rFonts w:eastAsia="Calibri"/>
        </w:rPr>
        <w:t xml:space="preserve"> colleges and independent learning </w:t>
      </w:r>
      <w:proofErr w:type="gramStart"/>
      <w:r>
        <w:rPr>
          <w:rFonts w:eastAsia="Calibri"/>
        </w:rPr>
        <w:t>providers,</w:t>
      </w:r>
      <w:proofErr w:type="gramEnd"/>
      <w:r>
        <w:rPr>
          <w:rFonts w:eastAsia="Calibri"/>
        </w:rPr>
        <w:t xml:space="preserve"> attended the event.</w:t>
      </w:r>
    </w:p>
    <w:p w14:paraId="340BF3C2" w14:textId="3EAC4BFC" w:rsidR="00593497" w:rsidRDefault="00710B0E" w:rsidP="00593497">
      <w:pPr>
        <w:pStyle w:val="Casestudy"/>
        <w:rPr>
          <w:rFonts w:eastAsia="Calibri"/>
        </w:rPr>
      </w:pPr>
      <w:r>
        <w:rPr>
          <w:rFonts w:eastAsia="Calibri"/>
        </w:rPr>
        <w:t xml:space="preserve">The conference had a </w:t>
      </w:r>
      <w:r w:rsidR="00593497">
        <w:rPr>
          <w:rFonts w:eastAsia="Calibri"/>
        </w:rPr>
        <w:t xml:space="preserve">wide range of guest speakers, including from the local authority, BIS and police </w:t>
      </w:r>
      <w:r w:rsidR="00C5048D">
        <w:rPr>
          <w:rFonts w:eastAsia="Calibri"/>
        </w:rPr>
        <w:t>‘Prevent’</w:t>
      </w:r>
      <w:r w:rsidR="00593497">
        <w:rPr>
          <w:rFonts w:eastAsia="Calibri"/>
        </w:rPr>
        <w:t xml:space="preserve"> coordinators and expert guest speakers from the education sector. </w:t>
      </w:r>
      <w:r>
        <w:rPr>
          <w:rFonts w:eastAsia="Calibri"/>
        </w:rPr>
        <w:t>To</w:t>
      </w:r>
      <w:r w:rsidR="00593497">
        <w:rPr>
          <w:rFonts w:eastAsia="Calibri"/>
        </w:rPr>
        <w:t xml:space="preserve"> provide an agenda that would be valuable to all colleagues and that linked </w:t>
      </w:r>
      <w:r w:rsidR="00C5048D">
        <w:rPr>
          <w:rFonts w:eastAsia="Calibri"/>
        </w:rPr>
        <w:t>‘Prevent’</w:t>
      </w:r>
      <w:r w:rsidR="00593497">
        <w:rPr>
          <w:rFonts w:eastAsia="Calibri"/>
        </w:rPr>
        <w:t xml:space="preserve"> to safeguarding, the college included the latest changes in safeguarding legislation and current practice within children’s social care in Lancashire.</w:t>
      </w:r>
    </w:p>
    <w:p w14:paraId="49932A06" w14:textId="72EBDA36" w:rsidR="00593497" w:rsidRDefault="00593497" w:rsidP="00593497">
      <w:pPr>
        <w:pStyle w:val="Casestudy"/>
        <w:rPr>
          <w:rFonts w:eastAsia="Calibri"/>
        </w:rPr>
      </w:pPr>
      <w:r>
        <w:rPr>
          <w:rFonts w:eastAsia="Calibri"/>
        </w:rPr>
        <w:t xml:space="preserve">The conference presented excellent networking opportunities and encouraged education providers to consider the benefits of effective multi-agency working across Lancashire. Due to the success of the conference, Burnley College is considering an annual </w:t>
      </w:r>
      <w:r w:rsidR="00C5048D">
        <w:rPr>
          <w:rFonts w:eastAsia="Calibri"/>
        </w:rPr>
        <w:t>‘Prevent’</w:t>
      </w:r>
      <w:r>
        <w:rPr>
          <w:rFonts w:eastAsia="Calibri"/>
        </w:rPr>
        <w:t xml:space="preserve">/safeguarding event as well as training and continuing professional development activities with providers who attended the conference. </w:t>
      </w:r>
    </w:p>
    <w:p w14:paraId="2DC00C23" w14:textId="646B7AA9" w:rsidR="00593497" w:rsidRDefault="00593497" w:rsidP="00593497">
      <w:pPr>
        <w:pStyle w:val="Casestudy"/>
        <w:rPr>
          <w:rFonts w:eastAsia="Calibri"/>
        </w:rPr>
      </w:pPr>
      <w:r>
        <w:rPr>
          <w:rFonts w:eastAsia="Calibri"/>
        </w:rPr>
        <w:lastRenderedPageBreak/>
        <w:t xml:space="preserve">The college has worked closely with providers across Lancashire to deliver Workshops Raising Awareness of </w:t>
      </w:r>
      <w:r w:rsidR="00C5048D">
        <w:rPr>
          <w:rFonts w:eastAsia="Calibri"/>
        </w:rPr>
        <w:t>‘Prevent’</w:t>
      </w:r>
      <w:r>
        <w:rPr>
          <w:rFonts w:eastAsia="Calibri"/>
        </w:rPr>
        <w:t xml:space="preserve"> (WRAP)</w:t>
      </w:r>
      <w:r w:rsidR="00710B0E">
        <w:rPr>
          <w:rFonts w:eastAsia="Calibri"/>
        </w:rPr>
        <w:t>. It has</w:t>
      </w:r>
      <w:r>
        <w:rPr>
          <w:rFonts w:eastAsia="Calibri"/>
        </w:rPr>
        <w:t xml:space="preserve"> </w:t>
      </w:r>
      <w:r w:rsidR="00710B0E">
        <w:rPr>
          <w:rFonts w:eastAsia="Calibri"/>
        </w:rPr>
        <w:t xml:space="preserve">made </w:t>
      </w:r>
      <w:r>
        <w:rPr>
          <w:rFonts w:eastAsia="Calibri"/>
        </w:rPr>
        <w:t>closer links with settings working with children and young people</w:t>
      </w:r>
      <w:r w:rsidR="00710B0E">
        <w:rPr>
          <w:rFonts w:eastAsia="Calibri"/>
        </w:rPr>
        <w:t>. It has</w:t>
      </w:r>
      <w:r>
        <w:rPr>
          <w:rFonts w:eastAsia="Calibri"/>
        </w:rPr>
        <w:t xml:space="preserve"> developed information</w:t>
      </w:r>
      <w:r w:rsidR="00710B0E">
        <w:rPr>
          <w:rFonts w:eastAsia="Calibri"/>
        </w:rPr>
        <w:t>-</w:t>
      </w:r>
      <w:r>
        <w:rPr>
          <w:rFonts w:eastAsia="Calibri"/>
        </w:rPr>
        <w:t xml:space="preserve">sharing protocols to share intelligence about children and young people with designated </w:t>
      </w:r>
      <w:r w:rsidR="00C5048D">
        <w:rPr>
          <w:rFonts w:eastAsia="Calibri"/>
        </w:rPr>
        <w:t>‘Prevent’</w:t>
      </w:r>
      <w:r>
        <w:rPr>
          <w:rFonts w:eastAsia="Calibri"/>
        </w:rPr>
        <w:t xml:space="preserve"> leads, the police, the BIS coordinator and the local authorities across Lancashire.</w:t>
      </w:r>
    </w:p>
    <w:p w14:paraId="3B9E5A08" w14:textId="77777777" w:rsidR="00593497" w:rsidRPr="00EF5B33" w:rsidRDefault="00593497" w:rsidP="00593497">
      <w:pPr>
        <w:pStyle w:val="Heading2"/>
      </w:pPr>
      <w:bookmarkStart w:id="17" w:name="_Toc447732116"/>
      <w:bookmarkStart w:id="18" w:name="_Toc454282640"/>
      <w:r w:rsidRPr="00EF5B33">
        <w:t>Oversight</w:t>
      </w:r>
      <w:bookmarkEnd w:id="17"/>
      <w:bookmarkEnd w:id="18"/>
    </w:p>
    <w:p w14:paraId="44F0AB0A" w14:textId="0BADACAB" w:rsidR="00593497" w:rsidRDefault="00593497" w:rsidP="00593497">
      <w:pPr>
        <w:pStyle w:val="Numberedparagraph"/>
      </w:pPr>
      <w:r>
        <w:t>The</w:t>
      </w:r>
      <w:r w:rsidR="00710B0E">
        <w:t>re is a</w:t>
      </w:r>
      <w:r w:rsidRPr="00E8017E">
        <w:t xml:space="preserve"> lack of coordination between key stakeholders, including BIS </w:t>
      </w:r>
      <w:r w:rsidR="00C5048D">
        <w:t>‘Prevent’</w:t>
      </w:r>
      <w:r w:rsidRPr="00E8017E">
        <w:t xml:space="preserve"> coordinators, police </w:t>
      </w:r>
      <w:r w:rsidR="00C5048D">
        <w:t>‘Prevent’</w:t>
      </w:r>
      <w:r w:rsidRPr="00E8017E">
        <w:t xml:space="preserve"> teams and local authorities</w:t>
      </w:r>
      <w:r w:rsidR="00710B0E">
        <w:t>. This</w:t>
      </w:r>
      <w:r w:rsidRPr="00E8017E">
        <w:t xml:space="preserve"> has resulted in considerable variance in </w:t>
      </w:r>
      <w:r w:rsidR="008739B1">
        <w:t xml:space="preserve">the </w:t>
      </w:r>
      <w:r w:rsidRPr="00E8017E">
        <w:t xml:space="preserve">support and guidance for providers in the further education and skills sector. </w:t>
      </w:r>
      <w:r w:rsidR="008739B1">
        <w:t>Providers reported that the different</w:t>
      </w:r>
      <w:r>
        <w:t xml:space="preserve"> agencies involved </w:t>
      </w:r>
      <w:r w:rsidR="008739B1">
        <w:t xml:space="preserve">often gave conflicting or inconsistent advice on what providers should be doing to </w:t>
      </w:r>
      <w:r w:rsidR="00710B0E">
        <w:t xml:space="preserve">put </w:t>
      </w:r>
      <w:r w:rsidR="008739B1">
        <w:t xml:space="preserve">the </w:t>
      </w:r>
      <w:r w:rsidR="00C5048D">
        <w:t>‘Prevent’</w:t>
      </w:r>
      <w:r w:rsidR="008739B1">
        <w:t xml:space="preserve"> duty </w:t>
      </w:r>
      <w:r w:rsidR="00710B0E">
        <w:t>into practice</w:t>
      </w:r>
      <w:r w:rsidR="008739B1">
        <w:t>.</w:t>
      </w:r>
    </w:p>
    <w:p w14:paraId="5FDE7912" w14:textId="7EC3A937" w:rsidR="00593497" w:rsidRPr="00EF5B33" w:rsidRDefault="00593497" w:rsidP="00593497">
      <w:pPr>
        <w:pStyle w:val="Heading2"/>
      </w:pPr>
      <w:bookmarkStart w:id="19" w:name="_Toc447732117"/>
      <w:bookmarkStart w:id="20" w:name="_Toc454282641"/>
      <w:r w:rsidRPr="00EF5B33">
        <w:t>Partnership working</w:t>
      </w:r>
      <w:bookmarkEnd w:id="19"/>
      <w:bookmarkEnd w:id="20"/>
    </w:p>
    <w:p w14:paraId="74D78A97" w14:textId="4D763B56" w:rsidR="00593497" w:rsidRDefault="00326A24" w:rsidP="00593497">
      <w:pPr>
        <w:pStyle w:val="Numberedparagraph"/>
      </w:pPr>
      <w:r>
        <w:t>Senior leaders</w:t>
      </w:r>
      <w:r w:rsidRPr="00EF5B33">
        <w:t xml:space="preserve"> </w:t>
      </w:r>
      <w:r w:rsidR="00593497" w:rsidRPr="00EF5B33">
        <w:t xml:space="preserve">reported that they </w:t>
      </w:r>
      <w:r>
        <w:t xml:space="preserve">often </w:t>
      </w:r>
      <w:r w:rsidR="00593497" w:rsidRPr="00EF5B33">
        <w:t xml:space="preserve">had difficulty in accessing </w:t>
      </w:r>
      <w:r w:rsidR="00593497">
        <w:t xml:space="preserve">information and </w:t>
      </w:r>
      <w:r w:rsidR="00593497" w:rsidRPr="00EF5B33">
        <w:t>support from local authorities</w:t>
      </w:r>
      <w:r w:rsidR="00593497">
        <w:t>,</w:t>
      </w:r>
      <w:r w:rsidR="00593497" w:rsidRPr="00EF5B33">
        <w:t xml:space="preserve"> where greater priority is placed on young people in schools rather than in further education. Only nine of the providers visited had good partnerships with local authorities. This caused problems with sharing information across boroughs</w:t>
      </w:r>
      <w:r w:rsidR="00DD0FFE">
        <w:t xml:space="preserve"> – for</w:t>
      </w:r>
      <w:r w:rsidR="00593497" w:rsidRPr="00EF5B33">
        <w:t xml:space="preserve"> example, where a learner lives in one local authority but attends a provider in a different local authority. The</w:t>
      </w:r>
      <w:r w:rsidR="00846ED8">
        <w:t xml:space="preserve"> information </w:t>
      </w:r>
      <w:r w:rsidR="00593497" w:rsidRPr="00EF5B33">
        <w:t xml:space="preserve">gaps created could potentially result in learners being </w:t>
      </w:r>
      <w:r w:rsidR="00593497">
        <w:t xml:space="preserve">at risk of being </w:t>
      </w:r>
      <w:r w:rsidR="00593497" w:rsidRPr="00EF5B33">
        <w:t xml:space="preserve">radicalised or drawn into extremism without the knowledge of the provider or local authority. Those that had good </w:t>
      </w:r>
      <w:r w:rsidR="00593497">
        <w:t xml:space="preserve">working </w:t>
      </w:r>
      <w:r w:rsidR="00593497" w:rsidRPr="00EF5B33">
        <w:t xml:space="preserve">relationships were able to share a range of information </w:t>
      </w:r>
      <w:r w:rsidR="00DD0FFE">
        <w:t>about</w:t>
      </w:r>
      <w:r w:rsidR="00DD0FFE" w:rsidRPr="00EF5B33">
        <w:t xml:space="preserve"> </w:t>
      </w:r>
      <w:r w:rsidR="00593497" w:rsidRPr="00EF5B33">
        <w:t xml:space="preserve">learners and their families with local authority </w:t>
      </w:r>
      <w:r w:rsidR="00C5048D">
        <w:t>‘Prevent’</w:t>
      </w:r>
      <w:r w:rsidR="00593497" w:rsidRPr="00EF5B33">
        <w:t xml:space="preserve"> coordinators</w:t>
      </w:r>
      <w:r w:rsidR="00DD0FFE">
        <w:t>. They</w:t>
      </w:r>
      <w:r w:rsidR="00593497" w:rsidRPr="00EF5B33">
        <w:t xml:space="preserve"> were also involved in further and higher education steering groups</w:t>
      </w:r>
      <w:r w:rsidR="00571E5F">
        <w:t xml:space="preserve"> focused on the </w:t>
      </w:r>
      <w:r w:rsidR="00C5048D">
        <w:t>‘Prevent’</w:t>
      </w:r>
      <w:r w:rsidR="00571E5F">
        <w:t xml:space="preserve"> duty</w:t>
      </w:r>
      <w:r w:rsidR="00593497" w:rsidRPr="00EF5B33">
        <w:t xml:space="preserve">. </w:t>
      </w:r>
    </w:p>
    <w:p w14:paraId="696DADE5" w14:textId="1D18CE8D" w:rsidR="00846ED8" w:rsidRDefault="00DD0FFE" w:rsidP="001134E3">
      <w:pPr>
        <w:pStyle w:val="Numberedparagraph"/>
      </w:pPr>
      <w:r>
        <w:t>HMI</w:t>
      </w:r>
      <w:r w:rsidR="00846ED8" w:rsidRPr="00E8017E">
        <w:t xml:space="preserve"> discussions with senior leaders and local authority staff </w:t>
      </w:r>
      <w:r w:rsidR="00846ED8">
        <w:t>showed</w:t>
      </w:r>
      <w:r w:rsidR="00846ED8" w:rsidRPr="00E8017E">
        <w:t xml:space="preserve"> that </w:t>
      </w:r>
      <w:r w:rsidR="00846ED8" w:rsidRPr="00D32808">
        <w:t xml:space="preserve">too many local authorities had not worked with </w:t>
      </w:r>
      <w:r w:rsidR="00846ED8">
        <w:t xml:space="preserve">further education and skills </w:t>
      </w:r>
      <w:r w:rsidR="00846ED8" w:rsidRPr="00D32808">
        <w:t xml:space="preserve">providers to </w:t>
      </w:r>
      <w:r w:rsidR="00846ED8">
        <w:t>give</w:t>
      </w:r>
      <w:r w:rsidR="00846ED8" w:rsidRPr="00D32808">
        <w:t xml:space="preserve"> guidance and support for </w:t>
      </w:r>
      <w:r w:rsidR="00DE0440">
        <w:t xml:space="preserve">putting </w:t>
      </w:r>
      <w:r w:rsidR="00846ED8" w:rsidRPr="00D32808">
        <w:t xml:space="preserve">the </w:t>
      </w:r>
      <w:r w:rsidR="00C5048D">
        <w:t>‘Prevent’</w:t>
      </w:r>
      <w:r w:rsidR="00846ED8" w:rsidRPr="00D32808">
        <w:t xml:space="preserve"> duty</w:t>
      </w:r>
      <w:r w:rsidR="00DE0440">
        <w:t xml:space="preserve"> into practice</w:t>
      </w:r>
      <w:r w:rsidR="00846ED8" w:rsidRPr="00D32808">
        <w:t>.</w:t>
      </w:r>
      <w:r w:rsidR="00846ED8">
        <w:t xml:space="preserve"> Their priority was schools</w:t>
      </w:r>
      <w:r>
        <w:t>. T</w:t>
      </w:r>
      <w:r w:rsidR="00846ED8">
        <w:t xml:space="preserve">hey relied on </w:t>
      </w:r>
      <w:r w:rsidR="00846ED8" w:rsidRPr="00E8017E">
        <w:t xml:space="preserve">BIS </w:t>
      </w:r>
      <w:r w:rsidR="00C5048D">
        <w:t>‘Prevent’</w:t>
      </w:r>
      <w:r w:rsidR="00846ED8" w:rsidRPr="00E8017E">
        <w:t xml:space="preserve"> coordinators to work with further education and skills providers</w:t>
      </w:r>
      <w:r w:rsidR="00846ED8">
        <w:t xml:space="preserve">. </w:t>
      </w:r>
      <w:r w:rsidR="00846ED8" w:rsidRPr="00D32808">
        <w:t xml:space="preserve">For example, leaders at a large general further education college in the West Midlands that </w:t>
      </w:r>
      <w:r w:rsidR="00846ED8">
        <w:t>works very effectively</w:t>
      </w:r>
      <w:r w:rsidR="00846ED8" w:rsidRPr="00D32808">
        <w:t xml:space="preserve"> with partners </w:t>
      </w:r>
      <w:r w:rsidR="001134E3">
        <w:t>told</w:t>
      </w:r>
      <w:r w:rsidR="00846ED8" w:rsidRPr="00D32808">
        <w:t xml:space="preserve"> inspectors that they had tried to engage with the local authority in partnership working. However, the local authority saw </w:t>
      </w:r>
      <w:r w:rsidR="00C5048D">
        <w:t>‘Prevent’</w:t>
      </w:r>
      <w:r w:rsidR="00846ED8" w:rsidRPr="00D32808">
        <w:t xml:space="preserve"> as low priority</w:t>
      </w:r>
      <w:r>
        <w:t>. F</w:t>
      </w:r>
      <w:r w:rsidR="00846ED8" w:rsidRPr="00D32808">
        <w:t xml:space="preserve">urther education and skills providers were exceptionally low priority. Ofsted judged </w:t>
      </w:r>
      <w:r>
        <w:t>this</w:t>
      </w:r>
      <w:r w:rsidRPr="00D32808">
        <w:t xml:space="preserve"> </w:t>
      </w:r>
      <w:r w:rsidR="00846ED8" w:rsidRPr="00D32808">
        <w:t xml:space="preserve">local safeguarding children’s board </w:t>
      </w:r>
      <w:r w:rsidR="00846ED8">
        <w:t>as inadequate at its</w:t>
      </w:r>
      <w:r w:rsidR="00846ED8" w:rsidRPr="00D32808">
        <w:t xml:space="preserve"> last inspection.</w:t>
      </w:r>
    </w:p>
    <w:p w14:paraId="0BE73EF1" w14:textId="2D7602D4" w:rsidR="000866CF" w:rsidRDefault="00846ED8" w:rsidP="000866CF">
      <w:pPr>
        <w:pStyle w:val="Numberedparagraph"/>
      </w:pPr>
      <w:r>
        <w:t xml:space="preserve">Where </w:t>
      </w:r>
      <w:r w:rsidRPr="00EF5B33">
        <w:t xml:space="preserve">relationships </w:t>
      </w:r>
      <w:r>
        <w:t xml:space="preserve">were </w:t>
      </w:r>
      <w:r w:rsidRPr="00EF5B33">
        <w:t>good</w:t>
      </w:r>
      <w:r>
        <w:t xml:space="preserve">, providers </w:t>
      </w:r>
      <w:r w:rsidRPr="00EF5B33">
        <w:t>valued the work of the</w:t>
      </w:r>
      <w:r>
        <w:t>ir</w:t>
      </w:r>
      <w:r w:rsidRPr="00EF5B33">
        <w:t xml:space="preserve"> local authority in developing and coordinating </w:t>
      </w:r>
      <w:r>
        <w:t>effective</w:t>
      </w:r>
      <w:r w:rsidRPr="00EF5B33">
        <w:t xml:space="preserve"> partnerships. For example, a large general further educati</w:t>
      </w:r>
      <w:r>
        <w:t>on college in the North West has</w:t>
      </w:r>
      <w:r w:rsidRPr="00EF5B33">
        <w:t xml:space="preserve"> close links with partners</w:t>
      </w:r>
      <w:r>
        <w:t>,</w:t>
      </w:r>
      <w:r w:rsidRPr="00EF5B33">
        <w:t xml:space="preserve"> including higher education institutions. Coordinated by the local authority, the </w:t>
      </w:r>
      <w:r>
        <w:t xml:space="preserve">further education/higher education </w:t>
      </w:r>
      <w:r w:rsidRPr="00EF5B33">
        <w:t xml:space="preserve">forum meets monthly with </w:t>
      </w:r>
      <w:r w:rsidRPr="00EF5B33">
        <w:lastRenderedPageBreak/>
        <w:t>key partners to share intelligence</w:t>
      </w:r>
      <w:r w:rsidR="006E3686">
        <w:t>. This includes</w:t>
      </w:r>
      <w:r w:rsidRPr="00EF5B33">
        <w:t xml:space="preserve"> background </w:t>
      </w:r>
      <w:r w:rsidRPr="0085790E">
        <w:t>information on external speakers</w:t>
      </w:r>
      <w:r w:rsidR="006E3686">
        <w:t>. They also</w:t>
      </w:r>
      <w:r w:rsidRPr="0085790E">
        <w:t xml:space="preserve"> share good practice </w:t>
      </w:r>
      <w:r w:rsidR="00C5048D">
        <w:t>among</w:t>
      </w:r>
      <w:r w:rsidR="00C5048D" w:rsidRPr="0085790E">
        <w:t xml:space="preserve"> </w:t>
      </w:r>
      <w:r w:rsidRPr="004D41A5">
        <w:t>providers.</w:t>
      </w:r>
    </w:p>
    <w:p w14:paraId="41665215" w14:textId="23573A49" w:rsidR="000866CF" w:rsidRDefault="000866CF" w:rsidP="000866CF">
      <w:pPr>
        <w:pStyle w:val="Casestudy"/>
        <w:rPr>
          <w:rFonts w:eastAsia="Calibri"/>
        </w:rPr>
      </w:pPr>
      <w:r>
        <w:rPr>
          <w:rFonts w:eastAsia="Calibri"/>
          <w:b/>
        </w:rPr>
        <w:t xml:space="preserve">Case study: </w:t>
      </w:r>
      <w:r w:rsidR="00F262A4">
        <w:rPr>
          <w:rFonts w:eastAsia="Calibri"/>
          <w:b/>
        </w:rPr>
        <w:t>p</w:t>
      </w:r>
      <w:r>
        <w:rPr>
          <w:rFonts w:eastAsia="Calibri"/>
          <w:b/>
        </w:rPr>
        <w:t>artnership arrangements with the local authority</w:t>
      </w:r>
    </w:p>
    <w:p w14:paraId="0D67C1C1" w14:textId="6463CFFE" w:rsidR="000866CF" w:rsidRDefault="000866CF" w:rsidP="000866CF">
      <w:pPr>
        <w:pStyle w:val="Casestudy"/>
        <w:rPr>
          <w:rFonts w:eastAsia="Calibri"/>
        </w:rPr>
      </w:pPr>
      <w:r>
        <w:rPr>
          <w:rFonts w:eastAsia="Calibri"/>
        </w:rPr>
        <w:t>Peterborough Regional College helps to shape the partnership arrangements and contributes fully to the Cambridgeshire and Greater Peterborough Challenge Panel. Local intelligence is good</w:t>
      </w:r>
      <w:r w:rsidR="00D434A3">
        <w:rPr>
          <w:rFonts w:eastAsia="Calibri"/>
        </w:rPr>
        <w:t>. P</w:t>
      </w:r>
      <w:r>
        <w:rPr>
          <w:rFonts w:eastAsia="Calibri"/>
        </w:rPr>
        <w:t>artners view the college as the major institution working with young people aged 16 and above.</w:t>
      </w:r>
    </w:p>
    <w:p w14:paraId="6080BF96" w14:textId="032E3D27" w:rsidR="000866CF" w:rsidRDefault="000866CF" w:rsidP="000866CF">
      <w:pPr>
        <w:pStyle w:val="Casestudy"/>
        <w:rPr>
          <w:rFonts w:eastAsia="Calibri"/>
        </w:rPr>
      </w:pPr>
      <w:r>
        <w:rPr>
          <w:rFonts w:eastAsia="Calibri"/>
        </w:rPr>
        <w:t xml:space="preserve">The chairperson of the Challenge Panel reported an increased confidence in providers, including the college, in making referrals for </w:t>
      </w:r>
      <w:r w:rsidR="009472A8">
        <w:rPr>
          <w:rFonts w:eastAsia="Calibri"/>
        </w:rPr>
        <w:t xml:space="preserve">consideration by the </w:t>
      </w:r>
      <w:r>
        <w:rPr>
          <w:rFonts w:eastAsia="Calibri"/>
        </w:rPr>
        <w:t xml:space="preserve">Channel </w:t>
      </w:r>
      <w:r w:rsidR="009472A8">
        <w:rPr>
          <w:rFonts w:eastAsia="Calibri"/>
        </w:rPr>
        <w:t>programme</w:t>
      </w:r>
      <w:r>
        <w:rPr>
          <w:rFonts w:eastAsia="Calibri"/>
        </w:rPr>
        <w:t>. Partners work closely together to understand the threshold for Channel referrals.</w:t>
      </w:r>
    </w:p>
    <w:p w14:paraId="4642B95B" w14:textId="77777777" w:rsidR="000866CF" w:rsidRDefault="000866CF" w:rsidP="000866CF">
      <w:pPr>
        <w:pStyle w:val="Casestudy"/>
        <w:rPr>
          <w:rFonts w:eastAsia="Calibri"/>
        </w:rPr>
      </w:pPr>
      <w:r>
        <w:rPr>
          <w:rFonts w:eastAsia="Calibri"/>
        </w:rPr>
        <w:t xml:space="preserve">Highly effective college tracking systems enable leaders and managers to provide good information about individual learners to the Challenge Panel. </w:t>
      </w:r>
    </w:p>
    <w:p w14:paraId="0BECC802" w14:textId="7DA0DFA0" w:rsidR="00593497" w:rsidRDefault="00593497" w:rsidP="00593497">
      <w:pPr>
        <w:pStyle w:val="Numberedparagraph"/>
      </w:pPr>
      <w:r>
        <w:t xml:space="preserve">Inspectors found that </w:t>
      </w:r>
      <w:r w:rsidRPr="00EF5B33">
        <w:t xml:space="preserve">support </w:t>
      </w:r>
      <w:r>
        <w:t>for providers from</w:t>
      </w:r>
      <w:r w:rsidRPr="00EF5B33">
        <w:t xml:space="preserve"> the BIS </w:t>
      </w:r>
      <w:r w:rsidR="00C5048D">
        <w:t>‘Prevent’</w:t>
      </w:r>
      <w:r w:rsidRPr="00EF5B33">
        <w:t xml:space="preserve"> coordinator team</w:t>
      </w:r>
      <w:r>
        <w:t xml:space="preserve"> was</w:t>
      </w:r>
      <w:r w:rsidRPr="00EF5B33">
        <w:t xml:space="preserve"> </w:t>
      </w:r>
      <w:r>
        <w:t xml:space="preserve">too </w:t>
      </w:r>
      <w:r w:rsidR="006F7075">
        <w:t>area-</w:t>
      </w:r>
      <w:r>
        <w:t>dependent</w:t>
      </w:r>
      <w:r w:rsidRPr="00EF5B33">
        <w:t>. Around half the providers visited</w:t>
      </w:r>
      <w:r w:rsidR="008739B1">
        <w:t>, and especially independent learning providers,</w:t>
      </w:r>
      <w:r w:rsidRPr="00EF5B33">
        <w:t xml:space="preserve"> had difficulty engaging with BIS </w:t>
      </w:r>
      <w:r w:rsidR="00C5048D">
        <w:t>‘Prevent’</w:t>
      </w:r>
      <w:r w:rsidRPr="00EF5B33">
        <w:t xml:space="preserve"> coordinators due to </w:t>
      </w:r>
      <w:r w:rsidR="00A137FF">
        <w:t xml:space="preserve">the </w:t>
      </w:r>
      <w:r w:rsidRPr="00EF5B33">
        <w:t>coordinators’ workloads</w:t>
      </w:r>
      <w:r>
        <w:t xml:space="preserve"> and unfilled vacancies in the BIS team</w:t>
      </w:r>
      <w:r w:rsidRPr="00EF5B33">
        <w:t xml:space="preserve">. </w:t>
      </w:r>
    </w:p>
    <w:p w14:paraId="15C19FAA" w14:textId="614C3722" w:rsidR="00593497" w:rsidRDefault="00593497" w:rsidP="00593497">
      <w:pPr>
        <w:pStyle w:val="Numberedparagraph"/>
      </w:pPr>
      <w:r w:rsidRPr="00EF5B33">
        <w:t>Eighteen providers were unaware of the support, information or intelligence available to them from the range of external partners</w:t>
      </w:r>
      <w:r w:rsidR="008942A0">
        <w:t xml:space="preserve"> including </w:t>
      </w:r>
      <w:proofErr w:type="spellStart"/>
      <w:r w:rsidR="00E07112">
        <w:t>Jisc</w:t>
      </w:r>
      <w:proofErr w:type="spellEnd"/>
      <w:r w:rsidR="008942A0">
        <w:t xml:space="preserve"> and the ETF</w:t>
      </w:r>
      <w:r w:rsidR="006F7075">
        <w:t>. A</w:t>
      </w:r>
      <w:r w:rsidR="00685D6C">
        <w:t xml:space="preserve">nother </w:t>
      </w:r>
      <w:r w:rsidRPr="00EF5B33">
        <w:t>five providers became over</w:t>
      </w:r>
      <w:r>
        <w:t>-</w:t>
      </w:r>
      <w:r w:rsidRPr="00EF5B33">
        <w:t xml:space="preserve">reliant on partners when developing resources or considering referrals to the Channel programme. </w:t>
      </w:r>
      <w:proofErr w:type="gramStart"/>
      <w:r w:rsidRPr="00EF5B33">
        <w:t>Staff in these providers were</w:t>
      </w:r>
      <w:proofErr w:type="gramEnd"/>
      <w:r w:rsidRPr="00EF5B33">
        <w:t xml:space="preserve"> unsure of the threshold for referring learners to Channel</w:t>
      </w:r>
      <w:r>
        <w:t xml:space="preserve">. As a consequence, they were unable to distinguish between trivial risks and significant risks. </w:t>
      </w:r>
      <w:r w:rsidRPr="00EF5B33">
        <w:t xml:space="preserve"> </w:t>
      </w:r>
    </w:p>
    <w:p w14:paraId="4016F34E" w14:textId="18BFC8E3" w:rsidR="00593497" w:rsidRPr="00EF5B33" w:rsidRDefault="00593497" w:rsidP="00593497">
      <w:pPr>
        <w:pStyle w:val="Numberedparagraph"/>
      </w:pPr>
      <w:r w:rsidRPr="00EF5B33">
        <w:t xml:space="preserve">During </w:t>
      </w:r>
      <w:r w:rsidR="00763FF8">
        <w:t xml:space="preserve">the </w:t>
      </w:r>
      <w:r w:rsidRPr="00EF5B33">
        <w:t xml:space="preserve">survey visits and routine inspections, inspectors found that </w:t>
      </w:r>
      <w:r>
        <w:t xml:space="preserve">the quality of </w:t>
      </w:r>
      <w:r w:rsidRPr="00EF5B33">
        <w:t>partnership</w:t>
      </w:r>
      <w:r>
        <w:t xml:space="preserve"> working</w:t>
      </w:r>
      <w:r w:rsidRPr="00EF5B33">
        <w:t xml:space="preserve"> between providers and external partners</w:t>
      </w:r>
      <w:r>
        <w:t xml:space="preserve"> </w:t>
      </w:r>
      <w:r w:rsidRPr="00EF5B33">
        <w:t xml:space="preserve">varied considerably. General further education and </w:t>
      </w:r>
      <w:r w:rsidR="00091152">
        <w:t>sixth form</w:t>
      </w:r>
      <w:r w:rsidRPr="00EF5B33">
        <w:t xml:space="preserve"> colleges had </w:t>
      </w:r>
      <w:r>
        <w:t xml:space="preserve">developed </w:t>
      </w:r>
      <w:r w:rsidRPr="00EF5B33">
        <w:t>the best partnerships</w:t>
      </w:r>
      <w:r>
        <w:t>.</w:t>
      </w:r>
      <w:r w:rsidRPr="00EF5B33">
        <w:t xml:space="preserve"> The</w:t>
      </w:r>
      <w:r>
        <w:t>y</w:t>
      </w:r>
      <w:r w:rsidRPr="00EF5B33">
        <w:t xml:space="preserve"> managed and maintained relationships with a range of partners including BIS </w:t>
      </w:r>
      <w:r w:rsidR="00C5048D">
        <w:t>‘Prevent’</w:t>
      </w:r>
      <w:r w:rsidRPr="00EF5B33">
        <w:t xml:space="preserve"> coordinators, police </w:t>
      </w:r>
      <w:r w:rsidR="00C5048D">
        <w:t>‘Prevent’</w:t>
      </w:r>
      <w:r w:rsidRPr="00EF5B33">
        <w:t xml:space="preserve"> teams, safer community partnerships, local authorities, learners, subcontractors and local communities. Examples of highly effective partnership working include</w:t>
      </w:r>
      <w:r>
        <w:t>d</w:t>
      </w:r>
      <w:r w:rsidRPr="00EF5B33">
        <w:t xml:space="preserve"> providers inviting partners to joint provider events, forums and </w:t>
      </w:r>
      <w:r w:rsidR="00C5048D">
        <w:t>‘Prevent’</w:t>
      </w:r>
      <w:r>
        <w:t>-</w:t>
      </w:r>
      <w:r w:rsidRPr="00EF5B33">
        <w:t xml:space="preserve">specific </w:t>
      </w:r>
      <w:r>
        <w:t>training</w:t>
      </w:r>
      <w:r w:rsidRPr="00EF5B33">
        <w:t>.</w:t>
      </w:r>
      <w:r>
        <w:t xml:space="preserve"> </w:t>
      </w:r>
    </w:p>
    <w:p w14:paraId="4B80DA2A" w14:textId="18AC7FFD" w:rsidR="00593497" w:rsidRDefault="00593497" w:rsidP="00593497">
      <w:pPr>
        <w:pStyle w:val="Numberedparagraph"/>
      </w:pPr>
      <w:r w:rsidRPr="00EF5B33">
        <w:t xml:space="preserve">Just over half </w:t>
      </w:r>
      <w:r>
        <w:t xml:space="preserve">the </w:t>
      </w:r>
      <w:r w:rsidRPr="00EF5B33">
        <w:t xml:space="preserve">providers shared intelligence, information and good practice with partners and other further education and skills providers. For example, local independent learning providers </w:t>
      </w:r>
      <w:r>
        <w:t>in</w:t>
      </w:r>
      <w:r w:rsidRPr="00EF5B33">
        <w:t xml:space="preserve"> the Greater Merseyside Learning Provider Federation join</w:t>
      </w:r>
      <w:r>
        <w:t xml:space="preserve"> together</w:t>
      </w:r>
      <w:r w:rsidRPr="00EF5B33">
        <w:t xml:space="preserve"> for meetings and training with police </w:t>
      </w:r>
      <w:r w:rsidR="00C5048D">
        <w:t>‘Prevent’</w:t>
      </w:r>
      <w:r w:rsidRPr="00EF5B33">
        <w:t xml:space="preserve"> teams and BIS </w:t>
      </w:r>
      <w:r w:rsidR="00C5048D">
        <w:t>‘Prevent’</w:t>
      </w:r>
      <w:r w:rsidRPr="00EF5B33">
        <w:t xml:space="preserve"> coordinators</w:t>
      </w:r>
      <w:r w:rsidR="00C453BE">
        <w:t>. This</w:t>
      </w:r>
      <w:r w:rsidRPr="00EF5B33">
        <w:t xml:space="preserve"> reduc</w:t>
      </w:r>
      <w:r w:rsidR="00C453BE">
        <w:t>es</w:t>
      </w:r>
      <w:r w:rsidRPr="00EF5B33">
        <w:t xml:space="preserve"> the need for partners to visit individual organisations.</w:t>
      </w:r>
    </w:p>
    <w:p w14:paraId="293E6D81" w14:textId="2CB6C508" w:rsidR="00593497" w:rsidRDefault="00593497" w:rsidP="00593497">
      <w:pPr>
        <w:pStyle w:val="Casestudy"/>
        <w:rPr>
          <w:rFonts w:eastAsia="Calibri"/>
          <w:b/>
        </w:rPr>
      </w:pPr>
      <w:r>
        <w:rPr>
          <w:rFonts w:eastAsia="Calibri"/>
          <w:b/>
        </w:rPr>
        <w:lastRenderedPageBreak/>
        <w:t xml:space="preserve">Case study: </w:t>
      </w:r>
      <w:r w:rsidR="00F262A4">
        <w:rPr>
          <w:rFonts w:eastAsia="Calibri"/>
          <w:b/>
        </w:rPr>
        <w:t>e</w:t>
      </w:r>
      <w:r>
        <w:rPr>
          <w:rFonts w:eastAsia="Calibri"/>
          <w:b/>
        </w:rPr>
        <w:t>ffective partnership working</w:t>
      </w:r>
    </w:p>
    <w:p w14:paraId="5AFBA516" w14:textId="77777777" w:rsidR="00593497" w:rsidRDefault="00593497" w:rsidP="00593497">
      <w:pPr>
        <w:pStyle w:val="Casestudy"/>
        <w:rPr>
          <w:rFonts w:eastAsia="Calibri"/>
        </w:rPr>
      </w:pPr>
      <w:r>
        <w:rPr>
          <w:rFonts w:eastAsia="Calibri"/>
        </w:rPr>
        <w:t>Senior managers at Luton Sixth Form College have developed an influential local approach to partnership working.</w:t>
      </w:r>
    </w:p>
    <w:p w14:paraId="02F911D1" w14:textId="7AB19F9D" w:rsidR="00593497" w:rsidRDefault="00593497" w:rsidP="00593497">
      <w:pPr>
        <w:pStyle w:val="Casestudy"/>
        <w:rPr>
          <w:rFonts w:eastAsia="Calibri"/>
        </w:rPr>
      </w:pPr>
      <w:r>
        <w:rPr>
          <w:rFonts w:eastAsia="Calibri"/>
        </w:rPr>
        <w:t xml:space="preserve">College staff regularly present at local conferences for headteachers, principals, </w:t>
      </w:r>
      <w:proofErr w:type="gramStart"/>
      <w:r>
        <w:rPr>
          <w:rFonts w:eastAsia="Calibri"/>
        </w:rPr>
        <w:t>chairs</w:t>
      </w:r>
      <w:proofErr w:type="gramEnd"/>
      <w:r>
        <w:rPr>
          <w:rFonts w:eastAsia="Calibri"/>
        </w:rPr>
        <w:t xml:space="preserve"> of governors and designated safeguarding officers. Presentation topics include managing risk assessments and using the curriculum and college ethos to strengthen young people’s confidence to challenge extremism. College </w:t>
      </w:r>
      <w:proofErr w:type="gramStart"/>
      <w:r>
        <w:rPr>
          <w:rFonts w:eastAsia="Calibri"/>
        </w:rPr>
        <w:t>staff also help</w:t>
      </w:r>
      <w:proofErr w:type="gramEnd"/>
      <w:r>
        <w:rPr>
          <w:rFonts w:eastAsia="Calibri"/>
        </w:rPr>
        <w:t xml:space="preserve"> to shape events by ensuring a representative role and voice for young people and community groups. </w:t>
      </w:r>
    </w:p>
    <w:p w14:paraId="282D23B8" w14:textId="49C63D45" w:rsidR="00593497" w:rsidRPr="00BF1097" w:rsidRDefault="00593497" w:rsidP="00593497">
      <w:pPr>
        <w:pStyle w:val="Casestudy"/>
        <w:rPr>
          <w:rFonts w:eastAsia="Calibri"/>
        </w:rPr>
      </w:pPr>
      <w:r>
        <w:rPr>
          <w:rFonts w:eastAsia="Calibri"/>
        </w:rPr>
        <w:t xml:space="preserve">College </w:t>
      </w:r>
      <w:proofErr w:type="gramStart"/>
      <w:r>
        <w:rPr>
          <w:rFonts w:eastAsia="Calibri"/>
        </w:rPr>
        <w:t>staff look</w:t>
      </w:r>
      <w:proofErr w:type="gramEnd"/>
      <w:r>
        <w:rPr>
          <w:rFonts w:eastAsia="Calibri"/>
        </w:rPr>
        <w:t xml:space="preserve"> well beyond the four walls of the institution. They have links with the borough council, schools, police and the BIS </w:t>
      </w:r>
      <w:r w:rsidR="00C5048D">
        <w:rPr>
          <w:rFonts w:eastAsia="Calibri"/>
        </w:rPr>
        <w:t>‘Prevent’</w:t>
      </w:r>
      <w:r>
        <w:rPr>
          <w:rFonts w:eastAsia="Calibri"/>
        </w:rPr>
        <w:t xml:space="preserve"> coordinator. Such links are purposeful and communication is frequent. College membership of the </w:t>
      </w:r>
      <w:r w:rsidR="00C5048D">
        <w:rPr>
          <w:rFonts w:eastAsia="Calibri"/>
        </w:rPr>
        <w:t>‘Prevent’</w:t>
      </w:r>
      <w:r>
        <w:rPr>
          <w:rFonts w:eastAsia="Calibri"/>
        </w:rPr>
        <w:t xml:space="preserve"> and safeguarding boards enables all partners to discuss possible referrals and take collective action. The common agreement </w:t>
      </w:r>
      <w:r w:rsidR="00C5048D">
        <w:rPr>
          <w:rFonts w:eastAsia="Calibri"/>
        </w:rPr>
        <w:t xml:space="preserve">among </w:t>
      </w:r>
      <w:r>
        <w:rPr>
          <w:rFonts w:eastAsia="Calibri"/>
        </w:rPr>
        <w:t xml:space="preserve">all partners is that no one institution can ‘go it alone’. The college plays a key role in what the local authority describes as </w:t>
      </w:r>
      <w:r w:rsidR="00C453BE">
        <w:rPr>
          <w:rFonts w:eastAsia="Calibri"/>
        </w:rPr>
        <w:t>‘</w:t>
      </w:r>
      <w:r>
        <w:rPr>
          <w:rFonts w:eastAsia="Calibri"/>
        </w:rPr>
        <w:t>early intervention activities</w:t>
      </w:r>
      <w:r w:rsidR="00C453BE">
        <w:rPr>
          <w:rFonts w:eastAsia="Calibri"/>
        </w:rPr>
        <w:t>’</w:t>
      </w:r>
      <w:r>
        <w:rPr>
          <w:rFonts w:eastAsia="Calibri"/>
        </w:rPr>
        <w:t xml:space="preserve">. </w:t>
      </w:r>
    </w:p>
    <w:p w14:paraId="28A70026" w14:textId="0227DE4B" w:rsidR="00593497" w:rsidRPr="00E8017E" w:rsidRDefault="00C453BE" w:rsidP="00593497">
      <w:pPr>
        <w:pStyle w:val="Numberedparagraph"/>
      </w:pPr>
      <w:r>
        <w:t>A</w:t>
      </w:r>
      <w:r w:rsidR="00593497" w:rsidRPr="00E8017E">
        <w:t xml:space="preserve"> lack of rigorous information</w:t>
      </w:r>
      <w:r w:rsidR="00593497">
        <w:t>-</w:t>
      </w:r>
      <w:r w:rsidR="00593497" w:rsidRPr="00E8017E">
        <w:t>sharing protocols</w:t>
      </w:r>
      <w:r w:rsidRPr="00C453BE">
        <w:t xml:space="preserve"> </w:t>
      </w:r>
      <w:r>
        <w:t>was one b</w:t>
      </w:r>
      <w:r w:rsidRPr="00E8017E">
        <w:t xml:space="preserve">arrier to developing strong </w:t>
      </w:r>
      <w:r>
        <w:t>working relation</w:t>
      </w:r>
      <w:r w:rsidRPr="00E8017E">
        <w:t>ships with external partners</w:t>
      </w:r>
      <w:r w:rsidR="00593497" w:rsidRPr="00E8017E">
        <w:t xml:space="preserve">. Although most providers had informal processes in place for sharing information, </w:t>
      </w:r>
      <w:r>
        <w:t>11</w:t>
      </w:r>
      <w:r w:rsidRPr="00E8017E">
        <w:t xml:space="preserve"> </w:t>
      </w:r>
      <w:r w:rsidR="00F74745" w:rsidRPr="00E8017E">
        <w:t>did</w:t>
      </w:r>
      <w:r w:rsidR="00593497" w:rsidRPr="00E8017E">
        <w:t xml:space="preserve"> not have written agreements for </w:t>
      </w:r>
      <w:r w:rsidR="007F1145">
        <w:t>doing so</w:t>
      </w:r>
      <w:r w:rsidR="00593497" w:rsidRPr="00E8017E">
        <w:t xml:space="preserve">. </w:t>
      </w:r>
    </w:p>
    <w:p w14:paraId="29BD8966" w14:textId="287847C0" w:rsidR="00593497" w:rsidRPr="00E8017E" w:rsidRDefault="00593497" w:rsidP="00011B0F">
      <w:pPr>
        <w:pStyle w:val="Numberedparagraph"/>
      </w:pPr>
      <w:r w:rsidRPr="00D32808">
        <w:t xml:space="preserve">Independent learning providers’ arrangements for sharing information were </w:t>
      </w:r>
      <w:r>
        <w:t>ineffective</w:t>
      </w:r>
      <w:r w:rsidRPr="00D32808">
        <w:t>.</w:t>
      </w:r>
      <w:r w:rsidRPr="00E8017E">
        <w:t xml:space="preserve"> </w:t>
      </w:r>
      <w:r>
        <w:t>In particular,</w:t>
      </w:r>
      <w:r w:rsidRPr="00E8017E">
        <w:t xml:space="preserve"> small independent learning providers did not have the staff, skills or expertise to develop robust information-sharing protocols for effective </w:t>
      </w:r>
      <w:r>
        <w:t>work</w:t>
      </w:r>
      <w:r w:rsidRPr="00E8017E">
        <w:t xml:space="preserve"> with external partners</w:t>
      </w:r>
      <w:r w:rsidR="00C453BE">
        <w:t>. They</w:t>
      </w:r>
      <w:r w:rsidRPr="00E8017E">
        <w:t xml:space="preserve"> were more likely to work in isolation</w:t>
      </w:r>
      <w:r>
        <w:t>.</w:t>
      </w:r>
      <w:r w:rsidRPr="00E8017E">
        <w:t xml:space="preserve"> </w:t>
      </w:r>
      <w:r w:rsidR="00011B0F" w:rsidRPr="00011B0F">
        <w:t>Conversely, inspectors found information</w:t>
      </w:r>
      <w:r w:rsidR="00C453BE">
        <w:t>-</w:t>
      </w:r>
      <w:r w:rsidR="00011B0F" w:rsidRPr="00011B0F">
        <w:t xml:space="preserve">sharing protocols in the majority of general further education and </w:t>
      </w:r>
      <w:r w:rsidR="00091152">
        <w:t>sixth form</w:t>
      </w:r>
      <w:r w:rsidR="00011B0F" w:rsidRPr="00011B0F">
        <w:t xml:space="preserve"> colleges to be good.</w:t>
      </w:r>
    </w:p>
    <w:p w14:paraId="674CCE7E" w14:textId="2E9DC3BC" w:rsidR="00593497" w:rsidRPr="00E8017E" w:rsidRDefault="00593497" w:rsidP="00593497">
      <w:pPr>
        <w:pStyle w:val="Numberedparagraph"/>
      </w:pPr>
      <w:r w:rsidRPr="00E8017E">
        <w:t>The majority of support for the implementation of</w:t>
      </w:r>
      <w:r w:rsidR="008942A0">
        <w:t xml:space="preserve"> </w:t>
      </w:r>
      <w:r w:rsidR="00C5048D">
        <w:t>‘Prevent’</w:t>
      </w:r>
      <w:r w:rsidRPr="00E8017E">
        <w:t xml:space="preserve"> has been provided to general further education and </w:t>
      </w:r>
      <w:r w:rsidR="00091152">
        <w:t>sixth form</w:t>
      </w:r>
      <w:r w:rsidRPr="00E8017E">
        <w:t xml:space="preserve"> colleges</w:t>
      </w:r>
      <w:r>
        <w:t xml:space="preserve"> and not to independent learning providers</w:t>
      </w:r>
      <w:r w:rsidRPr="00E8017E">
        <w:t xml:space="preserve">. This </w:t>
      </w:r>
      <w:r>
        <w:t xml:space="preserve">could be why </w:t>
      </w:r>
      <w:r w:rsidRPr="00E8017E">
        <w:t xml:space="preserve">more than half of independent learning and other </w:t>
      </w:r>
      <w:r w:rsidR="00011B0F">
        <w:t xml:space="preserve">non-college </w:t>
      </w:r>
      <w:r w:rsidRPr="00E8017E">
        <w:t>providers</w:t>
      </w:r>
      <w:r>
        <w:t xml:space="preserve"> visited</w:t>
      </w:r>
      <w:r w:rsidRPr="00E8017E">
        <w:t xml:space="preserve"> </w:t>
      </w:r>
      <w:r>
        <w:t xml:space="preserve">had </w:t>
      </w:r>
      <w:r w:rsidRPr="00E8017E">
        <w:t xml:space="preserve">not </w:t>
      </w:r>
      <w:r>
        <w:t xml:space="preserve">yet </w:t>
      </w:r>
      <w:r w:rsidRPr="00E8017E">
        <w:t>develop</w:t>
      </w:r>
      <w:r>
        <w:t>ed</w:t>
      </w:r>
      <w:r w:rsidRPr="00E8017E">
        <w:t xml:space="preserve"> partnership arrangements with police </w:t>
      </w:r>
      <w:r w:rsidR="00C5048D">
        <w:t>‘Prevent’</w:t>
      </w:r>
      <w:r w:rsidRPr="00E8017E">
        <w:t xml:space="preserve"> teams, BIS </w:t>
      </w:r>
      <w:r w:rsidR="00C5048D">
        <w:t>‘Prevent’</w:t>
      </w:r>
      <w:r w:rsidRPr="00E8017E">
        <w:t xml:space="preserve"> coordinators or local authorities. For example, an independent specialist college in the East Midlands had requested support from the BIS </w:t>
      </w:r>
      <w:r w:rsidR="00C5048D">
        <w:t>‘Prevent’</w:t>
      </w:r>
      <w:r w:rsidRPr="00E8017E">
        <w:t xml:space="preserve"> coordinator but the first available appointment was many months away.</w:t>
      </w:r>
    </w:p>
    <w:p w14:paraId="089A99B5" w14:textId="416329C1" w:rsidR="00593497" w:rsidRPr="00961E81" w:rsidRDefault="009472A8" w:rsidP="009472A8">
      <w:pPr>
        <w:pStyle w:val="Numberedparagraph"/>
      </w:pPr>
      <w:r>
        <w:t>In the providers visited, a</w:t>
      </w:r>
      <w:r w:rsidR="00593497" w:rsidRPr="00E8017E">
        <w:t xml:space="preserve"> few middle managers with responsibility fo</w:t>
      </w:r>
      <w:r w:rsidR="00593497">
        <w:t xml:space="preserve">r </w:t>
      </w:r>
      <w:r w:rsidR="00C5048D">
        <w:t>‘Prevent’</w:t>
      </w:r>
      <w:r>
        <w:t xml:space="preserve"> said </w:t>
      </w:r>
      <w:r w:rsidR="00593497" w:rsidRPr="00E8017E">
        <w:t>they were too distant from decision</w:t>
      </w:r>
      <w:r w:rsidR="00593497">
        <w:t>-</w:t>
      </w:r>
      <w:r w:rsidR="00593497" w:rsidRPr="00E8017E">
        <w:t xml:space="preserve">making processes. </w:t>
      </w:r>
      <w:r w:rsidR="00593497">
        <w:t>They reported that s</w:t>
      </w:r>
      <w:r w:rsidR="00593497" w:rsidRPr="00E8017E">
        <w:t xml:space="preserve">enior managers have responsibility for key </w:t>
      </w:r>
      <w:r w:rsidR="00C5048D">
        <w:t>‘Prevent’</w:t>
      </w:r>
      <w:r w:rsidR="00593497" w:rsidRPr="00E8017E">
        <w:t xml:space="preserve"> strategic developments with partners</w:t>
      </w:r>
      <w:r>
        <w:t>,</w:t>
      </w:r>
      <w:r w:rsidR="00593497" w:rsidRPr="00E8017E">
        <w:t xml:space="preserve"> such as BIS </w:t>
      </w:r>
      <w:r w:rsidR="00C5048D">
        <w:t>‘Prevent’</w:t>
      </w:r>
      <w:r w:rsidR="00593497" w:rsidRPr="00E8017E">
        <w:t xml:space="preserve"> coordinators, police </w:t>
      </w:r>
      <w:r w:rsidR="00C5048D">
        <w:t>‘Prevent’</w:t>
      </w:r>
      <w:r w:rsidR="00593497" w:rsidRPr="00E8017E">
        <w:t xml:space="preserve"> teams and the local authority</w:t>
      </w:r>
      <w:r w:rsidR="00F1631F">
        <w:t>.</w:t>
      </w:r>
      <w:r>
        <w:t xml:space="preserve"> However, they</w:t>
      </w:r>
      <w:r w:rsidR="00593497" w:rsidRPr="00E8017E">
        <w:t xml:space="preserve"> d</w:t>
      </w:r>
      <w:r w:rsidR="00E837D5">
        <w:t>id</w:t>
      </w:r>
      <w:r w:rsidR="00593497" w:rsidRPr="00E8017E">
        <w:t xml:space="preserve"> not communicate actions effectively to </w:t>
      </w:r>
      <w:r w:rsidR="00593497" w:rsidRPr="00E8017E">
        <w:lastRenderedPageBreak/>
        <w:t>middle managers. This ha</w:t>
      </w:r>
      <w:r w:rsidR="007014AB">
        <w:t xml:space="preserve">d </w:t>
      </w:r>
      <w:r w:rsidR="00593497" w:rsidRPr="00E8017E">
        <w:t xml:space="preserve">resulted in </w:t>
      </w:r>
      <w:r w:rsidR="007014AB">
        <w:t xml:space="preserve">some </w:t>
      </w:r>
      <w:r w:rsidR="00593497" w:rsidRPr="00E8017E">
        <w:t>staff not</w:t>
      </w:r>
      <w:r w:rsidR="00593497">
        <w:t xml:space="preserve"> </w:t>
      </w:r>
      <w:r w:rsidR="00593497" w:rsidRPr="00E8017E">
        <w:t>knowing which actions to take against threats of radicalisation or extremi</w:t>
      </w:r>
      <w:r w:rsidR="00593497" w:rsidRPr="00961E81">
        <w:t>sm.</w:t>
      </w:r>
    </w:p>
    <w:p w14:paraId="2E0777BE" w14:textId="29C046A4" w:rsidR="00593497" w:rsidRPr="00EF5B33" w:rsidRDefault="00593497" w:rsidP="00593497">
      <w:pPr>
        <w:pStyle w:val="Heading2"/>
        <w:rPr>
          <w:rFonts w:eastAsia="Calibri"/>
        </w:rPr>
      </w:pPr>
      <w:bookmarkStart w:id="21" w:name="_Toc447732118"/>
      <w:bookmarkStart w:id="22" w:name="_Toc454282642"/>
      <w:r w:rsidRPr="00815B7F">
        <w:rPr>
          <w:rFonts w:eastAsia="Calibri"/>
        </w:rPr>
        <w:t>Risk assessments</w:t>
      </w:r>
      <w:r w:rsidRPr="00EF5B33">
        <w:rPr>
          <w:rFonts w:eastAsia="Calibri"/>
        </w:rPr>
        <w:t xml:space="preserve"> and action plans</w:t>
      </w:r>
      <w:bookmarkEnd w:id="21"/>
      <w:bookmarkEnd w:id="22"/>
      <w:r w:rsidRPr="00EF5B33">
        <w:rPr>
          <w:rFonts w:eastAsia="Calibri"/>
        </w:rPr>
        <w:t xml:space="preserve"> </w:t>
      </w:r>
    </w:p>
    <w:p w14:paraId="6F897655" w14:textId="77777777" w:rsidR="00593497" w:rsidRPr="00EF5B33" w:rsidRDefault="00593497" w:rsidP="00593497">
      <w:pPr>
        <w:pStyle w:val="Numberedparagraph"/>
      </w:pPr>
      <w:r w:rsidRPr="00EF5B33">
        <w:t xml:space="preserve">Inspectors found that almost all the providers visited had a risk assessment in place to reduce the risks of radicalisation and extremism. However, the quality of these risk assessments varied considerably. The best providers worked with partners </w:t>
      </w:r>
      <w:r>
        <w:t>and</w:t>
      </w:r>
      <w:r w:rsidRPr="00EF5B33">
        <w:t xml:space="preserve"> learners to review rigorously the internal and external threats to the organisation and put </w:t>
      </w:r>
      <w:r>
        <w:t>effective</w:t>
      </w:r>
      <w:r w:rsidRPr="00EF5B33">
        <w:t xml:space="preserve"> actions in place to reduce the risks of radicalisation and extremism. </w:t>
      </w:r>
    </w:p>
    <w:p w14:paraId="078D9192" w14:textId="59CEDAAF" w:rsidR="00593497" w:rsidRPr="00EF5B33" w:rsidRDefault="00FC3E7A" w:rsidP="00593497">
      <w:pPr>
        <w:pStyle w:val="Numberedparagraph"/>
      </w:pPr>
      <w:r>
        <w:t>T</w:t>
      </w:r>
      <w:r w:rsidR="00593497" w:rsidRPr="00EF5B33">
        <w:t xml:space="preserve">wo independent learning providers did not have any risk assessment in place. Three other independent learning providers did not identify accurately </w:t>
      </w:r>
      <w:r w:rsidR="00593497">
        <w:t xml:space="preserve">the </w:t>
      </w:r>
      <w:r w:rsidR="00593497" w:rsidRPr="00EF5B33">
        <w:t>risks to staff, learners or the organisation. Independent learning providers were also less likely to work with partners in developing risk assessments and action plans. For example, an independent learning provider located over multiple sites worked mainly with vulnerable young people</w:t>
      </w:r>
      <w:r w:rsidR="00FC77AD">
        <w:t xml:space="preserve">. </w:t>
      </w:r>
      <w:r w:rsidR="00F1631F">
        <w:t>However, the</w:t>
      </w:r>
      <w:r w:rsidR="00593497" w:rsidRPr="00EF5B33">
        <w:t xml:space="preserve"> provider h</w:t>
      </w:r>
      <w:r w:rsidR="00593497">
        <w:t>ad not worked</w:t>
      </w:r>
      <w:r w:rsidR="00593497" w:rsidRPr="00EF5B33">
        <w:t xml:space="preserve"> with any partners to identify risks</w:t>
      </w:r>
      <w:r w:rsidR="00FC77AD">
        <w:t xml:space="preserve">. They </w:t>
      </w:r>
      <w:r w:rsidR="00593497" w:rsidRPr="00EF5B33">
        <w:t xml:space="preserve">had no risk assessment in place. </w:t>
      </w:r>
    </w:p>
    <w:p w14:paraId="5D1636B9" w14:textId="588E7012" w:rsidR="00593497" w:rsidRPr="00D32808" w:rsidRDefault="00593497" w:rsidP="00593497">
      <w:pPr>
        <w:pStyle w:val="Numberedparagraph"/>
      </w:pPr>
      <w:r w:rsidRPr="00D32808">
        <w:t xml:space="preserve">The quality of risk assessments and action plans to reduce the risk of radicalisation and extremism was poor in </w:t>
      </w:r>
      <w:r w:rsidR="00FC77AD">
        <w:t>11</w:t>
      </w:r>
      <w:r w:rsidR="00FC77AD" w:rsidRPr="00D32808">
        <w:t xml:space="preserve"> </w:t>
      </w:r>
      <w:r w:rsidRPr="00D32808">
        <w:t>of the providers visited.</w:t>
      </w:r>
      <w:r w:rsidRPr="00B90C34">
        <w:t xml:space="preserve"> </w:t>
      </w:r>
      <w:r w:rsidR="00CF15E5">
        <w:t>These p</w:t>
      </w:r>
      <w:r>
        <w:t xml:space="preserve">roviders </w:t>
      </w:r>
      <w:r w:rsidR="00CF15E5">
        <w:t>often adopted a checklist approach to</w:t>
      </w:r>
      <w:r>
        <w:t xml:space="preserve"> compliance a</w:t>
      </w:r>
      <w:r w:rsidR="00CF15E5">
        <w:t>nd</w:t>
      </w:r>
      <w:r>
        <w:t xml:space="preserve"> did not assess potential risks in </w:t>
      </w:r>
      <w:r w:rsidR="00FC77AD">
        <w:t xml:space="preserve">enough </w:t>
      </w:r>
      <w:r>
        <w:t>depth</w:t>
      </w:r>
      <w:r w:rsidRPr="002522E0">
        <w:t>. In these cases, the risk assessment was no more than a g</w:t>
      </w:r>
      <w:r w:rsidRPr="00E8017E">
        <w:rPr>
          <w:rFonts w:eastAsia="Calibri"/>
        </w:rPr>
        <w:t xml:space="preserve">eneric form containing tick boxes and very little context relating to the provider. </w:t>
      </w:r>
    </w:p>
    <w:p w14:paraId="383E4940" w14:textId="7E1F2719" w:rsidR="00593497" w:rsidRPr="00FF1EAF" w:rsidRDefault="00593497" w:rsidP="00593497">
      <w:pPr>
        <w:pStyle w:val="Casestudy"/>
        <w:rPr>
          <w:rFonts w:eastAsia="Calibri"/>
          <w:b/>
        </w:rPr>
      </w:pPr>
      <w:r>
        <w:rPr>
          <w:rFonts w:eastAsia="Calibri"/>
          <w:b/>
        </w:rPr>
        <w:t xml:space="preserve">Case study: </w:t>
      </w:r>
      <w:r w:rsidR="00F262A4">
        <w:rPr>
          <w:rFonts w:eastAsia="Calibri"/>
          <w:b/>
        </w:rPr>
        <w:t>t</w:t>
      </w:r>
      <w:r>
        <w:rPr>
          <w:rFonts w:eastAsia="Calibri"/>
          <w:b/>
        </w:rPr>
        <w:t>he slow development of risk assessments</w:t>
      </w:r>
    </w:p>
    <w:p w14:paraId="488CE142" w14:textId="56453FD1" w:rsidR="00593497" w:rsidRDefault="00593497" w:rsidP="00593497">
      <w:pPr>
        <w:pStyle w:val="Casestudy"/>
        <w:rPr>
          <w:rFonts w:eastAsia="Calibri"/>
        </w:rPr>
      </w:pPr>
      <w:r>
        <w:rPr>
          <w:rFonts w:eastAsia="Calibri"/>
        </w:rPr>
        <w:t xml:space="preserve">A risk assessment and action plan was in place at this college but was clearly ‘a work in progress’. It was very much a compliance document and was not used effectively to identify risks of radicalisation and extremism. The risk assessment barely met the statutory requirements of the </w:t>
      </w:r>
      <w:r w:rsidR="00C5048D">
        <w:rPr>
          <w:rFonts w:eastAsia="Calibri"/>
        </w:rPr>
        <w:t>‘Prevent’</w:t>
      </w:r>
      <w:r>
        <w:rPr>
          <w:rFonts w:eastAsia="Calibri"/>
        </w:rPr>
        <w:t xml:space="preserve"> duty.</w:t>
      </w:r>
    </w:p>
    <w:p w14:paraId="5FAA85FA" w14:textId="2CC9BEDE" w:rsidR="00593497" w:rsidRDefault="00593497" w:rsidP="00593497">
      <w:pPr>
        <w:pStyle w:val="Casestudy"/>
        <w:rPr>
          <w:rFonts w:eastAsia="Calibri"/>
        </w:rPr>
      </w:pPr>
      <w:r>
        <w:rPr>
          <w:rFonts w:eastAsia="Calibri"/>
        </w:rPr>
        <w:t xml:space="preserve">The assessment set out, for example, which staff had not had </w:t>
      </w:r>
      <w:r w:rsidR="00C5048D">
        <w:rPr>
          <w:rFonts w:eastAsia="Calibri"/>
        </w:rPr>
        <w:t>‘Prevent’</w:t>
      </w:r>
      <w:r>
        <w:rPr>
          <w:rFonts w:eastAsia="Calibri"/>
        </w:rPr>
        <w:t xml:space="preserve"> training but did not identify the risks </w:t>
      </w:r>
      <w:r w:rsidR="00FB04F4">
        <w:rPr>
          <w:rFonts w:eastAsia="Calibri"/>
        </w:rPr>
        <w:t>associated with staff not being trained or identify what training was required.</w:t>
      </w:r>
    </w:p>
    <w:p w14:paraId="2BE2C254" w14:textId="74A89DB7" w:rsidR="00593497" w:rsidRPr="00BD7763" w:rsidRDefault="00593497" w:rsidP="00593497">
      <w:pPr>
        <w:pStyle w:val="Casestudy"/>
        <w:rPr>
          <w:rFonts w:eastAsia="Calibri"/>
        </w:rPr>
      </w:pPr>
      <w:r>
        <w:rPr>
          <w:rFonts w:eastAsia="Calibri"/>
        </w:rPr>
        <w:t xml:space="preserve">There are known racial and cultural tensions in the area but the risk assessment did not acknowledge or identify any risks associated with this. The safeguarding policy </w:t>
      </w:r>
      <w:r w:rsidR="00FC77AD">
        <w:rPr>
          <w:rFonts w:eastAsia="Calibri"/>
        </w:rPr>
        <w:t xml:space="preserve">that </w:t>
      </w:r>
      <w:r>
        <w:rPr>
          <w:rFonts w:eastAsia="Calibri"/>
        </w:rPr>
        <w:t xml:space="preserve">was referenced in the risk assessment paid minimal attention to radicalisation. </w:t>
      </w:r>
    </w:p>
    <w:p w14:paraId="3545E9AE" w14:textId="39AE1E5A" w:rsidR="00593497" w:rsidRPr="00EF5B33" w:rsidRDefault="00593497" w:rsidP="00593497">
      <w:pPr>
        <w:pStyle w:val="Numberedparagraph"/>
      </w:pPr>
      <w:r w:rsidRPr="008016BD">
        <w:t xml:space="preserve">The best providers had </w:t>
      </w:r>
      <w:r>
        <w:t>thorough</w:t>
      </w:r>
      <w:r w:rsidRPr="008016BD">
        <w:t xml:space="preserve"> assessments of </w:t>
      </w:r>
      <w:r>
        <w:t xml:space="preserve">internal and external </w:t>
      </w:r>
      <w:r w:rsidRPr="008016BD">
        <w:t xml:space="preserve">risks. These risk assessments </w:t>
      </w:r>
      <w:r>
        <w:t>were</w:t>
      </w:r>
      <w:r w:rsidRPr="008016BD">
        <w:t xml:space="preserve"> reviewed regularly and updated when new risks </w:t>
      </w:r>
      <w:r>
        <w:t>we</w:t>
      </w:r>
      <w:r w:rsidRPr="008016BD">
        <w:t>re identified</w:t>
      </w:r>
      <w:r w:rsidRPr="00FF1EAF">
        <w:t>.</w:t>
      </w:r>
      <w:r>
        <w:t xml:space="preserve"> </w:t>
      </w:r>
      <w:r w:rsidR="00565699">
        <w:t>However, t</w:t>
      </w:r>
      <w:r w:rsidRPr="00EF5B33">
        <w:t xml:space="preserve">he quality of action plans linked to risk assessment was good in </w:t>
      </w:r>
      <w:r w:rsidR="00565699">
        <w:t xml:space="preserve">less than </w:t>
      </w:r>
      <w:r w:rsidRPr="00EF5B33">
        <w:t>two</w:t>
      </w:r>
      <w:r w:rsidR="006D48A2">
        <w:t xml:space="preserve"> </w:t>
      </w:r>
      <w:r w:rsidRPr="00EF5B33">
        <w:t xml:space="preserve">thirds of the providers visited. </w:t>
      </w:r>
      <w:r w:rsidR="00565699">
        <w:t xml:space="preserve">Where plans were </w:t>
      </w:r>
      <w:r w:rsidR="00565699">
        <w:lastRenderedPageBreak/>
        <w:t>r</w:t>
      </w:r>
      <w:r w:rsidRPr="00EF5B33">
        <w:t>obust</w:t>
      </w:r>
      <w:r w:rsidR="006D48A2">
        <w:t>,</w:t>
      </w:r>
      <w:r w:rsidRPr="00EF5B33">
        <w:t xml:space="preserve"> </w:t>
      </w:r>
      <w:r w:rsidR="00565699">
        <w:t xml:space="preserve">they </w:t>
      </w:r>
      <w:r w:rsidRPr="00EF5B33">
        <w:t xml:space="preserve">included key actions to </w:t>
      </w:r>
      <w:r>
        <w:t>reduce</w:t>
      </w:r>
      <w:r w:rsidRPr="00EF5B33">
        <w:t xml:space="preserve"> risks</w:t>
      </w:r>
      <w:r>
        <w:t xml:space="preserve"> </w:t>
      </w:r>
      <w:r w:rsidRPr="00EF5B33">
        <w:t xml:space="preserve">and identified key staff responsibilities and impact measures. However, a third of action plans </w:t>
      </w:r>
      <w:r w:rsidR="008F5E90">
        <w:t xml:space="preserve">were not detailed </w:t>
      </w:r>
      <w:r w:rsidR="00FC77AD">
        <w:t xml:space="preserve">enough </w:t>
      </w:r>
      <w:r w:rsidR="008F5E90">
        <w:t xml:space="preserve">and </w:t>
      </w:r>
      <w:r w:rsidRPr="00EF5B33">
        <w:t xml:space="preserve">focused </w:t>
      </w:r>
      <w:r w:rsidR="008F5E90">
        <w:t xml:space="preserve">too much </w:t>
      </w:r>
      <w:r w:rsidRPr="00EF5B33">
        <w:t xml:space="preserve">on systems </w:t>
      </w:r>
      <w:r>
        <w:t xml:space="preserve">rather than evaluating the impact of measures taken to implement the </w:t>
      </w:r>
      <w:r w:rsidR="00C5048D">
        <w:t>‘Prevent’</w:t>
      </w:r>
      <w:r>
        <w:t xml:space="preserve"> duty.</w:t>
      </w:r>
    </w:p>
    <w:p w14:paraId="562297E5" w14:textId="1B14EE8B" w:rsidR="00593497" w:rsidRDefault="00593497" w:rsidP="00593497">
      <w:pPr>
        <w:pStyle w:val="Numberedparagraph"/>
      </w:pPr>
      <w:r w:rsidRPr="00EF5B33">
        <w:t xml:space="preserve">Five providers, mainly general further education and </w:t>
      </w:r>
      <w:r w:rsidR="00091152">
        <w:t>sixth form</w:t>
      </w:r>
      <w:r w:rsidRPr="00EF5B33">
        <w:t xml:space="preserve"> colleges, had become over</w:t>
      </w:r>
      <w:r>
        <w:t>-</w:t>
      </w:r>
      <w:r w:rsidRPr="00EF5B33">
        <w:t>reliant on partners and external agencies</w:t>
      </w:r>
      <w:r>
        <w:t xml:space="preserve"> for </w:t>
      </w:r>
      <w:r w:rsidRPr="00EF5B33">
        <w:t>advice, guidance and support. Thes</w:t>
      </w:r>
      <w:r>
        <w:t>e providers relied on support to develop and complete</w:t>
      </w:r>
      <w:r w:rsidRPr="00EF5B33">
        <w:t xml:space="preserve"> risk assessments and action plans</w:t>
      </w:r>
      <w:r>
        <w:t>. As a result, the providers</w:t>
      </w:r>
      <w:r w:rsidRPr="00EF5B33">
        <w:t xml:space="preserve"> did not take full responsibility for their own compliance </w:t>
      </w:r>
      <w:r>
        <w:t>with</w:t>
      </w:r>
      <w:r w:rsidRPr="00EF5B33">
        <w:t xml:space="preserve"> the </w:t>
      </w:r>
      <w:r w:rsidR="00C5048D">
        <w:t>‘Prevent’</w:t>
      </w:r>
      <w:r w:rsidRPr="00EF5B33">
        <w:t xml:space="preserve"> duty</w:t>
      </w:r>
      <w:r w:rsidR="00812A54">
        <w:t>.</w:t>
      </w:r>
      <w:r w:rsidRPr="00EF5B33">
        <w:t xml:space="preserve"> For example, senior managers </w:t>
      </w:r>
      <w:r w:rsidR="00496010">
        <w:t xml:space="preserve">of </w:t>
      </w:r>
      <w:r w:rsidR="00496010" w:rsidRPr="00EF5B33">
        <w:t xml:space="preserve">a college in the </w:t>
      </w:r>
      <w:r w:rsidR="00496010">
        <w:t>n</w:t>
      </w:r>
      <w:r w:rsidR="00496010" w:rsidRPr="00EF5B33">
        <w:t>orth of England</w:t>
      </w:r>
      <w:r w:rsidR="00496010">
        <w:t xml:space="preserve"> lacked confidence in </w:t>
      </w:r>
      <w:r w:rsidRPr="00EF5B33">
        <w:t>shar</w:t>
      </w:r>
      <w:r w:rsidR="00496010">
        <w:t>ing</w:t>
      </w:r>
      <w:r w:rsidRPr="00EF5B33">
        <w:t xml:space="preserve"> the</w:t>
      </w:r>
      <w:r w:rsidR="00496010">
        <w:t>ir</w:t>
      </w:r>
      <w:r w:rsidRPr="00EF5B33">
        <w:t xml:space="preserve"> risk assessment with </w:t>
      </w:r>
      <w:r>
        <w:t>inspectors</w:t>
      </w:r>
      <w:r w:rsidR="00496010">
        <w:t xml:space="preserve"> </w:t>
      </w:r>
      <w:r w:rsidR="00FC77AD">
        <w:t>because</w:t>
      </w:r>
      <w:r w:rsidRPr="00EF5B33">
        <w:t xml:space="preserve"> staff were waiting for the BIS </w:t>
      </w:r>
      <w:r w:rsidR="00C5048D">
        <w:t>‘Prevent’</w:t>
      </w:r>
      <w:r w:rsidRPr="00EF5B33">
        <w:t xml:space="preserve"> coordinator who had helped draft the document to </w:t>
      </w:r>
      <w:r>
        <w:t>approve</w:t>
      </w:r>
      <w:r w:rsidRPr="00EF5B33">
        <w:t xml:space="preserve"> it. </w:t>
      </w:r>
    </w:p>
    <w:p w14:paraId="082A0450" w14:textId="521047C2" w:rsidR="00593497" w:rsidRDefault="00593497" w:rsidP="00593497">
      <w:pPr>
        <w:pStyle w:val="Numberedparagraph"/>
      </w:pPr>
      <w:r>
        <w:t xml:space="preserve">The involvement of learners in developing risk assessments was generally weak. </w:t>
      </w:r>
      <w:r w:rsidR="00E07112" w:rsidRPr="00EF5B33">
        <w:t>Twenty</w:t>
      </w:r>
      <w:r w:rsidR="00E07112">
        <w:t>-</w:t>
      </w:r>
      <w:r w:rsidRPr="00EF5B33">
        <w:t xml:space="preserve">two </w:t>
      </w:r>
      <w:r>
        <w:t xml:space="preserve">of the </w:t>
      </w:r>
      <w:r w:rsidRPr="00EF5B33">
        <w:t xml:space="preserve">providers visited did not consult with learners to identify further risks from radicalisation and extremism to </w:t>
      </w:r>
      <w:r w:rsidR="00FC77AD" w:rsidRPr="00EF5B33">
        <w:t>include</w:t>
      </w:r>
      <w:r w:rsidRPr="00EF5B33">
        <w:t xml:space="preserve"> in risk assessments and action plans. </w:t>
      </w:r>
    </w:p>
    <w:p w14:paraId="4EF4158D" w14:textId="65071FDE" w:rsidR="00593497" w:rsidRPr="00EF5B33" w:rsidRDefault="00593497" w:rsidP="00593497">
      <w:pPr>
        <w:pStyle w:val="Heading2"/>
      </w:pPr>
      <w:bookmarkStart w:id="23" w:name="_Toc447729294"/>
      <w:bookmarkStart w:id="24" w:name="_Toc447732119"/>
      <w:bookmarkStart w:id="25" w:name="_Toc454282643"/>
      <w:r w:rsidRPr="00EF5B33">
        <w:t>The monitoring of external speakers</w:t>
      </w:r>
      <w:bookmarkEnd w:id="23"/>
      <w:bookmarkEnd w:id="24"/>
      <w:bookmarkEnd w:id="25"/>
    </w:p>
    <w:p w14:paraId="04EBADAC" w14:textId="5BB8ABE5" w:rsidR="00593497" w:rsidRPr="00EF5B33" w:rsidRDefault="00593497" w:rsidP="00593497">
      <w:pPr>
        <w:pStyle w:val="Numberedparagraph"/>
      </w:pPr>
      <w:r>
        <w:t>L</w:t>
      </w:r>
      <w:r w:rsidRPr="00EF5B33">
        <w:t>earners</w:t>
      </w:r>
      <w:r>
        <w:t xml:space="preserve"> reported that by engaging with external speakers, </w:t>
      </w:r>
      <w:r w:rsidRPr="00EF5B33">
        <w:t>they gained a balanced view of life in modern Britain</w:t>
      </w:r>
      <w:r>
        <w:t xml:space="preserve">. Learners felt that these were generally good opportunities to debate and discuss a range of topics and themes including tolerance, respect and democracy. </w:t>
      </w:r>
      <w:r w:rsidRPr="00811F57">
        <w:t>Nearly three quarters of</w:t>
      </w:r>
      <w:r>
        <w:t xml:space="preserve"> the </w:t>
      </w:r>
      <w:r w:rsidRPr="00EF5B33">
        <w:t>learners spoken to in general further education and sixth form colleges</w:t>
      </w:r>
      <w:r>
        <w:t xml:space="preserve"> </w:t>
      </w:r>
      <w:r w:rsidR="00FC77AD">
        <w:t>said</w:t>
      </w:r>
      <w:r w:rsidR="00FC77AD" w:rsidRPr="00EF5B33">
        <w:t xml:space="preserve"> </w:t>
      </w:r>
      <w:r w:rsidRPr="00EF5B33">
        <w:t>that they had a better understanding of British values following exte</w:t>
      </w:r>
      <w:r>
        <w:t xml:space="preserve">rnal speaker activities. However, this dropped to a quarter of </w:t>
      </w:r>
      <w:r w:rsidRPr="00EF5B33">
        <w:t>learners from independent learning providers and community learning and skills providers</w:t>
      </w:r>
      <w:r w:rsidR="00FB4CA7">
        <w:t xml:space="preserve"> visited</w:t>
      </w:r>
      <w:r>
        <w:t>.</w:t>
      </w:r>
      <w:r w:rsidRPr="00EF5B33">
        <w:t xml:space="preserve"> </w:t>
      </w:r>
      <w:r w:rsidR="00FC77AD">
        <w:t>Still,</w:t>
      </w:r>
      <w:r>
        <w:t xml:space="preserve"> these appear to be useful activities for learners.</w:t>
      </w:r>
    </w:p>
    <w:p w14:paraId="60726517" w14:textId="7BA9CF9A" w:rsidR="00593497" w:rsidRPr="00EF5B33" w:rsidRDefault="00FB4CA7" w:rsidP="00593497">
      <w:pPr>
        <w:pStyle w:val="Numberedparagraph"/>
      </w:pPr>
      <w:r>
        <w:t>T</w:t>
      </w:r>
      <w:r w:rsidR="00593497">
        <w:t>he v</w:t>
      </w:r>
      <w:r w:rsidR="00593497" w:rsidRPr="00D32808">
        <w:t xml:space="preserve">etting and monitoring of external speakers </w:t>
      </w:r>
      <w:r w:rsidR="006D48A2">
        <w:t>were</w:t>
      </w:r>
      <w:r w:rsidR="006D48A2" w:rsidRPr="00D32808">
        <w:t xml:space="preserve"> </w:t>
      </w:r>
      <w:r w:rsidR="00593497" w:rsidRPr="00D32808">
        <w:t xml:space="preserve">inadequate in </w:t>
      </w:r>
      <w:r>
        <w:t>15</w:t>
      </w:r>
      <w:r w:rsidR="00593497">
        <w:t xml:space="preserve"> of the </w:t>
      </w:r>
      <w:r w:rsidR="00593497" w:rsidRPr="00D32808">
        <w:t>providers</w:t>
      </w:r>
      <w:r w:rsidR="00593497">
        <w:t xml:space="preserve"> visited</w:t>
      </w:r>
      <w:r w:rsidR="00593497" w:rsidRPr="00D32808">
        <w:t>.</w:t>
      </w:r>
      <w:r w:rsidR="00593497" w:rsidRPr="00E8017E">
        <w:t xml:space="preserve"> </w:t>
      </w:r>
      <w:r>
        <w:t>These</w:t>
      </w:r>
      <w:r w:rsidR="00593497" w:rsidRPr="00E8017E">
        <w:t xml:space="preserve"> providers </w:t>
      </w:r>
      <w:r w:rsidR="00593497">
        <w:t xml:space="preserve">had </w:t>
      </w:r>
      <w:r w:rsidR="00593497" w:rsidRPr="00E8017E">
        <w:t>allow</w:t>
      </w:r>
      <w:r w:rsidR="00593497">
        <w:t>ed</w:t>
      </w:r>
      <w:r w:rsidR="00593497" w:rsidRPr="00E8017E">
        <w:t xml:space="preserve"> external speakers onto the premises to talk to learners without completing appropriate suitability checks</w:t>
      </w:r>
      <w:r w:rsidR="00FC77AD">
        <w:t>. N</w:t>
      </w:r>
      <w:r w:rsidR="007E4679">
        <w:t xml:space="preserve">ine providers had allowed external speakers onto their premises </w:t>
      </w:r>
      <w:r w:rsidR="00F74745">
        <w:t>without</w:t>
      </w:r>
      <w:r w:rsidR="007E4679">
        <w:t xml:space="preserve"> following their own monitoring procedures</w:t>
      </w:r>
      <w:r w:rsidR="00593497">
        <w:t>.</w:t>
      </w:r>
      <w:r w:rsidR="00593497" w:rsidRPr="002522E0">
        <w:t xml:space="preserve"> </w:t>
      </w:r>
      <w:r w:rsidR="00593497">
        <w:t>Six</w:t>
      </w:r>
      <w:r w:rsidR="00593497" w:rsidRPr="00EF5B33">
        <w:t xml:space="preserve"> independent learning providers and </w:t>
      </w:r>
      <w:r w:rsidR="00593497">
        <w:t>both</w:t>
      </w:r>
      <w:r w:rsidR="00593497" w:rsidRPr="00EF5B33">
        <w:t xml:space="preserve"> community learning and skills provider</w:t>
      </w:r>
      <w:r w:rsidR="00593497">
        <w:t xml:space="preserve">s either did not have policies and procedures in place to monitor external speakers and events, or did not apply these procedures in practice. </w:t>
      </w:r>
      <w:r w:rsidR="00593497" w:rsidRPr="00EF5B33">
        <w:t xml:space="preserve">In these providers, leaders and managers did not have clear oversight of external speakers and events. They were unable to identify the range of external speakers, the dates </w:t>
      </w:r>
      <w:r w:rsidR="00593497">
        <w:t>visited, the topics discussed or the benefits to learners.</w:t>
      </w:r>
    </w:p>
    <w:p w14:paraId="1F9D19BF" w14:textId="3A5E01D1" w:rsidR="00593497" w:rsidRPr="00D32808" w:rsidRDefault="00593497" w:rsidP="00593497">
      <w:pPr>
        <w:pStyle w:val="Numberedparagraph"/>
      </w:pPr>
      <w:r>
        <w:t xml:space="preserve">Conversely, </w:t>
      </w:r>
      <w:r w:rsidRPr="002522E0">
        <w:t xml:space="preserve">all general further education, independent specialist colleges and </w:t>
      </w:r>
      <w:r w:rsidR="00091152">
        <w:t>sixth form</w:t>
      </w:r>
      <w:r w:rsidRPr="002522E0">
        <w:t xml:space="preserve"> colleges visited had appropriate policies and procedures in place to monitor external speakers and events. Twenty-two providers </w:t>
      </w:r>
      <w:r w:rsidR="00C85B3F" w:rsidRPr="002522E0">
        <w:t>checked</w:t>
      </w:r>
      <w:r w:rsidRPr="002522E0">
        <w:t xml:space="preserve"> and recorded external speakers and events</w:t>
      </w:r>
      <w:r w:rsidRPr="00FD34B9">
        <w:t xml:space="preserve"> </w:t>
      </w:r>
      <w:r w:rsidRPr="002522E0">
        <w:t>effectively</w:t>
      </w:r>
      <w:r>
        <w:t>.</w:t>
      </w:r>
      <w:r w:rsidRPr="002522E0">
        <w:t xml:space="preserve"> The best providers shared this information about external speakers with partners. </w:t>
      </w:r>
    </w:p>
    <w:p w14:paraId="68F16790" w14:textId="62FCE11A" w:rsidR="00593497" w:rsidRPr="00EF5B33" w:rsidRDefault="00593497" w:rsidP="00593497">
      <w:pPr>
        <w:pStyle w:val="Numberedparagraph"/>
      </w:pPr>
      <w:r w:rsidRPr="00EF5B33">
        <w:lastRenderedPageBreak/>
        <w:t xml:space="preserve">The best providers liaised with BIS </w:t>
      </w:r>
      <w:r w:rsidR="00C5048D">
        <w:t>‘Prevent’</w:t>
      </w:r>
      <w:r w:rsidRPr="00EF5B33">
        <w:t xml:space="preserve"> coordinators and police </w:t>
      </w:r>
      <w:r w:rsidR="00C5048D">
        <w:t>‘Prevent’</w:t>
      </w:r>
      <w:r w:rsidRPr="00EF5B33">
        <w:t xml:space="preserve"> teams to gather background information on speakers before organising an event. BIS </w:t>
      </w:r>
      <w:r w:rsidR="00C5048D">
        <w:t>‘Prevent’</w:t>
      </w:r>
      <w:r w:rsidRPr="00EF5B33">
        <w:t xml:space="preserve"> coordinators and police </w:t>
      </w:r>
      <w:r w:rsidR="00C5048D">
        <w:t>‘Prevent’</w:t>
      </w:r>
      <w:r w:rsidRPr="00EF5B33">
        <w:t xml:space="preserve"> teams were able to provide background information to providers about external speakers</w:t>
      </w:r>
      <w:r w:rsidR="00C85B3F">
        <w:t>. This enabled</w:t>
      </w:r>
      <w:r w:rsidRPr="00EF5B33">
        <w:t xml:space="preserve"> them to make an informed decision </w:t>
      </w:r>
      <w:r w:rsidR="00C85B3F">
        <w:t xml:space="preserve">on </w:t>
      </w:r>
      <w:r w:rsidRPr="00EF5B33">
        <w:t xml:space="preserve">whether an external speaker </w:t>
      </w:r>
      <w:r>
        <w:t>should be allowed to speak to learners</w:t>
      </w:r>
      <w:r w:rsidRPr="00EF5B33">
        <w:t xml:space="preserve">. </w:t>
      </w:r>
    </w:p>
    <w:p w14:paraId="101EDB7A" w14:textId="77777777" w:rsidR="00593497" w:rsidRPr="00EF5B33" w:rsidRDefault="00593497" w:rsidP="00593497">
      <w:pPr>
        <w:pStyle w:val="Numberedparagraph"/>
      </w:pPr>
      <w:r w:rsidRPr="00EF5B33">
        <w:t xml:space="preserve">However, this practice was inconsistent across the providers visited. For example, a general further education college in the </w:t>
      </w:r>
      <w:r>
        <w:t>n</w:t>
      </w:r>
      <w:r w:rsidRPr="00EF5B33">
        <w:t>orth of E</w:t>
      </w:r>
      <w:r>
        <w:t>ngland did not monitor or have a central record of external speakers and</w:t>
      </w:r>
      <w:r w:rsidRPr="00EF5B33">
        <w:t xml:space="preserve"> events. Individual departments and teachers organised external speaker activities, but did not inform senior managers of the details. As such, senior managers were frequently unaware of the external speakers or events going on </w:t>
      </w:r>
      <w:r>
        <w:t>at</w:t>
      </w:r>
      <w:r w:rsidRPr="00EF5B33">
        <w:t xml:space="preserve"> the premises, the content of the external speakers’ presentations, or the benefit</w:t>
      </w:r>
      <w:r>
        <w:t>s these activities had on</w:t>
      </w:r>
      <w:r w:rsidRPr="00EF5B33">
        <w:t xml:space="preserve"> learners.</w:t>
      </w:r>
    </w:p>
    <w:p w14:paraId="0AD69AD6" w14:textId="1A549D55" w:rsidR="00593497" w:rsidRPr="00FF1EAF" w:rsidRDefault="00593497" w:rsidP="00593497">
      <w:pPr>
        <w:pStyle w:val="Casestudy"/>
        <w:rPr>
          <w:rFonts w:eastAsia="Calibri"/>
          <w:b/>
        </w:rPr>
      </w:pPr>
      <w:r>
        <w:rPr>
          <w:rFonts w:eastAsia="Calibri"/>
          <w:b/>
        </w:rPr>
        <w:t xml:space="preserve">Case study: </w:t>
      </w:r>
      <w:r w:rsidR="00F262A4">
        <w:rPr>
          <w:rFonts w:eastAsia="Calibri"/>
          <w:b/>
        </w:rPr>
        <w:t>t</w:t>
      </w:r>
      <w:r>
        <w:rPr>
          <w:rFonts w:eastAsia="Calibri"/>
          <w:b/>
        </w:rPr>
        <w:t>he rigorous monitoring of external speakers</w:t>
      </w:r>
    </w:p>
    <w:p w14:paraId="65FEAA1A" w14:textId="3B247529" w:rsidR="00593497" w:rsidRDefault="00593497" w:rsidP="00593497">
      <w:pPr>
        <w:pStyle w:val="Casestudy"/>
        <w:rPr>
          <w:rFonts w:eastAsia="Calibri"/>
        </w:rPr>
      </w:pPr>
      <w:r>
        <w:rPr>
          <w:rFonts w:eastAsia="Calibri"/>
        </w:rPr>
        <w:t xml:space="preserve">An independent learning provider conducts ‘soft’ background checks on all external speakers, including checks with the Police and BIS </w:t>
      </w:r>
      <w:r w:rsidR="00C5048D">
        <w:rPr>
          <w:rFonts w:eastAsia="Calibri"/>
        </w:rPr>
        <w:t>‘Prevent’</w:t>
      </w:r>
      <w:r>
        <w:rPr>
          <w:rFonts w:eastAsia="Calibri"/>
        </w:rPr>
        <w:t xml:space="preserve"> coordinators and an internet search. They tell potential speakers about this and request all presentation materials in advance of the speaking engagement.</w:t>
      </w:r>
    </w:p>
    <w:p w14:paraId="75D0A7A5" w14:textId="550EDDEB" w:rsidR="00593497" w:rsidRPr="00BD7763" w:rsidRDefault="00593497" w:rsidP="00593497">
      <w:pPr>
        <w:pStyle w:val="Casestudy"/>
        <w:rPr>
          <w:rFonts w:eastAsia="Calibri"/>
        </w:rPr>
      </w:pPr>
      <w:r>
        <w:rPr>
          <w:rFonts w:eastAsia="Calibri"/>
        </w:rPr>
        <w:t>One speaker requested an engagement at the provider but objected to background checks</w:t>
      </w:r>
      <w:r w:rsidR="00C85B3F">
        <w:rPr>
          <w:rFonts w:eastAsia="Calibri"/>
        </w:rPr>
        <w:t>,</w:t>
      </w:r>
      <w:r>
        <w:rPr>
          <w:rFonts w:eastAsia="Calibri"/>
        </w:rPr>
        <w:t xml:space="preserve"> citing infringement of civil liberties. The provider refused the external speaker’s request, as they could not guarantee the safety of learners.</w:t>
      </w:r>
    </w:p>
    <w:p w14:paraId="60BC5CFA" w14:textId="77777777" w:rsidR="00593497" w:rsidRPr="00EF5B33" w:rsidRDefault="00593497" w:rsidP="00593497">
      <w:pPr>
        <w:pStyle w:val="Heading2"/>
        <w:rPr>
          <w:rFonts w:eastAsia="Calibri"/>
        </w:rPr>
      </w:pPr>
      <w:bookmarkStart w:id="26" w:name="_Toc447729295"/>
      <w:bookmarkStart w:id="27" w:name="_Toc447732120"/>
      <w:bookmarkStart w:id="28" w:name="_Toc454282644"/>
      <w:r w:rsidRPr="00EF5B33">
        <w:rPr>
          <w:rFonts w:eastAsia="Calibri"/>
        </w:rPr>
        <w:t>The quality and impact of staff training</w:t>
      </w:r>
      <w:bookmarkEnd w:id="26"/>
      <w:bookmarkEnd w:id="27"/>
      <w:bookmarkEnd w:id="28"/>
    </w:p>
    <w:p w14:paraId="3547BC5C" w14:textId="05C1B6FB" w:rsidR="00593497" w:rsidRPr="00EF5B33" w:rsidRDefault="00593497" w:rsidP="00593497">
      <w:pPr>
        <w:pStyle w:val="Numberedparagraph"/>
      </w:pPr>
      <w:r w:rsidRPr="00EF5B33">
        <w:t xml:space="preserve">The quality and impact of staff training on </w:t>
      </w:r>
      <w:r>
        <w:t xml:space="preserve">the </w:t>
      </w:r>
      <w:r w:rsidR="00C5048D">
        <w:t>‘Prevent’</w:t>
      </w:r>
      <w:r w:rsidRPr="00EF5B33">
        <w:t xml:space="preserve"> </w:t>
      </w:r>
      <w:r>
        <w:t xml:space="preserve">duty </w:t>
      </w:r>
      <w:r w:rsidRPr="00EF5B33">
        <w:t xml:space="preserve">varied considerably across the providers visited. Leaders and managers in all </w:t>
      </w:r>
      <w:r w:rsidR="00FB4CA7">
        <w:t xml:space="preserve">the </w:t>
      </w:r>
      <w:r w:rsidRPr="00EF5B33">
        <w:t>providers visited ha</w:t>
      </w:r>
      <w:r w:rsidR="00FB4CA7">
        <w:t>d</w:t>
      </w:r>
      <w:r w:rsidRPr="00EF5B33">
        <w:t xml:space="preserve"> received training in </w:t>
      </w:r>
      <w:r w:rsidR="00C5048D">
        <w:t>‘Prevent’</w:t>
      </w:r>
      <w:r w:rsidRPr="00EF5B33">
        <w:t>. Most had received externally accredited training</w:t>
      </w:r>
      <w:r w:rsidR="00303F31">
        <w:t>,</w:t>
      </w:r>
      <w:r w:rsidRPr="00EF5B33">
        <w:t xml:space="preserve"> such as the Workshop for Raising Awareness of </w:t>
      </w:r>
      <w:r w:rsidR="00C5048D">
        <w:t>‘Prevent’</w:t>
      </w:r>
      <w:r w:rsidRPr="00EF5B33">
        <w:t xml:space="preserve"> (WRAP)</w:t>
      </w:r>
      <w:r>
        <w:t xml:space="preserve"> accredited by the Home Office</w:t>
      </w:r>
      <w:r w:rsidRPr="00EF5B33">
        <w:t xml:space="preserve">.  </w:t>
      </w:r>
    </w:p>
    <w:p w14:paraId="1C11F196" w14:textId="3DD1516F" w:rsidR="00593497" w:rsidRPr="00EF5B33" w:rsidRDefault="00593497" w:rsidP="00593497">
      <w:pPr>
        <w:pStyle w:val="Numberedparagraph"/>
      </w:pPr>
      <w:r w:rsidRPr="00EF5B33">
        <w:t>In the best providers, middle managers and teachers had also received WRAP training. Key staff in a few providers, mainly general further education colleges, had received training to become accredited WRAP trainers</w:t>
      </w:r>
      <w:r w:rsidR="00C77EE3">
        <w:t>. This</w:t>
      </w:r>
      <w:r w:rsidRPr="00EF5B33">
        <w:t xml:space="preserve"> reduc</w:t>
      </w:r>
      <w:r w:rsidR="00C77EE3">
        <w:t>ed</w:t>
      </w:r>
      <w:r w:rsidRPr="00EF5B33">
        <w:t xml:space="preserve"> the burden on BIS </w:t>
      </w:r>
      <w:r w:rsidR="00C5048D">
        <w:t>‘Prevent’</w:t>
      </w:r>
      <w:r w:rsidRPr="00EF5B33">
        <w:t xml:space="preserve"> coordinators and police </w:t>
      </w:r>
      <w:r w:rsidR="00C5048D">
        <w:t>‘Prevent’</w:t>
      </w:r>
      <w:r w:rsidRPr="00EF5B33">
        <w:t xml:space="preserve"> teams. For example, </w:t>
      </w:r>
      <w:r w:rsidR="00FB4CA7">
        <w:t>one</w:t>
      </w:r>
      <w:r w:rsidRPr="00EF5B33">
        <w:t xml:space="preserve"> general further education college had excellent relations with the police </w:t>
      </w:r>
      <w:r w:rsidR="00C5048D">
        <w:t>‘Prevent’</w:t>
      </w:r>
      <w:r w:rsidRPr="00EF5B33">
        <w:t xml:space="preserve"> team. The college has had strong community cohesion partnership arrangements in place since 2001, initially working with police to ease high levels of racial tension in the area. Five members of </w:t>
      </w:r>
      <w:r w:rsidR="00FB4CA7">
        <w:t xml:space="preserve">the </w:t>
      </w:r>
      <w:r w:rsidRPr="00EF5B33">
        <w:t>college</w:t>
      </w:r>
      <w:r w:rsidR="00FB4CA7">
        <w:t>’s</w:t>
      </w:r>
      <w:r w:rsidRPr="00EF5B33">
        <w:t xml:space="preserve"> staff are accredited to deliver WRAP training </w:t>
      </w:r>
      <w:r>
        <w:t xml:space="preserve">and all staff at the college </w:t>
      </w:r>
      <w:proofErr w:type="gramStart"/>
      <w:r>
        <w:t>have</w:t>
      </w:r>
      <w:proofErr w:type="gramEnd"/>
      <w:r w:rsidRPr="00EF5B33">
        <w:t xml:space="preserve"> received WRAP training. The trainer team is now delivering WRAP training to other further education and skills providers in the locality.</w:t>
      </w:r>
    </w:p>
    <w:p w14:paraId="776DCB00" w14:textId="77777777" w:rsidR="00593497" w:rsidRDefault="00593497" w:rsidP="00593497">
      <w:pPr>
        <w:pStyle w:val="Numberedparagraph"/>
        <w:rPr>
          <w:rFonts w:eastAsia="Calibri"/>
        </w:rPr>
      </w:pPr>
      <w:r w:rsidRPr="002522E0">
        <w:rPr>
          <w:rFonts w:eastAsia="Calibri"/>
        </w:rPr>
        <w:lastRenderedPageBreak/>
        <w:t>F</w:t>
      </w:r>
      <w:r>
        <w:rPr>
          <w:rFonts w:eastAsia="Calibri"/>
        </w:rPr>
        <w:t>eatures of the best staff training seen included</w:t>
      </w:r>
      <w:r w:rsidRPr="002522E0">
        <w:rPr>
          <w:rFonts w:eastAsia="Calibri"/>
        </w:rPr>
        <w:t>:</w:t>
      </w:r>
      <w:r>
        <w:rPr>
          <w:rFonts w:eastAsia="Calibri"/>
        </w:rPr>
        <w:t xml:space="preserve"> </w:t>
      </w:r>
    </w:p>
    <w:p w14:paraId="4A11B217" w14:textId="77777777" w:rsidR="00593497" w:rsidRDefault="00593497" w:rsidP="00906FB7">
      <w:pPr>
        <w:pStyle w:val="Bulletsspaced"/>
        <w:rPr>
          <w:rFonts w:eastAsia="Calibri"/>
        </w:rPr>
      </w:pPr>
      <w:r>
        <w:rPr>
          <w:rFonts w:eastAsia="Calibri"/>
        </w:rPr>
        <w:t>personalised training that had been developed to meet the needs of all staff</w:t>
      </w:r>
    </w:p>
    <w:p w14:paraId="23E9F632" w14:textId="77777777" w:rsidR="00593497" w:rsidRDefault="00593497" w:rsidP="00906FB7">
      <w:pPr>
        <w:pStyle w:val="Bulletsspaced"/>
        <w:rPr>
          <w:rFonts w:eastAsia="Calibri"/>
        </w:rPr>
      </w:pPr>
      <w:r>
        <w:rPr>
          <w:rFonts w:eastAsia="Calibri"/>
        </w:rPr>
        <w:t>evaluation of training to consider if any additional training activities would be beneficial</w:t>
      </w:r>
    </w:p>
    <w:p w14:paraId="6196ADD6" w14:textId="77777777" w:rsidR="00593497" w:rsidRDefault="00593497" w:rsidP="00906FB7">
      <w:pPr>
        <w:pStyle w:val="Bulletsspaced"/>
        <w:rPr>
          <w:rFonts w:eastAsia="Calibri"/>
        </w:rPr>
      </w:pPr>
      <w:r>
        <w:rPr>
          <w:rFonts w:eastAsia="Calibri"/>
        </w:rPr>
        <w:t>regular updates to training</w:t>
      </w:r>
    </w:p>
    <w:p w14:paraId="6C97C421" w14:textId="222DE02D" w:rsidR="00593497" w:rsidRDefault="00C5048D" w:rsidP="00906FB7">
      <w:pPr>
        <w:pStyle w:val="Bulletsspaced"/>
        <w:rPr>
          <w:rFonts w:eastAsia="Calibri"/>
        </w:rPr>
      </w:pPr>
      <w:r>
        <w:rPr>
          <w:rFonts w:eastAsia="Calibri"/>
        </w:rPr>
        <w:t>‘Prevent’</w:t>
      </w:r>
      <w:r w:rsidR="00593497">
        <w:rPr>
          <w:rFonts w:eastAsia="Calibri"/>
        </w:rPr>
        <w:t xml:space="preserve"> training linked to safeguarding training</w:t>
      </w:r>
    </w:p>
    <w:p w14:paraId="154C1A94" w14:textId="54FDD173" w:rsidR="00593497" w:rsidRPr="002522E0" w:rsidRDefault="00C307A8" w:rsidP="00906FB7">
      <w:pPr>
        <w:pStyle w:val="Bulletsspaced-lastbullet"/>
        <w:rPr>
          <w:rFonts w:eastAsia="Calibri"/>
        </w:rPr>
      </w:pPr>
      <w:proofErr w:type="gramStart"/>
      <w:r>
        <w:rPr>
          <w:rFonts w:eastAsia="Calibri"/>
        </w:rPr>
        <w:t>whole-</w:t>
      </w:r>
      <w:r w:rsidR="00593497">
        <w:rPr>
          <w:rFonts w:eastAsia="Calibri"/>
        </w:rPr>
        <w:t>provider</w:t>
      </w:r>
      <w:proofErr w:type="gramEnd"/>
      <w:r w:rsidR="00593497">
        <w:rPr>
          <w:rFonts w:eastAsia="Calibri"/>
        </w:rPr>
        <w:t xml:space="preserve"> and individual staff/departmental training. </w:t>
      </w:r>
    </w:p>
    <w:p w14:paraId="23A46B85" w14:textId="2858FDF9" w:rsidR="00593497" w:rsidRDefault="00593497" w:rsidP="00593497">
      <w:pPr>
        <w:pStyle w:val="Casestudy"/>
        <w:rPr>
          <w:rFonts w:eastAsia="Calibri"/>
          <w:b/>
        </w:rPr>
      </w:pPr>
      <w:r>
        <w:rPr>
          <w:rFonts w:eastAsia="Calibri"/>
          <w:b/>
        </w:rPr>
        <w:t xml:space="preserve">Case study: </w:t>
      </w:r>
      <w:r w:rsidR="00F262A4">
        <w:rPr>
          <w:rFonts w:eastAsia="Calibri"/>
          <w:b/>
        </w:rPr>
        <w:t>e</w:t>
      </w:r>
      <w:r>
        <w:rPr>
          <w:rFonts w:eastAsia="Calibri"/>
          <w:b/>
        </w:rPr>
        <w:t xml:space="preserve">ffective staff training in identifying signs of radicalisation </w:t>
      </w:r>
    </w:p>
    <w:p w14:paraId="75BD994A" w14:textId="117509C7" w:rsidR="00593497" w:rsidRDefault="00593497" w:rsidP="00593497">
      <w:pPr>
        <w:pStyle w:val="Casestudy"/>
        <w:rPr>
          <w:rFonts w:eastAsia="Calibri"/>
        </w:rPr>
      </w:pPr>
      <w:r>
        <w:rPr>
          <w:rFonts w:eastAsia="Calibri"/>
        </w:rPr>
        <w:t>A learner posted an inappropriate comment on th</w:t>
      </w:r>
      <w:r w:rsidR="0093358D">
        <w:rPr>
          <w:rFonts w:eastAsia="Calibri"/>
        </w:rPr>
        <w:t>is</w:t>
      </w:r>
      <w:r>
        <w:rPr>
          <w:rFonts w:eastAsia="Calibri"/>
        </w:rPr>
        <w:t xml:space="preserve"> college’s secure social media site. A member of the college safeguarding team found the comment during the daily review of the site. The post was removed and the safeguarding officer made an appointment to meet with the learner. After </w:t>
      </w:r>
      <w:r w:rsidR="00303F31">
        <w:rPr>
          <w:rFonts w:eastAsia="Calibri"/>
        </w:rPr>
        <w:t xml:space="preserve">a </w:t>
      </w:r>
      <w:r>
        <w:rPr>
          <w:rFonts w:eastAsia="Calibri"/>
        </w:rPr>
        <w:t xml:space="preserve">meeting with the learner, the safeguarding officer spoke to his teachers and pastoral tutors. The teachers and pastoral staff had noticed subtle changes in the learner and were keeping a ‘watchful eye’ on </w:t>
      </w:r>
      <w:r w:rsidR="0093358D">
        <w:rPr>
          <w:rFonts w:eastAsia="Calibri"/>
        </w:rPr>
        <w:t>him</w:t>
      </w:r>
      <w:r>
        <w:rPr>
          <w:rFonts w:eastAsia="Calibri"/>
        </w:rPr>
        <w:t xml:space="preserve"> and kept a record of any concerns they had. The safeguarding officer also contacted the learner’s parents.</w:t>
      </w:r>
    </w:p>
    <w:p w14:paraId="05AEB322" w14:textId="77777777" w:rsidR="00593497" w:rsidRDefault="00593497" w:rsidP="00593497">
      <w:pPr>
        <w:pStyle w:val="Casestudy"/>
        <w:rPr>
          <w:rFonts w:eastAsia="Calibri"/>
        </w:rPr>
      </w:pPr>
      <w:r>
        <w:rPr>
          <w:rFonts w:eastAsia="Calibri"/>
        </w:rPr>
        <w:t xml:space="preserve">The learner’s parents were concerned about their son as he had recently shunned his Christian faith and a copy of the Qur’an had been found hidden in his bedroom. The learner also had a new group of friends who his parents felt were having a negative influence on him. </w:t>
      </w:r>
    </w:p>
    <w:p w14:paraId="1A1ACD96" w14:textId="6B8EAA47" w:rsidR="00593497" w:rsidRPr="00BD7763" w:rsidRDefault="00593497" w:rsidP="00593497">
      <w:pPr>
        <w:pStyle w:val="Casestudy"/>
        <w:rPr>
          <w:rFonts w:eastAsia="Calibri"/>
        </w:rPr>
      </w:pPr>
      <w:r>
        <w:rPr>
          <w:rFonts w:eastAsia="Calibri"/>
        </w:rPr>
        <w:t xml:space="preserve">Effective staff training </w:t>
      </w:r>
      <w:r w:rsidR="00FB04F4">
        <w:rPr>
          <w:rFonts w:eastAsia="Calibri"/>
        </w:rPr>
        <w:t>at this provider had enabled the</w:t>
      </w:r>
      <w:r w:rsidR="00DF311B">
        <w:rPr>
          <w:rFonts w:eastAsia="Calibri"/>
        </w:rPr>
        <w:t xml:space="preserve"> </w:t>
      </w:r>
      <w:r w:rsidR="00FB04F4">
        <w:rPr>
          <w:rFonts w:eastAsia="Calibri"/>
        </w:rPr>
        <w:t>early</w:t>
      </w:r>
      <w:r w:rsidR="00DF311B">
        <w:rPr>
          <w:rFonts w:eastAsia="Calibri"/>
        </w:rPr>
        <w:t xml:space="preserve"> </w:t>
      </w:r>
      <w:r>
        <w:rPr>
          <w:rFonts w:eastAsia="Calibri"/>
        </w:rPr>
        <w:t>identif</w:t>
      </w:r>
      <w:r w:rsidR="00FB04F4">
        <w:rPr>
          <w:rFonts w:eastAsia="Calibri"/>
        </w:rPr>
        <w:t>ication of</w:t>
      </w:r>
      <w:r>
        <w:rPr>
          <w:rFonts w:eastAsia="Calibri"/>
        </w:rPr>
        <w:t xml:space="preserve"> signs of </w:t>
      </w:r>
      <w:r w:rsidR="00F1631F">
        <w:rPr>
          <w:rFonts w:eastAsia="Calibri"/>
        </w:rPr>
        <w:t>radicalisation</w:t>
      </w:r>
      <w:r w:rsidR="00FB04F4">
        <w:rPr>
          <w:rFonts w:eastAsia="Calibri"/>
        </w:rPr>
        <w:t>.</w:t>
      </w:r>
      <w:r>
        <w:rPr>
          <w:rFonts w:eastAsia="Calibri"/>
        </w:rPr>
        <w:t xml:space="preserve"> </w:t>
      </w:r>
      <w:r w:rsidR="00FB04F4">
        <w:rPr>
          <w:rFonts w:eastAsia="Calibri"/>
        </w:rPr>
        <w:t>C</w:t>
      </w:r>
      <w:r>
        <w:rPr>
          <w:rFonts w:eastAsia="Calibri"/>
        </w:rPr>
        <w:t xml:space="preserve">lose partnership working and an early referral resulted in the learner and his family receiving support through the Channel programme. </w:t>
      </w:r>
    </w:p>
    <w:p w14:paraId="114DA9BE" w14:textId="6706300A" w:rsidR="00593497" w:rsidRPr="00EF5B33" w:rsidRDefault="00593497" w:rsidP="00593497">
      <w:pPr>
        <w:pStyle w:val="Numberedparagraph"/>
      </w:pPr>
      <w:r w:rsidRPr="00EF5B33">
        <w:t xml:space="preserve">The quality and impact of staff training, however, was ineffective in </w:t>
      </w:r>
      <w:r w:rsidR="00CE2143">
        <w:t>12</w:t>
      </w:r>
      <w:r w:rsidR="00CE2143" w:rsidRPr="00EF5B33">
        <w:t xml:space="preserve"> </w:t>
      </w:r>
      <w:r w:rsidRPr="00EF5B33">
        <w:t>providers visited. While almost all staff across the</w:t>
      </w:r>
      <w:r w:rsidR="00A3771C">
        <w:t>se</w:t>
      </w:r>
      <w:r w:rsidRPr="00EF5B33">
        <w:t xml:space="preserve"> providers had received some training in </w:t>
      </w:r>
      <w:r w:rsidR="00C5048D">
        <w:t>‘Prevent’</w:t>
      </w:r>
      <w:r w:rsidRPr="00EF5B33">
        <w:t>, there was a tendency to be over</w:t>
      </w:r>
      <w:r>
        <w:t>-</w:t>
      </w:r>
      <w:r w:rsidRPr="00EF5B33">
        <w:t>reliant on online training packages</w:t>
      </w:r>
      <w:r w:rsidR="00CE2143">
        <w:t>. These packages</w:t>
      </w:r>
      <w:r w:rsidRPr="00EF5B33">
        <w:t xml:space="preserve"> provide</w:t>
      </w:r>
      <w:r w:rsidR="00CE2143">
        <w:t>d</w:t>
      </w:r>
      <w:r w:rsidRPr="00EF5B33">
        <w:t xml:space="preserve"> only a basic awareness and understanding of </w:t>
      </w:r>
      <w:r w:rsidR="00C5048D">
        <w:t>‘Prevent’</w:t>
      </w:r>
      <w:r w:rsidRPr="00EF5B33">
        <w:t xml:space="preserve">. Little thought was given to </w:t>
      </w:r>
      <w:r w:rsidR="005C31F3" w:rsidRPr="00EF5B33">
        <w:t>extra</w:t>
      </w:r>
      <w:r w:rsidRPr="00EF5B33">
        <w:t xml:space="preserve"> or bespoke training for staff.</w:t>
      </w:r>
    </w:p>
    <w:p w14:paraId="6B75A4FA" w14:textId="30726C57" w:rsidR="00593497" w:rsidRPr="00EF5B33" w:rsidRDefault="00A3771C" w:rsidP="00593497">
      <w:pPr>
        <w:pStyle w:val="Numberedparagraph"/>
      </w:pPr>
      <w:r>
        <w:t>In weaker provision</w:t>
      </w:r>
      <w:r w:rsidR="00CE2143">
        <w:t>,</w:t>
      </w:r>
      <w:r>
        <w:t xml:space="preserve"> l</w:t>
      </w:r>
      <w:r w:rsidR="00593497" w:rsidRPr="00EF5B33">
        <w:t xml:space="preserve">eaders and managers </w:t>
      </w:r>
      <w:r w:rsidR="00F74745" w:rsidRPr="00EF5B33">
        <w:t>typically paid</w:t>
      </w:r>
      <w:r w:rsidR="00593497" w:rsidRPr="00EF5B33">
        <w:t xml:space="preserve"> little attention to differentiating training according to staff roles and responsibilities in the organisation. More than a third of providers</w:t>
      </w:r>
      <w:r w:rsidR="00705A8C">
        <w:t xml:space="preserve"> visited</w:t>
      </w:r>
      <w:r w:rsidR="00593497" w:rsidRPr="00EF5B33">
        <w:t xml:space="preserve"> adopted a one</w:t>
      </w:r>
      <w:r w:rsidR="00593497">
        <w:t>-</w:t>
      </w:r>
      <w:r w:rsidR="00593497" w:rsidRPr="00EF5B33">
        <w:t>size</w:t>
      </w:r>
      <w:r w:rsidR="00593497">
        <w:t>-</w:t>
      </w:r>
      <w:r w:rsidR="00593497" w:rsidRPr="00EF5B33">
        <w:t>fits</w:t>
      </w:r>
      <w:r w:rsidR="00593497">
        <w:t>-</w:t>
      </w:r>
      <w:r w:rsidR="00593497" w:rsidRPr="00EF5B33">
        <w:t xml:space="preserve">all approach to </w:t>
      </w:r>
      <w:r w:rsidR="00C5048D">
        <w:t>‘Prevent’</w:t>
      </w:r>
      <w:r w:rsidR="00593497" w:rsidRPr="00EF5B33">
        <w:t xml:space="preserve"> training. All staff, regardless of their role, including teachers, support staff and estates staff, completed the same training package. As a result, </w:t>
      </w:r>
      <w:proofErr w:type="gramStart"/>
      <w:r w:rsidR="00593497" w:rsidRPr="00EF5B33">
        <w:t xml:space="preserve">staff </w:t>
      </w:r>
      <w:r>
        <w:t>we</w:t>
      </w:r>
      <w:r w:rsidR="00593497" w:rsidRPr="00EF5B33">
        <w:t>re</w:t>
      </w:r>
      <w:proofErr w:type="gramEnd"/>
      <w:r w:rsidR="00593497" w:rsidRPr="00EF5B33">
        <w:t xml:space="preserve"> unaware of their own role</w:t>
      </w:r>
      <w:r w:rsidR="005C31F3">
        <w:t>s</w:t>
      </w:r>
      <w:r w:rsidR="00593497" w:rsidRPr="00EF5B33">
        <w:t xml:space="preserve"> and responsibilities </w:t>
      </w:r>
      <w:r w:rsidR="005C31F3">
        <w:t>in</w:t>
      </w:r>
      <w:r w:rsidR="005C31F3" w:rsidRPr="00EF5B33">
        <w:t xml:space="preserve"> </w:t>
      </w:r>
      <w:r w:rsidR="00593497" w:rsidRPr="00EF5B33">
        <w:t xml:space="preserve">the </w:t>
      </w:r>
      <w:r w:rsidR="00C5048D">
        <w:t>‘Prevent’</w:t>
      </w:r>
      <w:r w:rsidR="00593497" w:rsidRPr="00EF5B33">
        <w:t xml:space="preserve"> duty, potentially affecting the safety of learners.</w:t>
      </w:r>
    </w:p>
    <w:p w14:paraId="1B470B8D" w14:textId="261EA3CD" w:rsidR="00593497" w:rsidRPr="00EF5B33" w:rsidRDefault="00593497" w:rsidP="00593497">
      <w:pPr>
        <w:pStyle w:val="Numberedparagraph"/>
      </w:pPr>
      <w:r w:rsidRPr="00EF5B33">
        <w:lastRenderedPageBreak/>
        <w:t xml:space="preserve">Around a quarter of leaders did not sufficiently evaluate the impact their training programme had on teaching, learning and assessment, particularly on promoting British values, pastoral support and safeguarding. Commonly, staff did not have enough knowledge of </w:t>
      </w:r>
      <w:r w:rsidR="00C5048D">
        <w:t>‘Prevent’</w:t>
      </w:r>
      <w:r w:rsidRPr="00EF5B33">
        <w:t xml:space="preserve"> to identify issues relating to radicalisation and</w:t>
      </w:r>
      <w:r>
        <w:t xml:space="preserve"> extremism accurately. I</w:t>
      </w:r>
      <w:r w:rsidRPr="00EF5B33">
        <w:t>nspectors found staff confidence to be lowest in independent learning providers. Staff in the best providers had a clear understanding of their roles and responsibilities</w:t>
      </w:r>
      <w:r w:rsidR="005C31F3">
        <w:t>. They</w:t>
      </w:r>
      <w:r w:rsidRPr="00EF5B33">
        <w:t xml:space="preserve"> were confident in reporting issues and concerns to the designated </w:t>
      </w:r>
      <w:r w:rsidR="00C5048D">
        <w:t>‘Prevent’</w:t>
      </w:r>
      <w:r w:rsidRPr="00EF5B33">
        <w:t xml:space="preserve"> officer. All</w:t>
      </w:r>
      <w:r>
        <w:t xml:space="preserve"> 37</w:t>
      </w:r>
      <w:r w:rsidRPr="00EF5B33">
        <w:t xml:space="preserve"> providers had a designated </w:t>
      </w:r>
      <w:r w:rsidR="00C5048D">
        <w:t>‘Prevent’</w:t>
      </w:r>
      <w:r w:rsidRPr="00EF5B33">
        <w:t xml:space="preserve"> officer, usually the designated safeguarding officer, who dealt with reported incidents. </w:t>
      </w:r>
    </w:p>
    <w:p w14:paraId="0F92D619" w14:textId="10A14323" w:rsidR="00593497" w:rsidRDefault="00593497" w:rsidP="00593497">
      <w:pPr>
        <w:pStyle w:val="Numberedparagraph"/>
      </w:pPr>
      <w:r w:rsidRPr="00EF5B33">
        <w:t>In the weakest</w:t>
      </w:r>
      <w:r>
        <w:t xml:space="preserve"> providers, staff were unsure</w:t>
      </w:r>
      <w:r w:rsidRPr="00EF5B33">
        <w:t xml:space="preserve"> </w:t>
      </w:r>
      <w:r w:rsidR="004567D8">
        <w:t xml:space="preserve">to </w:t>
      </w:r>
      <w:r w:rsidR="005C31F3">
        <w:t>who</w:t>
      </w:r>
      <w:r w:rsidR="004567D8">
        <w:t>m</w:t>
      </w:r>
      <w:r w:rsidR="005C31F3">
        <w:t xml:space="preserve"> </w:t>
      </w:r>
      <w:r>
        <w:t>they should</w:t>
      </w:r>
      <w:r w:rsidRPr="00EF5B33">
        <w:t xml:space="preserve"> refer issues. There were no clear guidelines or processes for staff </w:t>
      </w:r>
      <w:proofErr w:type="gramStart"/>
      <w:r>
        <w:t>who</w:t>
      </w:r>
      <w:proofErr w:type="gramEnd"/>
      <w:r>
        <w:t xml:space="preserve"> had concerns about</w:t>
      </w:r>
      <w:r w:rsidRPr="00EF5B33">
        <w:t xml:space="preserve"> radicalisation and extremism</w:t>
      </w:r>
      <w:r w:rsidR="005C31F3">
        <w:t>. T</w:t>
      </w:r>
      <w:r w:rsidRPr="00EF5B33">
        <w:t>hey had not been fully trained on h</w:t>
      </w:r>
      <w:r>
        <w:t>ow to refer a concern.</w:t>
      </w:r>
    </w:p>
    <w:p w14:paraId="0F2C4790" w14:textId="6C798202" w:rsidR="00593497" w:rsidRPr="00D32808" w:rsidRDefault="00593497" w:rsidP="00593497">
      <w:pPr>
        <w:pStyle w:val="Heading2"/>
        <w:rPr>
          <w:rFonts w:eastAsia="Calibri"/>
          <w:b w:val="0"/>
        </w:rPr>
      </w:pPr>
      <w:bookmarkStart w:id="29" w:name="_Toc447729296"/>
      <w:bookmarkStart w:id="30" w:name="_Toc447732121"/>
      <w:bookmarkStart w:id="31" w:name="_Toc454282645"/>
      <w:r w:rsidRPr="00EF5B33">
        <w:rPr>
          <w:rFonts w:eastAsia="Calibri"/>
        </w:rPr>
        <w:t>Pastoral welfare and support in keeping learners safe from radicalisation and extremism</w:t>
      </w:r>
      <w:bookmarkEnd w:id="29"/>
      <w:bookmarkEnd w:id="30"/>
      <w:bookmarkEnd w:id="31"/>
      <w:r w:rsidRPr="00D32808">
        <w:rPr>
          <w:rFonts w:eastAsia="Calibri"/>
          <w:b w:val="0"/>
        </w:rPr>
        <w:t xml:space="preserve">  </w:t>
      </w:r>
    </w:p>
    <w:p w14:paraId="30C227EB" w14:textId="03994811" w:rsidR="00593497" w:rsidRPr="00EF5B33" w:rsidRDefault="00593497" w:rsidP="00593497">
      <w:pPr>
        <w:pStyle w:val="Numberedparagraph"/>
      </w:pPr>
      <w:r w:rsidRPr="00EF5B33">
        <w:t xml:space="preserve">Providers </w:t>
      </w:r>
      <w:r>
        <w:t>usually</w:t>
      </w:r>
      <w:r w:rsidRPr="00EF5B33">
        <w:t xml:space="preserve"> covered basic awareness of </w:t>
      </w:r>
      <w:r w:rsidR="00C5048D">
        <w:t>‘Prevent’</w:t>
      </w:r>
      <w:r w:rsidRPr="00EF5B33">
        <w:t xml:space="preserve"> and the promotion of British values during learners’ induction. Most </w:t>
      </w:r>
      <w:r w:rsidR="00BB5380">
        <w:t xml:space="preserve">of the </w:t>
      </w:r>
      <w:r w:rsidRPr="00EF5B33">
        <w:t xml:space="preserve">general further education colleges and </w:t>
      </w:r>
      <w:r w:rsidR="00091152">
        <w:t>sixth form</w:t>
      </w:r>
      <w:r w:rsidRPr="00EF5B33">
        <w:t xml:space="preserve"> colleges </w:t>
      </w:r>
      <w:r w:rsidR="00BB5380">
        <w:t xml:space="preserve">visited </w:t>
      </w:r>
      <w:r w:rsidRPr="00EF5B33">
        <w:t xml:space="preserve">reinforced </w:t>
      </w:r>
      <w:r w:rsidR="00C5048D">
        <w:t>‘Prevent’</w:t>
      </w:r>
      <w:r w:rsidRPr="00EF5B33">
        <w:t xml:space="preserve"> and British values through pastoral tutorial</w:t>
      </w:r>
      <w:r>
        <w:t>s</w:t>
      </w:r>
      <w:r w:rsidRPr="00EF5B33">
        <w:t xml:space="preserve"> and learner r</w:t>
      </w:r>
      <w:r>
        <w:t>eviews. However, too few of the</w:t>
      </w:r>
      <w:r w:rsidRPr="00EF5B33">
        <w:t xml:space="preserve"> indepen</w:t>
      </w:r>
      <w:r>
        <w:t>dent learning providers and</w:t>
      </w:r>
      <w:r w:rsidRPr="00EF5B33">
        <w:t xml:space="preserve"> community learning and skills providers did </w:t>
      </w:r>
      <w:r>
        <w:t>enough</w:t>
      </w:r>
      <w:r w:rsidRPr="00EF5B33">
        <w:t xml:space="preserve"> to reinforce </w:t>
      </w:r>
      <w:r w:rsidR="00C5048D">
        <w:t>‘Prevent’</w:t>
      </w:r>
      <w:r w:rsidRPr="00EF5B33">
        <w:t xml:space="preserve"> or British values through either induction or pastoral activities.</w:t>
      </w:r>
    </w:p>
    <w:p w14:paraId="23823C96" w14:textId="70FED83D" w:rsidR="00593497" w:rsidRPr="00EF5B33" w:rsidRDefault="00593497" w:rsidP="00593497">
      <w:pPr>
        <w:pStyle w:val="Numberedparagraph"/>
      </w:pPr>
      <w:r>
        <w:t>The p</w:t>
      </w:r>
      <w:r w:rsidRPr="00EF5B33">
        <w:t>romotion of British values was an integral part of the curriculum in all</w:t>
      </w:r>
      <w:r w:rsidR="00BB5380">
        <w:t xml:space="preserve"> the</w:t>
      </w:r>
      <w:r w:rsidRPr="00EF5B33">
        <w:t xml:space="preserve"> providers visited. However, the quality of teaching and learning of British values varied considerably.</w:t>
      </w:r>
    </w:p>
    <w:p w14:paraId="565B14A4" w14:textId="73956BE2" w:rsidR="00593497" w:rsidRPr="00EF5B33" w:rsidRDefault="008F5E90" w:rsidP="00593497">
      <w:pPr>
        <w:pStyle w:val="Numberedparagraph"/>
      </w:pPr>
      <w:r>
        <w:t xml:space="preserve">Where teaching and learning </w:t>
      </w:r>
      <w:r w:rsidR="00041C90">
        <w:t xml:space="preserve">were </w:t>
      </w:r>
      <w:r w:rsidR="00F74745">
        <w:t>good</w:t>
      </w:r>
      <w:r w:rsidR="0091137A">
        <w:t>,</w:t>
      </w:r>
      <w:r w:rsidR="00F74745">
        <w:t xml:space="preserve"> </w:t>
      </w:r>
      <w:r w:rsidR="003B2517">
        <w:t>learners</w:t>
      </w:r>
      <w:r w:rsidR="00593497" w:rsidRPr="00EF5B33">
        <w:t xml:space="preserve"> were routinely involved in a wide range of activities to promote and develop tolerance, democracy, individual liberty, mutual respect and the rule of law</w:t>
      </w:r>
      <w:r w:rsidR="0091137A">
        <w:t>. Activities included</w:t>
      </w:r>
      <w:r w:rsidR="00593497" w:rsidRPr="00EF5B33">
        <w:t>:</w:t>
      </w:r>
    </w:p>
    <w:p w14:paraId="7F33C2B9" w14:textId="77777777" w:rsidR="00593497" w:rsidRPr="00906FB7" w:rsidRDefault="00593497" w:rsidP="00906FB7">
      <w:pPr>
        <w:pStyle w:val="Bulletsspaced"/>
        <w:rPr>
          <w:rFonts w:eastAsia="Calibri"/>
        </w:rPr>
      </w:pPr>
      <w:r w:rsidRPr="00906FB7">
        <w:rPr>
          <w:rFonts w:eastAsia="Calibri"/>
        </w:rPr>
        <w:t>external projects involving the local community</w:t>
      </w:r>
    </w:p>
    <w:p w14:paraId="7FC229AA" w14:textId="77777777" w:rsidR="00593497" w:rsidRPr="00906FB7" w:rsidRDefault="00593497" w:rsidP="00906FB7">
      <w:pPr>
        <w:pStyle w:val="Bulletsspaced"/>
        <w:rPr>
          <w:rFonts w:eastAsia="Calibri"/>
        </w:rPr>
      </w:pPr>
      <w:r w:rsidRPr="00906FB7">
        <w:rPr>
          <w:rFonts w:eastAsia="Calibri"/>
        </w:rPr>
        <w:t>cross-college/provider debates and discussions</w:t>
      </w:r>
    </w:p>
    <w:p w14:paraId="56C565B4" w14:textId="7C994A50" w:rsidR="00593497" w:rsidRPr="00906FB7" w:rsidRDefault="0091137A" w:rsidP="00906FB7">
      <w:pPr>
        <w:pStyle w:val="Bulletsspaced"/>
        <w:rPr>
          <w:rFonts w:eastAsia="Calibri"/>
        </w:rPr>
      </w:pPr>
      <w:r w:rsidRPr="00906FB7">
        <w:rPr>
          <w:rFonts w:eastAsia="Calibri"/>
        </w:rPr>
        <w:t>learners develop</w:t>
      </w:r>
      <w:r>
        <w:rPr>
          <w:rFonts w:eastAsia="Calibri"/>
        </w:rPr>
        <w:t>ing</w:t>
      </w:r>
      <w:r w:rsidR="00593497" w:rsidRPr="00906FB7">
        <w:rPr>
          <w:rFonts w:eastAsia="Calibri"/>
        </w:rPr>
        <w:t xml:space="preserve"> a learner handbook</w:t>
      </w:r>
    </w:p>
    <w:p w14:paraId="6DDB8979" w14:textId="77777777" w:rsidR="00593497" w:rsidRPr="00906FB7" w:rsidRDefault="00593497" w:rsidP="00906FB7">
      <w:pPr>
        <w:pStyle w:val="Bulletsspaced"/>
        <w:rPr>
          <w:rFonts w:eastAsia="Calibri"/>
        </w:rPr>
      </w:pPr>
      <w:r w:rsidRPr="00906FB7">
        <w:rPr>
          <w:rFonts w:eastAsia="Calibri"/>
        </w:rPr>
        <w:t>media competitions – including filming short video clips promoting British values</w:t>
      </w:r>
    </w:p>
    <w:p w14:paraId="1A35D40E" w14:textId="77777777" w:rsidR="00593497" w:rsidRPr="00906FB7" w:rsidRDefault="00593497" w:rsidP="00906FB7">
      <w:pPr>
        <w:pStyle w:val="Bulletsspaced"/>
        <w:rPr>
          <w:rFonts w:eastAsia="Calibri"/>
        </w:rPr>
      </w:pPr>
      <w:r w:rsidRPr="00906FB7">
        <w:rPr>
          <w:rFonts w:eastAsia="Calibri"/>
        </w:rPr>
        <w:t xml:space="preserve">visiting theatre group activities – discussions following </w:t>
      </w:r>
      <w:proofErr w:type="spellStart"/>
      <w:r w:rsidRPr="00906FB7">
        <w:rPr>
          <w:rFonts w:eastAsia="Calibri"/>
        </w:rPr>
        <w:t>dramatisations</w:t>
      </w:r>
      <w:proofErr w:type="spellEnd"/>
      <w:r w:rsidRPr="00906FB7">
        <w:rPr>
          <w:rFonts w:eastAsia="Calibri"/>
        </w:rPr>
        <w:t xml:space="preserve"> of radicalisation and extremism</w:t>
      </w:r>
    </w:p>
    <w:p w14:paraId="1E14E28C" w14:textId="5BCAA713" w:rsidR="00593497" w:rsidRPr="00906FB7" w:rsidRDefault="00593497" w:rsidP="00906FB7">
      <w:pPr>
        <w:pStyle w:val="Bulletsspaced"/>
        <w:rPr>
          <w:rFonts w:eastAsia="Calibri"/>
        </w:rPr>
      </w:pPr>
      <w:r w:rsidRPr="00906FB7">
        <w:rPr>
          <w:rFonts w:eastAsia="Calibri"/>
        </w:rPr>
        <w:t xml:space="preserve">workshops with BIS </w:t>
      </w:r>
      <w:r w:rsidR="00C5048D">
        <w:rPr>
          <w:rFonts w:eastAsia="Calibri"/>
        </w:rPr>
        <w:t>‘Prevent’</w:t>
      </w:r>
      <w:r w:rsidRPr="00906FB7">
        <w:rPr>
          <w:rFonts w:eastAsia="Calibri"/>
        </w:rPr>
        <w:t xml:space="preserve"> and police </w:t>
      </w:r>
      <w:r w:rsidR="00C5048D">
        <w:rPr>
          <w:rFonts w:eastAsia="Calibri"/>
        </w:rPr>
        <w:t>‘Prevent’</w:t>
      </w:r>
      <w:r w:rsidRPr="00906FB7">
        <w:rPr>
          <w:rFonts w:eastAsia="Calibri"/>
        </w:rPr>
        <w:t xml:space="preserve"> teams</w:t>
      </w:r>
    </w:p>
    <w:p w14:paraId="2243D6F3" w14:textId="08786191" w:rsidR="00593497" w:rsidRDefault="00593497" w:rsidP="00593497">
      <w:pPr>
        <w:pStyle w:val="Bulletsspaced-lastbullet"/>
        <w:numPr>
          <w:ilvl w:val="0"/>
          <w:numId w:val="8"/>
        </w:numPr>
        <w:tabs>
          <w:tab w:val="clear" w:pos="567"/>
        </w:tabs>
        <w:rPr>
          <w:rFonts w:eastAsia="Calibri"/>
        </w:rPr>
      </w:pPr>
      <w:r w:rsidRPr="00E8017E">
        <w:rPr>
          <w:rFonts w:eastAsia="Calibri"/>
        </w:rPr>
        <w:t>‘</w:t>
      </w:r>
      <w:proofErr w:type="gramStart"/>
      <w:r w:rsidR="0091137A">
        <w:rPr>
          <w:rFonts w:eastAsia="Calibri"/>
        </w:rPr>
        <w:t>j</w:t>
      </w:r>
      <w:r w:rsidRPr="00E8017E">
        <w:rPr>
          <w:rFonts w:eastAsia="Calibri"/>
        </w:rPr>
        <w:t>ustice</w:t>
      </w:r>
      <w:proofErr w:type="gramEnd"/>
      <w:r w:rsidRPr="00E8017E">
        <w:rPr>
          <w:rFonts w:eastAsia="Calibri"/>
        </w:rPr>
        <w:t xml:space="preserve">’ workshops – </w:t>
      </w:r>
      <w:r>
        <w:rPr>
          <w:rFonts w:eastAsia="Calibri"/>
        </w:rPr>
        <w:t xml:space="preserve">for example, </w:t>
      </w:r>
      <w:r w:rsidRPr="00E8017E">
        <w:rPr>
          <w:rFonts w:eastAsia="Calibri"/>
        </w:rPr>
        <w:t>reviewing the radicalisation of Andrew Ibrahim</w:t>
      </w:r>
      <w:r>
        <w:rPr>
          <w:rFonts w:eastAsia="Calibri"/>
        </w:rPr>
        <w:t>.</w:t>
      </w:r>
    </w:p>
    <w:p w14:paraId="1F99E3B3" w14:textId="0D43AD1A" w:rsidR="00593497" w:rsidRDefault="00593497" w:rsidP="00593497">
      <w:pPr>
        <w:pStyle w:val="Casestudy"/>
        <w:rPr>
          <w:rFonts w:eastAsia="Calibri"/>
          <w:b/>
        </w:rPr>
      </w:pPr>
      <w:r>
        <w:rPr>
          <w:rFonts w:eastAsia="Calibri"/>
          <w:b/>
        </w:rPr>
        <w:lastRenderedPageBreak/>
        <w:t xml:space="preserve">Case study: </w:t>
      </w:r>
      <w:r w:rsidR="00F262A4">
        <w:rPr>
          <w:rFonts w:eastAsia="Calibri"/>
          <w:b/>
        </w:rPr>
        <w:t>t</w:t>
      </w:r>
      <w:r>
        <w:rPr>
          <w:rFonts w:eastAsia="Calibri"/>
          <w:b/>
        </w:rPr>
        <w:t>he role of pastoral support in keeping learners safe</w:t>
      </w:r>
    </w:p>
    <w:p w14:paraId="6DC0FF13" w14:textId="311B30B6" w:rsidR="00593497" w:rsidRPr="00FF1EAF" w:rsidRDefault="00593497" w:rsidP="00593497">
      <w:pPr>
        <w:pStyle w:val="Casestudy"/>
        <w:rPr>
          <w:rFonts w:eastAsia="Calibri"/>
        </w:rPr>
      </w:pPr>
      <w:r>
        <w:rPr>
          <w:rFonts w:eastAsia="Calibri"/>
        </w:rPr>
        <w:t xml:space="preserve">North </w:t>
      </w:r>
      <w:proofErr w:type="spellStart"/>
      <w:r>
        <w:rPr>
          <w:rFonts w:eastAsia="Calibri"/>
        </w:rPr>
        <w:t>Lancs</w:t>
      </w:r>
      <w:proofErr w:type="spellEnd"/>
      <w:r>
        <w:rPr>
          <w:rFonts w:eastAsia="Calibri"/>
        </w:rPr>
        <w:t xml:space="preserve"> Training Group</w:t>
      </w:r>
      <w:r w:rsidR="0091137A">
        <w:rPr>
          <w:rFonts w:eastAsia="Calibri"/>
        </w:rPr>
        <w:t xml:space="preserve"> is</w:t>
      </w:r>
      <w:r>
        <w:rPr>
          <w:rFonts w:eastAsia="Calibri"/>
        </w:rPr>
        <w:t xml:space="preserve"> an independent learning provider</w:t>
      </w:r>
      <w:r w:rsidR="0091137A">
        <w:rPr>
          <w:rFonts w:eastAsia="Calibri"/>
        </w:rPr>
        <w:t>. During tutorials and pastoral support, it</w:t>
      </w:r>
      <w:r>
        <w:rPr>
          <w:rFonts w:eastAsia="Calibri"/>
        </w:rPr>
        <w:t xml:space="preserve"> gives considerable attention to ensuring that all learners are made aware of the dangers and risks associated with terrorism, violent extremism and radicalisation, including through the internet.</w:t>
      </w:r>
    </w:p>
    <w:p w14:paraId="20066CD2" w14:textId="30B325BD" w:rsidR="00593497" w:rsidRDefault="00593497" w:rsidP="00593497">
      <w:pPr>
        <w:pStyle w:val="Casestudy"/>
        <w:rPr>
          <w:rFonts w:eastAsia="Calibri"/>
        </w:rPr>
      </w:pPr>
      <w:r>
        <w:rPr>
          <w:rFonts w:eastAsia="Calibri"/>
        </w:rPr>
        <w:t xml:space="preserve">Learners have been introduced to, and have had basic training in, the </w:t>
      </w:r>
      <w:r w:rsidR="00C5048D">
        <w:rPr>
          <w:rFonts w:eastAsia="Calibri"/>
        </w:rPr>
        <w:t>‘Prevent’</w:t>
      </w:r>
      <w:r>
        <w:rPr>
          <w:rFonts w:eastAsia="Calibri"/>
        </w:rPr>
        <w:t xml:space="preserve"> agenda. All learners have access to an excellent 24-hour helpline if their safety or security are jeopardised. Learners know that their concerns will be taken seriously and followed up immediately.</w:t>
      </w:r>
    </w:p>
    <w:p w14:paraId="318983F0" w14:textId="5F68E36F" w:rsidR="00593497" w:rsidRPr="002612DF" w:rsidRDefault="00593497" w:rsidP="00593497">
      <w:pPr>
        <w:pStyle w:val="Casestudy"/>
        <w:rPr>
          <w:rFonts w:eastAsia="Calibri"/>
        </w:rPr>
      </w:pPr>
      <w:proofErr w:type="gramStart"/>
      <w:r>
        <w:rPr>
          <w:rFonts w:eastAsia="Calibri"/>
        </w:rPr>
        <w:t>Staff have</w:t>
      </w:r>
      <w:proofErr w:type="gramEnd"/>
      <w:r>
        <w:rPr>
          <w:rFonts w:eastAsia="Calibri"/>
        </w:rPr>
        <w:t xml:space="preserve"> considerable experience and expertise in supporting learners</w:t>
      </w:r>
      <w:r w:rsidR="0091137A">
        <w:rPr>
          <w:rFonts w:eastAsia="Calibri"/>
        </w:rPr>
        <w:t xml:space="preserve">. They </w:t>
      </w:r>
      <w:r>
        <w:rPr>
          <w:rFonts w:eastAsia="Calibri"/>
        </w:rPr>
        <w:t xml:space="preserve">were proactive in implementing the </w:t>
      </w:r>
      <w:r w:rsidR="00C5048D">
        <w:rPr>
          <w:rFonts w:eastAsia="Calibri"/>
        </w:rPr>
        <w:t>‘Prevent’</w:t>
      </w:r>
      <w:r>
        <w:rPr>
          <w:rFonts w:eastAsia="Calibri"/>
        </w:rPr>
        <w:t xml:space="preserve"> duty before it became mandatory. Senior managers sit on the Home Office steering group for </w:t>
      </w:r>
      <w:r w:rsidR="00C5048D">
        <w:rPr>
          <w:rFonts w:eastAsia="Calibri"/>
        </w:rPr>
        <w:t>‘Prevent’</w:t>
      </w:r>
      <w:r>
        <w:rPr>
          <w:rFonts w:eastAsia="Calibri"/>
        </w:rPr>
        <w:t>.</w:t>
      </w:r>
    </w:p>
    <w:p w14:paraId="03976B41" w14:textId="7D44C803" w:rsidR="00593497" w:rsidRPr="00EF5B33" w:rsidRDefault="008942A0" w:rsidP="00593497">
      <w:pPr>
        <w:pStyle w:val="Numberedparagraph"/>
      </w:pPr>
      <w:r>
        <w:t>Many</w:t>
      </w:r>
      <w:r w:rsidR="00593497" w:rsidRPr="00EF5B33">
        <w:t xml:space="preserve"> providers recognised that pastoral welfare and support, including promoting British values and developing learner</w:t>
      </w:r>
      <w:r w:rsidR="00593497">
        <w:t>s’</w:t>
      </w:r>
      <w:r w:rsidR="00593497" w:rsidRPr="00EF5B33">
        <w:t xml:space="preserve"> awareness of the risks associated with radicalisation and extremism, needed improving. </w:t>
      </w:r>
      <w:r w:rsidR="00593497">
        <w:t xml:space="preserve">The main barriers that </w:t>
      </w:r>
      <w:r w:rsidR="00BB5380">
        <w:t xml:space="preserve">these </w:t>
      </w:r>
      <w:r w:rsidR="00593497">
        <w:t>providers faced were improving s</w:t>
      </w:r>
      <w:r w:rsidR="00593497" w:rsidRPr="00EF5B33">
        <w:t>taff knowledge and understanding of the promotion of British values</w:t>
      </w:r>
      <w:r w:rsidR="00593497">
        <w:t>,</w:t>
      </w:r>
      <w:r w:rsidR="00593497" w:rsidRPr="00EF5B33">
        <w:t xml:space="preserve"> and how to integrate these into lessons.</w:t>
      </w:r>
    </w:p>
    <w:p w14:paraId="62FA40A7" w14:textId="55EA1149" w:rsidR="00593497" w:rsidRDefault="00593497" w:rsidP="00593497">
      <w:pPr>
        <w:pStyle w:val="Numberedparagraph"/>
      </w:pPr>
      <w:r w:rsidRPr="00D32808">
        <w:t>Providers that ha</w:t>
      </w:r>
      <w:r>
        <w:t>d</w:t>
      </w:r>
      <w:r w:rsidRPr="00D32808">
        <w:t xml:space="preserve"> faith rooms</w:t>
      </w:r>
      <w:r>
        <w:t xml:space="preserve"> generally </w:t>
      </w:r>
      <w:r w:rsidRPr="00D32808">
        <w:t>monitor</w:t>
      </w:r>
      <w:r>
        <w:t>ed</w:t>
      </w:r>
      <w:r w:rsidRPr="00D32808">
        <w:t xml:space="preserve"> them well</w:t>
      </w:r>
      <w:r>
        <w:t xml:space="preserve">. Providers usually </w:t>
      </w:r>
      <w:r w:rsidRPr="00D32808">
        <w:t>ha</w:t>
      </w:r>
      <w:r>
        <w:t>d</w:t>
      </w:r>
      <w:r w:rsidRPr="00D32808">
        <w:t xml:space="preserve"> comprehensive policies and procedures in place for </w:t>
      </w:r>
      <w:r>
        <w:t>checking</w:t>
      </w:r>
      <w:r w:rsidRPr="00D32808">
        <w:t xml:space="preserve"> the use</w:t>
      </w:r>
      <w:r>
        <w:t xml:space="preserve"> of multi-faith rooms</w:t>
      </w:r>
      <w:r w:rsidR="00AE0CA9">
        <w:t>. They</w:t>
      </w:r>
      <w:r>
        <w:t xml:space="preserve"> referred to these in risk assessment and action planning</w:t>
      </w:r>
      <w:r w:rsidRPr="00D32808">
        <w:t>.</w:t>
      </w:r>
      <w:r w:rsidRPr="00B90C34">
        <w:t xml:space="preserve"> </w:t>
      </w:r>
      <w:r>
        <w:t>Providers managed f</w:t>
      </w:r>
      <w:r w:rsidRPr="00B90C34">
        <w:t>aith groups, including Islamic and Christian groups</w:t>
      </w:r>
      <w:r>
        <w:t>, very effectively</w:t>
      </w:r>
      <w:r w:rsidRPr="00B90C34">
        <w:t>.</w:t>
      </w:r>
      <w:r>
        <w:t xml:space="preserve"> As a result, learners could observe their faith safely and, as for any enrichment activity, under the supervision of provider staff.</w:t>
      </w:r>
      <w:r w:rsidRPr="00843BF6">
        <w:t xml:space="preserve"> </w:t>
      </w:r>
    </w:p>
    <w:p w14:paraId="358F2EAB" w14:textId="77777777" w:rsidR="00593497" w:rsidRDefault="00593497" w:rsidP="00593497">
      <w:pPr>
        <w:pStyle w:val="Numberedparagraph"/>
      </w:pPr>
      <w:r>
        <w:t>In one provider visited, where a multi-faith room was not monitored adequately, inspectors observed some poor practice that potentially placed learners at risk.</w:t>
      </w:r>
    </w:p>
    <w:p w14:paraId="50FE3475" w14:textId="0FA5EFF2" w:rsidR="00593497" w:rsidRDefault="00593497" w:rsidP="00593497">
      <w:pPr>
        <w:pStyle w:val="Casestudy"/>
        <w:rPr>
          <w:rFonts w:eastAsia="Calibri"/>
          <w:b/>
        </w:rPr>
      </w:pPr>
      <w:r>
        <w:rPr>
          <w:rFonts w:eastAsia="Calibri"/>
          <w:b/>
        </w:rPr>
        <w:t xml:space="preserve">Case study: </w:t>
      </w:r>
      <w:r w:rsidR="00F262A4">
        <w:rPr>
          <w:rFonts w:eastAsia="Calibri"/>
          <w:b/>
        </w:rPr>
        <w:t>t</w:t>
      </w:r>
      <w:r>
        <w:rPr>
          <w:rFonts w:eastAsia="Calibri"/>
          <w:b/>
        </w:rPr>
        <w:t>he poor monitoring of faith rooms</w:t>
      </w:r>
    </w:p>
    <w:p w14:paraId="432F3A48" w14:textId="532E571F" w:rsidR="00593497" w:rsidRPr="002612DF" w:rsidRDefault="00506563" w:rsidP="00593497">
      <w:pPr>
        <w:pStyle w:val="Casestudy"/>
        <w:rPr>
          <w:rFonts w:eastAsia="Calibri"/>
        </w:rPr>
      </w:pPr>
      <w:r>
        <w:rPr>
          <w:rFonts w:eastAsia="Calibri"/>
        </w:rPr>
        <w:t>In one college, l</w:t>
      </w:r>
      <w:r w:rsidR="00593497">
        <w:rPr>
          <w:rFonts w:eastAsia="Calibri"/>
        </w:rPr>
        <w:t>earners ha</w:t>
      </w:r>
      <w:r>
        <w:rPr>
          <w:rFonts w:eastAsia="Calibri"/>
        </w:rPr>
        <w:t>d</w:t>
      </w:r>
      <w:r w:rsidR="00593497">
        <w:rPr>
          <w:rFonts w:eastAsia="Calibri"/>
        </w:rPr>
        <w:t xml:space="preserve"> unmonitored access to a multi-faith room that </w:t>
      </w:r>
      <w:r>
        <w:rPr>
          <w:rFonts w:eastAsia="Calibri"/>
        </w:rPr>
        <w:t>wa</w:t>
      </w:r>
      <w:r w:rsidR="00593497">
        <w:rPr>
          <w:rFonts w:eastAsia="Calibri"/>
        </w:rPr>
        <w:t xml:space="preserve">s located away from the main areas. </w:t>
      </w:r>
      <w:r w:rsidR="007609CB" w:rsidRPr="007609CB">
        <w:rPr>
          <w:rFonts w:eastAsia="Calibri"/>
        </w:rPr>
        <w:t xml:space="preserve">The multi-faith room was used only by learners and staff of the Islamic faith and was segregated by gender. </w:t>
      </w:r>
      <w:r w:rsidR="00593497">
        <w:rPr>
          <w:rFonts w:eastAsia="Calibri"/>
        </w:rPr>
        <w:t>The multi-faith room ha</w:t>
      </w:r>
      <w:r>
        <w:rPr>
          <w:rFonts w:eastAsia="Calibri"/>
        </w:rPr>
        <w:t>d</w:t>
      </w:r>
      <w:r w:rsidR="00593497">
        <w:rPr>
          <w:rFonts w:eastAsia="Calibri"/>
        </w:rPr>
        <w:t xml:space="preserve"> facilities similar to a mosque. The room </w:t>
      </w:r>
      <w:r>
        <w:rPr>
          <w:rFonts w:eastAsia="Calibri"/>
        </w:rPr>
        <w:t>wa</w:t>
      </w:r>
      <w:r w:rsidR="00593497">
        <w:rPr>
          <w:rFonts w:eastAsia="Calibri"/>
        </w:rPr>
        <w:t>s used every day</w:t>
      </w:r>
      <w:r>
        <w:rPr>
          <w:rFonts w:eastAsia="Calibri"/>
        </w:rPr>
        <w:t>,</w:t>
      </w:r>
      <w:r w:rsidR="00593497">
        <w:rPr>
          <w:rFonts w:eastAsia="Calibri"/>
        </w:rPr>
        <w:t xml:space="preserve"> but staff d</w:t>
      </w:r>
      <w:r>
        <w:rPr>
          <w:rFonts w:eastAsia="Calibri"/>
        </w:rPr>
        <w:t>id</w:t>
      </w:r>
      <w:r w:rsidR="00593497">
        <w:rPr>
          <w:rFonts w:eastAsia="Calibri"/>
        </w:rPr>
        <w:t xml:space="preserve"> not know who </w:t>
      </w:r>
      <w:r>
        <w:rPr>
          <w:rFonts w:eastAsia="Calibri"/>
        </w:rPr>
        <w:t>wa</w:t>
      </w:r>
      <w:r w:rsidR="00593497">
        <w:rPr>
          <w:rFonts w:eastAsia="Calibri"/>
        </w:rPr>
        <w:t>s using the room. Learners frequently use</w:t>
      </w:r>
      <w:r>
        <w:rPr>
          <w:rFonts w:eastAsia="Calibri"/>
        </w:rPr>
        <w:t>d</w:t>
      </w:r>
      <w:r w:rsidR="00593497">
        <w:rPr>
          <w:rFonts w:eastAsia="Calibri"/>
        </w:rPr>
        <w:t xml:space="preserve"> the multi-faith room outside of Muslim prayer times. Managers ha</w:t>
      </w:r>
      <w:r>
        <w:rPr>
          <w:rFonts w:eastAsia="Calibri"/>
        </w:rPr>
        <w:t>d</w:t>
      </w:r>
      <w:r w:rsidR="00593497">
        <w:rPr>
          <w:rFonts w:eastAsia="Calibri"/>
        </w:rPr>
        <w:t xml:space="preserve"> not conducted a risk assessment. Previous learners from the college have had links with Islamic extremists after leaving the college. </w:t>
      </w:r>
    </w:p>
    <w:p w14:paraId="05DBA477" w14:textId="6652E7E7" w:rsidR="00593497" w:rsidRPr="00D32808" w:rsidRDefault="00593497" w:rsidP="00593497">
      <w:pPr>
        <w:pStyle w:val="Numberedparagraph"/>
      </w:pPr>
      <w:r w:rsidRPr="002522E0">
        <w:lastRenderedPageBreak/>
        <w:t xml:space="preserve">Five independent learning providers and five </w:t>
      </w:r>
      <w:r w:rsidR="00BB5380">
        <w:t xml:space="preserve">of the </w:t>
      </w:r>
      <w:r w:rsidRPr="002522E0">
        <w:t>colleges visited did not have faith rooms. Providers had consulted with learners as to whether there was a demand for a faith room and</w:t>
      </w:r>
      <w:r>
        <w:t>,</w:t>
      </w:r>
      <w:r w:rsidRPr="002522E0">
        <w:t xml:space="preserve"> in many cases, learners made the decision that they would prefer not to have one.</w:t>
      </w:r>
    </w:p>
    <w:p w14:paraId="56412792" w14:textId="2A7D8DC3" w:rsidR="00593497" w:rsidRPr="00EF5B33" w:rsidRDefault="00593497" w:rsidP="00593497">
      <w:pPr>
        <w:pStyle w:val="Heading2"/>
        <w:rPr>
          <w:rFonts w:eastAsia="Calibri"/>
        </w:rPr>
      </w:pPr>
      <w:bookmarkStart w:id="32" w:name="_Toc447729297"/>
      <w:bookmarkStart w:id="33" w:name="_Toc447732122"/>
      <w:bookmarkStart w:id="34" w:name="_Toc454282646"/>
      <w:r w:rsidRPr="00EF5B33">
        <w:rPr>
          <w:rFonts w:eastAsia="Calibri"/>
        </w:rPr>
        <w:t>IT policies and their impact on learner safety</w:t>
      </w:r>
      <w:bookmarkEnd w:id="32"/>
      <w:bookmarkEnd w:id="33"/>
      <w:bookmarkEnd w:id="34"/>
    </w:p>
    <w:p w14:paraId="1C97EAAD" w14:textId="4428A65D" w:rsidR="00593497" w:rsidRPr="00B90C34" w:rsidRDefault="00593497" w:rsidP="00593497">
      <w:pPr>
        <w:pStyle w:val="Numberedparagraph"/>
      </w:pPr>
      <w:r>
        <w:t xml:space="preserve">Leaders in </w:t>
      </w:r>
      <w:r w:rsidR="00F62943">
        <w:t>16</w:t>
      </w:r>
      <w:r w:rsidR="00F62943" w:rsidRPr="00D32808">
        <w:t xml:space="preserve"> </w:t>
      </w:r>
      <w:r w:rsidR="00BB5380">
        <w:t xml:space="preserve">of the </w:t>
      </w:r>
      <w:r w:rsidRPr="00D32808">
        <w:t>providers visited did not adequately protect learners from the risk of radicalisation and extremism when using IT systems.</w:t>
      </w:r>
      <w:r>
        <w:t xml:space="preserve"> </w:t>
      </w:r>
      <w:r w:rsidRPr="00B90C34">
        <w:t>Learners in</w:t>
      </w:r>
      <w:r>
        <w:t xml:space="preserve"> the weakest </w:t>
      </w:r>
      <w:r w:rsidRPr="00B90C34">
        <w:t xml:space="preserve">providers were able to </w:t>
      </w:r>
      <w:r>
        <w:t>bypass</w:t>
      </w:r>
      <w:r w:rsidRPr="00B90C34">
        <w:t xml:space="preserve"> firewalls to access inappropriate websites including those promoting </w:t>
      </w:r>
      <w:r w:rsidR="00346258">
        <w:t>extreme Islamic</w:t>
      </w:r>
      <w:r w:rsidRPr="00B90C34">
        <w:t xml:space="preserve"> ideology</w:t>
      </w:r>
      <w:r>
        <w:t>, right-wing extremism and the purchase of firearms</w:t>
      </w:r>
      <w:r w:rsidRPr="00B90C34">
        <w:t>.</w:t>
      </w:r>
      <w:r>
        <w:t xml:space="preserve"> </w:t>
      </w:r>
    </w:p>
    <w:p w14:paraId="0B12B223" w14:textId="06011B3B" w:rsidR="00593497" w:rsidRPr="00EF5B33" w:rsidRDefault="00593497" w:rsidP="00593497">
      <w:pPr>
        <w:pStyle w:val="Numberedparagraph"/>
      </w:pPr>
      <w:r w:rsidRPr="00EF5B33">
        <w:t xml:space="preserve">Almost all </w:t>
      </w:r>
      <w:r w:rsidR="00BA22CF">
        <w:t xml:space="preserve">the </w:t>
      </w:r>
      <w:r w:rsidRPr="00EF5B33">
        <w:t xml:space="preserve">providers had an IT policy in place. However, </w:t>
      </w:r>
      <w:r w:rsidR="00F62943">
        <w:t>11</w:t>
      </w:r>
      <w:r w:rsidR="00F62943" w:rsidRPr="00EF5B33">
        <w:t xml:space="preserve"> </w:t>
      </w:r>
      <w:r w:rsidRPr="00EF5B33">
        <w:t>of the</w:t>
      </w:r>
      <w:r>
        <w:t>se</w:t>
      </w:r>
      <w:r w:rsidRPr="00EF5B33">
        <w:t xml:space="preserve"> policies did not make explicit reference to </w:t>
      </w:r>
      <w:r w:rsidR="00C5048D">
        <w:t>‘Prevent’</w:t>
      </w:r>
      <w:r w:rsidRPr="00EF5B33">
        <w:t xml:space="preserve"> and did not work </w:t>
      </w:r>
      <w:r w:rsidR="00346258">
        <w:t xml:space="preserve">effectively </w:t>
      </w:r>
      <w:r w:rsidRPr="00EF5B33">
        <w:t xml:space="preserve">in practice. As a result, learners </w:t>
      </w:r>
      <w:r>
        <w:t xml:space="preserve">could </w:t>
      </w:r>
      <w:r w:rsidRPr="00EF5B33">
        <w:t>access inappropriate internet content</w:t>
      </w:r>
      <w:r w:rsidR="00F62943">
        <w:t>. I</w:t>
      </w:r>
      <w:r>
        <w:t>n one instance</w:t>
      </w:r>
      <w:r w:rsidR="00BA22CF">
        <w:t xml:space="preserve"> identified by inspectors</w:t>
      </w:r>
      <w:r w:rsidR="00F62943">
        <w:t xml:space="preserve">, learners could access </w:t>
      </w:r>
      <w:r>
        <w:t xml:space="preserve">a </w:t>
      </w:r>
      <w:r w:rsidRPr="00EF5B33">
        <w:t>website promoting ISIS ideology.</w:t>
      </w:r>
    </w:p>
    <w:p w14:paraId="6748A089" w14:textId="172429D8" w:rsidR="00593497" w:rsidRPr="00EF5B33" w:rsidRDefault="00593497" w:rsidP="00593497">
      <w:pPr>
        <w:pStyle w:val="Numberedparagraph"/>
      </w:pPr>
      <w:r w:rsidRPr="00EF5B33">
        <w:t>Monitoring of learner</w:t>
      </w:r>
      <w:r>
        <w:t>s’</w:t>
      </w:r>
      <w:r w:rsidRPr="00EF5B33">
        <w:t xml:space="preserve"> </w:t>
      </w:r>
      <w:r>
        <w:t>use of</w:t>
      </w:r>
      <w:r w:rsidRPr="00EF5B33">
        <w:t xml:space="preserve"> IT varies considerably across providers, with </w:t>
      </w:r>
      <w:r w:rsidR="00A615D0">
        <w:t xml:space="preserve">10 </w:t>
      </w:r>
      <w:r w:rsidR="00BA22CF">
        <w:t>of the</w:t>
      </w:r>
      <w:r w:rsidRPr="00EF5B33">
        <w:t xml:space="preserve"> providers visited not monitoring IT usage adequately. Some providers did no</w:t>
      </w:r>
      <w:r>
        <w:t>t monitor</w:t>
      </w:r>
      <w:r w:rsidRPr="00EF5B33">
        <w:t xml:space="preserve"> IT usage</w:t>
      </w:r>
      <w:r>
        <w:t xml:space="preserve"> at all</w:t>
      </w:r>
      <w:r w:rsidRPr="00EF5B33">
        <w:t xml:space="preserve">, while others’ reports were so generic </w:t>
      </w:r>
      <w:r>
        <w:t xml:space="preserve">that </w:t>
      </w:r>
      <w:r w:rsidRPr="00EF5B33">
        <w:t xml:space="preserve">they were of little use in identifying inappropriate IT use. </w:t>
      </w:r>
    </w:p>
    <w:p w14:paraId="68438DF8" w14:textId="616601CF" w:rsidR="00593497" w:rsidRPr="00FF1EAF" w:rsidRDefault="00593497" w:rsidP="00593497">
      <w:pPr>
        <w:pStyle w:val="Casestudy"/>
        <w:rPr>
          <w:rFonts w:eastAsia="Calibri"/>
          <w:b/>
        </w:rPr>
      </w:pPr>
      <w:r>
        <w:rPr>
          <w:rFonts w:eastAsia="Calibri"/>
          <w:b/>
        </w:rPr>
        <w:t xml:space="preserve">Case study: </w:t>
      </w:r>
      <w:r w:rsidR="00F262A4">
        <w:rPr>
          <w:rFonts w:eastAsia="Calibri"/>
          <w:b/>
        </w:rPr>
        <w:t>p</w:t>
      </w:r>
      <w:r>
        <w:rPr>
          <w:rFonts w:eastAsia="Calibri"/>
          <w:b/>
        </w:rPr>
        <w:t>utting learners at risk through inadequate monitoring of IT</w:t>
      </w:r>
    </w:p>
    <w:p w14:paraId="02AA5A02" w14:textId="6683293B" w:rsidR="00593497" w:rsidRPr="00E8017E" w:rsidRDefault="00617674" w:rsidP="00593497">
      <w:pPr>
        <w:pStyle w:val="Casestudy"/>
        <w:rPr>
          <w:rFonts w:eastAsia="Calibri"/>
        </w:rPr>
      </w:pPr>
      <w:r>
        <w:rPr>
          <w:rFonts w:eastAsia="Calibri"/>
        </w:rPr>
        <w:t>One</w:t>
      </w:r>
      <w:r w:rsidR="00593497" w:rsidRPr="00E8017E">
        <w:rPr>
          <w:rFonts w:eastAsia="Calibri"/>
        </w:rPr>
        <w:t xml:space="preserve"> general further education college </w:t>
      </w:r>
      <w:r>
        <w:rPr>
          <w:rFonts w:eastAsia="Calibri"/>
        </w:rPr>
        <w:t xml:space="preserve">visited </w:t>
      </w:r>
      <w:r w:rsidR="00593497" w:rsidRPr="00E8017E">
        <w:rPr>
          <w:rFonts w:eastAsia="Calibri"/>
        </w:rPr>
        <w:t>had an IT policy in place that include</w:t>
      </w:r>
      <w:r w:rsidR="00593497">
        <w:rPr>
          <w:rFonts w:eastAsia="Calibri"/>
        </w:rPr>
        <w:t>d</w:t>
      </w:r>
      <w:r w:rsidR="00593497" w:rsidRPr="00E8017E">
        <w:rPr>
          <w:rFonts w:eastAsia="Calibri"/>
        </w:rPr>
        <w:t xml:space="preserve"> specific reference to </w:t>
      </w:r>
      <w:r w:rsidR="00C5048D">
        <w:rPr>
          <w:rFonts w:eastAsia="Calibri"/>
        </w:rPr>
        <w:t>‘Prevent’</w:t>
      </w:r>
      <w:r w:rsidR="00A615D0">
        <w:rPr>
          <w:rFonts w:eastAsia="Calibri"/>
        </w:rPr>
        <w:t>. It</w:t>
      </w:r>
      <w:r w:rsidR="00593497" w:rsidRPr="00E8017E">
        <w:rPr>
          <w:rFonts w:eastAsia="Calibri"/>
        </w:rPr>
        <w:t xml:space="preserve"> highlight</w:t>
      </w:r>
      <w:r w:rsidR="00593497">
        <w:rPr>
          <w:rFonts w:eastAsia="Calibri"/>
        </w:rPr>
        <w:t>ed</w:t>
      </w:r>
      <w:r w:rsidR="00593497" w:rsidRPr="00E8017E">
        <w:rPr>
          <w:rFonts w:eastAsia="Calibri"/>
        </w:rPr>
        <w:t xml:space="preserve"> the stringent firewalls in place to block inappropriate websites, including those that promote ISIS ideology.</w:t>
      </w:r>
    </w:p>
    <w:p w14:paraId="5C4BBC51" w14:textId="50D1A868" w:rsidR="00593497" w:rsidRPr="00E8017E" w:rsidRDefault="00593497" w:rsidP="00593497">
      <w:pPr>
        <w:pStyle w:val="Casestudy"/>
        <w:rPr>
          <w:rFonts w:eastAsia="Calibri"/>
        </w:rPr>
      </w:pPr>
      <w:r w:rsidRPr="00E8017E">
        <w:rPr>
          <w:rFonts w:eastAsia="Calibri"/>
        </w:rPr>
        <w:t>A Channel referral log report</w:t>
      </w:r>
      <w:r w:rsidR="00617674">
        <w:rPr>
          <w:rFonts w:eastAsia="Calibri"/>
        </w:rPr>
        <w:t>ed</w:t>
      </w:r>
      <w:r w:rsidRPr="00E8017E">
        <w:rPr>
          <w:rFonts w:eastAsia="Calibri"/>
        </w:rPr>
        <w:t xml:space="preserve"> how a learner in the learning resource centre (LRC) was able to circumvent computer firewalls and access an ISIS video showing a person being beheaded. The LRC staff did not notice or intervene</w:t>
      </w:r>
      <w:r w:rsidR="00A615D0">
        <w:rPr>
          <w:rFonts w:eastAsia="Calibri"/>
        </w:rPr>
        <w:t>,</w:t>
      </w:r>
      <w:r w:rsidRPr="00E8017E">
        <w:rPr>
          <w:rFonts w:eastAsia="Calibri"/>
        </w:rPr>
        <w:t xml:space="preserve"> nor did any learner in the LRC.</w:t>
      </w:r>
    </w:p>
    <w:p w14:paraId="6084551B" w14:textId="77777777" w:rsidR="00593497" w:rsidRPr="00E8017E" w:rsidRDefault="00593497" w:rsidP="00593497">
      <w:pPr>
        <w:pStyle w:val="Casestudy"/>
        <w:rPr>
          <w:rFonts w:eastAsia="Calibri"/>
        </w:rPr>
      </w:pPr>
      <w:r w:rsidRPr="00E8017E">
        <w:rPr>
          <w:rFonts w:eastAsia="Calibri"/>
        </w:rPr>
        <w:t>The learner had been watching the video for some time before being challenged by a teacher walking through the LRC. The teacher made the learner close the webpage. The learner showed no remorse about what she had done. The learner received no support or counselling from the college and was not reprimanded in any way.</w:t>
      </w:r>
    </w:p>
    <w:p w14:paraId="4FC1C9F2" w14:textId="63BB9F38" w:rsidR="00593497" w:rsidRPr="00E8017E" w:rsidRDefault="00593497" w:rsidP="00593497">
      <w:pPr>
        <w:pStyle w:val="Casestudy"/>
        <w:rPr>
          <w:rFonts w:eastAsia="Calibri"/>
        </w:rPr>
      </w:pPr>
      <w:r w:rsidRPr="00E8017E">
        <w:rPr>
          <w:rFonts w:eastAsia="Calibri"/>
        </w:rPr>
        <w:t xml:space="preserve">The college reported the incident as a </w:t>
      </w:r>
      <w:r w:rsidR="00C5048D">
        <w:rPr>
          <w:rFonts w:eastAsia="Calibri"/>
        </w:rPr>
        <w:t>‘Prevent’</w:t>
      </w:r>
      <w:r w:rsidRPr="00E8017E">
        <w:rPr>
          <w:rFonts w:eastAsia="Calibri"/>
        </w:rPr>
        <w:t xml:space="preserve"> incident through the Channel process without an internal investigation.</w:t>
      </w:r>
      <w:r w:rsidR="002C0489" w:rsidRPr="00E8017E">
        <w:rPr>
          <w:rStyle w:val="FootnoteReference"/>
          <w:rFonts w:eastAsia="Calibri"/>
        </w:rPr>
        <w:footnoteReference w:id="5"/>
      </w:r>
      <w:r w:rsidRPr="00E8017E">
        <w:rPr>
          <w:rFonts w:eastAsia="Calibri"/>
        </w:rPr>
        <w:t xml:space="preserve"> The college felt that </w:t>
      </w:r>
      <w:r w:rsidRPr="00E8017E">
        <w:rPr>
          <w:rFonts w:eastAsia="Calibri"/>
        </w:rPr>
        <w:lastRenderedPageBreak/>
        <w:t>the issue was the responsibility of the Channel team and did not take any responsibility as to how the learner managed to access the site.</w:t>
      </w:r>
    </w:p>
    <w:p w14:paraId="586D1A49" w14:textId="046B23BB" w:rsidR="00593497" w:rsidRPr="00EF5B33" w:rsidRDefault="00593497" w:rsidP="00593497">
      <w:pPr>
        <w:pStyle w:val="Numberedparagraph"/>
      </w:pPr>
      <w:r w:rsidRPr="00EF5B33">
        <w:t>The best providers visited ha</w:t>
      </w:r>
      <w:r>
        <w:t>d</w:t>
      </w:r>
      <w:r w:rsidRPr="00EF5B33">
        <w:t xml:space="preserve"> a range of strategies in place to ensure</w:t>
      </w:r>
      <w:r w:rsidR="00A615D0">
        <w:t xml:space="preserve"> that</w:t>
      </w:r>
      <w:r w:rsidRPr="00EF5B33">
        <w:t xml:space="preserve"> learners </w:t>
      </w:r>
      <w:r>
        <w:t xml:space="preserve">were </w:t>
      </w:r>
      <w:r w:rsidRPr="00EF5B33">
        <w:t>safe while using IT. These strategies included:</w:t>
      </w:r>
    </w:p>
    <w:p w14:paraId="6C964666" w14:textId="77777777" w:rsidR="00593497" w:rsidRPr="00906FB7" w:rsidRDefault="00593497" w:rsidP="00906FB7">
      <w:pPr>
        <w:pStyle w:val="Bulletsspaced"/>
        <w:rPr>
          <w:rFonts w:eastAsia="Calibri"/>
        </w:rPr>
      </w:pPr>
      <w:r w:rsidRPr="00906FB7">
        <w:rPr>
          <w:rFonts w:eastAsia="Calibri"/>
        </w:rPr>
        <w:t>closely monitoring IT usage in real time, in order to identify and address inappropriate use of IT, at which computer and by whom</w:t>
      </w:r>
    </w:p>
    <w:p w14:paraId="5C1795C3" w14:textId="2FD82633" w:rsidR="00593497" w:rsidRPr="00906FB7" w:rsidRDefault="00593497" w:rsidP="00906FB7">
      <w:pPr>
        <w:pStyle w:val="Bulletsspaced"/>
        <w:rPr>
          <w:rFonts w:eastAsia="Calibri"/>
        </w:rPr>
      </w:pPr>
      <w:r w:rsidRPr="00906FB7">
        <w:rPr>
          <w:rFonts w:eastAsia="Calibri"/>
        </w:rPr>
        <w:t xml:space="preserve">tracking IT </w:t>
      </w:r>
      <w:r w:rsidR="00FC47AA">
        <w:rPr>
          <w:rFonts w:eastAsia="Calibri"/>
        </w:rPr>
        <w:t>use</w:t>
      </w:r>
      <w:r w:rsidR="00FC47AA" w:rsidRPr="00906FB7">
        <w:rPr>
          <w:rFonts w:eastAsia="Calibri"/>
        </w:rPr>
        <w:t xml:space="preserve"> </w:t>
      </w:r>
      <w:r w:rsidRPr="00906FB7">
        <w:rPr>
          <w:rFonts w:eastAsia="Calibri"/>
        </w:rPr>
        <w:t>on guest log-in</w:t>
      </w:r>
      <w:r w:rsidR="00197052">
        <w:rPr>
          <w:rFonts w:eastAsia="Calibri"/>
        </w:rPr>
        <w:t>s</w:t>
      </w:r>
    </w:p>
    <w:p w14:paraId="0FD94A76" w14:textId="123E39DD" w:rsidR="00593497" w:rsidRPr="00906FB7" w:rsidRDefault="00593497" w:rsidP="00906FB7">
      <w:pPr>
        <w:pStyle w:val="Bulletsspaced"/>
        <w:rPr>
          <w:rFonts w:eastAsia="Calibri"/>
        </w:rPr>
      </w:pPr>
      <w:r w:rsidRPr="00906FB7">
        <w:rPr>
          <w:rFonts w:eastAsia="Calibri"/>
        </w:rPr>
        <w:t>risk-rating learners and sampling IT access</w:t>
      </w:r>
    </w:p>
    <w:p w14:paraId="1E0A4492" w14:textId="77777777" w:rsidR="00593497" w:rsidRPr="00906FB7" w:rsidRDefault="00593497" w:rsidP="00906FB7">
      <w:pPr>
        <w:pStyle w:val="Bulletsspaced"/>
        <w:rPr>
          <w:rFonts w:eastAsia="Calibri"/>
        </w:rPr>
      </w:pPr>
      <w:r w:rsidRPr="00906FB7">
        <w:rPr>
          <w:rFonts w:eastAsia="Calibri"/>
        </w:rPr>
        <w:t>daily reports to senior leaders of attempts to access inappropriate websites</w:t>
      </w:r>
    </w:p>
    <w:p w14:paraId="0AF55542" w14:textId="783E83C3" w:rsidR="00593497" w:rsidRPr="00906FB7" w:rsidRDefault="00593497" w:rsidP="00906FB7">
      <w:pPr>
        <w:pStyle w:val="Bulletsspaced"/>
        <w:rPr>
          <w:rFonts w:eastAsia="Calibri"/>
        </w:rPr>
      </w:pPr>
      <w:r w:rsidRPr="00906FB7">
        <w:rPr>
          <w:rFonts w:eastAsia="Calibri"/>
        </w:rPr>
        <w:t>develop</w:t>
      </w:r>
      <w:r w:rsidR="005724C2">
        <w:rPr>
          <w:rFonts w:eastAsia="Calibri"/>
        </w:rPr>
        <w:t xml:space="preserve">ing </w:t>
      </w:r>
      <w:r w:rsidRPr="00906FB7">
        <w:rPr>
          <w:rFonts w:eastAsia="Calibri"/>
        </w:rPr>
        <w:t>stringent firewalls with external providers</w:t>
      </w:r>
    </w:p>
    <w:p w14:paraId="703241ED" w14:textId="06A6376F" w:rsidR="00593497" w:rsidRPr="00D74808" w:rsidRDefault="00593497" w:rsidP="00D74808">
      <w:pPr>
        <w:pStyle w:val="Bulletsspaced-lastbullet"/>
        <w:rPr>
          <w:rFonts w:eastAsia="Calibri"/>
        </w:rPr>
      </w:pPr>
      <w:proofErr w:type="gramStart"/>
      <w:r w:rsidRPr="00906FB7">
        <w:rPr>
          <w:rFonts w:eastAsia="Calibri"/>
        </w:rPr>
        <w:t>sharing</w:t>
      </w:r>
      <w:proofErr w:type="gramEnd"/>
      <w:r w:rsidRPr="00906FB7">
        <w:rPr>
          <w:rFonts w:eastAsia="Calibri"/>
        </w:rPr>
        <w:t xml:space="preserve"> data regarding ‘popular’ contentious and blocked websites that learners had attempted to access with police </w:t>
      </w:r>
      <w:r w:rsidR="00C5048D">
        <w:rPr>
          <w:rFonts w:eastAsia="Calibri"/>
        </w:rPr>
        <w:t>‘Prevent’</w:t>
      </w:r>
      <w:r w:rsidRPr="00906FB7">
        <w:rPr>
          <w:rFonts w:eastAsia="Calibri"/>
        </w:rPr>
        <w:t xml:space="preserve"> teams as part of local intelligence gathering</w:t>
      </w:r>
      <w:r w:rsidRPr="00D74808">
        <w:rPr>
          <w:rFonts w:eastAsia="Calibri"/>
        </w:rPr>
        <w:t>.</w:t>
      </w:r>
    </w:p>
    <w:p w14:paraId="5C10AEBB" w14:textId="1FD0619E" w:rsidR="00593497" w:rsidRPr="00EF5B33" w:rsidRDefault="00593497" w:rsidP="00EE4531">
      <w:pPr>
        <w:pStyle w:val="Numberedparagraph"/>
      </w:pPr>
      <w:r w:rsidRPr="00EF5B33">
        <w:t xml:space="preserve">More than a third of providers did not liaise with external agencies such as </w:t>
      </w:r>
      <w:proofErr w:type="spellStart"/>
      <w:r w:rsidR="00E07112">
        <w:t>Jisc</w:t>
      </w:r>
      <w:proofErr w:type="spellEnd"/>
      <w:r w:rsidRPr="00EF5B33">
        <w:t xml:space="preserve"> to develop IT policies and firewalls. </w:t>
      </w:r>
      <w:proofErr w:type="spellStart"/>
      <w:r w:rsidR="00E07112">
        <w:t>Jisc</w:t>
      </w:r>
      <w:proofErr w:type="spellEnd"/>
      <w:r w:rsidRPr="00EF5B33">
        <w:t xml:space="preserve"> provide</w:t>
      </w:r>
      <w:r>
        <w:t>s</w:t>
      </w:r>
      <w:r w:rsidRPr="00EF5B33">
        <w:t xml:space="preserve"> guidance and support to further education and skills providers in writing IT policies and in developing firewalls for computer systems</w:t>
      </w:r>
      <w:r w:rsidR="00A615D0">
        <w:t>. It</w:t>
      </w:r>
      <w:r w:rsidR="003A662E">
        <w:t xml:space="preserve"> </w:t>
      </w:r>
      <w:r w:rsidR="00F74745">
        <w:t>is</w:t>
      </w:r>
      <w:r w:rsidR="00F74745" w:rsidRPr="00EF5B33">
        <w:t xml:space="preserve"> named</w:t>
      </w:r>
      <w:r w:rsidRPr="00EF5B33">
        <w:t xml:space="preserve"> specifically in the </w:t>
      </w:r>
      <w:r w:rsidR="00C5048D">
        <w:t>‘Prevent’</w:t>
      </w:r>
      <w:r w:rsidRPr="00EF5B33">
        <w:t xml:space="preserve"> duty guidance</w:t>
      </w:r>
      <w:r w:rsidR="003A662E">
        <w:t xml:space="preserve">.  </w:t>
      </w:r>
    </w:p>
    <w:p w14:paraId="1AE8CFA9" w14:textId="183D9C3A" w:rsidR="00F74745" w:rsidRDefault="00A615D0" w:rsidP="00F74745">
      <w:pPr>
        <w:pStyle w:val="Numberedparagraph"/>
        <w:rPr>
          <w:rFonts w:eastAsia="Calibri"/>
        </w:rPr>
      </w:pPr>
      <w:r>
        <w:t>The</w:t>
      </w:r>
      <w:r w:rsidR="00593497" w:rsidRPr="00EF5B33">
        <w:t xml:space="preserve"> best providers have liaised closely with external agencies such as </w:t>
      </w:r>
      <w:proofErr w:type="spellStart"/>
      <w:r w:rsidR="00E07112">
        <w:t>Jisc</w:t>
      </w:r>
      <w:proofErr w:type="spellEnd"/>
      <w:r w:rsidR="00593497" w:rsidRPr="00EF5B33">
        <w:t xml:space="preserve"> and have stringent firewalls in place</w:t>
      </w:r>
      <w:r>
        <w:t>. In these providers, l</w:t>
      </w:r>
      <w:r w:rsidR="00593497" w:rsidRPr="00EF5B33">
        <w:t>earners reported that internet safety was stro</w:t>
      </w:r>
      <w:bookmarkStart w:id="35" w:name="_GoBack"/>
      <w:bookmarkEnd w:id="35"/>
      <w:r w:rsidR="00593497" w:rsidRPr="00EF5B33">
        <w:t>ng but sometimes felt frustrated that firewalls were too restrictive.</w:t>
      </w:r>
      <w:r w:rsidR="00593497">
        <w:t xml:space="preserve"> However, learners understood that it was to keep them safe </w:t>
      </w:r>
      <w:r w:rsidR="00C5048D">
        <w:t xml:space="preserve">while </w:t>
      </w:r>
      <w:r w:rsidR="00593497">
        <w:t>using IT.</w:t>
      </w:r>
      <w:r w:rsidR="00593497" w:rsidRPr="00EF5B33">
        <w:t xml:space="preserve"> Learners </w:t>
      </w:r>
      <w:r w:rsidR="00593497">
        <w:t>could</w:t>
      </w:r>
      <w:r w:rsidR="00593497" w:rsidRPr="00EF5B33">
        <w:t xml:space="preserve"> access blocked websites if they provided the IT team with reasons for accessing the sites</w:t>
      </w:r>
      <w:r>
        <w:t>:</w:t>
      </w:r>
      <w:r w:rsidR="00593497" w:rsidRPr="00EF5B33">
        <w:t xml:space="preserve"> for example</w:t>
      </w:r>
      <w:r w:rsidR="00593497">
        <w:t>,</w:t>
      </w:r>
      <w:r w:rsidR="00593497" w:rsidRPr="00EF5B33">
        <w:t xml:space="preserve"> research for history, politics, theology </w:t>
      </w:r>
      <w:r w:rsidR="00593497">
        <w:t>or</w:t>
      </w:r>
      <w:r w:rsidR="00593497" w:rsidRPr="00EF5B33">
        <w:t xml:space="preserve"> public services. </w:t>
      </w:r>
      <w:bookmarkStart w:id="36" w:name="_Toc447732123"/>
    </w:p>
    <w:p w14:paraId="7769AA8E" w14:textId="104D6D3A" w:rsidR="00593497" w:rsidRPr="00084715" w:rsidRDefault="00593497" w:rsidP="00F74745">
      <w:pPr>
        <w:pStyle w:val="Numberedparagraph"/>
        <w:numPr>
          <w:ilvl w:val="0"/>
          <w:numId w:val="0"/>
        </w:numPr>
        <w:rPr>
          <w:rFonts w:eastAsia="Calibri"/>
          <w:b/>
          <w:sz w:val="28"/>
          <w:szCs w:val="28"/>
        </w:rPr>
      </w:pPr>
      <w:r w:rsidRPr="00084715">
        <w:rPr>
          <w:rFonts w:eastAsia="Calibri"/>
          <w:b/>
          <w:sz w:val="28"/>
          <w:szCs w:val="28"/>
        </w:rPr>
        <w:t>Conclusion</w:t>
      </w:r>
      <w:bookmarkEnd w:id="36"/>
    </w:p>
    <w:p w14:paraId="2BC0F064" w14:textId="6286D16B" w:rsidR="00593497" w:rsidRPr="00FF1EAF" w:rsidRDefault="00593497" w:rsidP="00593497">
      <w:pPr>
        <w:pStyle w:val="Numberedparagraph"/>
        <w:rPr>
          <w:rFonts w:eastAsia="Calibri"/>
        </w:rPr>
      </w:pPr>
      <w:r>
        <w:rPr>
          <w:rFonts w:eastAsia="Calibri"/>
        </w:rPr>
        <w:t xml:space="preserve">The focused visits and routine inspections were conducted at a very early point following the </w:t>
      </w:r>
      <w:r w:rsidR="00C5048D">
        <w:rPr>
          <w:rFonts w:eastAsia="Calibri"/>
        </w:rPr>
        <w:t>‘Prevent’</w:t>
      </w:r>
      <w:r>
        <w:rPr>
          <w:rFonts w:eastAsia="Calibri"/>
        </w:rPr>
        <w:t xml:space="preserve"> duty</w:t>
      </w:r>
      <w:r w:rsidR="00A615D0">
        <w:rPr>
          <w:rFonts w:eastAsia="Calibri"/>
        </w:rPr>
        <w:t xml:space="preserve"> becoming mandatory</w:t>
      </w:r>
      <w:r>
        <w:rPr>
          <w:rFonts w:eastAsia="Calibri"/>
        </w:rPr>
        <w:t xml:space="preserve">. It is still early days and providers still see the implementation of the </w:t>
      </w:r>
      <w:r w:rsidR="00C5048D">
        <w:rPr>
          <w:rFonts w:eastAsia="Calibri"/>
        </w:rPr>
        <w:t>‘Prevent’</w:t>
      </w:r>
      <w:r>
        <w:rPr>
          <w:rFonts w:eastAsia="Calibri"/>
        </w:rPr>
        <w:t xml:space="preserve"> duty as a work in progress. Providers now must work more quickly to ensure that learners are protected against the threats of radicalisation and extremism. We have seen through the good practice identified in this survey that proactive providers were fully prepared for the implementation of the </w:t>
      </w:r>
      <w:r w:rsidR="00C5048D">
        <w:rPr>
          <w:rFonts w:eastAsia="Calibri"/>
        </w:rPr>
        <w:t>‘Prevent’</w:t>
      </w:r>
      <w:r>
        <w:rPr>
          <w:rFonts w:eastAsia="Calibri"/>
        </w:rPr>
        <w:t xml:space="preserve"> duty. The </w:t>
      </w:r>
      <w:r w:rsidR="002B4CDC">
        <w:rPr>
          <w:rFonts w:eastAsia="Calibri"/>
        </w:rPr>
        <w:t xml:space="preserve">whole of the </w:t>
      </w:r>
      <w:r>
        <w:rPr>
          <w:rFonts w:eastAsia="Calibri"/>
        </w:rPr>
        <w:t xml:space="preserve">further education and skills sector must embrace the </w:t>
      </w:r>
      <w:r w:rsidR="00C5048D">
        <w:rPr>
          <w:rFonts w:eastAsia="Calibri"/>
        </w:rPr>
        <w:t>‘Prevent’</w:t>
      </w:r>
      <w:r>
        <w:rPr>
          <w:rFonts w:eastAsia="Calibri"/>
        </w:rPr>
        <w:t xml:space="preserve"> duty and ensure robust </w:t>
      </w:r>
      <w:r w:rsidR="00A615D0">
        <w:rPr>
          <w:rFonts w:eastAsia="Calibri"/>
        </w:rPr>
        <w:t>application</w:t>
      </w:r>
      <w:r>
        <w:rPr>
          <w:rFonts w:eastAsia="Calibri"/>
        </w:rPr>
        <w:t xml:space="preserve"> </w:t>
      </w:r>
      <w:r w:rsidR="00A615D0">
        <w:rPr>
          <w:rFonts w:eastAsia="Calibri"/>
        </w:rPr>
        <w:t>to</w:t>
      </w:r>
      <w:r>
        <w:rPr>
          <w:rFonts w:eastAsia="Calibri"/>
        </w:rPr>
        <w:t xml:space="preserve"> keep learners safe.</w:t>
      </w:r>
    </w:p>
    <w:p w14:paraId="4DB1C0C0" w14:textId="77777777" w:rsidR="00DE539D" w:rsidRDefault="00DE539D">
      <w:pPr>
        <w:rPr>
          <w:b/>
        </w:rPr>
      </w:pPr>
      <w:bookmarkStart w:id="37" w:name="_Toc452042058"/>
      <w:r>
        <w:rPr>
          <w:b/>
        </w:rPr>
        <w:br w:type="page"/>
      </w:r>
    </w:p>
    <w:p w14:paraId="23D2E7E6" w14:textId="238F5B64" w:rsidR="00593497" w:rsidRPr="00593497" w:rsidRDefault="00593497" w:rsidP="00593497">
      <w:pPr>
        <w:pStyle w:val="Unnumberedparagraph"/>
        <w:rPr>
          <w:b/>
        </w:rPr>
      </w:pPr>
      <w:r w:rsidRPr="00593497">
        <w:rPr>
          <w:b/>
        </w:rPr>
        <w:lastRenderedPageBreak/>
        <w:t>Research publications feedback</w:t>
      </w:r>
      <w:bookmarkEnd w:id="37"/>
    </w:p>
    <w:p w14:paraId="6D17258A" w14:textId="77777777" w:rsidR="00593497" w:rsidRPr="00E8017E" w:rsidRDefault="00593497" w:rsidP="00593497">
      <w:pPr>
        <w:pStyle w:val="Unnumberedparagraph"/>
      </w:pPr>
      <w:r w:rsidRPr="00E8017E">
        <w:t xml:space="preserve">We are interested in finding out how useful you have found this publication. </w:t>
      </w:r>
    </w:p>
    <w:p w14:paraId="2C0807CF" w14:textId="4F01343C" w:rsidR="00593497" w:rsidRPr="00E8017E" w:rsidRDefault="00593497" w:rsidP="00593497">
      <w:pPr>
        <w:pStyle w:val="Unnumberedparagraph"/>
      </w:pPr>
      <w:r w:rsidRPr="00E8017E">
        <w:t xml:space="preserve">Are you thinking of putting these ideas into practice; or already doing something similar that could help other providers; or are you just interested? We would welcome your views and ideas. </w:t>
      </w:r>
      <w:r w:rsidR="00DE539D">
        <w:t>Let us know in</w:t>
      </w:r>
      <w:r w:rsidR="00DE539D" w:rsidRPr="00E8017E">
        <w:t xml:space="preserve"> </w:t>
      </w:r>
      <w:r w:rsidRPr="00E8017E">
        <w:t>our survey</w:t>
      </w:r>
      <w:r w:rsidR="00DE539D">
        <w:t xml:space="preserve">: </w:t>
      </w:r>
      <w:hyperlink r:id="rId16" w:history="1">
        <w:r w:rsidR="00DE539D" w:rsidRPr="005A2DE4">
          <w:rPr>
            <w:rStyle w:val="Hyperlink"/>
          </w:rPr>
          <w:t>www.surveymonkey.com/r/researchpublications</w:t>
        </w:r>
      </w:hyperlink>
      <w:r w:rsidR="00DE539D">
        <w:t xml:space="preserve">. </w:t>
      </w:r>
    </w:p>
    <w:p w14:paraId="4B206099" w14:textId="77777777" w:rsidR="00593497" w:rsidRPr="00D32808" w:rsidRDefault="00593497" w:rsidP="00593497">
      <w:pPr>
        <w:pStyle w:val="Heading1"/>
      </w:pPr>
      <w:bookmarkStart w:id="38" w:name="_Toc447729298"/>
      <w:r>
        <w:br w:type="page"/>
      </w:r>
      <w:bookmarkStart w:id="39" w:name="_Toc447732124"/>
      <w:bookmarkStart w:id="40" w:name="_Toc454282647"/>
      <w:r w:rsidRPr="00D32808">
        <w:lastRenderedPageBreak/>
        <w:t>Notes</w:t>
      </w:r>
      <w:bookmarkEnd w:id="38"/>
      <w:bookmarkEnd w:id="39"/>
      <w:bookmarkEnd w:id="40"/>
    </w:p>
    <w:p w14:paraId="5F55A43F" w14:textId="590B58DA" w:rsidR="00906FB7" w:rsidRDefault="00593497" w:rsidP="00906FB7">
      <w:pPr>
        <w:pStyle w:val="Unnumberedparagraph"/>
      </w:pPr>
      <w:bookmarkStart w:id="41" w:name="_Toc260827248"/>
      <w:bookmarkStart w:id="42" w:name="_Toc273346317"/>
      <w:r w:rsidRPr="00E8017E">
        <w:t xml:space="preserve">The aim of this survey was to establish how well further education and skills providers were implementing the </w:t>
      </w:r>
      <w:r w:rsidR="00C5048D">
        <w:t>‘Prevent’</w:t>
      </w:r>
      <w:r w:rsidRPr="00E8017E">
        <w:t xml:space="preserve"> duty. As the </w:t>
      </w:r>
      <w:r w:rsidR="00C5048D">
        <w:t>‘Prevent’</w:t>
      </w:r>
      <w:r w:rsidRPr="00E8017E">
        <w:t xml:space="preserve"> duty was </w:t>
      </w:r>
      <w:r w:rsidR="00DE0440">
        <w:t>introduced</w:t>
      </w:r>
      <w:r w:rsidR="00DE0440" w:rsidRPr="00E8017E">
        <w:t xml:space="preserve"> </w:t>
      </w:r>
      <w:r w:rsidRPr="00E8017E">
        <w:t xml:space="preserve">in September 2015, there are no previous inspection findings to support the survey. </w:t>
      </w:r>
    </w:p>
    <w:p w14:paraId="738AE65E" w14:textId="2FC521F7" w:rsidR="00593497" w:rsidRPr="00906FB7" w:rsidRDefault="00DE0440" w:rsidP="00906FB7">
      <w:pPr>
        <w:pStyle w:val="Unnumberedparagraph"/>
      </w:pPr>
      <w:r>
        <w:t>K</w:t>
      </w:r>
      <w:r w:rsidR="00593497" w:rsidRPr="00922AF3">
        <w:t xml:space="preserve">ey research questions were generated for the fieldwork stage of the survey. </w:t>
      </w:r>
      <w:r w:rsidR="003D5FEB">
        <w:t>These were:</w:t>
      </w:r>
    </w:p>
    <w:p w14:paraId="32B48A0D" w14:textId="27FC4554" w:rsidR="00593497" w:rsidRPr="00922AF3" w:rsidRDefault="00252045" w:rsidP="00593497">
      <w:pPr>
        <w:pStyle w:val="Bulletsspaced"/>
        <w:numPr>
          <w:ilvl w:val="0"/>
          <w:numId w:val="8"/>
        </w:numPr>
        <w:tabs>
          <w:tab w:val="clear" w:pos="567"/>
        </w:tabs>
      </w:pPr>
      <w:proofErr w:type="gramStart"/>
      <w:r>
        <w:t>h</w:t>
      </w:r>
      <w:r w:rsidR="003A662E">
        <w:t>ow</w:t>
      </w:r>
      <w:proofErr w:type="gramEnd"/>
      <w:r w:rsidR="00593497" w:rsidRPr="00922AF3">
        <w:t xml:space="preserve"> does the provider monitor external speakers, visitors and events to ensure</w:t>
      </w:r>
      <w:r w:rsidR="00DE0440">
        <w:t xml:space="preserve"> that</w:t>
      </w:r>
      <w:r w:rsidR="00593497" w:rsidRPr="00922AF3">
        <w:t xml:space="preserve"> learners have a balance of views?</w:t>
      </w:r>
    </w:p>
    <w:p w14:paraId="5320EFC2" w14:textId="13FC7119" w:rsidR="00593497" w:rsidRPr="00922AF3" w:rsidRDefault="00252045" w:rsidP="00593497">
      <w:pPr>
        <w:pStyle w:val="Bulletsspaced"/>
        <w:numPr>
          <w:ilvl w:val="0"/>
          <w:numId w:val="8"/>
        </w:numPr>
        <w:tabs>
          <w:tab w:val="clear" w:pos="567"/>
        </w:tabs>
      </w:pPr>
      <w:proofErr w:type="gramStart"/>
      <w:r>
        <w:t>h</w:t>
      </w:r>
      <w:r w:rsidR="00593497" w:rsidRPr="00922AF3">
        <w:t>ow</w:t>
      </w:r>
      <w:proofErr w:type="gramEnd"/>
      <w:r w:rsidR="00593497" w:rsidRPr="00922AF3">
        <w:t xml:space="preserve"> effective are partnerships in ensuring</w:t>
      </w:r>
      <w:r w:rsidR="00DE0440">
        <w:t xml:space="preserve"> that</w:t>
      </w:r>
      <w:r w:rsidR="00593497" w:rsidRPr="00922AF3">
        <w:t xml:space="preserve"> learners are not radicalised or involved in extremism?</w:t>
      </w:r>
    </w:p>
    <w:p w14:paraId="319AD9EB" w14:textId="38B4DCBE" w:rsidR="00593497" w:rsidRPr="00922AF3" w:rsidRDefault="00252045" w:rsidP="00593497">
      <w:pPr>
        <w:pStyle w:val="Bulletsspaced"/>
        <w:numPr>
          <w:ilvl w:val="0"/>
          <w:numId w:val="8"/>
        </w:numPr>
        <w:tabs>
          <w:tab w:val="clear" w:pos="567"/>
        </w:tabs>
      </w:pPr>
      <w:proofErr w:type="gramStart"/>
      <w:r>
        <w:t>h</w:t>
      </w:r>
      <w:r w:rsidR="003A662E">
        <w:t>ow</w:t>
      </w:r>
      <w:proofErr w:type="gramEnd"/>
      <w:r w:rsidR="00593497" w:rsidRPr="00922AF3">
        <w:t xml:space="preserve"> are risk assessments and action plans </w:t>
      </w:r>
      <w:r w:rsidR="00DE0440">
        <w:t>put into practice,</w:t>
      </w:r>
      <w:r w:rsidR="00DE0440" w:rsidRPr="00922AF3">
        <w:t xml:space="preserve"> </w:t>
      </w:r>
      <w:r w:rsidR="00593497" w:rsidRPr="00922AF3">
        <w:t>and what impact do they have on keeping learners safe from radicalisation and extremism?</w:t>
      </w:r>
    </w:p>
    <w:p w14:paraId="1CA6CA30" w14:textId="6C06FF77" w:rsidR="00593497" w:rsidRPr="00922AF3" w:rsidRDefault="00252045" w:rsidP="00593497">
      <w:pPr>
        <w:pStyle w:val="Bulletsspaced"/>
        <w:numPr>
          <w:ilvl w:val="0"/>
          <w:numId w:val="8"/>
        </w:numPr>
        <w:tabs>
          <w:tab w:val="clear" w:pos="567"/>
        </w:tabs>
      </w:pPr>
      <w:proofErr w:type="gramStart"/>
      <w:r>
        <w:t>h</w:t>
      </w:r>
      <w:r w:rsidR="003A662E">
        <w:t>ow</w:t>
      </w:r>
      <w:proofErr w:type="gramEnd"/>
      <w:r w:rsidR="00593497" w:rsidRPr="00922AF3">
        <w:t xml:space="preserve"> does staff training enable staff to keep learners safe from radicalisation and extremism?</w:t>
      </w:r>
    </w:p>
    <w:p w14:paraId="45A767A8" w14:textId="5E7F47D4" w:rsidR="00593497" w:rsidRPr="00922AF3" w:rsidRDefault="00252045" w:rsidP="00593497">
      <w:pPr>
        <w:pStyle w:val="Bulletsspaced"/>
        <w:numPr>
          <w:ilvl w:val="0"/>
          <w:numId w:val="8"/>
        </w:numPr>
        <w:tabs>
          <w:tab w:val="clear" w:pos="567"/>
        </w:tabs>
      </w:pPr>
      <w:proofErr w:type="gramStart"/>
      <w:r>
        <w:t>h</w:t>
      </w:r>
      <w:r w:rsidR="003A662E">
        <w:t>ow</w:t>
      </w:r>
      <w:proofErr w:type="gramEnd"/>
      <w:r w:rsidR="00593497" w:rsidRPr="00922AF3">
        <w:t xml:space="preserve"> </w:t>
      </w:r>
      <w:r w:rsidR="00593497">
        <w:t>do</w:t>
      </w:r>
      <w:r w:rsidR="00593497" w:rsidRPr="00922AF3">
        <w:t xml:space="preserve"> pastoral welfare and support </w:t>
      </w:r>
      <w:r w:rsidR="00DE0440">
        <w:t xml:space="preserve">staff </w:t>
      </w:r>
      <w:r w:rsidR="00593497" w:rsidRPr="00922AF3">
        <w:t>keep learners safe from radicalisation and extremism?</w:t>
      </w:r>
    </w:p>
    <w:p w14:paraId="4240782A" w14:textId="42743151" w:rsidR="00593497" w:rsidRPr="00593497" w:rsidRDefault="00252045" w:rsidP="00593497">
      <w:pPr>
        <w:pStyle w:val="Bulletsspaced-lastbullet"/>
        <w:numPr>
          <w:ilvl w:val="0"/>
          <w:numId w:val="8"/>
        </w:numPr>
        <w:tabs>
          <w:tab w:val="clear" w:pos="567"/>
        </w:tabs>
      </w:pPr>
      <w:proofErr w:type="gramStart"/>
      <w:r>
        <w:t>h</w:t>
      </w:r>
      <w:r w:rsidR="00593497" w:rsidRPr="00922AF3">
        <w:t>ow</w:t>
      </w:r>
      <w:proofErr w:type="gramEnd"/>
      <w:r w:rsidR="00593497" w:rsidRPr="00922AF3">
        <w:t xml:space="preserve"> effectively are IT policies implemented and how well do they contribute to learner safety?</w:t>
      </w:r>
    </w:p>
    <w:p w14:paraId="03A51AB5" w14:textId="68ADC1C9" w:rsidR="003D5FEB" w:rsidRDefault="00F4754E" w:rsidP="003D5FEB">
      <w:pPr>
        <w:pStyle w:val="Unnumberedparagraph"/>
        <w:rPr>
          <w:rFonts w:eastAsia="Calibri"/>
        </w:rPr>
      </w:pPr>
      <w:r>
        <w:rPr>
          <w:rFonts w:eastAsia="Calibri"/>
        </w:rPr>
        <w:t>To answer these questions</w:t>
      </w:r>
      <w:r w:rsidR="00DE0440">
        <w:rPr>
          <w:rFonts w:eastAsia="Calibri"/>
        </w:rPr>
        <w:t>, HMI</w:t>
      </w:r>
      <w:r>
        <w:rPr>
          <w:rFonts w:eastAsia="Calibri"/>
        </w:rPr>
        <w:t xml:space="preserve"> collected evidence </w:t>
      </w:r>
      <w:r w:rsidR="003D5FEB">
        <w:rPr>
          <w:rFonts w:eastAsia="Calibri"/>
        </w:rPr>
        <w:t xml:space="preserve">from </w:t>
      </w:r>
      <w:r>
        <w:rPr>
          <w:rFonts w:eastAsia="Calibri"/>
        </w:rPr>
        <w:t xml:space="preserve">fieldwork </w:t>
      </w:r>
      <w:r w:rsidR="003D5FEB">
        <w:rPr>
          <w:rFonts w:eastAsia="Calibri"/>
        </w:rPr>
        <w:t>visits to 37</w:t>
      </w:r>
      <w:r w:rsidR="003D5FEB" w:rsidRPr="00B90C34">
        <w:rPr>
          <w:rFonts w:eastAsia="Calibri"/>
        </w:rPr>
        <w:t xml:space="preserve"> </w:t>
      </w:r>
      <w:r>
        <w:rPr>
          <w:rFonts w:eastAsia="Calibri"/>
        </w:rPr>
        <w:t xml:space="preserve">further education and skills </w:t>
      </w:r>
      <w:r w:rsidR="003D5FEB" w:rsidRPr="00B90C34">
        <w:rPr>
          <w:rFonts w:eastAsia="Calibri"/>
        </w:rPr>
        <w:t>providers</w:t>
      </w:r>
      <w:r w:rsidR="00DE0440">
        <w:rPr>
          <w:rFonts w:eastAsia="Calibri"/>
        </w:rPr>
        <w:t>,</w:t>
      </w:r>
      <w:r w:rsidR="003A3976" w:rsidRPr="00B90C34" w:rsidDel="003A3976">
        <w:rPr>
          <w:rFonts w:eastAsia="Calibri"/>
        </w:rPr>
        <w:t xml:space="preserve"> </w:t>
      </w:r>
      <w:r>
        <w:rPr>
          <w:rFonts w:eastAsia="Calibri"/>
        </w:rPr>
        <w:t>geographically dispersed across the country</w:t>
      </w:r>
      <w:r w:rsidR="003A3976">
        <w:rPr>
          <w:rFonts w:eastAsia="Calibri"/>
        </w:rPr>
        <w:t>.</w:t>
      </w:r>
      <w:r w:rsidR="003D5FEB">
        <w:rPr>
          <w:rFonts w:eastAsia="Calibri"/>
        </w:rPr>
        <w:t xml:space="preserve"> </w:t>
      </w:r>
      <w:r w:rsidR="003D5FEB" w:rsidRPr="00B90C34">
        <w:rPr>
          <w:rFonts w:eastAsia="Calibri"/>
        </w:rPr>
        <w:t xml:space="preserve">The sample </w:t>
      </w:r>
      <w:r w:rsidR="002B7ED2">
        <w:rPr>
          <w:rFonts w:eastAsia="Calibri"/>
        </w:rPr>
        <w:t xml:space="preserve">featured </w:t>
      </w:r>
      <w:r w:rsidR="00252045">
        <w:rPr>
          <w:rFonts w:eastAsia="Calibri"/>
        </w:rPr>
        <w:t xml:space="preserve">providers with a </w:t>
      </w:r>
      <w:r w:rsidR="002B7ED2">
        <w:rPr>
          <w:rFonts w:eastAsia="Calibri"/>
        </w:rPr>
        <w:t xml:space="preserve">range of </w:t>
      </w:r>
      <w:r w:rsidR="00252045">
        <w:rPr>
          <w:rFonts w:eastAsia="Calibri"/>
        </w:rPr>
        <w:t>inspection judgements for ‘</w:t>
      </w:r>
      <w:r w:rsidR="002B7ED2">
        <w:rPr>
          <w:rFonts w:eastAsia="Calibri"/>
        </w:rPr>
        <w:t>overall effectiveness</w:t>
      </w:r>
      <w:r w:rsidR="00252045">
        <w:rPr>
          <w:rFonts w:eastAsia="Calibri"/>
        </w:rPr>
        <w:t>’</w:t>
      </w:r>
      <w:r w:rsidR="00DE0440">
        <w:rPr>
          <w:rFonts w:eastAsia="Calibri"/>
        </w:rPr>
        <w:t>,</w:t>
      </w:r>
      <w:r w:rsidR="002B7ED2">
        <w:rPr>
          <w:rFonts w:eastAsia="Calibri"/>
        </w:rPr>
        <w:t xml:space="preserve"> from outstanding to requires improvement.</w:t>
      </w:r>
      <w:r w:rsidR="003D5FEB">
        <w:rPr>
          <w:rFonts w:eastAsia="Calibri"/>
        </w:rPr>
        <w:t xml:space="preserve"> </w:t>
      </w:r>
      <w:r w:rsidR="00DE0440">
        <w:rPr>
          <w:rFonts w:eastAsia="Calibri"/>
        </w:rPr>
        <w:t>Visits were made to:</w:t>
      </w:r>
      <w:r w:rsidR="002B7ED2">
        <w:rPr>
          <w:rFonts w:eastAsia="Calibri"/>
        </w:rPr>
        <w:t xml:space="preserve"> </w:t>
      </w:r>
      <w:r w:rsidR="003D5FEB">
        <w:rPr>
          <w:rFonts w:eastAsia="Calibri"/>
        </w:rPr>
        <w:t>25</w:t>
      </w:r>
      <w:r w:rsidR="003D5FEB" w:rsidRPr="00B90C34">
        <w:rPr>
          <w:rFonts w:eastAsia="Calibri"/>
        </w:rPr>
        <w:t xml:space="preserve"> general further education and </w:t>
      </w:r>
      <w:r w:rsidR="00091152">
        <w:rPr>
          <w:rFonts w:eastAsia="Calibri"/>
        </w:rPr>
        <w:t>sixth form</w:t>
      </w:r>
      <w:r w:rsidR="003D5FEB" w:rsidRPr="00B90C34">
        <w:rPr>
          <w:rFonts w:eastAsia="Calibri"/>
        </w:rPr>
        <w:t xml:space="preserve"> colleges,</w:t>
      </w:r>
      <w:r w:rsidR="003D5FEB">
        <w:rPr>
          <w:rFonts w:eastAsia="Calibri"/>
        </w:rPr>
        <w:t xml:space="preserve"> eight</w:t>
      </w:r>
      <w:r w:rsidR="003D5FEB" w:rsidRPr="00B90C34">
        <w:rPr>
          <w:rFonts w:eastAsia="Calibri"/>
        </w:rPr>
        <w:t xml:space="preserve"> independent learning providers, </w:t>
      </w:r>
      <w:r w:rsidR="003D5FEB">
        <w:rPr>
          <w:rFonts w:eastAsia="Calibri"/>
        </w:rPr>
        <w:t xml:space="preserve">two </w:t>
      </w:r>
      <w:r w:rsidR="003D5FEB" w:rsidRPr="00B90C34">
        <w:rPr>
          <w:rFonts w:eastAsia="Calibri"/>
        </w:rPr>
        <w:t xml:space="preserve">community learning and skills providers, </w:t>
      </w:r>
      <w:r w:rsidR="003D5FEB">
        <w:rPr>
          <w:rFonts w:eastAsia="Calibri"/>
        </w:rPr>
        <w:t xml:space="preserve">one </w:t>
      </w:r>
      <w:r w:rsidR="003D5FEB" w:rsidRPr="00B90C34">
        <w:rPr>
          <w:rFonts w:eastAsia="Calibri"/>
        </w:rPr>
        <w:t>independent specialist college and</w:t>
      </w:r>
      <w:r w:rsidR="003D5FEB">
        <w:rPr>
          <w:rFonts w:eastAsia="Calibri"/>
        </w:rPr>
        <w:t xml:space="preserve"> one</w:t>
      </w:r>
      <w:r w:rsidR="003D5FEB" w:rsidRPr="00B90C34">
        <w:rPr>
          <w:rFonts w:eastAsia="Calibri"/>
        </w:rPr>
        <w:t xml:space="preserve"> employer.</w:t>
      </w:r>
    </w:p>
    <w:p w14:paraId="6DFB56C7" w14:textId="5D962ECB" w:rsidR="00593497" w:rsidRPr="00906FB7" w:rsidRDefault="00593497" w:rsidP="00906FB7">
      <w:pPr>
        <w:pStyle w:val="Unnumberedparagraph"/>
      </w:pPr>
      <w:r w:rsidRPr="00906FB7">
        <w:t xml:space="preserve">During the visits, inspectors interviewed approximately 230 managers, 220 teachers and support staff, 79 provider-designated </w:t>
      </w:r>
      <w:r w:rsidR="00C5048D">
        <w:t>‘Prevent’</w:t>
      </w:r>
      <w:r w:rsidRPr="00906FB7">
        <w:t xml:space="preserve"> officers, 425 learners, 63 partners and 52 governors. Inspectors also interviewed BIS </w:t>
      </w:r>
      <w:r w:rsidR="00C5048D">
        <w:t>‘Prevent’</w:t>
      </w:r>
      <w:r w:rsidRPr="00906FB7">
        <w:t xml:space="preserve"> coordinators, police </w:t>
      </w:r>
      <w:r w:rsidR="00C5048D">
        <w:t>‘Prevent’</w:t>
      </w:r>
      <w:r w:rsidRPr="00906FB7">
        <w:t xml:space="preserve"> coordinators, local authority </w:t>
      </w:r>
      <w:r w:rsidR="00C5048D">
        <w:t>‘Prevent’</w:t>
      </w:r>
      <w:r w:rsidRPr="00906FB7">
        <w:t xml:space="preserve"> coordinators and staff from community partnerships.</w:t>
      </w:r>
      <w:r w:rsidR="002B7ED2">
        <w:t xml:space="preserve"> </w:t>
      </w:r>
      <w:r w:rsidR="00DE0440">
        <w:t>HMI</w:t>
      </w:r>
      <w:r w:rsidRPr="00906FB7">
        <w:t xml:space="preserve"> reviewed a range of documentation</w:t>
      </w:r>
      <w:r w:rsidR="00DE0440">
        <w:t>,</w:t>
      </w:r>
      <w:r w:rsidRPr="00906FB7">
        <w:t xml:space="preserve"> including policies and procedures for external speakers and visits, IT, staff training, partnership working and the use of faith rooms. Risk assessments, action plans, staff training logs, IT logs, internal </w:t>
      </w:r>
      <w:r w:rsidR="00C5048D">
        <w:t>‘Prevent’</w:t>
      </w:r>
      <w:r w:rsidRPr="00906FB7">
        <w:t xml:space="preserve"> and external Channel referrals and tutorial planning documents were also reviewed. </w:t>
      </w:r>
    </w:p>
    <w:p w14:paraId="64E8A9C0" w14:textId="529D51D6" w:rsidR="00593497" w:rsidRDefault="00593497" w:rsidP="00593497">
      <w:pPr>
        <w:pStyle w:val="Unnumberedparagraph"/>
        <w:rPr>
          <w:color w:val="auto"/>
        </w:rPr>
      </w:pPr>
      <w:r w:rsidRPr="00906FB7">
        <w:t>Inspectors corroborated the findings alongside evidence from 4</w:t>
      </w:r>
      <w:r w:rsidR="00091BB7">
        <w:t>6</w:t>
      </w:r>
      <w:r w:rsidRPr="00906FB7">
        <w:t xml:space="preserve"> routine further education and skills inspections or monitoring visits that took place between November 2015 and May 2016.</w:t>
      </w:r>
      <w:r>
        <w:rPr>
          <w:color w:val="auto"/>
        </w:rPr>
        <w:br w:type="page"/>
      </w:r>
    </w:p>
    <w:p w14:paraId="4CC51898" w14:textId="71B495FD" w:rsidR="00593497" w:rsidRPr="007317E8" w:rsidRDefault="00593497" w:rsidP="00593497">
      <w:pPr>
        <w:pStyle w:val="Heading1"/>
      </w:pPr>
      <w:bookmarkStart w:id="43" w:name="_Toc260827249"/>
      <w:bookmarkStart w:id="44" w:name="_Toc273346318"/>
      <w:bookmarkStart w:id="45" w:name="_Toc447732125"/>
      <w:bookmarkStart w:id="46" w:name="_Toc454282648"/>
      <w:bookmarkEnd w:id="41"/>
      <w:bookmarkEnd w:id="42"/>
      <w:r w:rsidRPr="007317E8">
        <w:lastRenderedPageBreak/>
        <w:t>Annex A</w:t>
      </w:r>
      <w:bookmarkEnd w:id="43"/>
      <w:bookmarkEnd w:id="44"/>
      <w:bookmarkEnd w:id="45"/>
      <w:r>
        <w:t>:</w:t>
      </w:r>
      <w:r w:rsidR="00DE0440">
        <w:t xml:space="preserve"> List of</w:t>
      </w:r>
      <w:r>
        <w:t xml:space="preserve"> providers visited</w:t>
      </w:r>
      <w:bookmarkEnd w:id="46"/>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3119"/>
      </w:tblGrid>
      <w:tr w:rsidR="00593497" w:rsidRPr="007317E8" w14:paraId="0EA8F0B1" w14:textId="77777777" w:rsidTr="003D5FEB">
        <w:trPr>
          <w:trHeight w:val="255"/>
        </w:trPr>
        <w:tc>
          <w:tcPr>
            <w:tcW w:w="6242" w:type="dxa"/>
            <w:noWrap/>
            <w:vAlign w:val="bottom"/>
            <w:hideMark/>
          </w:tcPr>
          <w:p w14:paraId="404D63FF" w14:textId="77777777" w:rsidR="00593497" w:rsidRPr="007317E8" w:rsidRDefault="00593497" w:rsidP="003D5FEB">
            <w:pPr>
              <w:pStyle w:val="Tableheader-left"/>
              <w:rPr>
                <w:color w:val="auto"/>
              </w:rPr>
            </w:pPr>
            <w:r w:rsidRPr="007317E8">
              <w:rPr>
                <w:color w:val="auto"/>
              </w:rPr>
              <w:t>Provider</w:t>
            </w:r>
          </w:p>
        </w:tc>
        <w:tc>
          <w:tcPr>
            <w:tcW w:w="3119" w:type="dxa"/>
            <w:noWrap/>
            <w:vAlign w:val="bottom"/>
            <w:hideMark/>
          </w:tcPr>
          <w:p w14:paraId="7402133D" w14:textId="77777777" w:rsidR="00593497" w:rsidRPr="007317E8" w:rsidRDefault="00593497" w:rsidP="003D5FEB">
            <w:pPr>
              <w:pStyle w:val="Tableheader-left"/>
              <w:rPr>
                <w:color w:val="auto"/>
              </w:rPr>
            </w:pPr>
            <w:r w:rsidRPr="007317E8">
              <w:rPr>
                <w:color w:val="auto"/>
              </w:rPr>
              <w:t>Local authority</w:t>
            </w:r>
          </w:p>
        </w:tc>
      </w:tr>
      <w:tr w:rsidR="00593497" w:rsidRPr="007317E8" w14:paraId="4228FE20" w14:textId="77777777" w:rsidTr="003D5FEB">
        <w:trPr>
          <w:trHeight w:val="255"/>
        </w:trPr>
        <w:tc>
          <w:tcPr>
            <w:tcW w:w="6242" w:type="dxa"/>
            <w:noWrap/>
            <w:vAlign w:val="bottom"/>
          </w:tcPr>
          <w:p w14:paraId="02266E93" w14:textId="77777777" w:rsidR="00593497" w:rsidRPr="007317E8" w:rsidRDefault="00593497" w:rsidP="003D5FEB">
            <w:pPr>
              <w:pStyle w:val="Tabletext-left"/>
              <w:rPr>
                <w:color w:val="auto"/>
              </w:rPr>
            </w:pPr>
            <w:r>
              <w:rPr>
                <w:color w:val="auto"/>
              </w:rPr>
              <w:t>Boston College</w:t>
            </w:r>
          </w:p>
        </w:tc>
        <w:tc>
          <w:tcPr>
            <w:tcW w:w="3119" w:type="dxa"/>
            <w:noWrap/>
            <w:vAlign w:val="bottom"/>
          </w:tcPr>
          <w:p w14:paraId="176CC0B1" w14:textId="77777777" w:rsidR="00593497" w:rsidRPr="001A2D30" w:rsidRDefault="00593497" w:rsidP="003D5FEB">
            <w:pPr>
              <w:rPr>
                <w:color w:val="auto"/>
                <w:sz w:val="22"/>
                <w:szCs w:val="22"/>
              </w:rPr>
            </w:pPr>
            <w:r w:rsidRPr="001A2D30">
              <w:rPr>
                <w:color w:val="auto"/>
                <w:sz w:val="22"/>
                <w:szCs w:val="22"/>
              </w:rPr>
              <w:t>Lincolnshire</w:t>
            </w:r>
          </w:p>
        </w:tc>
      </w:tr>
      <w:tr w:rsidR="00593497" w:rsidRPr="007317E8" w14:paraId="54DDBCAE" w14:textId="77777777" w:rsidTr="003D5FEB">
        <w:trPr>
          <w:trHeight w:val="255"/>
        </w:trPr>
        <w:tc>
          <w:tcPr>
            <w:tcW w:w="6242" w:type="dxa"/>
            <w:noWrap/>
            <w:vAlign w:val="bottom"/>
          </w:tcPr>
          <w:p w14:paraId="39A9E878" w14:textId="77777777" w:rsidR="00593497" w:rsidRPr="007317E8" w:rsidRDefault="00593497" w:rsidP="003D5FEB">
            <w:pPr>
              <w:pStyle w:val="Tabletext-left"/>
              <w:rPr>
                <w:color w:val="auto"/>
              </w:rPr>
            </w:pPr>
            <w:r>
              <w:rPr>
                <w:color w:val="auto"/>
              </w:rPr>
              <w:t>Burnley College</w:t>
            </w:r>
          </w:p>
        </w:tc>
        <w:tc>
          <w:tcPr>
            <w:tcW w:w="3119" w:type="dxa"/>
            <w:noWrap/>
            <w:vAlign w:val="bottom"/>
          </w:tcPr>
          <w:p w14:paraId="46480B13" w14:textId="77777777" w:rsidR="00593497" w:rsidRPr="001A2D30" w:rsidRDefault="00593497" w:rsidP="003D5FEB">
            <w:pPr>
              <w:rPr>
                <w:color w:val="auto"/>
                <w:sz w:val="22"/>
                <w:szCs w:val="22"/>
              </w:rPr>
            </w:pPr>
            <w:r w:rsidRPr="001A2D30">
              <w:rPr>
                <w:color w:val="auto"/>
                <w:sz w:val="22"/>
                <w:szCs w:val="22"/>
              </w:rPr>
              <w:t>Lancashire</w:t>
            </w:r>
          </w:p>
        </w:tc>
      </w:tr>
      <w:tr w:rsidR="00593497" w:rsidRPr="007317E8" w14:paraId="7A7DE1E9" w14:textId="77777777" w:rsidTr="003D5FEB">
        <w:trPr>
          <w:trHeight w:val="255"/>
        </w:trPr>
        <w:tc>
          <w:tcPr>
            <w:tcW w:w="6242" w:type="dxa"/>
            <w:noWrap/>
            <w:vAlign w:val="bottom"/>
          </w:tcPr>
          <w:p w14:paraId="599C44D0" w14:textId="77777777" w:rsidR="00593497" w:rsidRPr="007317E8" w:rsidRDefault="00593497" w:rsidP="003D5FEB">
            <w:pPr>
              <w:pStyle w:val="Tabletext-left"/>
              <w:rPr>
                <w:color w:val="auto"/>
              </w:rPr>
            </w:pPr>
            <w:r>
              <w:rPr>
                <w:color w:val="auto"/>
              </w:rPr>
              <w:t>Cadbury Sixth Form College</w:t>
            </w:r>
          </w:p>
        </w:tc>
        <w:tc>
          <w:tcPr>
            <w:tcW w:w="3119" w:type="dxa"/>
            <w:noWrap/>
            <w:vAlign w:val="bottom"/>
          </w:tcPr>
          <w:p w14:paraId="5B08C517" w14:textId="77777777" w:rsidR="00593497" w:rsidRPr="001A2D30" w:rsidRDefault="00593497" w:rsidP="003D5FEB">
            <w:pPr>
              <w:rPr>
                <w:color w:val="auto"/>
                <w:sz w:val="22"/>
                <w:szCs w:val="22"/>
              </w:rPr>
            </w:pPr>
            <w:r w:rsidRPr="001A2D30">
              <w:rPr>
                <w:color w:val="auto"/>
                <w:sz w:val="22"/>
                <w:szCs w:val="22"/>
              </w:rPr>
              <w:t>Birmingham</w:t>
            </w:r>
          </w:p>
        </w:tc>
      </w:tr>
      <w:tr w:rsidR="00593497" w:rsidRPr="007317E8" w14:paraId="07723A3A" w14:textId="77777777" w:rsidTr="003D5FEB">
        <w:trPr>
          <w:trHeight w:val="255"/>
        </w:trPr>
        <w:tc>
          <w:tcPr>
            <w:tcW w:w="6242" w:type="dxa"/>
            <w:noWrap/>
            <w:vAlign w:val="bottom"/>
          </w:tcPr>
          <w:p w14:paraId="4A50B0B0" w14:textId="77777777" w:rsidR="00593497" w:rsidRPr="007317E8" w:rsidRDefault="00593497" w:rsidP="003D5FEB">
            <w:pPr>
              <w:pStyle w:val="Tabletext-left"/>
              <w:rPr>
                <w:color w:val="auto"/>
              </w:rPr>
            </w:pPr>
            <w:r>
              <w:rPr>
                <w:color w:val="auto"/>
              </w:rPr>
              <w:t xml:space="preserve">Carshalton College </w:t>
            </w:r>
          </w:p>
        </w:tc>
        <w:tc>
          <w:tcPr>
            <w:tcW w:w="3119" w:type="dxa"/>
            <w:noWrap/>
            <w:vAlign w:val="bottom"/>
          </w:tcPr>
          <w:p w14:paraId="14973252" w14:textId="77777777" w:rsidR="00593497" w:rsidRPr="001A2D30" w:rsidRDefault="00593497" w:rsidP="003D5FEB">
            <w:pPr>
              <w:rPr>
                <w:color w:val="auto"/>
                <w:sz w:val="22"/>
                <w:szCs w:val="22"/>
              </w:rPr>
            </w:pPr>
            <w:r w:rsidRPr="001A2D30">
              <w:rPr>
                <w:color w:val="auto"/>
                <w:sz w:val="22"/>
                <w:szCs w:val="22"/>
              </w:rPr>
              <w:t>Sutton</w:t>
            </w:r>
          </w:p>
        </w:tc>
      </w:tr>
      <w:tr w:rsidR="00593497" w:rsidRPr="007317E8" w14:paraId="798C633A" w14:textId="77777777" w:rsidTr="003D5FEB">
        <w:trPr>
          <w:trHeight w:val="255"/>
        </w:trPr>
        <w:tc>
          <w:tcPr>
            <w:tcW w:w="6242" w:type="dxa"/>
            <w:noWrap/>
            <w:vAlign w:val="bottom"/>
          </w:tcPr>
          <w:p w14:paraId="44306CA8" w14:textId="77777777" w:rsidR="00593497" w:rsidRPr="007317E8" w:rsidRDefault="00593497" w:rsidP="003D5FEB">
            <w:pPr>
              <w:pStyle w:val="Tabletext-left"/>
              <w:rPr>
                <w:color w:val="auto"/>
              </w:rPr>
            </w:pPr>
            <w:r>
              <w:rPr>
                <w:color w:val="auto"/>
              </w:rPr>
              <w:t xml:space="preserve">Cheadle and </w:t>
            </w:r>
            <w:proofErr w:type="spellStart"/>
            <w:r>
              <w:rPr>
                <w:color w:val="auto"/>
              </w:rPr>
              <w:t>Marple</w:t>
            </w:r>
            <w:proofErr w:type="spellEnd"/>
            <w:r>
              <w:rPr>
                <w:color w:val="auto"/>
              </w:rPr>
              <w:t xml:space="preserve"> Sixth Form College</w:t>
            </w:r>
          </w:p>
        </w:tc>
        <w:tc>
          <w:tcPr>
            <w:tcW w:w="3119" w:type="dxa"/>
            <w:noWrap/>
            <w:vAlign w:val="bottom"/>
          </w:tcPr>
          <w:p w14:paraId="10C53B9B" w14:textId="77777777" w:rsidR="00593497" w:rsidRPr="001A2D30" w:rsidRDefault="00593497" w:rsidP="003D5FEB">
            <w:pPr>
              <w:rPr>
                <w:color w:val="auto"/>
                <w:sz w:val="22"/>
                <w:szCs w:val="22"/>
              </w:rPr>
            </w:pPr>
            <w:r w:rsidRPr="001A2D30">
              <w:rPr>
                <w:color w:val="auto"/>
                <w:sz w:val="22"/>
                <w:szCs w:val="22"/>
              </w:rPr>
              <w:t>Stockport</w:t>
            </w:r>
          </w:p>
        </w:tc>
      </w:tr>
      <w:tr w:rsidR="00593497" w:rsidRPr="007317E8" w14:paraId="5FB604F6" w14:textId="77777777" w:rsidTr="003D5FEB">
        <w:trPr>
          <w:trHeight w:val="255"/>
        </w:trPr>
        <w:tc>
          <w:tcPr>
            <w:tcW w:w="6242" w:type="dxa"/>
            <w:noWrap/>
            <w:vAlign w:val="bottom"/>
          </w:tcPr>
          <w:p w14:paraId="19C79192" w14:textId="77777777" w:rsidR="00593497" w:rsidRPr="007317E8" w:rsidRDefault="00593497" w:rsidP="003D5FEB">
            <w:pPr>
              <w:pStyle w:val="Tabletext-left"/>
              <w:rPr>
                <w:color w:val="auto"/>
              </w:rPr>
            </w:pPr>
            <w:r>
              <w:rPr>
                <w:color w:val="auto"/>
              </w:rPr>
              <w:t>Choices 4 All</w:t>
            </w:r>
          </w:p>
        </w:tc>
        <w:tc>
          <w:tcPr>
            <w:tcW w:w="3119" w:type="dxa"/>
            <w:noWrap/>
            <w:vAlign w:val="bottom"/>
          </w:tcPr>
          <w:p w14:paraId="18285E4A" w14:textId="77777777" w:rsidR="00593497" w:rsidRPr="001A2D30" w:rsidRDefault="00593497" w:rsidP="003D5FEB">
            <w:pPr>
              <w:rPr>
                <w:color w:val="auto"/>
                <w:sz w:val="22"/>
                <w:szCs w:val="22"/>
              </w:rPr>
            </w:pPr>
            <w:r w:rsidRPr="001A2D30">
              <w:rPr>
                <w:color w:val="auto"/>
                <w:sz w:val="22"/>
                <w:szCs w:val="22"/>
              </w:rPr>
              <w:t>Harrow</w:t>
            </w:r>
          </w:p>
        </w:tc>
      </w:tr>
      <w:tr w:rsidR="00593497" w:rsidRPr="007317E8" w14:paraId="4F50F528" w14:textId="77777777" w:rsidTr="003D5FEB">
        <w:trPr>
          <w:trHeight w:val="255"/>
        </w:trPr>
        <w:tc>
          <w:tcPr>
            <w:tcW w:w="6242" w:type="dxa"/>
            <w:noWrap/>
            <w:vAlign w:val="bottom"/>
          </w:tcPr>
          <w:p w14:paraId="64E94787" w14:textId="74A252AE" w:rsidR="00593497" w:rsidRPr="007317E8" w:rsidRDefault="005724C2" w:rsidP="005724C2">
            <w:pPr>
              <w:pStyle w:val="Tabletext-left"/>
              <w:rPr>
                <w:color w:val="auto"/>
              </w:rPr>
            </w:pPr>
            <w:proofErr w:type="spellStart"/>
            <w:r>
              <w:rPr>
                <w:color w:val="auto"/>
              </w:rPr>
              <w:t>Coulsdon</w:t>
            </w:r>
            <w:proofErr w:type="spellEnd"/>
            <w:r>
              <w:rPr>
                <w:color w:val="auto"/>
              </w:rPr>
              <w:t xml:space="preserve"> </w:t>
            </w:r>
            <w:r w:rsidR="00593497">
              <w:rPr>
                <w:color w:val="auto"/>
              </w:rPr>
              <w:t>Sixth Form College</w:t>
            </w:r>
          </w:p>
        </w:tc>
        <w:tc>
          <w:tcPr>
            <w:tcW w:w="3119" w:type="dxa"/>
            <w:noWrap/>
            <w:vAlign w:val="bottom"/>
          </w:tcPr>
          <w:p w14:paraId="6469F10A" w14:textId="77777777" w:rsidR="00593497" w:rsidRPr="001A2D30" w:rsidRDefault="00593497" w:rsidP="003D5FEB">
            <w:pPr>
              <w:rPr>
                <w:color w:val="auto"/>
                <w:sz w:val="22"/>
                <w:szCs w:val="22"/>
              </w:rPr>
            </w:pPr>
            <w:r w:rsidRPr="001A2D30">
              <w:rPr>
                <w:color w:val="auto"/>
                <w:sz w:val="22"/>
                <w:szCs w:val="22"/>
              </w:rPr>
              <w:t>Croydon</w:t>
            </w:r>
          </w:p>
        </w:tc>
      </w:tr>
      <w:tr w:rsidR="00593497" w:rsidRPr="007317E8" w14:paraId="3EF8ABC8" w14:textId="77777777" w:rsidTr="003D5FEB">
        <w:trPr>
          <w:trHeight w:val="255"/>
        </w:trPr>
        <w:tc>
          <w:tcPr>
            <w:tcW w:w="6242" w:type="dxa"/>
            <w:noWrap/>
            <w:vAlign w:val="bottom"/>
          </w:tcPr>
          <w:p w14:paraId="6FD9E847" w14:textId="77777777" w:rsidR="00593497" w:rsidRPr="007317E8" w:rsidRDefault="00593497" w:rsidP="003D5FEB">
            <w:pPr>
              <w:pStyle w:val="Tabletext-left"/>
              <w:rPr>
                <w:color w:val="auto"/>
              </w:rPr>
            </w:pPr>
            <w:r>
              <w:rPr>
                <w:color w:val="auto"/>
              </w:rPr>
              <w:t>Crackerjack Training Limited</w:t>
            </w:r>
          </w:p>
        </w:tc>
        <w:tc>
          <w:tcPr>
            <w:tcW w:w="3119" w:type="dxa"/>
            <w:noWrap/>
            <w:vAlign w:val="bottom"/>
          </w:tcPr>
          <w:p w14:paraId="15B0E973" w14:textId="77777777" w:rsidR="00593497" w:rsidRPr="001A2D30" w:rsidRDefault="00593497" w:rsidP="003D5FEB">
            <w:pPr>
              <w:rPr>
                <w:color w:val="auto"/>
                <w:sz w:val="22"/>
                <w:szCs w:val="22"/>
              </w:rPr>
            </w:pPr>
            <w:r w:rsidRPr="001A2D30">
              <w:rPr>
                <w:color w:val="auto"/>
                <w:sz w:val="22"/>
                <w:szCs w:val="22"/>
              </w:rPr>
              <w:t>Birmingham</w:t>
            </w:r>
          </w:p>
        </w:tc>
      </w:tr>
      <w:tr w:rsidR="00593497" w:rsidRPr="007317E8" w14:paraId="0E08488B" w14:textId="77777777" w:rsidTr="003D5FEB">
        <w:trPr>
          <w:trHeight w:val="255"/>
        </w:trPr>
        <w:tc>
          <w:tcPr>
            <w:tcW w:w="6242" w:type="dxa"/>
            <w:noWrap/>
            <w:vAlign w:val="center"/>
          </w:tcPr>
          <w:p w14:paraId="64E2EAAD" w14:textId="77777777" w:rsidR="00593497" w:rsidRPr="007317E8" w:rsidRDefault="00593497" w:rsidP="003D5FEB">
            <w:pPr>
              <w:pStyle w:val="Tabletext-left"/>
              <w:rPr>
                <w:color w:val="auto"/>
              </w:rPr>
            </w:pPr>
            <w:r>
              <w:rPr>
                <w:color w:val="auto"/>
              </w:rPr>
              <w:t>Dudley College of Technology</w:t>
            </w:r>
          </w:p>
        </w:tc>
        <w:tc>
          <w:tcPr>
            <w:tcW w:w="3119" w:type="dxa"/>
            <w:noWrap/>
            <w:vAlign w:val="center"/>
          </w:tcPr>
          <w:p w14:paraId="7051D293" w14:textId="77777777" w:rsidR="00593497" w:rsidRPr="001A2D30" w:rsidRDefault="00593497" w:rsidP="003D5FEB">
            <w:pPr>
              <w:rPr>
                <w:color w:val="auto"/>
                <w:sz w:val="22"/>
                <w:szCs w:val="22"/>
              </w:rPr>
            </w:pPr>
            <w:r w:rsidRPr="001A2D30">
              <w:rPr>
                <w:color w:val="auto"/>
                <w:sz w:val="22"/>
                <w:szCs w:val="22"/>
              </w:rPr>
              <w:t>Dudley</w:t>
            </w:r>
          </w:p>
        </w:tc>
      </w:tr>
      <w:tr w:rsidR="00593497" w:rsidRPr="007317E8" w14:paraId="7053D705" w14:textId="77777777" w:rsidTr="003D5FEB">
        <w:trPr>
          <w:trHeight w:val="255"/>
        </w:trPr>
        <w:tc>
          <w:tcPr>
            <w:tcW w:w="6242" w:type="dxa"/>
            <w:noWrap/>
            <w:vAlign w:val="center"/>
          </w:tcPr>
          <w:p w14:paraId="6ED3A8C7" w14:textId="77777777" w:rsidR="00593497" w:rsidRPr="007317E8" w:rsidRDefault="00593497" w:rsidP="003D5FEB">
            <w:pPr>
              <w:pStyle w:val="Tabletext-left"/>
              <w:rPr>
                <w:color w:val="auto"/>
              </w:rPr>
            </w:pPr>
            <w:r>
              <w:rPr>
                <w:color w:val="auto"/>
              </w:rPr>
              <w:t>Economic Solutions Limited (Manchester Solutions)</w:t>
            </w:r>
          </w:p>
        </w:tc>
        <w:tc>
          <w:tcPr>
            <w:tcW w:w="3119" w:type="dxa"/>
            <w:noWrap/>
            <w:vAlign w:val="center"/>
          </w:tcPr>
          <w:p w14:paraId="48FEC18B" w14:textId="77777777" w:rsidR="00593497" w:rsidRPr="001A2D30" w:rsidRDefault="00593497" w:rsidP="003D5FEB">
            <w:pPr>
              <w:rPr>
                <w:color w:val="auto"/>
                <w:sz w:val="22"/>
                <w:szCs w:val="22"/>
              </w:rPr>
            </w:pPr>
            <w:r w:rsidRPr="001A2D30">
              <w:rPr>
                <w:color w:val="auto"/>
                <w:sz w:val="22"/>
                <w:szCs w:val="22"/>
              </w:rPr>
              <w:t>Manchester</w:t>
            </w:r>
          </w:p>
        </w:tc>
      </w:tr>
      <w:tr w:rsidR="00593497" w:rsidRPr="007317E8" w14:paraId="211403A8" w14:textId="77777777" w:rsidTr="003D5FEB">
        <w:trPr>
          <w:trHeight w:val="255"/>
        </w:trPr>
        <w:tc>
          <w:tcPr>
            <w:tcW w:w="6242" w:type="dxa"/>
            <w:noWrap/>
            <w:vAlign w:val="bottom"/>
          </w:tcPr>
          <w:p w14:paraId="5B6CDFBD" w14:textId="77777777" w:rsidR="00593497" w:rsidRPr="007317E8" w:rsidRDefault="00593497" w:rsidP="003D5FEB">
            <w:pPr>
              <w:pStyle w:val="Tabletext-left"/>
              <w:rPr>
                <w:color w:val="auto"/>
              </w:rPr>
            </w:pPr>
            <w:r>
              <w:rPr>
                <w:color w:val="auto"/>
              </w:rPr>
              <w:t>Gateway Sixth Form College</w:t>
            </w:r>
          </w:p>
        </w:tc>
        <w:tc>
          <w:tcPr>
            <w:tcW w:w="3119" w:type="dxa"/>
            <w:noWrap/>
            <w:vAlign w:val="bottom"/>
          </w:tcPr>
          <w:p w14:paraId="7AD0387D" w14:textId="77777777" w:rsidR="00593497" w:rsidRPr="001A2D30" w:rsidRDefault="00593497" w:rsidP="003D5FEB">
            <w:pPr>
              <w:rPr>
                <w:color w:val="auto"/>
                <w:sz w:val="22"/>
                <w:szCs w:val="22"/>
              </w:rPr>
            </w:pPr>
            <w:r w:rsidRPr="001A2D30">
              <w:rPr>
                <w:color w:val="auto"/>
                <w:sz w:val="22"/>
                <w:szCs w:val="22"/>
              </w:rPr>
              <w:t>Leicester</w:t>
            </w:r>
          </w:p>
        </w:tc>
      </w:tr>
      <w:tr w:rsidR="00593497" w:rsidRPr="007317E8" w14:paraId="4F595E42" w14:textId="77777777" w:rsidTr="003D5FEB">
        <w:trPr>
          <w:trHeight w:val="255"/>
        </w:trPr>
        <w:tc>
          <w:tcPr>
            <w:tcW w:w="6242" w:type="dxa"/>
            <w:noWrap/>
            <w:vAlign w:val="center"/>
          </w:tcPr>
          <w:p w14:paraId="17DCFB68" w14:textId="3F01C4A8" w:rsidR="00593497" w:rsidRPr="007317E8" w:rsidRDefault="00593497" w:rsidP="003D5FEB">
            <w:pPr>
              <w:pStyle w:val="Tabletext-left"/>
              <w:rPr>
                <w:color w:val="auto"/>
              </w:rPr>
            </w:pPr>
            <w:r>
              <w:rPr>
                <w:color w:val="auto"/>
              </w:rPr>
              <w:t>Haringey London Borough Council</w:t>
            </w:r>
          </w:p>
        </w:tc>
        <w:tc>
          <w:tcPr>
            <w:tcW w:w="3119" w:type="dxa"/>
            <w:noWrap/>
            <w:vAlign w:val="center"/>
          </w:tcPr>
          <w:p w14:paraId="13A5812D" w14:textId="77777777" w:rsidR="00593497" w:rsidRPr="001A2D30" w:rsidRDefault="00593497" w:rsidP="003D5FEB">
            <w:pPr>
              <w:rPr>
                <w:color w:val="auto"/>
                <w:sz w:val="22"/>
                <w:szCs w:val="22"/>
              </w:rPr>
            </w:pPr>
            <w:r w:rsidRPr="001A2D30">
              <w:rPr>
                <w:color w:val="auto"/>
                <w:sz w:val="22"/>
                <w:szCs w:val="22"/>
              </w:rPr>
              <w:t>Haringey</w:t>
            </w:r>
          </w:p>
        </w:tc>
      </w:tr>
      <w:tr w:rsidR="00593497" w:rsidRPr="007317E8" w14:paraId="2BD2277E" w14:textId="77777777" w:rsidTr="003D5FEB">
        <w:trPr>
          <w:trHeight w:val="255"/>
        </w:trPr>
        <w:tc>
          <w:tcPr>
            <w:tcW w:w="6242" w:type="dxa"/>
            <w:noWrap/>
            <w:vAlign w:val="center"/>
          </w:tcPr>
          <w:p w14:paraId="3281EBAF" w14:textId="77777777" w:rsidR="00593497" w:rsidRDefault="00593497" w:rsidP="003D5FEB">
            <w:pPr>
              <w:pStyle w:val="Tabletext-left"/>
              <w:rPr>
                <w:color w:val="auto"/>
              </w:rPr>
            </w:pPr>
            <w:proofErr w:type="spellStart"/>
            <w:r>
              <w:rPr>
                <w:color w:val="auto"/>
              </w:rPr>
              <w:t>Homefield</w:t>
            </w:r>
            <w:proofErr w:type="spellEnd"/>
            <w:r>
              <w:rPr>
                <w:color w:val="auto"/>
              </w:rPr>
              <w:t xml:space="preserve"> College</w:t>
            </w:r>
          </w:p>
        </w:tc>
        <w:tc>
          <w:tcPr>
            <w:tcW w:w="3119" w:type="dxa"/>
            <w:noWrap/>
            <w:vAlign w:val="center"/>
          </w:tcPr>
          <w:p w14:paraId="3D3B6D05" w14:textId="77777777" w:rsidR="00593497" w:rsidRPr="001A2D30" w:rsidRDefault="00593497" w:rsidP="003D5FEB">
            <w:pPr>
              <w:rPr>
                <w:color w:val="auto"/>
                <w:sz w:val="22"/>
                <w:szCs w:val="22"/>
              </w:rPr>
            </w:pPr>
            <w:r w:rsidRPr="001A2D30">
              <w:rPr>
                <w:color w:val="auto"/>
                <w:sz w:val="22"/>
                <w:szCs w:val="22"/>
              </w:rPr>
              <w:t>Leicestershire</w:t>
            </w:r>
          </w:p>
        </w:tc>
      </w:tr>
      <w:tr w:rsidR="00593497" w:rsidRPr="007317E8" w14:paraId="1DE8CAAC" w14:textId="77777777" w:rsidTr="003D5FEB">
        <w:trPr>
          <w:trHeight w:val="255"/>
        </w:trPr>
        <w:tc>
          <w:tcPr>
            <w:tcW w:w="6242" w:type="dxa"/>
            <w:noWrap/>
            <w:vAlign w:val="center"/>
          </w:tcPr>
          <w:p w14:paraId="3841DBF9" w14:textId="77777777" w:rsidR="00593497" w:rsidRDefault="00593497" w:rsidP="003D5FEB">
            <w:pPr>
              <w:pStyle w:val="Tabletext-left"/>
              <w:rPr>
                <w:color w:val="auto"/>
              </w:rPr>
            </w:pPr>
            <w:r>
              <w:rPr>
                <w:color w:val="auto"/>
              </w:rPr>
              <w:t xml:space="preserve">Huntingdonshire Regional College </w:t>
            </w:r>
          </w:p>
        </w:tc>
        <w:tc>
          <w:tcPr>
            <w:tcW w:w="3119" w:type="dxa"/>
            <w:noWrap/>
            <w:vAlign w:val="center"/>
          </w:tcPr>
          <w:p w14:paraId="51A0B912" w14:textId="77777777" w:rsidR="00593497" w:rsidRPr="001A2D30" w:rsidRDefault="00593497" w:rsidP="003D5FEB">
            <w:pPr>
              <w:rPr>
                <w:color w:val="auto"/>
                <w:sz w:val="22"/>
                <w:szCs w:val="22"/>
              </w:rPr>
            </w:pPr>
            <w:r w:rsidRPr="001A2D30">
              <w:rPr>
                <w:color w:val="auto"/>
                <w:sz w:val="22"/>
                <w:szCs w:val="22"/>
              </w:rPr>
              <w:t>Cambridgeshire</w:t>
            </w:r>
          </w:p>
        </w:tc>
      </w:tr>
      <w:tr w:rsidR="00593497" w:rsidRPr="007317E8" w14:paraId="4AB6A3A3" w14:textId="77777777" w:rsidTr="003D5FEB">
        <w:trPr>
          <w:trHeight w:val="255"/>
        </w:trPr>
        <w:tc>
          <w:tcPr>
            <w:tcW w:w="6242" w:type="dxa"/>
            <w:noWrap/>
            <w:vAlign w:val="center"/>
          </w:tcPr>
          <w:p w14:paraId="06B3E7E1" w14:textId="77777777" w:rsidR="00593497" w:rsidRDefault="00593497" w:rsidP="003D5FEB">
            <w:pPr>
              <w:pStyle w:val="Tabletext-left"/>
              <w:rPr>
                <w:color w:val="auto"/>
              </w:rPr>
            </w:pPr>
            <w:r>
              <w:rPr>
                <w:color w:val="auto"/>
              </w:rPr>
              <w:t>Itchen College</w:t>
            </w:r>
          </w:p>
        </w:tc>
        <w:tc>
          <w:tcPr>
            <w:tcW w:w="3119" w:type="dxa"/>
            <w:noWrap/>
            <w:vAlign w:val="center"/>
          </w:tcPr>
          <w:p w14:paraId="3ED3497A" w14:textId="77777777" w:rsidR="00593497" w:rsidRPr="001A2D30" w:rsidRDefault="00593497" w:rsidP="003D5FEB">
            <w:pPr>
              <w:rPr>
                <w:color w:val="auto"/>
                <w:sz w:val="22"/>
                <w:szCs w:val="22"/>
              </w:rPr>
            </w:pPr>
            <w:r w:rsidRPr="001A2D30">
              <w:rPr>
                <w:color w:val="auto"/>
                <w:sz w:val="22"/>
                <w:szCs w:val="22"/>
              </w:rPr>
              <w:t>Southampton</w:t>
            </w:r>
          </w:p>
        </w:tc>
      </w:tr>
      <w:tr w:rsidR="00593497" w:rsidRPr="007317E8" w14:paraId="161ECDE0" w14:textId="77777777" w:rsidTr="003D5FEB">
        <w:trPr>
          <w:trHeight w:val="255"/>
        </w:trPr>
        <w:tc>
          <w:tcPr>
            <w:tcW w:w="6242" w:type="dxa"/>
            <w:noWrap/>
            <w:vAlign w:val="center"/>
          </w:tcPr>
          <w:p w14:paraId="5BB087A5" w14:textId="124AC60A" w:rsidR="00593497" w:rsidRDefault="00593497" w:rsidP="00D31B70">
            <w:pPr>
              <w:pStyle w:val="Tabletext-left"/>
              <w:rPr>
                <w:color w:val="auto"/>
              </w:rPr>
            </w:pPr>
            <w:r>
              <w:rPr>
                <w:color w:val="auto"/>
              </w:rPr>
              <w:t>Jaguar Land</w:t>
            </w:r>
            <w:r w:rsidR="00D31B70">
              <w:rPr>
                <w:color w:val="auto"/>
              </w:rPr>
              <w:t xml:space="preserve"> Rover </w:t>
            </w:r>
            <w:r>
              <w:rPr>
                <w:color w:val="auto"/>
              </w:rPr>
              <w:t>Holdings Limited</w:t>
            </w:r>
          </w:p>
        </w:tc>
        <w:tc>
          <w:tcPr>
            <w:tcW w:w="3119" w:type="dxa"/>
            <w:noWrap/>
            <w:vAlign w:val="center"/>
          </w:tcPr>
          <w:p w14:paraId="1E50A035" w14:textId="77777777" w:rsidR="00593497" w:rsidRPr="001A2D30" w:rsidRDefault="00593497" w:rsidP="003D5FEB">
            <w:pPr>
              <w:rPr>
                <w:color w:val="auto"/>
                <w:sz w:val="22"/>
                <w:szCs w:val="22"/>
              </w:rPr>
            </w:pPr>
            <w:r w:rsidRPr="001A2D30">
              <w:rPr>
                <w:color w:val="auto"/>
                <w:sz w:val="22"/>
                <w:szCs w:val="22"/>
              </w:rPr>
              <w:t>Warwickshire</w:t>
            </w:r>
          </w:p>
        </w:tc>
      </w:tr>
      <w:tr w:rsidR="00593497" w:rsidRPr="007317E8" w14:paraId="4AF863FD" w14:textId="77777777" w:rsidTr="003D5FEB">
        <w:trPr>
          <w:trHeight w:val="255"/>
        </w:trPr>
        <w:tc>
          <w:tcPr>
            <w:tcW w:w="6242" w:type="dxa"/>
            <w:noWrap/>
            <w:vAlign w:val="center"/>
          </w:tcPr>
          <w:p w14:paraId="36CCBBD4" w14:textId="77777777" w:rsidR="00593497" w:rsidRDefault="00593497" w:rsidP="003D5FEB">
            <w:pPr>
              <w:pStyle w:val="Tabletext-left"/>
              <w:rPr>
                <w:color w:val="auto"/>
              </w:rPr>
            </w:pPr>
            <w:r>
              <w:rPr>
                <w:color w:val="auto"/>
              </w:rPr>
              <w:t>Kirklees Council Adult and Community Learning</w:t>
            </w:r>
          </w:p>
        </w:tc>
        <w:tc>
          <w:tcPr>
            <w:tcW w:w="3119" w:type="dxa"/>
            <w:noWrap/>
            <w:vAlign w:val="center"/>
          </w:tcPr>
          <w:p w14:paraId="674E895B" w14:textId="77777777" w:rsidR="00593497" w:rsidRPr="001A2D30" w:rsidRDefault="00593497" w:rsidP="003D5FEB">
            <w:pPr>
              <w:rPr>
                <w:color w:val="auto"/>
                <w:sz w:val="22"/>
                <w:szCs w:val="22"/>
              </w:rPr>
            </w:pPr>
            <w:r w:rsidRPr="001A2D30">
              <w:rPr>
                <w:color w:val="auto"/>
                <w:sz w:val="22"/>
                <w:szCs w:val="22"/>
              </w:rPr>
              <w:t>Kirklees</w:t>
            </w:r>
          </w:p>
        </w:tc>
      </w:tr>
      <w:tr w:rsidR="00593497" w:rsidRPr="007317E8" w14:paraId="35B6C15A" w14:textId="77777777" w:rsidTr="003D5FEB">
        <w:trPr>
          <w:trHeight w:val="255"/>
        </w:trPr>
        <w:tc>
          <w:tcPr>
            <w:tcW w:w="6242" w:type="dxa"/>
            <w:noWrap/>
            <w:vAlign w:val="center"/>
          </w:tcPr>
          <w:p w14:paraId="3620CB62" w14:textId="77777777" w:rsidR="00593497" w:rsidRDefault="00593497" w:rsidP="003D5FEB">
            <w:pPr>
              <w:pStyle w:val="Tabletext-left"/>
              <w:rPr>
                <w:color w:val="auto"/>
              </w:rPr>
            </w:pPr>
            <w:r>
              <w:rPr>
                <w:color w:val="auto"/>
              </w:rPr>
              <w:t>Lancaster and Morecambe College</w:t>
            </w:r>
          </w:p>
        </w:tc>
        <w:tc>
          <w:tcPr>
            <w:tcW w:w="3119" w:type="dxa"/>
            <w:noWrap/>
            <w:vAlign w:val="center"/>
          </w:tcPr>
          <w:p w14:paraId="23274CB7" w14:textId="77777777" w:rsidR="00593497" w:rsidRPr="001A2D30" w:rsidRDefault="00593497" w:rsidP="003D5FEB">
            <w:pPr>
              <w:rPr>
                <w:color w:val="auto"/>
                <w:sz w:val="22"/>
                <w:szCs w:val="22"/>
              </w:rPr>
            </w:pPr>
            <w:r w:rsidRPr="001A2D30">
              <w:rPr>
                <w:color w:val="auto"/>
                <w:sz w:val="22"/>
                <w:szCs w:val="22"/>
              </w:rPr>
              <w:t>Lancashire</w:t>
            </w:r>
          </w:p>
        </w:tc>
      </w:tr>
      <w:tr w:rsidR="00593497" w:rsidRPr="007317E8" w14:paraId="79FBDDFB" w14:textId="77777777" w:rsidTr="003D5FEB">
        <w:trPr>
          <w:trHeight w:val="255"/>
        </w:trPr>
        <w:tc>
          <w:tcPr>
            <w:tcW w:w="6242" w:type="dxa"/>
            <w:noWrap/>
            <w:vAlign w:val="center"/>
          </w:tcPr>
          <w:p w14:paraId="3F246E5D" w14:textId="77777777" w:rsidR="00593497" w:rsidRDefault="00593497" w:rsidP="003D5FEB">
            <w:pPr>
              <w:pStyle w:val="Tabletext-left"/>
              <w:rPr>
                <w:color w:val="auto"/>
              </w:rPr>
            </w:pPr>
            <w:r>
              <w:rPr>
                <w:color w:val="auto"/>
              </w:rPr>
              <w:t>Leeds College of Building</w:t>
            </w:r>
          </w:p>
        </w:tc>
        <w:tc>
          <w:tcPr>
            <w:tcW w:w="3119" w:type="dxa"/>
            <w:noWrap/>
            <w:vAlign w:val="center"/>
          </w:tcPr>
          <w:p w14:paraId="73AAC95D" w14:textId="77777777" w:rsidR="00593497" w:rsidRPr="001A2D30" w:rsidRDefault="00593497" w:rsidP="003D5FEB">
            <w:pPr>
              <w:rPr>
                <w:color w:val="auto"/>
                <w:sz w:val="22"/>
                <w:szCs w:val="22"/>
              </w:rPr>
            </w:pPr>
            <w:r w:rsidRPr="001A2D30">
              <w:rPr>
                <w:color w:val="auto"/>
                <w:sz w:val="22"/>
                <w:szCs w:val="22"/>
              </w:rPr>
              <w:t>Leeds</w:t>
            </w:r>
          </w:p>
        </w:tc>
      </w:tr>
      <w:tr w:rsidR="00593497" w:rsidRPr="007317E8" w14:paraId="63845E29" w14:textId="77777777" w:rsidTr="003D5FEB">
        <w:trPr>
          <w:trHeight w:val="255"/>
        </w:trPr>
        <w:tc>
          <w:tcPr>
            <w:tcW w:w="6242" w:type="dxa"/>
            <w:noWrap/>
            <w:vAlign w:val="center"/>
          </w:tcPr>
          <w:p w14:paraId="4E7FE749" w14:textId="77777777" w:rsidR="00593497" w:rsidRDefault="00593497" w:rsidP="003D5FEB">
            <w:pPr>
              <w:pStyle w:val="Tabletext-left"/>
              <w:rPr>
                <w:color w:val="auto"/>
              </w:rPr>
            </w:pPr>
            <w:r>
              <w:rPr>
                <w:color w:val="auto"/>
              </w:rPr>
              <w:t>Luton Sixth Form College</w:t>
            </w:r>
          </w:p>
        </w:tc>
        <w:tc>
          <w:tcPr>
            <w:tcW w:w="3119" w:type="dxa"/>
            <w:noWrap/>
            <w:vAlign w:val="center"/>
          </w:tcPr>
          <w:p w14:paraId="1BD8B42A" w14:textId="77777777" w:rsidR="00593497" w:rsidRPr="001A2D30" w:rsidRDefault="00593497" w:rsidP="003D5FEB">
            <w:pPr>
              <w:rPr>
                <w:color w:val="auto"/>
                <w:sz w:val="22"/>
                <w:szCs w:val="22"/>
              </w:rPr>
            </w:pPr>
            <w:r w:rsidRPr="001A2D30">
              <w:rPr>
                <w:color w:val="auto"/>
                <w:sz w:val="22"/>
                <w:szCs w:val="22"/>
              </w:rPr>
              <w:t>Luton</w:t>
            </w:r>
          </w:p>
        </w:tc>
      </w:tr>
      <w:tr w:rsidR="00593497" w:rsidRPr="007317E8" w14:paraId="1CAAECE8" w14:textId="77777777" w:rsidTr="003D5FEB">
        <w:trPr>
          <w:trHeight w:val="255"/>
        </w:trPr>
        <w:tc>
          <w:tcPr>
            <w:tcW w:w="6242" w:type="dxa"/>
            <w:noWrap/>
            <w:vAlign w:val="center"/>
          </w:tcPr>
          <w:p w14:paraId="681D3FDB" w14:textId="77777777" w:rsidR="00593497" w:rsidRDefault="00593497" w:rsidP="003D5FEB">
            <w:pPr>
              <w:pStyle w:val="Tabletext-left"/>
              <w:rPr>
                <w:color w:val="auto"/>
              </w:rPr>
            </w:pPr>
            <w:r>
              <w:rPr>
                <w:color w:val="auto"/>
              </w:rPr>
              <w:t>Newcastle-under-Lyme College</w:t>
            </w:r>
          </w:p>
        </w:tc>
        <w:tc>
          <w:tcPr>
            <w:tcW w:w="3119" w:type="dxa"/>
            <w:noWrap/>
            <w:vAlign w:val="center"/>
          </w:tcPr>
          <w:p w14:paraId="4527A327" w14:textId="77777777" w:rsidR="00593497" w:rsidRPr="001A2D30" w:rsidRDefault="00593497" w:rsidP="003D5FEB">
            <w:pPr>
              <w:rPr>
                <w:color w:val="auto"/>
                <w:sz w:val="22"/>
                <w:szCs w:val="22"/>
              </w:rPr>
            </w:pPr>
            <w:r w:rsidRPr="001A2D30">
              <w:rPr>
                <w:color w:val="auto"/>
                <w:sz w:val="22"/>
                <w:szCs w:val="22"/>
              </w:rPr>
              <w:t>Staffordshire</w:t>
            </w:r>
          </w:p>
        </w:tc>
      </w:tr>
      <w:tr w:rsidR="00593497" w:rsidRPr="007317E8" w14:paraId="7C16719F" w14:textId="77777777" w:rsidTr="003D5FEB">
        <w:trPr>
          <w:trHeight w:val="255"/>
        </w:trPr>
        <w:tc>
          <w:tcPr>
            <w:tcW w:w="6242" w:type="dxa"/>
            <w:noWrap/>
            <w:vAlign w:val="center"/>
          </w:tcPr>
          <w:p w14:paraId="75881684" w14:textId="77777777" w:rsidR="00593497" w:rsidRDefault="00593497" w:rsidP="003D5FEB">
            <w:pPr>
              <w:pStyle w:val="Tabletext-left"/>
              <w:rPr>
                <w:color w:val="auto"/>
              </w:rPr>
            </w:pPr>
            <w:r>
              <w:rPr>
                <w:color w:val="auto"/>
              </w:rPr>
              <w:t>Peterborough Regional College</w:t>
            </w:r>
          </w:p>
        </w:tc>
        <w:tc>
          <w:tcPr>
            <w:tcW w:w="3119" w:type="dxa"/>
            <w:noWrap/>
            <w:vAlign w:val="center"/>
          </w:tcPr>
          <w:p w14:paraId="00D4BAFF" w14:textId="77777777" w:rsidR="00593497" w:rsidRPr="001A2D30" w:rsidRDefault="00593497" w:rsidP="003D5FEB">
            <w:pPr>
              <w:rPr>
                <w:color w:val="auto"/>
                <w:sz w:val="22"/>
                <w:szCs w:val="22"/>
              </w:rPr>
            </w:pPr>
            <w:r w:rsidRPr="001A2D30">
              <w:rPr>
                <w:color w:val="auto"/>
                <w:sz w:val="22"/>
                <w:szCs w:val="22"/>
              </w:rPr>
              <w:t>Peterborough</w:t>
            </w:r>
          </w:p>
        </w:tc>
      </w:tr>
      <w:tr w:rsidR="00593497" w:rsidRPr="007317E8" w14:paraId="2F7A1FDD" w14:textId="77777777" w:rsidTr="003D5FEB">
        <w:trPr>
          <w:trHeight w:val="255"/>
        </w:trPr>
        <w:tc>
          <w:tcPr>
            <w:tcW w:w="6242" w:type="dxa"/>
            <w:noWrap/>
            <w:vAlign w:val="center"/>
          </w:tcPr>
          <w:p w14:paraId="0411C851" w14:textId="77777777" w:rsidR="00593497" w:rsidRDefault="00593497" w:rsidP="003D5FEB">
            <w:pPr>
              <w:pStyle w:val="Tabletext-left"/>
              <w:rPr>
                <w:color w:val="auto"/>
              </w:rPr>
            </w:pPr>
            <w:r>
              <w:rPr>
                <w:color w:val="auto"/>
              </w:rPr>
              <w:t>Prospect Training Services (Gloucester) Limited</w:t>
            </w:r>
          </w:p>
        </w:tc>
        <w:tc>
          <w:tcPr>
            <w:tcW w:w="3119" w:type="dxa"/>
            <w:noWrap/>
            <w:vAlign w:val="center"/>
          </w:tcPr>
          <w:p w14:paraId="393E8B7D" w14:textId="77777777" w:rsidR="00593497" w:rsidRPr="001A2D30" w:rsidRDefault="00593497" w:rsidP="003D5FEB">
            <w:pPr>
              <w:rPr>
                <w:color w:val="auto"/>
                <w:sz w:val="22"/>
                <w:szCs w:val="22"/>
              </w:rPr>
            </w:pPr>
            <w:r w:rsidRPr="001A2D30">
              <w:rPr>
                <w:color w:val="auto"/>
                <w:sz w:val="22"/>
                <w:szCs w:val="22"/>
              </w:rPr>
              <w:t>Gloucestershire</w:t>
            </w:r>
          </w:p>
        </w:tc>
      </w:tr>
      <w:tr w:rsidR="00593497" w:rsidRPr="007317E8" w14:paraId="53563047" w14:textId="77777777" w:rsidTr="003D5FEB">
        <w:trPr>
          <w:trHeight w:val="255"/>
        </w:trPr>
        <w:tc>
          <w:tcPr>
            <w:tcW w:w="6242" w:type="dxa"/>
            <w:noWrap/>
            <w:vAlign w:val="center"/>
          </w:tcPr>
          <w:p w14:paraId="7B2538DF" w14:textId="77777777" w:rsidR="00593497" w:rsidRDefault="00593497" w:rsidP="003D5FEB">
            <w:pPr>
              <w:pStyle w:val="Tabletext-left"/>
              <w:rPr>
                <w:color w:val="auto"/>
              </w:rPr>
            </w:pPr>
            <w:r>
              <w:rPr>
                <w:color w:val="auto"/>
              </w:rPr>
              <w:t>QA Limited</w:t>
            </w:r>
          </w:p>
        </w:tc>
        <w:tc>
          <w:tcPr>
            <w:tcW w:w="3119" w:type="dxa"/>
            <w:noWrap/>
            <w:vAlign w:val="center"/>
          </w:tcPr>
          <w:p w14:paraId="5E03D02D" w14:textId="77777777" w:rsidR="00593497" w:rsidRPr="001A2D30" w:rsidRDefault="00593497" w:rsidP="003D5FEB">
            <w:pPr>
              <w:rPr>
                <w:color w:val="auto"/>
                <w:sz w:val="22"/>
                <w:szCs w:val="22"/>
              </w:rPr>
            </w:pPr>
            <w:r w:rsidRPr="001A2D30">
              <w:rPr>
                <w:color w:val="auto"/>
                <w:sz w:val="22"/>
                <w:szCs w:val="22"/>
              </w:rPr>
              <w:t>Slough</w:t>
            </w:r>
          </w:p>
        </w:tc>
      </w:tr>
      <w:tr w:rsidR="00593497" w:rsidRPr="007317E8" w14:paraId="0A035A71" w14:textId="77777777" w:rsidTr="003D5FEB">
        <w:trPr>
          <w:trHeight w:val="255"/>
        </w:trPr>
        <w:tc>
          <w:tcPr>
            <w:tcW w:w="6242" w:type="dxa"/>
            <w:noWrap/>
            <w:vAlign w:val="center"/>
          </w:tcPr>
          <w:p w14:paraId="2C86FD25" w14:textId="77777777" w:rsidR="00593497" w:rsidRDefault="00593497" w:rsidP="003D5FEB">
            <w:pPr>
              <w:pStyle w:val="Tabletext-left"/>
              <w:rPr>
                <w:color w:val="auto"/>
              </w:rPr>
            </w:pPr>
            <w:r>
              <w:rPr>
                <w:color w:val="auto"/>
              </w:rPr>
              <w:t>Rocket Training Limited</w:t>
            </w:r>
          </w:p>
        </w:tc>
        <w:tc>
          <w:tcPr>
            <w:tcW w:w="3119" w:type="dxa"/>
            <w:noWrap/>
            <w:vAlign w:val="center"/>
          </w:tcPr>
          <w:p w14:paraId="51AA36C1" w14:textId="77777777" w:rsidR="00593497" w:rsidRPr="001A2D30" w:rsidRDefault="00593497" w:rsidP="003D5FEB">
            <w:pPr>
              <w:rPr>
                <w:color w:val="auto"/>
                <w:sz w:val="22"/>
                <w:szCs w:val="22"/>
              </w:rPr>
            </w:pPr>
            <w:r w:rsidRPr="001A2D30">
              <w:rPr>
                <w:color w:val="auto"/>
                <w:sz w:val="22"/>
                <w:szCs w:val="22"/>
              </w:rPr>
              <w:t>Liverpool</w:t>
            </w:r>
          </w:p>
        </w:tc>
      </w:tr>
      <w:tr w:rsidR="00593497" w:rsidRPr="007317E8" w14:paraId="5D95059D" w14:textId="77777777" w:rsidTr="003D5FEB">
        <w:trPr>
          <w:trHeight w:val="255"/>
        </w:trPr>
        <w:tc>
          <w:tcPr>
            <w:tcW w:w="6242" w:type="dxa"/>
            <w:noWrap/>
            <w:vAlign w:val="center"/>
          </w:tcPr>
          <w:p w14:paraId="3DB149BD" w14:textId="77777777" w:rsidR="00593497" w:rsidRDefault="00593497" w:rsidP="003D5FEB">
            <w:pPr>
              <w:pStyle w:val="Tabletext-left"/>
              <w:rPr>
                <w:color w:val="auto"/>
              </w:rPr>
            </w:pPr>
            <w:r>
              <w:rPr>
                <w:color w:val="auto"/>
              </w:rPr>
              <w:t>S&amp;B Automotive Academy Limited</w:t>
            </w:r>
          </w:p>
        </w:tc>
        <w:tc>
          <w:tcPr>
            <w:tcW w:w="3119" w:type="dxa"/>
            <w:noWrap/>
            <w:vAlign w:val="center"/>
          </w:tcPr>
          <w:p w14:paraId="5566A356" w14:textId="77777777" w:rsidR="00593497" w:rsidRPr="001A2D30" w:rsidRDefault="00593497" w:rsidP="003D5FEB">
            <w:pPr>
              <w:rPr>
                <w:color w:val="auto"/>
                <w:sz w:val="22"/>
                <w:szCs w:val="22"/>
              </w:rPr>
            </w:pPr>
            <w:r w:rsidRPr="001A2D30">
              <w:rPr>
                <w:color w:val="auto"/>
                <w:sz w:val="22"/>
                <w:szCs w:val="22"/>
              </w:rPr>
              <w:t>City of Bristol</w:t>
            </w:r>
          </w:p>
        </w:tc>
      </w:tr>
      <w:tr w:rsidR="00593497" w:rsidRPr="007317E8" w14:paraId="35D6B775" w14:textId="77777777" w:rsidTr="003D5FEB">
        <w:trPr>
          <w:trHeight w:val="255"/>
        </w:trPr>
        <w:tc>
          <w:tcPr>
            <w:tcW w:w="6242" w:type="dxa"/>
            <w:noWrap/>
            <w:vAlign w:val="center"/>
          </w:tcPr>
          <w:p w14:paraId="39053D0A" w14:textId="77777777" w:rsidR="00593497" w:rsidRDefault="00593497" w:rsidP="003D5FEB">
            <w:pPr>
              <w:pStyle w:val="Tabletext-left"/>
              <w:rPr>
                <w:color w:val="auto"/>
              </w:rPr>
            </w:pPr>
            <w:r>
              <w:rPr>
                <w:color w:val="auto"/>
              </w:rPr>
              <w:t>Sandwell College</w:t>
            </w:r>
          </w:p>
        </w:tc>
        <w:tc>
          <w:tcPr>
            <w:tcW w:w="3119" w:type="dxa"/>
            <w:noWrap/>
            <w:vAlign w:val="center"/>
          </w:tcPr>
          <w:p w14:paraId="19037CC8" w14:textId="77777777" w:rsidR="00593497" w:rsidRPr="001A2D30" w:rsidRDefault="00593497" w:rsidP="003D5FEB">
            <w:pPr>
              <w:rPr>
                <w:color w:val="auto"/>
                <w:sz w:val="22"/>
                <w:szCs w:val="22"/>
              </w:rPr>
            </w:pPr>
            <w:r w:rsidRPr="001A2D30">
              <w:rPr>
                <w:color w:val="auto"/>
                <w:sz w:val="22"/>
                <w:szCs w:val="22"/>
              </w:rPr>
              <w:t>Sandwell</w:t>
            </w:r>
          </w:p>
        </w:tc>
      </w:tr>
      <w:tr w:rsidR="00593497" w:rsidRPr="007317E8" w14:paraId="61909270" w14:textId="77777777" w:rsidTr="003D5FEB">
        <w:trPr>
          <w:trHeight w:val="255"/>
        </w:trPr>
        <w:tc>
          <w:tcPr>
            <w:tcW w:w="6242" w:type="dxa"/>
            <w:noWrap/>
            <w:vAlign w:val="center"/>
          </w:tcPr>
          <w:p w14:paraId="0948E331" w14:textId="77777777" w:rsidR="00593497" w:rsidRDefault="00593497" w:rsidP="003D5FEB">
            <w:pPr>
              <w:pStyle w:val="Tabletext-left"/>
              <w:rPr>
                <w:color w:val="auto"/>
              </w:rPr>
            </w:pPr>
            <w:r>
              <w:rPr>
                <w:color w:val="auto"/>
              </w:rPr>
              <w:t>Shipley College</w:t>
            </w:r>
          </w:p>
        </w:tc>
        <w:tc>
          <w:tcPr>
            <w:tcW w:w="3119" w:type="dxa"/>
            <w:noWrap/>
            <w:vAlign w:val="center"/>
          </w:tcPr>
          <w:p w14:paraId="4C40808E" w14:textId="77777777" w:rsidR="00593497" w:rsidRPr="001A2D30" w:rsidRDefault="00593497" w:rsidP="003D5FEB">
            <w:pPr>
              <w:rPr>
                <w:color w:val="auto"/>
                <w:sz w:val="22"/>
                <w:szCs w:val="22"/>
              </w:rPr>
            </w:pPr>
            <w:r w:rsidRPr="001A2D30">
              <w:rPr>
                <w:color w:val="auto"/>
                <w:sz w:val="22"/>
                <w:szCs w:val="22"/>
              </w:rPr>
              <w:t>Bradford</w:t>
            </w:r>
          </w:p>
        </w:tc>
      </w:tr>
      <w:tr w:rsidR="00593497" w:rsidRPr="007317E8" w14:paraId="5155E22D" w14:textId="77777777" w:rsidTr="003D5FEB">
        <w:trPr>
          <w:trHeight w:val="255"/>
        </w:trPr>
        <w:tc>
          <w:tcPr>
            <w:tcW w:w="6242" w:type="dxa"/>
            <w:noWrap/>
            <w:vAlign w:val="center"/>
          </w:tcPr>
          <w:p w14:paraId="024EBE24" w14:textId="77777777" w:rsidR="00593497" w:rsidRDefault="00593497" w:rsidP="003D5FEB">
            <w:pPr>
              <w:pStyle w:val="Tabletext-left"/>
              <w:rPr>
                <w:color w:val="auto"/>
              </w:rPr>
            </w:pPr>
            <w:r>
              <w:rPr>
                <w:color w:val="auto"/>
              </w:rPr>
              <w:t>St Brendan’s Sixth Form College</w:t>
            </w:r>
          </w:p>
        </w:tc>
        <w:tc>
          <w:tcPr>
            <w:tcW w:w="3119" w:type="dxa"/>
            <w:noWrap/>
            <w:vAlign w:val="center"/>
          </w:tcPr>
          <w:p w14:paraId="21E10A53" w14:textId="77777777" w:rsidR="00593497" w:rsidRPr="001A2D30" w:rsidRDefault="00593497" w:rsidP="003D5FEB">
            <w:pPr>
              <w:rPr>
                <w:color w:val="auto"/>
                <w:sz w:val="22"/>
                <w:szCs w:val="22"/>
              </w:rPr>
            </w:pPr>
            <w:r w:rsidRPr="001A2D30">
              <w:rPr>
                <w:color w:val="auto"/>
                <w:sz w:val="22"/>
                <w:szCs w:val="22"/>
              </w:rPr>
              <w:t>City of Bristol</w:t>
            </w:r>
          </w:p>
        </w:tc>
      </w:tr>
      <w:tr w:rsidR="00593497" w:rsidRPr="007317E8" w14:paraId="05F73970" w14:textId="77777777" w:rsidTr="003D5FEB">
        <w:trPr>
          <w:trHeight w:val="255"/>
        </w:trPr>
        <w:tc>
          <w:tcPr>
            <w:tcW w:w="6242" w:type="dxa"/>
            <w:noWrap/>
            <w:vAlign w:val="center"/>
          </w:tcPr>
          <w:p w14:paraId="66D2C8E3" w14:textId="77777777" w:rsidR="00593497" w:rsidRDefault="00593497" w:rsidP="003D5FEB">
            <w:pPr>
              <w:pStyle w:val="Tabletext-left"/>
              <w:rPr>
                <w:color w:val="auto"/>
              </w:rPr>
            </w:pPr>
            <w:r>
              <w:rPr>
                <w:color w:val="auto"/>
              </w:rPr>
              <w:t xml:space="preserve">Sir George </w:t>
            </w:r>
            <w:proofErr w:type="spellStart"/>
            <w:r>
              <w:rPr>
                <w:color w:val="auto"/>
              </w:rPr>
              <w:t>Monoux</w:t>
            </w:r>
            <w:proofErr w:type="spellEnd"/>
            <w:r>
              <w:rPr>
                <w:color w:val="auto"/>
              </w:rPr>
              <w:t xml:space="preserve"> Sixth Form College</w:t>
            </w:r>
          </w:p>
        </w:tc>
        <w:tc>
          <w:tcPr>
            <w:tcW w:w="3119" w:type="dxa"/>
            <w:noWrap/>
            <w:vAlign w:val="center"/>
          </w:tcPr>
          <w:p w14:paraId="3F71A5ED" w14:textId="77777777" w:rsidR="00593497" w:rsidRPr="001A2D30" w:rsidRDefault="00593497" w:rsidP="003D5FEB">
            <w:pPr>
              <w:rPr>
                <w:color w:val="auto"/>
                <w:sz w:val="22"/>
                <w:szCs w:val="22"/>
              </w:rPr>
            </w:pPr>
            <w:r w:rsidRPr="001A2D30">
              <w:rPr>
                <w:color w:val="auto"/>
                <w:sz w:val="22"/>
                <w:szCs w:val="22"/>
              </w:rPr>
              <w:t>Walthamstow</w:t>
            </w:r>
          </w:p>
        </w:tc>
      </w:tr>
      <w:tr w:rsidR="00593497" w:rsidRPr="007317E8" w14:paraId="46EF5C3E" w14:textId="77777777" w:rsidTr="003D5FEB">
        <w:trPr>
          <w:trHeight w:val="255"/>
        </w:trPr>
        <w:tc>
          <w:tcPr>
            <w:tcW w:w="6242" w:type="dxa"/>
            <w:noWrap/>
            <w:vAlign w:val="center"/>
          </w:tcPr>
          <w:p w14:paraId="786323F9" w14:textId="77777777" w:rsidR="00593497" w:rsidRDefault="00593497" w:rsidP="003D5FEB">
            <w:pPr>
              <w:pStyle w:val="Tabletext-left"/>
              <w:rPr>
                <w:color w:val="auto"/>
              </w:rPr>
            </w:pPr>
            <w:r>
              <w:rPr>
                <w:color w:val="auto"/>
              </w:rPr>
              <w:t>The College of Haringey, Enfield and North East London</w:t>
            </w:r>
          </w:p>
        </w:tc>
        <w:tc>
          <w:tcPr>
            <w:tcW w:w="3119" w:type="dxa"/>
            <w:noWrap/>
            <w:vAlign w:val="center"/>
          </w:tcPr>
          <w:p w14:paraId="0E6800B2" w14:textId="77777777" w:rsidR="00593497" w:rsidRPr="001A2D30" w:rsidRDefault="00593497" w:rsidP="003D5FEB">
            <w:pPr>
              <w:rPr>
                <w:color w:val="auto"/>
                <w:sz w:val="22"/>
                <w:szCs w:val="22"/>
              </w:rPr>
            </w:pPr>
            <w:r w:rsidRPr="001A2D30">
              <w:rPr>
                <w:color w:val="auto"/>
                <w:sz w:val="22"/>
                <w:szCs w:val="22"/>
              </w:rPr>
              <w:t>Haringey</w:t>
            </w:r>
          </w:p>
        </w:tc>
      </w:tr>
      <w:tr w:rsidR="00593497" w:rsidRPr="007317E8" w14:paraId="7E21F1C2" w14:textId="77777777" w:rsidTr="003D5FEB">
        <w:trPr>
          <w:trHeight w:val="255"/>
        </w:trPr>
        <w:tc>
          <w:tcPr>
            <w:tcW w:w="6242" w:type="dxa"/>
            <w:noWrap/>
            <w:vAlign w:val="center"/>
          </w:tcPr>
          <w:p w14:paraId="67B29D79" w14:textId="77777777" w:rsidR="00593497" w:rsidRDefault="00593497" w:rsidP="003D5FEB">
            <w:pPr>
              <w:pStyle w:val="Tabletext-left"/>
              <w:rPr>
                <w:color w:val="auto"/>
              </w:rPr>
            </w:pPr>
            <w:r>
              <w:rPr>
                <w:color w:val="auto"/>
              </w:rPr>
              <w:t>The Manchester College</w:t>
            </w:r>
          </w:p>
        </w:tc>
        <w:tc>
          <w:tcPr>
            <w:tcW w:w="3119" w:type="dxa"/>
            <w:noWrap/>
            <w:vAlign w:val="center"/>
          </w:tcPr>
          <w:p w14:paraId="4A501AD3" w14:textId="77777777" w:rsidR="00593497" w:rsidRPr="001A2D30" w:rsidRDefault="00593497" w:rsidP="003D5FEB">
            <w:pPr>
              <w:rPr>
                <w:color w:val="auto"/>
                <w:sz w:val="22"/>
                <w:szCs w:val="22"/>
              </w:rPr>
            </w:pPr>
            <w:r w:rsidRPr="001A2D30">
              <w:rPr>
                <w:color w:val="auto"/>
                <w:sz w:val="22"/>
                <w:szCs w:val="22"/>
              </w:rPr>
              <w:t>Manchester</w:t>
            </w:r>
          </w:p>
        </w:tc>
      </w:tr>
      <w:tr w:rsidR="00593497" w:rsidRPr="007317E8" w14:paraId="39D083AD" w14:textId="77777777" w:rsidTr="003D5FEB">
        <w:trPr>
          <w:trHeight w:val="255"/>
        </w:trPr>
        <w:tc>
          <w:tcPr>
            <w:tcW w:w="6242" w:type="dxa"/>
            <w:noWrap/>
            <w:vAlign w:val="center"/>
          </w:tcPr>
          <w:p w14:paraId="774488E6" w14:textId="77777777" w:rsidR="00593497" w:rsidRDefault="00593497" w:rsidP="003D5FEB">
            <w:pPr>
              <w:pStyle w:val="Tabletext-left"/>
              <w:rPr>
                <w:color w:val="auto"/>
              </w:rPr>
            </w:pPr>
            <w:r>
              <w:rPr>
                <w:color w:val="auto"/>
              </w:rPr>
              <w:lastRenderedPageBreak/>
              <w:t>The College of West Anglia</w:t>
            </w:r>
          </w:p>
        </w:tc>
        <w:tc>
          <w:tcPr>
            <w:tcW w:w="3119" w:type="dxa"/>
            <w:noWrap/>
            <w:vAlign w:val="center"/>
          </w:tcPr>
          <w:p w14:paraId="1B44CF46" w14:textId="77777777" w:rsidR="00593497" w:rsidRPr="001A2D30" w:rsidRDefault="00593497" w:rsidP="003D5FEB">
            <w:pPr>
              <w:rPr>
                <w:color w:val="auto"/>
                <w:sz w:val="22"/>
                <w:szCs w:val="22"/>
              </w:rPr>
            </w:pPr>
            <w:r w:rsidRPr="001A2D30">
              <w:rPr>
                <w:color w:val="auto"/>
                <w:sz w:val="22"/>
                <w:szCs w:val="22"/>
              </w:rPr>
              <w:t>Norfolk</w:t>
            </w:r>
          </w:p>
        </w:tc>
      </w:tr>
      <w:tr w:rsidR="00593497" w:rsidRPr="007317E8" w14:paraId="73E9451A" w14:textId="77777777" w:rsidTr="003D5FEB">
        <w:trPr>
          <w:trHeight w:val="255"/>
        </w:trPr>
        <w:tc>
          <w:tcPr>
            <w:tcW w:w="6242" w:type="dxa"/>
            <w:noWrap/>
            <w:vAlign w:val="center"/>
          </w:tcPr>
          <w:p w14:paraId="0F58561F" w14:textId="77777777" w:rsidR="00593497" w:rsidRDefault="00593497" w:rsidP="003D5FEB">
            <w:pPr>
              <w:pStyle w:val="Tabletext-left"/>
              <w:rPr>
                <w:color w:val="auto"/>
              </w:rPr>
            </w:pPr>
            <w:r>
              <w:rPr>
                <w:color w:val="auto"/>
              </w:rPr>
              <w:t>Walsall College</w:t>
            </w:r>
          </w:p>
        </w:tc>
        <w:tc>
          <w:tcPr>
            <w:tcW w:w="3119" w:type="dxa"/>
            <w:noWrap/>
            <w:vAlign w:val="center"/>
          </w:tcPr>
          <w:p w14:paraId="4AECA7AC" w14:textId="77777777" w:rsidR="00593497" w:rsidRPr="001A2D30" w:rsidRDefault="00593497" w:rsidP="003D5FEB">
            <w:pPr>
              <w:rPr>
                <w:color w:val="auto"/>
                <w:sz w:val="22"/>
                <w:szCs w:val="22"/>
              </w:rPr>
            </w:pPr>
            <w:r w:rsidRPr="001A2D30">
              <w:rPr>
                <w:color w:val="auto"/>
                <w:sz w:val="22"/>
                <w:szCs w:val="22"/>
              </w:rPr>
              <w:t>Walsall</w:t>
            </w:r>
          </w:p>
        </w:tc>
      </w:tr>
      <w:tr w:rsidR="004447FE" w:rsidRPr="007317E8" w14:paraId="79225891" w14:textId="77777777" w:rsidTr="003D5FEB">
        <w:trPr>
          <w:trHeight w:val="255"/>
        </w:trPr>
        <w:tc>
          <w:tcPr>
            <w:tcW w:w="6242" w:type="dxa"/>
            <w:noWrap/>
            <w:vAlign w:val="center"/>
          </w:tcPr>
          <w:p w14:paraId="480B9BD8" w14:textId="35AC9BA7" w:rsidR="004447FE" w:rsidRDefault="004447FE" w:rsidP="003D5FEB">
            <w:pPr>
              <w:pStyle w:val="Tabletext-left"/>
              <w:rPr>
                <w:color w:val="auto"/>
              </w:rPr>
            </w:pPr>
            <w:r>
              <w:rPr>
                <w:color w:val="auto"/>
              </w:rPr>
              <w:t>Weston College</w:t>
            </w:r>
          </w:p>
        </w:tc>
        <w:tc>
          <w:tcPr>
            <w:tcW w:w="3119" w:type="dxa"/>
            <w:noWrap/>
            <w:vAlign w:val="center"/>
          </w:tcPr>
          <w:p w14:paraId="00668C55" w14:textId="39DC29D0" w:rsidR="004447FE" w:rsidRPr="001A2D30" w:rsidRDefault="004447FE" w:rsidP="003D5FEB">
            <w:pPr>
              <w:rPr>
                <w:color w:val="auto"/>
                <w:sz w:val="22"/>
                <w:szCs w:val="22"/>
              </w:rPr>
            </w:pPr>
            <w:r>
              <w:rPr>
                <w:color w:val="auto"/>
                <w:sz w:val="22"/>
                <w:szCs w:val="22"/>
              </w:rPr>
              <w:t>North Somerset</w:t>
            </w:r>
          </w:p>
        </w:tc>
      </w:tr>
      <w:tr w:rsidR="00593497" w:rsidRPr="007317E8" w14:paraId="44426B43" w14:textId="77777777" w:rsidTr="003D5FEB">
        <w:trPr>
          <w:trHeight w:val="255"/>
        </w:trPr>
        <w:tc>
          <w:tcPr>
            <w:tcW w:w="6242" w:type="dxa"/>
            <w:noWrap/>
            <w:vAlign w:val="center"/>
          </w:tcPr>
          <w:p w14:paraId="570CEB8F" w14:textId="77777777" w:rsidR="00593497" w:rsidRDefault="00593497" w:rsidP="003D5FEB">
            <w:pPr>
              <w:pStyle w:val="Tabletext-left"/>
              <w:rPr>
                <w:color w:val="auto"/>
              </w:rPr>
            </w:pPr>
            <w:proofErr w:type="spellStart"/>
            <w:r>
              <w:rPr>
                <w:color w:val="auto"/>
              </w:rPr>
              <w:t>Wyke</w:t>
            </w:r>
            <w:proofErr w:type="spellEnd"/>
            <w:r>
              <w:rPr>
                <w:color w:val="auto"/>
              </w:rPr>
              <w:t xml:space="preserve"> Sixth Form College</w:t>
            </w:r>
          </w:p>
        </w:tc>
        <w:tc>
          <w:tcPr>
            <w:tcW w:w="3119" w:type="dxa"/>
            <w:noWrap/>
            <w:vAlign w:val="center"/>
          </w:tcPr>
          <w:p w14:paraId="25B5A332" w14:textId="77777777" w:rsidR="00593497" w:rsidRPr="001A2D30" w:rsidRDefault="00593497" w:rsidP="003D5FEB">
            <w:pPr>
              <w:rPr>
                <w:color w:val="auto"/>
                <w:sz w:val="22"/>
                <w:szCs w:val="22"/>
              </w:rPr>
            </w:pPr>
            <w:r w:rsidRPr="001A2D30">
              <w:rPr>
                <w:color w:val="auto"/>
                <w:sz w:val="22"/>
                <w:szCs w:val="22"/>
              </w:rPr>
              <w:t xml:space="preserve">City of </w:t>
            </w:r>
            <w:proofErr w:type="spellStart"/>
            <w:r w:rsidRPr="001A2D30">
              <w:rPr>
                <w:color w:val="auto"/>
                <w:sz w:val="22"/>
                <w:szCs w:val="22"/>
              </w:rPr>
              <w:t>Kingston-upon-Hull</w:t>
            </w:r>
            <w:proofErr w:type="spellEnd"/>
          </w:p>
        </w:tc>
      </w:tr>
      <w:tr w:rsidR="00593497" w:rsidRPr="007317E8" w14:paraId="6FD45DE6" w14:textId="77777777" w:rsidTr="003D5FEB">
        <w:trPr>
          <w:trHeight w:val="255"/>
        </w:trPr>
        <w:tc>
          <w:tcPr>
            <w:tcW w:w="6242" w:type="dxa"/>
            <w:noWrap/>
            <w:vAlign w:val="center"/>
          </w:tcPr>
          <w:p w14:paraId="4319C8B9" w14:textId="77777777" w:rsidR="00593497" w:rsidRDefault="00593497" w:rsidP="003D5FEB">
            <w:pPr>
              <w:pStyle w:val="Tabletext-left"/>
              <w:rPr>
                <w:color w:val="auto"/>
              </w:rPr>
            </w:pPr>
            <w:r>
              <w:rPr>
                <w:color w:val="auto"/>
              </w:rPr>
              <w:t>YMCA Derbyshire</w:t>
            </w:r>
          </w:p>
        </w:tc>
        <w:tc>
          <w:tcPr>
            <w:tcW w:w="3119" w:type="dxa"/>
            <w:noWrap/>
            <w:vAlign w:val="center"/>
          </w:tcPr>
          <w:p w14:paraId="4F3643D0" w14:textId="77777777" w:rsidR="00593497" w:rsidRPr="001A2D30" w:rsidRDefault="00593497" w:rsidP="003D5FEB">
            <w:pPr>
              <w:rPr>
                <w:color w:val="auto"/>
                <w:sz w:val="22"/>
                <w:szCs w:val="22"/>
              </w:rPr>
            </w:pPr>
            <w:r w:rsidRPr="001A2D30">
              <w:rPr>
                <w:color w:val="auto"/>
                <w:sz w:val="22"/>
                <w:szCs w:val="22"/>
              </w:rPr>
              <w:t>Derby</w:t>
            </w:r>
          </w:p>
        </w:tc>
      </w:tr>
    </w:tbl>
    <w:p w14:paraId="41232A81" w14:textId="77777777" w:rsidR="00593497" w:rsidRDefault="00593497" w:rsidP="00593497">
      <w:pPr>
        <w:pStyle w:val="Tabletext-left"/>
        <w:rPr>
          <w:rFonts w:cs="Tahoma"/>
          <w:b/>
          <w:color w:val="auto"/>
        </w:rPr>
      </w:pPr>
    </w:p>
    <w:p w14:paraId="7D226AB4" w14:textId="538B52E5" w:rsidR="00593497" w:rsidRDefault="00593497" w:rsidP="00593497">
      <w:pPr>
        <w:pStyle w:val="Heading1"/>
      </w:pPr>
      <w:r>
        <w:br w:type="page"/>
      </w:r>
      <w:bookmarkStart w:id="47" w:name="_Toc447732126"/>
      <w:bookmarkStart w:id="48" w:name="_Toc454282649"/>
      <w:r>
        <w:lastRenderedPageBreak/>
        <w:t>Annex B: List of providers from which additional evidence from routine inspection was captured for the survey</w:t>
      </w:r>
      <w:bookmarkEnd w:id="47"/>
      <w:bookmarkEnd w:id="48"/>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3119"/>
      </w:tblGrid>
      <w:tr w:rsidR="00593497" w:rsidRPr="007317E8" w14:paraId="7C6EBEA2" w14:textId="77777777" w:rsidTr="003D5FEB">
        <w:trPr>
          <w:trHeight w:val="255"/>
        </w:trPr>
        <w:tc>
          <w:tcPr>
            <w:tcW w:w="6242" w:type="dxa"/>
            <w:noWrap/>
            <w:vAlign w:val="bottom"/>
            <w:hideMark/>
          </w:tcPr>
          <w:p w14:paraId="2C648569" w14:textId="77777777" w:rsidR="00593497" w:rsidRPr="007317E8" w:rsidRDefault="00593497" w:rsidP="003D5FEB">
            <w:pPr>
              <w:pStyle w:val="Tableheader-left"/>
              <w:rPr>
                <w:color w:val="auto"/>
              </w:rPr>
            </w:pPr>
            <w:r w:rsidRPr="007317E8">
              <w:rPr>
                <w:color w:val="auto"/>
              </w:rPr>
              <w:t>Provider</w:t>
            </w:r>
          </w:p>
        </w:tc>
        <w:tc>
          <w:tcPr>
            <w:tcW w:w="3119" w:type="dxa"/>
            <w:noWrap/>
            <w:vAlign w:val="bottom"/>
            <w:hideMark/>
          </w:tcPr>
          <w:p w14:paraId="275ED71A" w14:textId="77777777" w:rsidR="00593497" w:rsidRPr="007317E8" w:rsidRDefault="00593497" w:rsidP="003D5FEB">
            <w:pPr>
              <w:pStyle w:val="Tableheader-left"/>
              <w:rPr>
                <w:color w:val="auto"/>
              </w:rPr>
            </w:pPr>
            <w:r w:rsidRPr="007317E8">
              <w:rPr>
                <w:color w:val="auto"/>
              </w:rPr>
              <w:t>Local authority</w:t>
            </w:r>
          </w:p>
        </w:tc>
      </w:tr>
      <w:tr w:rsidR="00593497" w:rsidRPr="007317E8" w14:paraId="740ECC13" w14:textId="77777777" w:rsidTr="003D5FEB">
        <w:trPr>
          <w:trHeight w:val="255"/>
        </w:trPr>
        <w:tc>
          <w:tcPr>
            <w:tcW w:w="6242" w:type="dxa"/>
            <w:noWrap/>
            <w:vAlign w:val="bottom"/>
          </w:tcPr>
          <w:p w14:paraId="3F9443EA" w14:textId="77777777" w:rsidR="00593497" w:rsidRPr="007317E8" w:rsidRDefault="00593497" w:rsidP="003D5FEB">
            <w:pPr>
              <w:pStyle w:val="Tabletext-left"/>
              <w:rPr>
                <w:color w:val="auto"/>
              </w:rPr>
            </w:pPr>
            <w:r>
              <w:rPr>
                <w:color w:val="auto"/>
              </w:rPr>
              <w:t xml:space="preserve">Acacia Training Limited </w:t>
            </w:r>
          </w:p>
        </w:tc>
        <w:tc>
          <w:tcPr>
            <w:tcW w:w="3119" w:type="dxa"/>
            <w:noWrap/>
            <w:vAlign w:val="bottom"/>
          </w:tcPr>
          <w:p w14:paraId="35FE339D" w14:textId="77777777" w:rsidR="00593497" w:rsidRPr="001A2D30" w:rsidRDefault="00593497" w:rsidP="003D5FEB">
            <w:pPr>
              <w:rPr>
                <w:color w:val="auto"/>
                <w:sz w:val="22"/>
                <w:szCs w:val="22"/>
              </w:rPr>
            </w:pPr>
            <w:r w:rsidRPr="001A2D30">
              <w:rPr>
                <w:color w:val="auto"/>
                <w:sz w:val="22"/>
                <w:szCs w:val="22"/>
              </w:rPr>
              <w:t>Stoke-on-Trent</w:t>
            </w:r>
          </w:p>
        </w:tc>
      </w:tr>
      <w:tr w:rsidR="00593497" w:rsidRPr="007317E8" w14:paraId="15A967B3" w14:textId="77777777" w:rsidTr="003D5FEB">
        <w:trPr>
          <w:trHeight w:val="255"/>
        </w:trPr>
        <w:tc>
          <w:tcPr>
            <w:tcW w:w="6242" w:type="dxa"/>
            <w:noWrap/>
            <w:vAlign w:val="bottom"/>
          </w:tcPr>
          <w:p w14:paraId="76B7DE06" w14:textId="77777777" w:rsidR="00593497" w:rsidRPr="007317E8" w:rsidRDefault="00593497" w:rsidP="003D5FEB">
            <w:pPr>
              <w:pStyle w:val="Tabletext-left"/>
              <w:rPr>
                <w:color w:val="auto"/>
              </w:rPr>
            </w:pPr>
            <w:r>
              <w:rPr>
                <w:color w:val="auto"/>
              </w:rPr>
              <w:t>Academies Enterprise Trust</w:t>
            </w:r>
          </w:p>
        </w:tc>
        <w:tc>
          <w:tcPr>
            <w:tcW w:w="3119" w:type="dxa"/>
            <w:noWrap/>
            <w:vAlign w:val="bottom"/>
          </w:tcPr>
          <w:p w14:paraId="06CD8664" w14:textId="77777777" w:rsidR="00593497" w:rsidRPr="001A2D30" w:rsidRDefault="00593497" w:rsidP="003D5FEB">
            <w:pPr>
              <w:rPr>
                <w:color w:val="auto"/>
                <w:sz w:val="22"/>
                <w:szCs w:val="22"/>
              </w:rPr>
            </w:pPr>
            <w:r w:rsidRPr="001A2D30">
              <w:rPr>
                <w:color w:val="auto"/>
                <w:sz w:val="22"/>
                <w:szCs w:val="22"/>
              </w:rPr>
              <w:t>Essex</w:t>
            </w:r>
          </w:p>
        </w:tc>
      </w:tr>
      <w:tr w:rsidR="00593497" w:rsidRPr="007317E8" w14:paraId="3FE85B64" w14:textId="77777777" w:rsidTr="003D5FEB">
        <w:trPr>
          <w:trHeight w:val="255"/>
        </w:trPr>
        <w:tc>
          <w:tcPr>
            <w:tcW w:w="6242" w:type="dxa"/>
            <w:noWrap/>
            <w:vAlign w:val="bottom"/>
          </w:tcPr>
          <w:p w14:paraId="1EFBE870" w14:textId="77777777" w:rsidR="00593497" w:rsidRPr="007317E8" w:rsidRDefault="00593497" w:rsidP="003D5FEB">
            <w:pPr>
              <w:pStyle w:val="Tabletext-left"/>
              <w:rPr>
                <w:color w:val="auto"/>
              </w:rPr>
            </w:pPr>
            <w:r>
              <w:rPr>
                <w:color w:val="auto"/>
              </w:rPr>
              <w:t>Academy Transformation Trust</w:t>
            </w:r>
          </w:p>
        </w:tc>
        <w:tc>
          <w:tcPr>
            <w:tcW w:w="3119" w:type="dxa"/>
            <w:noWrap/>
            <w:vAlign w:val="bottom"/>
          </w:tcPr>
          <w:p w14:paraId="4110E32F" w14:textId="77777777" w:rsidR="00593497" w:rsidRPr="001A2D30" w:rsidRDefault="00593497" w:rsidP="003D5FEB">
            <w:pPr>
              <w:rPr>
                <w:color w:val="auto"/>
                <w:sz w:val="22"/>
                <w:szCs w:val="22"/>
              </w:rPr>
            </w:pPr>
            <w:r w:rsidRPr="001A2D30">
              <w:rPr>
                <w:color w:val="auto"/>
                <w:sz w:val="22"/>
                <w:szCs w:val="22"/>
              </w:rPr>
              <w:t>Nottinghamshire</w:t>
            </w:r>
          </w:p>
        </w:tc>
      </w:tr>
      <w:tr w:rsidR="00593497" w:rsidRPr="007317E8" w14:paraId="404DA5C0" w14:textId="77777777" w:rsidTr="003D5FEB">
        <w:trPr>
          <w:trHeight w:val="255"/>
        </w:trPr>
        <w:tc>
          <w:tcPr>
            <w:tcW w:w="6242" w:type="dxa"/>
            <w:noWrap/>
            <w:vAlign w:val="bottom"/>
          </w:tcPr>
          <w:p w14:paraId="5006D296" w14:textId="77777777" w:rsidR="00593497" w:rsidRPr="007317E8" w:rsidRDefault="00593497" w:rsidP="003D5FEB">
            <w:pPr>
              <w:pStyle w:val="Tabletext-left"/>
              <w:rPr>
                <w:color w:val="auto"/>
              </w:rPr>
            </w:pPr>
            <w:r>
              <w:rPr>
                <w:color w:val="auto"/>
              </w:rPr>
              <w:t>Acorn Training Consultants</w:t>
            </w:r>
          </w:p>
        </w:tc>
        <w:tc>
          <w:tcPr>
            <w:tcW w:w="3119" w:type="dxa"/>
            <w:noWrap/>
            <w:vAlign w:val="bottom"/>
          </w:tcPr>
          <w:p w14:paraId="30C9945E" w14:textId="77777777" w:rsidR="00593497" w:rsidRPr="001A2D30" w:rsidRDefault="00593497" w:rsidP="003D5FEB">
            <w:pPr>
              <w:rPr>
                <w:color w:val="auto"/>
                <w:sz w:val="22"/>
                <w:szCs w:val="22"/>
              </w:rPr>
            </w:pPr>
            <w:r w:rsidRPr="001A2D30">
              <w:rPr>
                <w:color w:val="auto"/>
                <w:sz w:val="22"/>
                <w:szCs w:val="22"/>
              </w:rPr>
              <w:t>Derbyshire</w:t>
            </w:r>
          </w:p>
        </w:tc>
      </w:tr>
      <w:tr w:rsidR="00593497" w:rsidRPr="007317E8" w14:paraId="0F32E118" w14:textId="77777777" w:rsidTr="003D5FEB">
        <w:trPr>
          <w:trHeight w:val="255"/>
        </w:trPr>
        <w:tc>
          <w:tcPr>
            <w:tcW w:w="6242" w:type="dxa"/>
            <w:noWrap/>
            <w:vAlign w:val="bottom"/>
          </w:tcPr>
          <w:p w14:paraId="7DDC9B27" w14:textId="1151BDB0" w:rsidR="00593497" w:rsidRPr="007317E8" w:rsidRDefault="00593497" w:rsidP="00F3571A">
            <w:pPr>
              <w:pStyle w:val="Tabletext-left"/>
              <w:rPr>
                <w:color w:val="auto"/>
              </w:rPr>
            </w:pPr>
            <w:r>
              <w:rPr>
                <w:color w:val="auto"/>
              </w:rPr>
              <w:t xml:space="preserve">Activate </w:t>
            </w:r>
            <w:r w:rsidR="00F3571A">
              <w:rPr>
                <w:color w:val="auto"/>
              </w:rPr>
              <w:t>Learning</w:t>
            </w:r>
          </w:p>
        </w:tc>
        <w:tc>
          <w:tcPr>
            <w:tcW w:w="3119" w:type="dxa"/>
            <w:noWrap/>
            <w:vAlign w:val="bottom"/>
          </w:tcPr>
          <w:p w14:paraId="1339104C" w14:textId="77777777" w:rsidR="00593497" w:rsidRPr="001A2D30" w:rsidRDefault="00593497" w:rsidP="003D5FEB">
            <w:pPr>
              <w:rPr>
                <w:color w:val="auto"/>
                <w:sz w:val="22"/>
                <w:szCs w:val="22"/>
              </w:rPr>
            </w:pPr>
            <w:proofErr w:type="spellStart"/>
            <w:r w:rsidRPr="001A2D30">
              <w:rPr>
                <w:color w:val="auto"/>
                <w:sz w:val="22"/>
                <w:szCs w:val="22"/>
              </w:rPr>
              <w:t>Knowsley</w:t>
            </w:r>
            <w:proofErr w:type="spellEnd"/>
          </w:p>
        </w:tc>
      </w:tr>
      <w:tr w:rsidR="00593497" w:rsidRPr="007317E8" w14:paraId="5DFDDECF" w14:textId="77777777" w:rsidTr="003D5FEB">
        <w:trPr>
          <w:trHeight w:val="255"/>
        </w:trPr>
        <w:tc>
          <w:tcPr>
            <w:tcW w:w="6242" w:type="dxa"/>
            <w:noWrap/>
            <w:vAlign w:val="bottom"/>
          </w:tcPr>
          <w:p w14:paraId="2DF21303" w14:textId="77777777" w:rsidR="00593497" w:rsidRPr="007317E8" w:rsidRDefault="00593497" w:rsidP="003D5FEB">
            <w:pPr>
              <w:pStyle w:val="Tabletext-left"/>
              <w:rPr>
                <w:color w:val="auto"/>
              </w:rPr>
            </w:pPr>
            <w:r>
              <w:rPr>
                <w:color w:val="auto"/>
              </w:rPr>
              <w:t>Ambitious College</w:t>
            </w:r>
          </w:p>
        </w:tc>
        <w:tc>
          <w:tcPr>
            <w:tcW w:w="3119" w:type="dxa"/>
            <w:noWrap/>
            <w:vAlign w:val="bottom"/>
          </w:tcPr>
          <w:p w14:paraId="3AD023E5" w14:textId="77777777" w:rsidR="00593497" w:rsidRPr="001A2D30" w:rsidRDefault="00593497" w:rsidP="003D5FEB">
            <w:pPr>
              <w:rPr>
                <w:color w:val="auto"/>
                <w:sz w:val="22"/>
                <w:szCs w:val="22"/>
              </w:rPr>
            </w:pPr>
            <w:r w:rsidRPr="001A2D30">
              <w:rPr>
                <w:color w:val="auto"/>
                <w:sz w:val="22"/>
                <w:szCs w:val="22"/>
              </w:rPr>
              <w:t>Barnet</w:t>
            </w:r>
          </w:p>
        </w:tc>
      </w:tr>
      <w:tr w:rsidR="00593497" w:rsidRPr="007317E8" w14:paraId="237F6D30" w14:textId="77777777" w:rsidTr="003D5FEB">
        <w:trPr>
          <w:trHeight w:val="255"/>
        </w:trPr>
        <w:tc>
          <w:tcPr>
            <w:tcW w:w="6242" w:type="dxa"/>
            <w:noWrap/>
            <w:vAlign w:val="bottom"/>
          </w:tcPr>
          <w:p w14:paraId="6F598423" w14:textId="77777777" w:rsidR="00593497" w:rsidRPr="007317E8" w:rsidRDefault="00593497" w:rsidP="003D5FEB">
            <w:pPr>
              <w:pStyle w:val="Tabletext-left"/>
              <w:rPr>
                <w:color w:val="auto"/>
              </w:rPr>
            </w:pPr>
            <w:r>
              <w:rPr>
                <w:color w:val="auto"/>
              </w:rPr>
              <w:t>B2B Engage Limited</w:t>
            </w:r>
          </w:p>
        </w:tc>
        <w:tc>
          <w:tcPr>
            <w:tcW w:w="3119" w:type="dxa"/>
            <w:noWrap/>
            <w:vAlign w:val="bottom"/>
          </w:tcPr>
          <w:p w14:paraId="582F23DB" w14:textId="77777777" w:rsidR="00593497" w:rsidRPr="001A2D30" w:rsidRDefault="00593497" w:rsidP="003D5FEB">
            <w:pPr>
              <w:rPr>
                <w:color w:val="auto"/>
                <w:sz w:val="22"/>
                <w:szCs w:val="22"/>
              </w:rPr>
            </w:pPr>
            <w:r w:rsidRPr="001A2D30">
              <w:rPr>
                <w:color w:val="auto"/>
                <w:sz w:val="22"/>
                <w:szCs w:val="22"/>
              </w:rPr>
              <w:t>Greenwich</w:t>
            </w:r>
          </w:p>
        </w:tc>
      </w:tr>
      <w:tr w:rsidR="00593497" w:rsidRPr="007317E8" w14:paraId="4988F4CA" w14:textId="77777777" w:rsidTr="003D5FEB">
        <w:trPr>
          <w:trHeight w:val="255"/>
        </w:trPr>
        <w:tc>
          <w:tcPr>
            <w:tcW w:w="6242" w:type="dxa"/>
            <w:noWrap/>
            <w:vAlign w:val="bottom"/>
          </w:tcPr>
          <w:p w14:paraId="6A8CA21A" w14:textId="77777777" w:rsidR="00593497" w:rsidRPr="007317E8" w:rsidRDefault="00593497" w:rsidP="003D5FEB">
            <w:pPr>
              <w:pStyle w:val="Tabletext-left"/>
              <w:rPr>
                <w:color w:val="auto"/>
              </w:rPr>
            </w:pPr>
            <w:r>
              <w:rPr>
                <w:color w:val="auto"/>
              </w:rPr>
              <w:t>Barnardo’s Employment, Training and Skills</w:t>
            </w:r>
          </w:p>
        </w:tc>
        <w:tc>
          <w:tcPr>
            <w:tcW w:w="3119" w:type="dxa"/>
            <w:noWrap/>
            <w:vAlign w:val="bottom"/>
          </w:tcPr>
          <w:p w14:paraId="3033AD37" w14:textId="77777777" w:rsidR="00593497" w:rsidRPr="001A2D30" w:rsidRDefault="00593497" w:rsidP="003D5FEB">
            <w:pPr>
              <w:rPr>
                <w:color w:val="auto"/>
                <w:sz w:val="22"/>
                <w:szCs w:val="22"/>
              </w:rPr>
            </w:pPr>
            <w:r w:rsidRPr="001A2D30">
              <w:rPr>
                <w:color w:val="auto"/>
                <w:sz w:val="22"/>
                <w:szCs w:val="22"/>
              </w:rPr>
              <w:t>Redbridge</w:t>
            </w:r>
          </w:p>
        </w:tc>
      </w:tr>
      <w:tr w:rsidR="00593497" w:rsidRPr="007317E8" w14:paraId="45E09A73" w14:textId="77777777" w:rsidTr="003D5FEB">
        <w:trPr>
          <w:trHeight w:val="255"/>
        </w:trPr>
        <w:tc>
          <w:tcPr>
            <w:tcW w:w="6242" w:type="dxa"/>
            <w:noWrap/>
            <w:vAlign w:val="center"/>
          </w:tcPr>
          <w:p w14:paraId="2623D31C" w14:textId="77777777" w:rsidR="00593497" w:rsidRPr="007317E8" w:rsidRDefault="00593497" w:rsidP="003D5FEB">
            <w:pPr>
              <w:pStyle w:val="Tabletext-left"/>
              <w:rPr>
                <w:color w:val="auto"/>
              </w:rPr>
            </w:pPr>
            <w:r>
              <w:rPr>
                <w:color w:val="auto"/>
              </w:rPr>
              <w:t>Catch 22</w:t>
            </w:r>
          </w:p>
        </w:tc>
        <w:tc>
          <w:tcPr>
            <w:tcW w:w="3119" w:type="dxa"/>
            <w:noWrap/>
            <w:vAlign w:val="center"/>
          </w:tcPr>
          <w:p w14:paraId="476697F6" w14:textId="77777777" w:rsidR="00593497" w:rsidRPr="001A2D30" w:rsidRDefault="00593497" w:rsidP="003D5FEB">
            <w:pPr>
              <w:rPr>
                <w:color w:val="auto"/>
                <w:sz w:val="22"/>
                <w:szCs w:val="22"/>
              </w:rPr>
            </w:pPr>
            <w:r w:rsidRPr="001A2D30">
              <w:rPr>
                <w:color w:val="auto"/>
                <w:sz w:val="22"/>
                <w:szCs w:val="22"/>
              </w:rPr>
              <w:t>Islington</w:t>
            </w:r>
          </w:p>
        </w:tc>
      </w:tr>
      <w:tr w:rsidR="00593497" w:rsidRPr="007317E8" w14:paraId="0E42F4F1" w14:textId="77777777" w:rsidTr="003D5FEB">
        <w:trPr>
          <w:trHeight w:val="255"/>
        </w:trPr>
        <w:tc>
          <w:tcPr>
            <w:tcW w:w="6242" w:type="dxa"/>
            <w:noWrap/>
            <w:vAlign w:val="center"/>
          </w:tcPr>
          <w:p w14:paraId="5491FEB3" w14:textId="77777777" w:rsidR="00593497" w:rsidRPr="007317E8" w:rsidRDefault="00593497" w:rsidP="003D5FEB">
            <w:pPr>
              <w:pStyle w:val="Tabletext-left"/>
              <w:rPr>
                <w:color w:val="auto"/>
              </w:rPr>
            </w:pPr>
            <w:r>
              <w:rPr>
                <w:color w:val="auto"/>
              </w:rPr>
              <w:t>Chelmsford College</w:t>
            </w:r>
          </w:p>
        </w:tc>
        <w:tc>
          <w:tcPr>
            <w:tcW w:w="3119" w:type="dxa"/>
            <w:noWrap/>
            <w:vAlign w:val="center"/>
          </w:tcPr>
          <w:p w14:paraId="7FE4F975" w14:textId="77777777" w:rsidR="00593497" w:rsidRPr="001A2D30" w:rsidRDefault="00593497" w:rsidP="003D5FEB">
            <w:pPr>
              <w:rPr>
                <w:color w:val="auto"/>
                <w:sz w:val="22"/>
                <w:szCs w:val="22"/>
              </w:rPr>
            </w:pPr>
            <w:r w:rsidRPr="001A2D30">
              <w:rPr>
                <w:color w:val="auto"/>
                <w:sz w:val="22"/>
                <w:szCs w:val="22"/>
              </w:rPr>
              <w:t>Essex</w:t>
            </w:r>
          </w:p>
        </w:tc>
      </w:tr>
      <w:tr w:rsidR="00593497" w:rsidRPr="007317E8" w14:paraId="668CC431" w14:textId="77777777" w:rsidTr="003D5FEB">
        <w:trPr>
          <w:trHeight w:val="255"/>
        </w:trPr>
        <w:tc>
          <w:tcPr>
            <w:tcW w:w="6242" w:type="dxa"/>
            <w:noWrap/>
            <w:vAlign w:val="bottom"/>
          </w:tcPr>
          <w:p w14:paraId="39BB89B5" w14:textId="77777777" w:rsidR="00593497" w:rsidRPr="007317E8" w:rsidRDefault="00593497" w:rsidP="003D5FEB">
            <w:pPr>
              <w:pStyle w:val="Tabletext-left"/>
              <w:rPr>
                <w:color w:val="auto"/>
              </w:rPr>
            </w:pPr>
            <w:r>
              <w:rPr>
                <w:color w:val="auto"/>
              </w:rPr>
              <w:t>City of Bristol College</w:t>
            </w:r>
          </w:p>
        </w:tc>
        <w:tc>
          <w:tcPr>
            <w:tcW w:w="3119" w:type="dxa"/>
            <w:noWrap/>
            <w:vAlign w:val="bottom"/>
          </w:tcPr>
          <w:p w14:paraId="6A9EBB85" w14:textId="77777777" w:rsidR="00593497" w:rsidRPr="001A2D30" w:rsidRDefault="00593497" w:rsidP="003D5FEB">
            <w:pPr>
              <w:rPr>
                <w:color w:val="auto"/>
                <w:sz w:val="22"/>
                <w:szCs w:val="22"/>
              </w:rPr>
            </w:pPr>
            <w:r w:rsidRPr="001A2D30">
              <w:rPr>
                <w:color w:val="auto"/>
                <w:sz w:val="22"/>
                <w:szCs w:val="22"/>
              </w:rPr>
              <w:t>City of Bristol</w:t>
            </w:r>
          </w:p>
        </w:tc>
      </w:tr>
      <w:tr w:rsidR="00593497" w:rsidRPr="007317E8" w14:paraId="59DA92A9" w14:textId="77777777" w:rsidTr="003D5FEB">
        <w:trPr>
          <w:trHeight w:val="255"/>
        </w:trPr>
        <w:tc>
          <w:tcPr>
            <w:tcW w:w="6242" w:type="dxa"/>
            <w:noWrap/>
            <w:vAlign w:val="bottom"/>
          </w:tcPr>
          <w:p w14:paraId="414F74B3" w14:textId="77777777" w:rsidR="00593497" w:rsidRDefault="00593497" w:rsidP="003D5FEB">
            <w:pPr>
              <w:pStyle w:val="Tabletext-left"/>
              <w:rPr>
                <w:color w:val="auto"/>
              </w:rPr>
            </w:pPr>
            <w:r>
              <w:rPr>
                <w:color w:val="auto"/>
              </w:rPr>
              <w:t>City of Liverpool College</w:t>
            </w:r>
          </w:p>
        </w:tc>
        <w:tc>
          <w:tcPr>
            <w:tcW w:w="3119" w:type="dxa"/>
            <w:noWrap/>
            <w:vAlign w:val="bottom"/>
          </w:tcPr>
          <w:p w14:paraId="203CDC42" w14:textId="77777777" w:rsidR="00593497" w:rsidRPr="001A2D30" w:rsidRDefault="00593497" w:rsidP="003D5FEB">
            <w:pPr>
              <w:rPr>
                <w:color w:val="auto"/>
                <w:sz w:val="22"/>
                <w:szCs w:val="22"/>
              </w:rPr>
            </w:pPr>
            <w:r w:rsidRPr="001A2D30">
              <w:rPr>
                <w:color w:val="auto"/>
                <w:sz w:val="22"/>
                <w:szCs w:val="22"/>
              </w:rPr>
              <w:t>Liverpool</w:t>
            </w:r>
          </w:p>
        </w:tc>
      </w:tr>
      <w:tr w:rsidR="00593497" w:rsidRPr="007317E8" w14:paraId="34440607" w14:textId="77777777" w:rsidTr="003D5FEB">
        <w:trPr>
          <w:trHeight w:val="255"/>
        </w:trPr>
        <w:tc>
          <w:tcPr>
            <w:tcW w:w="6242" w:type="dxa"/>
            <w:noWrap/>
            <w:vAlign w:val="bottom"/>
          </w:tcPr>
          <w:p w14:paraId="3139508F" w14:textId="77777777" w:rsidR="00593497" w:rsidRDefault="00593497" w:rsidP="003D5FEB">
            <w:pPr>
              <w:pStyle w:val="Tabletext-left"/>
              <w:rPr>
                <w:color w:val="auto"/>
              </w:rPr>
            </w:pPr>
            <w:r>
              <w:rPr>
                <w:color w:val="auto"/>
              </w:rPr>
              <w:t>College of North West London</w:t>
            </w:r>
          </w:p>
        </w:tc>
        <w:tc>
          <w:tcPr>
            <w:tcW w:w="3119" w:type="dxa"/>
            <w:noWrap/>
            <w:vAlign w:val="bottom"/>
          </w:tcPr>
          <w:p w14:paraId="7ED45EC1" w14:textId="77777777" w:rsidR="00593497" w:rsidRPr="001A2D30" w:rsidRDefault="00593497" w:rsidP="003D5FEB">
            <w:pPr>
              <w:rPr>
                <w:color w:val="auto"/>
                <w:sz w:val="22"/>
                <w:szCs w:val="22"/>
              </w:rPr>
            </w:pPr>
            <w:r w:rsidRPr="001A2D30">
              <w:rPr>
                <w:color w:val="auto"/>
                <w:sz w:val="22"/>
                <w:szCs w:val="22"/>
              </w:rPr>
              <w:t>Brent</w:t>
            </w:r>
          </w:p>
        </w:tc>
      </w:tr>
      <w:tr w:rsidR="00593497" w:rsidRPr="007317E8" w14:paraId="3FF6E7D2" w14:textId="77777777" w:rsidTr="003D5FEB">
        <w:trPr>
          <w:trHeight w:val="255"/>
        </w:trPr>
        <w:tc>
          <w:tcPr>
            <w:tcW w:w="6242" w:type="dxa"/>
            <w:noWrap/>
            <w:vAlign w:val="bottom"/>
          </w:tcPr>
          <w:p w14:paraId="30A81462" w14:textId="77777777" w:rsidR="00593497" w:rsidRDefault="00593497" w:rsidP="003D5FEB">
            <w:pPr>
              <w:pStyle w:val="Tabletext-left"/>
              <w:rPr>
                <w:color w:val="auto"/>
              </w:rPr>
            </w:pPr>
            <w:r>
              <w:rPr>
                <w:color w:val="auto"/>
              </w:rPr>
              <w:t>Cornwall College</w:t>
            </w:r>
          </w:p>
        </w:tc>
        <w:tc>
          <w:tcPr>
            <w:tcW w:w="3119" w:type="dxa"/>
            <w:noWrap/>
            <w:vAlign w:val="bottom"/>
          </w:tcPr>
          <w:p w14:paraId="3B22C546" w14:textId="77777777" w:rsidR="00593497" w:rsidRPr="001A2D30" w:rsidRDefault="00593497" w:rsidP="003D5FEB">
            <w:pPr>
              <w:rPr>
                <w:color w:val="auto"/>
                <w:sz w:val="22"/>
                <w:szCs w:val="22"/>
              </w:rPr>
            </w:pPr>
            <w:r w:rsidRPr="001A2D30">
              <w:rPr>
                <w:color w:val="auto"/>
                <w:sz w:val="22"/>
                <w:szCs w:val="22"/>
              </w:rPr>
              <w:t>Cornwall</w:t>
            </w:r>
          </w:p>
        </w:tc>
      </w:tr>
      <w:tr w:rsidR="00593497" w:rsidRPr="007317E8" w14:paraId="148ACBCF" w14:textId="77777777" w:rsidTr="003D5FEB">
        <w:trPr>
          <w:trHeight w:val="255"/>
        </w:trPr>
        <w:tc>
          <w:tcPr>
            <w:tcW w:w="6242" w:type="dxa"/>
            <w:noWrap/>
            <w:vAlign w:val="bottom"/>
          </w:tcPr>
          <w:p w14:paraId="7E283183" w14:textId="77777777" w:rsidR="00593497" w:rsidRDefault="00593497" w:rsidP="003D5FEB">
            <w:pPr>
              <w:pStyle w:val="Tabletext-left"/>
              <w:rPr>
                <w:color w:val="auto"/>
              </w:rPr>
            </w:pPr>
            <w:r>
              <w:rPr>
                <w:color w:val="auto"/>
              </w:rPr>
              <w:t>Derby City Council</w:t>
            </w:r>
          </w:p>
        </w:tc>
        <w:tc>
          <w:tcPr>
            <w:tcW w:w="3119" w:type="dxa"/>
            <w:noWrap/>
            <w:vAlign w:val="bottom"/>
          </w:tcPr>
          <w:p w14:paraId="670060B4" w14:textId="77777777" w:rsidR="00593497" w:rsidRPr="001A2D30" w:rsidRDefault="00593497" w:rsidP="003D5FEB">
            <w:pPr>
              <w:rPr>
                <w:color w:val="auto"/>
                <w:sz w:val="22"/>
                <w:szCs w:val="22"/>
              </w:rPr>
            </w:pPr>
            <w:r w:rsidRPr="001A2D30">
              <w:rPr>
                <w:color w:val="auto"/>
                <w:sz w:val="22"/>
                <w:szCs w:val="22"/>
              </w:rPr>
              <w:t>Derby</w:t>
            </w:r>
          </w:p>
        </w:tc>
      </w:tr>
      <w:tr w:rsidR="00593497" w:rsidRPr="007317E8" w14:paraId="50509642" w14:textId="77777777" w:rsidTr="003D5FEB">
        <w:trPr>
          <w:trHeight w:val="255"/>
        </w:trPr>
        <w:tc>
          <w:tcPr>
            <w:tcW w:w="6242" w:type="dxa"/>
            <w:noWrap/>
            <w:vAlign w:val="bottom"/>
          </w:tcPr>
          <w:p w14:paraId="2BB985B0" w14:textId="77777777" w:rsidR="00593497" w:rsidRDefault="00593497" w:rsidP="003D5FEB">
            <w:pPr>
              <w:pStyle w:val="Tabletext-left"/>
              <w:rPr>
                <w:color w:val="auto"/>
              </w:rPr>
            </w:pPr>
            <w:proofErr w:type="spellStart"/>
            <w:r>
              <w:rPr>
                <w:color w:val="auto"/>
              </w:rPr>
              <w:t>Exemplas</w:t>
            </w:r>
            <w:proofErr w:type="spellEnd"/>
            <w:r>
              <w:rPr>
                <w:color w:val="auto"/>
              </w:rPr>
              <w:t xml:space="preserve"> Holdings Limited</w:t>
            </w:r>
          </w:p>
        </w:tc>
        <w:tc>
          <w:tcPr>
            <w:tcW w:w="3119" w:type="dxa"/>
            <w:noWrap/>
            <w:vAlign w:val="bottom"/>
          </w:tcPr>
          <w:p w14:paraId="074A8157" w14:textId="77777777" w:rsidR="00593497" w:rsidRPr="001A2D30" w:rsidRDefault="00593497" w:rsidP="003D5FEB">
            <w:pPr>
              <w:rPr>
                <w:color w:val="auto"/>
                <w:sz w:val="22"/>
                <w:szCs w:val="22"/>
              </w:rPr>
            </w:pPr>
            <w:r w:rsidRPr="001A2D30">
              <w:rPr>
                <w:color w:val="auto"/>
                <w:sz w:val="22"/>
                <w:szCs w:val="22"/>
              </w:rPr>
              <w:t>Redbridge</w:t>
            </w:r>
          </w:p>
        </w:tc>
      </w:tr>
      <w:tr w:rsidR="00593497" w:rsidRPr="007317E8" w14:paraId="333BABAC" w14:textId="77777777" w:rsidTr="003D5FEB">
        <w:trPr>
          <w:trHeight w:val="255"/>
        </w:trPr>
        <w:tc>
          <w:tcPr>
            <w:tcW w:w="6242" w:type="dxa"/>
            <w:noWrap/>
            <w:vAlign w:val="bottom"/>
          </w:tcPr>
          <w:p w14:paraId="3EA14FE6" w14:textId="77777777" w:rsidR="00593497" w:rsidRDefault="00593497" w:rsidP="003D5FEB">
            <w:pPr>
              <w:pStyle w:val="Tabletext-left"/>
              <w:rPr>
                <w:color w:val="auto"/>
              </w:rPr>
            </w:pPr>
            <w:r>
              <w:rPr>
                <w:color w:val="auto"/>
              </w:rPr>
              <w:t>GK Training Services Limited</w:t>
            </w:r>
          </w:p>
        </w:tc>
        <w:tc>
          <w:tcPr>
            <w:tcW w:w="3119" w:type="dxa"/>
            <w:noWrap/>
            <w:vAlign w:val="bottom"/>
          </w:tcPr>
          <w:p w14:paraId="4D82EFF0" w14:textId="77777777" w:rsidR="00593497" w:rsidRPr="001A2D30" w:rsidRDefault="00593497" w:rsidP="003D5FEB">
            <w:pPr>
              <w:rPr>
                <w:color w:val="auto"/>
                <w:sz w:val="22"/>
                <w:szCs w:val="22"/>
              </w:rPr>
            </w:pPr>
            <w:r w:rsidRPr="001A2D30">
              <w:rPr>
                <w:color w:val="auto"/>
                <w:sz w:val="22"/>
                <w:szCs w:val="22"/>
              </w:rPr>
              <w:t>Wigan</w:t>
            </w:r>
          </w:p>
        </w:tc>
      </w:tr>
      <w:tr w:rsidR="00593497" w:rsidRPr="007317E8" w14:paraId="44A9DC6B" w14:textId="77777777" w:rsidTr="003D5FEB">
        <w:trPr>
          <w:trHeight w:val="255"/>
        </w:trPr>
        <w:tc>
          <w:tcPr>
            <w:tcW w:w="6242" w:type="dxa"/>
            <w:noWrap/>
            <w:vAlign w:val="bottom"/>
          </w:tcPr>
          <w:p w14:paraId="1335A507" w14:textId="77777777" w:rsidR="00593497" w:rsidRDefault="00593497" w:rsidP="003D5FEB">
            <w:pPr>
              <w:pStyle w:val="Tabletext-left"/>
              <w:rPr>
                <w:color w:val="auto"/>
              </w:rPr>
            </w:pPr>
            <w:r>
              <w:rPr>
                <w:color w:val="auto"/>
              </w:rPr>
              <w:t>Grantham College</w:t>
            </w:r>
          </w:p>
        </w:tc>
        <w:tc>
          <w:tcPr>
            <w:tcW w:w="3119" w:type="dxa"/>
            <w:noWrap/>
            <w:vAlign w:val="bottom"/>
          </w:tcPr>
          <w:p w14:paraId="0C08B239" w14:textId="77777777" w:rsidR="00593497" w:rsidRPr="001A2D30" w:rsidRDefault="00593497" w:rsidP="003D5FEB">
            <w:pPr>
              <w:rPr>
                <w:color w:val="auto"/>
                <w:sz w:val="22"/>
                <w:szCs w:val="22"/>
              </w:rPr>
            </w:pPr>
            <w:r w:rsidRPr="001A2D30">
              <w:rPr>
                <w:color w:val="auto"/>
                <w:sz w:val="22"/>
                <w:szCs w:val="22"/>
              </w:rPr>
              <w:t>Lincolnshire</w:t>
            </w:r>
          </w:p>
        </w:tc>
      </w:tr>
      <w:tr w:rsidR="00593497" w:rsidRPr="007317E8" w14:paraId="77D34CAE" w14:textId="77777777" w:rsidTr="003D5FEB">
        <w:trPr>
          <w:trHeight w:val="255"/>
        </w:trPr>
        <w:tc>
          <w:tcPr>
            <w:tcW w:w="6242" w:type="dxa"/>
            <w:noWrap/>
            <w:vAlign w:val="bottom"/>
          </w:tcPr>
          <w:p w14:paraId="4379D90D" w14:textId="77777777" w:rsidR="00593497" w:rsidRDefault="00593497" w:rsidP="003D5FEB">
            <w:pPr>
              <w:pStyle w:val="Tabletext-left"/>
              <w:rPr>
                <w:color w:val="auto"/>
              </w:rPr>
            </w:pPr>
            <w:r>
              <w:rPr>
                <w:color w:val="auto"/>
              </w:rPr>
              <w:t>Greenwich Community College</w:t>
            </w:r>
          </w:p>
        </w:tc>
        <w:tc>
          <w:tcPr>
            <w:tcW w:w="3119" w:type="dxa"/>
            <w:noWrap/>
            <w:vAlign w:val="bottom"/>
          </w:tcPr>
          <w:p w14:paraId="34889BF1" w14:textId="77777777" w:rsidR="00593497" w:rsidRPr="001A2D30" w:rsidRDefault="00593497" w:rsidP="003D5FEB">
            <w:pPr>
              <w:rPr>
                <w:color w:val="auto"/>
                <w:sz w:val="22"/>
                <w:szCs w:val="22"/>
              </w:rPr>
            </w:pPr>
            <w:r w:rsidRPr="001A2D30">
              <w:rPr>
                <w:color w:val="auto"/>
                <w:sz w:val="22"/>
                <w:szCs w:val="22"/>
              </w:rPr>
              <w:t>Greenwich</w:t>
            </w:r>
          </w:p>
        </w:tc>
      </w:tr>
      <w:tr w:rsidR="00593497" w:rsidRPr="007317E8" w14:paraId="05C7CC55" w14:textId="77777777" w:rsidTr="003D5FEB">
        <w:trPr>
          <w:trHeight w:val="255"/>
        </w:trPr>
        <w:tc>
          <w:tcPr>
            <w:tcW w:w="6242" w:type="dxa"/>
            <w:noWrap/>
            <w:vAlign w:val="bottom"/>
          </w:tcPr>
          <w:p w14:paraId="0031B124" w14:textId="77777777" w:rsidR="00593497" w:rsidRDefault="00593497" w:rsidP="003D5FEB">
            <w:pPr>
              <w:pStyle w:val="Tabletext-left"/>
              <w:rPr>
                <w:color w:val="auto"/>
              </w:rPr>
            </w:pPr>
            <w:r>
              <w:rPr>
                <w:color w:val="auto"/>
              </w:rPr>
              <w:t>Havant Sixth Form College</w:t>
            </w:r>
          </w:p>
        </w:tc>
        <w:tc>
          <w:tcPr>
            <w:tcW w:w="3119" w:type="dxa"/>
            <w:noWrap/>
            <w:vAlign w:val="bottom"/>
          </w:tcPr>
          <w:p w14:paraId="0D65645C" w14:textId="77777777" w:rsidR="00593497" w:rsidRPr="001A2D30" w:rsidRDefault="00593497" w:rsidP="003D5FEB">
            <w:pPr>
              <w:rPr>
                <w:color w:val="auto"/>
                <w:sz w:val="22"/>
                <w:szCs w:val="22"/>
              </w:rPr>
            </w:pPr>
            <w:r w:rsidRPr="001A2D30">
              <w:rPr>
                <w:color w:val="auto"/>
                <w:sz w:val="22"/>
                <w:szCs w:val="22"/>
              </w:rPr>
              <w:t>Hampshire</w:t>
            </w:r>
          </w:p>
        </w:tc>
      </w:tr>
      <w:tr w:rsidR="00593497" w:rsidRPr="007317E8" w14:paraId="53E8B447" w14:textId="77777777" w:rsidTr="003D5FEB">
        <w:trPr>
          <w:trHeight w:val="255"/>
        </w:trPr>
        <w:tc>
          <w:tcPr>
            <w:tcW w:w="6242" w:type="dxa"/>
            <w:noWrap/>
            <w:vAlign w:val="bottom"/>
          </w:tcPr>
          <w:p w14:paraId="5CF68F7B" w14:textId="77777777" w:rsidR="00593497" w:rsidRDefault="00593497" w:rsidP="003D5FEB">
            <w:pPr>
              <w:pStyle w:val="Tabletext-left"/>
              <w:rPr>
                <w:color w:val="auto"/>
              </w:rPr>
            </w:pPr>
            <w:r>
              <w:rPr>
                <w:color w:val="auto"/>
              </w:rPr>
              <w:t>Herefordshire Council</w:t>
            </w:r>
          </w:p>
        </w:tc>
        <w:tc>
          <w:tcPr>
            <w:tcW w:w="3119" w:type="dxa"/>
            <w:noWrap/>
            <w:vAlign w:val="bottom"/>
          </w:tcPr>
          <w:p w14:paraId="79EB5354" w14:textId="77777777" w:rsidR="00593497" w:rsidRPr="001A2D30" w:rsidRDefault="00593497" w:rsidP="003D5FEB">
            <w:pPr>
              <w:rPr>
                <w:color w:val="auto"/>
                <w:sz w:val="22"/>
                <w:szCs w:val="22"/>
              </w:rPr>
            </w:pPr>
            <w:r w:rsidRPr="001A2D30">
              <w:rPr>
                <w:color w:val="auto"/>
                <w:sz w:val="22"/>
                <w:szCs w:val="22"/>
              </w:rPr>
              <w:t>Herefordshire</w:t>
            </w:r>
          </w:p>
        </w:tc>
      </w:tr>
      <w:tr w:rsidR="00593497" w:rsidRPr="007317E8" w14:paraId="1B4FA08A" w14:textId="77777777" w:rsidTr="003D5FEB">
        <w:trPr>
          <w:trHeight w:val="255"/>
        </w:trPr>
        <w:tc>
          <w:tcPr>
            <w:tcW w:w="6242" w:type="dxa"/>
            <w:noWrap/>
            <w:vAlign w:val="bottom"/>
          </w:tcPr>
          <w:p w14:paraId="2158DDE3" w14:textId="77777777" w:rsidR="00593497" w:rsidRDefault="00593497" w:rsidP="003D5FEB">
            <w:pPr>
              <w:pStyle w:val="Tabletext-left"/>
              <w:rPr>
                <w:color w:val="auto"/>
              </w:rPr>
            </w:pPr>
            <w:r>
              <w:rPr>
                <w:color w:val="auto"/>
              </w:rPr>
              <w:t>Hull College Group</w:t>
            </w:r>
          </w:p>
        </w:tc>
        <w:tc>
          <w:tcPr>
            <w:tcW w:w="3119" w:type="dxa"/>
            <w:noWrap/>
            <w:vAlign w:val="bottom"/>
          </w:tcPr>
          <w:p w14:paraId="69451BFD" w14:textId="77777777" w:rsidR="00593497" w:rsidRPr="001A2D30" w:rsidRDefault="00593497" w:rsidP="003D5FEB">
            <w:pPr>
              <w:rPr>
                <w:color w:val="auto"/>
                <w:sz w:val="22"/>
                <w:szCs w:val="22"/>
              </w:rPr>
            </w:pPr>
            <w:r w:rsidRPr="001A2D30">
              <w:rPr>
                <w:color w:val="auto"/>
                <w:sz w:val="22"/>
                <w:szCs w:val="22"/>
              </w:rPr>
              <w:t xml:space="preserve">City of </w:t>
            </w:r>
            <w:proofErr w:type="spellStart"/>
            <w:r w:rsidRPr="001A2D30">
              <w:rPr>
                <w:color w:val="auto"/>
                <w:sz w:val="22"/>
                <w:szCs w:val="22"/>
              </w:rPr>
              <w:t>Kingston-upon-Hull</w:t>
            </w:r>
            <w:proofErr w:type="spellEnd"/>
          </w:p>
        </w:tc>
      </w:tr>
      <w:tr w:rsidR="00593497" w:rsidRPr="007317E8" w14:paraId="5C7ABEA8" w14:textId="77777777" w:rsidTr="003D5FEB">
        <w:trPr>
          <w:trHeight w:val="255"/>
        </w:trPr>
        <w:tc>
          <w:tcPr>
            <w:tcW w:w="6242" w:type="dxa"/>
            <w:noWrap/>
            <w:vAlign w:val="bottom"/>
          </w:tcPr>
          <w:p w14:paraId="58CE89A0" w14:textId="77777777" w:rsidR="00593497" w:rsidRDefault="00593497" w:rsidP="003D5FEB">
            <w:pPr>
              <w:pStyle w:val="Tabletext-left"/>
              <w:rPr>
                <w:color w:val="auto"/>
              </w:rPr>
            </w:pPr>
            <w:r>
              <w:rPr>
                <w:color w:val="auto"/>
              </w:rPr>
              <w:t>JGA Group Limited</w:t>
            </w:r>
          </w:p>
        </w:tc>
        <w:tc>
          <w:tcPr>
            <w:tcW w:w="3119" w:type="dxa"/>
            <w:noWrap/>
            <w:vAlign w:val="bottom"/>
          </w:tcPr>
          <w:p w14:paraId="0682A182" w14:textId="77777777" w:rsidR="00593497" w:rsidRPr="001A2D30" w:rsidRDefault="00593497" w:rsidP="003D5FEB">
            <w:pPr>
              <w:rPr>
                <w:color w:val="auto"/>
                <w:sz w:val="22"/>
                <w:szCs w:val="22"/>
              </w:rPr>
            </w:pPr>
            <w:r w:rsidRPr="001A2D30">
              <w:rPr>
                <w:color w:val="auto"/>
                <w:sz w:val="22"/>
                <w:szCs w:val="22"/>
              </w:rPr>
              <w:t>Hillingdon</w:t>
            </w:r>
          </w:p>
        </w:tc>
      </w:tr>
      <w:tr w:rsidR="00593497" w:rsidRPr="007317E8" w14:paraId="327E7991" w14:textId="77777777" w:rsidTr="003D5FEB">
        <w:trPr>
          <w:trHeight w:val="255"/>
        </w:trPr>
        <w:tc>
          <w:tcPr>
            <w:tcW w:w="6242" w:type="dxa"/>
            <w:noWrap/>
            <w:vAlign w:val="bottom"/>
          </w:tcPr>
          <w:p w14:paraId="6BF12957" w14:textId="77777777" w:rsidR="00593497" w:rsidRDefault="00593497" w:rsidP="003D5FEB">
            <w:pPr>
              <w:pStyle w:val="Tabletext-left"/>
              <w:rPr>
                <w:color w:val="auto"/>
              </w:rPr>
            </w:pPr>
            <w:r>
              <w:rPr>
                <w:color w:val="auto"/>
              </w:rPr>
              <w:t>King George V College</w:t>
            </w:r>
          </w:p>
        </w:tc>
        <w:tc>
          <w:tcPr>
            <w:tcW w:w="3119" w:type="dxa"/>
            <w:noWrap/>
            <w:vAlign w:val="bottom"/>
          </w:tcPr>
          <w:p w14:paraId="1DCBE78B" w14:textId="77777777" w:rsidR="00593497" w:rsidRPr="001A2D30" w:rsidRDefault="00593497" w:rsidP="003D5FEB">
            <w:pPr>
              <w:rPr>
                <w:color w:val="auto"/>
                <w:sz w:val="22"/>
                <w:szCs w:val="22"/>
              </w:rPr>
            </w:pPr>
            <w:r w:rsidRPr="001A2D30">
              <w:rPr>
                <w:color w:val="auto"/>
                <w:sz w:val="22"/>
                <w:szCs w:val="22"/>
              </w:rPr>
              <w:t>Sefton</w:t>
            </w:r>
          </w:p>
        </w:tc>
      </w:tr>
      <w:tr w:rsidR="00593497" w:rsidRPr="007317E8" w14:paraId="2DEE944F" w14:textId="77777777" w:rsidTr="003D5FEB">
        <w:trPr>
          <w:trHeight w:val="255"/>
        </w:trPr>
        <w:tc>
          <w:tcPr>
            <w:tcW w:w="6242" w:type="dxa"/>
            <w:noWrap/>
            <w:vAlign w:val="bottom"/>
          </w:tcPr>
          <w:p w14:paraId="390A80C0" w14:textId="77777777" w:rsidR="00593497" w:rsidRDefault="00593497" w:rsidP="003D5FEB">
            <w:pPr>
              <w:pStyle w:val="Tabletext-left"/>
              <w:rPr>
                <w:color w:val="auto"/>
              </w:rPr>
            </w:pPr>
            <w:proofErr w:type="spellStart"/>
            <w:r>
              <w:rPr>
                <w:color w:val="auto"/>
              </w:rPr>
              <w:t>Knowsley</w:t>
            </w:r>
            <w:proofErr w:type="spellEnd"/>
            <w:r>
              <w:rPr>
                <w:color w:val="auto"/>
              </w:rPr>
              <w:t xml:space="preserve"> Metropolitan Borough Council</w:t>
            </w:r>
          </w:p>
        </w:tc>
        <w:tc>
          <w:tcPr>
            <w:tcW w:w="3119" w:type="dxa"/>
            <w:noWrap/>
            <w:vAlign w:val="bottom"/>
          </w:tcPr>
          <w:p w14:paraId="62FA0DC1" w14:textId="77777777" w:rsidR="00593497" w:rsidRPr="001A2D30" w:rsidRDefault="00593497" w:rsidP="003D5FEB">
            <w:pPr>
              <w:rPr>
                <w:color w:val="auto"/>
                <w:sz w:val="22"/>
                <w:szCs w:val="22"/>
              </w:rPr>
            </w:pPr>
            <w:proofErr w:type="spellStart"/>
            <w:r w:rsidRPr="001A2D30">
              <w:rPr>
                <w:color w:val="auto"/>
                <w:sz w:val="22"/>
                <w:szCs w:val="22"/>
              </w:rPr>
              <w:t>Knowsley</w:t>
            </w:r>
            <w:proofErr w:type="spellEnd"/>
          </w:p>
        </w:tc>
      </w:tr>
      <w:tr w:rsidR="00593497" w:rsidRPr="007317E8" w14:paraId="4E15A027" w14:textId="77777777" w:rsidTr="003D5FEB">
        <w:trPr>
          <w:trHeight w:val="255"/>
        </w:trPr>
        <w:tc>
          <w:tcPr>
            <w:tcW w:w="6242" w:type="dxa"/>
            <w:noWrap/>
            <w:vAlign w:val="bottom"/>
          </w:tcPr>
          <w:p w14:paraId="34BC6375" w14:textId="795014B2" w:rsidR="00593497" w:rsidRDefault="00593497" w:rsidP="003D5FEB">
            <w:pPr>
              <w:pStyle w:val="Tabletext-left"/>
              <w:rPr>
                <w:color w:val="auto"/>
              </w:rPr>
            </w:pPr>
            <w:r>
              <w:rPr>
                <w:color w:val="auto"/>
              </w:rPr>
              <w:t>Mid</w:t>
            </w:r>
            <w:r w:rsidR="008F1A0C">
              <w:rPr>
                <w:color w:val="auto"/>
              </w:rPr>
              <w:t xml:space="preserve"> </w:t>
            </w:r>
            <w:r>
              <w:rPr>
                <w:color w:val="auto"/>
              </w:rPr>
              <w:t>Cheshire College</w:t>
            </w:r>
          </w:p>
        </w:tc>
        <w:tc>
          <w:tcPr>
            <w:tcW w:w="3119" w:type="dxa"/>
            <w:noWrap/>
            <w:vAlign w:val="bottom"/>
          </w:tcPr>
          <w:p w14:paraId="3A40414B" w14:textId="77777777" w:rsidR="00593497" w:rsidRPr="001A2D30" w:rsidRDefault="00593497" w:rsidP="003D5FEB">
            <w:pPr>
              <w:rPr>
                <w:color w:val="auto"/>
                <w:sz w:val="22"/>
                <w:szCs w:val="22"/>
              </w:rPr>
            </w:pPr>
            <w:r w:rsidRPr="001A2D30">
              <w:rPr>
                <w:color w:val="auto"/>
                <w:sz w:val="22"/>
                <w:szCs w:val="22"/>
              </w:rPr>
              <w:t>Cheshire West and Chester</w:t>
            </w:r>
          </w:p>
        </w:tc>
      </w:tr>
      <w:tr w:rsidR="00593497" w:rsidRPr="007317E8" w14:paraId="5A219A18" w14:textId="77777777" w:rsidTr="003D5FEB">
        <w:trPr>
          <w:trHeight w:val="255"/>
        </w:trPr>
        <w:tc>
          <w:tcPr>
            <w:tcW w:w="6242" w:type="dxa"/>
            <w:noWrap/>
            <w:vAlign w:val="bottom"/>
          </w:tcPr>
          <w:p w14:paraId="2EADE411" w14:textId="525ECD76" w:rsidR="00593497" w:rsidRDefault="00593497" w:rsidP="003D5FEB">
            <w:pPr>
              <w:pStyle w:val="Tabletext-left"/>
              <w:rPr>
                <w:color w:val="auto"/>
              </w:rPr>
            </w:pPr>
            <w:r>
              <w:rPr>
                <w:color w:val="auto"/>
              </w:rPr>
              <w:t>N&amp;B Training Company</w:t>
            </w:r>
            <w:r w:rsidR="008F1A0C">
              <w:rPr>
                <w:color w:val="auto"/>
              </w:rPr>
              <w:t xml:space="preserve"> Ltd</w:t>
            </w:r>
          </w:p>
        </w:tc>
        <w:tc>
          <w:tcPr>
            <w:tcW w:w="3119" w:type="dxa"/>
            <w:noWrap/>
            <w:vAlign w:val="bottom"/>
          </w:tcPr>
          <w:p w14:paraId="6013293B" w14:textId="77777777" w:rsidR="00593497" w:rsidRPr="001A2D30" w:rsidRDefault="00593497" w:rsidP="003D5FEB">
            <w:pPr>
              <w:rPr>
                <w:color w:val="auto"/>
                <w:sz w:val="22"/>
                <w:szCs w:val="22"/>
              </w:rPr>
            </w:pPr>
            <w:r w:rsidRPr="001A2D30">
              <w:rPr>
                <w:color w:val="auto"/>
                <w:sz w:val="22"/>
                <w:szCs w:val="22"/>
              </w:rPr>
              <w:t>Surrey</w:t>
            </w:r>
          </w:p>
        </w:tc>
      </w:tr>
      <w:tr w:rsidR="00593497" w:rsidRPr="007317E8" w14:paraId="2221D550" w14:textId="77777777" w:rsidTr="003D5FEB">
        <w:trPr>
          <w:trHeight w:val="255"/>
        </w:trPr>
        <w:tc>
          <w:tcPr>
            <w:tcW w:w="6242" w:type="dxa"/>
            <w:noWrap/>
            <w:vAlign w:val="bottom"/>
          </w:tcPr>
          <w:p w14:paraId="56216681" w14:textId="77777777" w:rsidR="00593497" w:rsidRDefault="00593497" w:rsidP="003D5FEB">
            <w:pPr>
              <w:pStyle w:val="Tabletext-left"/>
              <w:rPr>
                <w:color w:val="auto"/>
              </w:rPr>
            </w:pPr>
            <w:r>
              <w:rPr>
                <w:color w:val="auto"/>
              </w:rPr>
              <w:t>New College Nottingham</w:t>
            </w:r>
          </w:p>
        </w:tc>
        <w:tc>
          <w:tcPr>
            <w:tcW w:w="3119" w:type="dxa"/>
            <w:noWrap/>
            <w:vAlign w:val="bottom"/>
          </w:tcPr>
          <w:p w14:paraId="5A665042" w14:textId="77777777" w:rsidR="00593497" w:rsidRPr="001A2D30" w:rsidRDefault="00593497" w:rsidP="003D5FEB">
            <w:pPr>
              <w:rPr>
                <w:color w:val="auto"/>
                <w:sz w:val="22"/>
                <w:szCs w:val="22"/>
              </w:rPr>
            </w:pPr>
            <w:r w:rsidRPr="001A2D30">
              <w:rPr>
                <w:color w:val="auto"/>
                <w:sz w:val="22"/>
                <w:szCs w:val="22"/>
              </w:rPr>
              <w:t>Nottingham</w:t>
            </w:r>
          </w:p>
        </w:tc>
      </w:tr>
      <w:tr w:rsidR="00593497" w:rsidRPr="001A2D30" w14:paraId="22B3DCF6" w14:textId="77777777" w:rsidTr="003D5FEB">
        <w:trPr>
          <w:trHeight w:val="255"/>
        </w:trPr>
        <w:tc>
          <w:tcPr>
            <w:tcW w:w="6242" w:type="dxa"/>
            <w:noWrap/>
            <w:vAlign w:val="center"/>
          </w:tcPr>
          <w:p w14:paraId="07010FAB" w14:textId="77777777" w:rsidR="00593497" w:rsidRDefault="00593497" w:rsidP="003D5FEB">
            <w:pPr>
              <w:pStyle w:val="Tabletext-left"/>
              <w:rPr>
                <w:color w:val="auto"/>
              </w:rPr>
            </w:pPr>
            <w:r>
              <w:rPr>
                <w:color w:val="auto"/>
              </w:rPr>
              <w:t>Newham Sixth Form College</w:t>
            </w:r>
          </w:p>
        </w:tc>
        <w:tc>
          <w:tcPr>
            <w:tcW w:w="3119" w:type="dxa"/>
            <w:noWrap/>
            <w:vAlign w:val="center"/>
          </w:tcPr>
          <w:p w14:paraId="4EC2D00A" w14:textId="77777777" w:rsidR="00593497" w:rsidRPr="001A2D30" w:rsidRDefault="00593497" w:rsidP="003D5FEB">
            <w:pPr>
              <w:rPr>
                <w:color w:val="auto"/>
                <w:sz w:val="22"/>
                <w:szCs w:val="22"/>
              </w:rPr>
            </w:pPr>
            <w:r w:rsidRPr="001A2D30">
              <w:rPr>
                <w:color w:val="auto"/>
                <w:sz w:val="22"/>
                <w:szCs w:val="22"/>
              </w:rPr>
              <w:t>Newham</w:t>
            </w:r>
          </w:p>
        </w:tc>
      </w:tr>
      <w:tr w:rsidR="00593497" w:rsidRPr="007317E8" w14:paraId="060A011B" w14:textId="77777777" w:rsidTr="003D5FEB">
        <w:trPr>
          <w:trHeight w:val="255"/>
        </w:trPr>
        <w:tc>
          <w:tcPr>
            <w:tcW w:w="6242" w:type="dxa"/>
            <w:noWrap/>
            <w:vAlign w:val="bottom"/>
          </w:tcPr>
          <w:p w14:paraId="69308E39" w14:textId="77777777" w:rsidR="00593497" w:rsidRDefault="00593497" w:rsidP="003D5FEB">
            <w:pPr>
              <w:pStyle w:val="Tabletext-left"/>
              <w:rPr>
                <w:color w:val="auto"/>
              </w:rPr>
            </w:pPr>
            <w:r>
              <w:rPr>
                <w:color w:val="auto"/>
              </w:rPr>
              <w:t xml:space="preserve">North </w:t>
            </w:r>
            <w:proofErr w:type="spellStart"/>
            <w:r>
              <w:rPr>
                <w:color w:val="auto"/>
              </w:rPr>
              <w:t>Lancs</w:t>
            </w:r>
            <w:proofErr w:type="spellEnd"/>
            <w:r>
              <w:rPr>
                <w:color w:val="auto"/>
              </w:rPr>
              <w:t xml:space="preserve"> Training Group</w:t>
            </w:r>
          </w:p>
        </w:tc>
        <w:tc>
          <w:tcPr>
            <w:tcW w:w="3119" w:type="dxa"/>
            <w:noWrap/>
            <w:vAlign w:val="bottom"/>
          </w:tcPr>
          <w:p w14:paraId="06CD1E24" w14:textId="77777777" w:rsidR="00593497" w:rsidRPr="001A2D30" w:rsidRDefault="00593497" w:rsidP="003D5FEB">
            <w:pPr>
              <w:rPr>
                <w:color w:val="auto"/>
                <w:sz w:val="22"/>
                <w:szCs w:val="22"/>
              </w:rPr>
            </w:pPr>
            <w:r w:rsidRPr="001A2D30">
              <w:rPr>
                <w:color w:val="auto"/>
                <w:sz w:val="22"/>
                <w:szCs w:val="22"/>
              </w:rPr>
              <w:t>Lancashire</w:t>
            </w:r>
          </w:p>
        </w:tc>
      </w:tr>
      <w:tr w:rsidR="00593497" w:rsidRPr="007317E8" w14:paraId="2A6ACB45" w14:textId="77777777" w:rsidTr="003D5FEB">
        <w:trPr>
          <w:trHeight w:val="255"/>
        </w:trPr>
        <w:tc>
          <w:tcPr>
            <w:tcW w:w="6242" w:type="dxa"/>
            <w:noWrap/>
            <w:vAlign w:val="bottom"/>
          </w:tcPr>
          <w:p w14:paraId="48D91ADC" w14:textId="77777777" w:rsidR="00593497" w:rsidRDefault="00593497" w:rsidP="003D5FEB">
            <w:pPr>
              <w:pStyle w:val="Tabletext-left"/>
              <w:rPr>
                <w:color w:val="auto"/>
              </w:rPr>
            </w:pPr>
            <w:proofErr w:type="spellStart"/>
            <w:r>
              <w:rPr>
                <w:color w:val="auto"/>
              </w:rPr>
              <w:lastRenderedPageBreak/>
              <w:t>Oakmere</w:t>
            </w:r>
            <w:proofErr w:type="spellEnd"/>
            <w:r>
              <w:rPr>
                <w:color w:val="auto"/>
              </w:rPr>
              <w:t xml:space="preserve"> Community College</w:t>
            </w:r>
          </w:p>
        </w:tc>
        <w:tc>
          <w:tcPr>
            <w:tcW w:w="3119" w:type="dxa"/>
            <w:noWrap/>
            <w:vAlign w:val="bottom"/>
          </w:tcPr>
          <w:p w14:paraId="4BE850A6" w14:textId="77777777" w:rsidR="00593497" w:rsidRPr="001A2D30" w:rsidRDefault="00593497" w:rsidP="003D5FEB">
            <w:pPr>
              <w:rPr>
                <w:color w:val="auto"/>
                <w:sz w:val="22"/>
                <w:szCs w:val="22"/>
              </w:rPr>
            </w:pPr>
            <w:r w:rsidRPr="001A2D30">
              <w:rPr>
                <w:color w:val="auto"/>
                <w:sz w:val="22"/>
                <w:szCs w:val="22"/>
              </w:rPr>
              <w:t>Liverpool</w:t>
            </w:r>
          </w:p>
        </w:tc>
      </w:tr>
      <w:tr w:rsidR="00593497" w:rsidRPr="007317E8" w14:paraId="2227C95E" w14:textId="77777777" w:rsidTr="003D5FEB">
        <w:trPr>
          <w:trHeight w:val="255"/>
        </w:trPr>
        <w:tc>
          <w:tcPr>
            <w:tcW w:w="6242" w:type="dxa"/>
            <w:noWrap/>
            <w:vAlign w:val="bottom"/>
          </w:tcPr>
          <w:p w14:paraId="5E04DD2C" w14:textId="77777777" w:rsidR="00593497" w:rsidRDefault="00593497" w:rsidP="003D5FEB">
            <w:pPr>
              <w:pStyle w:val="Tabletext-left"/>
              <w:rPr>
                <w:color w:val="auto"/>
              </w:rPr>
            </w:pPr>
            <w:proofErr w:type="spellStart"/>
            <w:r>
              <w:rPr>
                <w:color w:val="auto"/>
              </w:rPr>
              <w:t>Paston</w:t>
            </w:r>
            <w:proofErr w:type="spellEnd"/>
            <w:r>
              <w:rPr>
                <w:color w:val="auto"/>
              </w:rPr>
              <w:t xml:space="preserve"> Sixth Form College</w:t>
            </w:r>
          </w:p>
        </w:tc>
        <w:tc>
          <w:tcPr>
            <w:tcW w:w="3119" w:type="dxa"/>
            <w:noWrap/>
            <w:vAlign w:val="bottom"/>
          </w:tcPr>
          <w:p w14:paraId="7BA5C948" w14:textId="77777777" w:rsidR="00593497" w:rsidRPr="001A2D30" w:rsidRDefault="00593497" w:rsidP="003D5FEB">
            <w:pPr>
              <w:rPr>
                <w:color w:val="auto"/>
                <w:sz w:val="22"/>
                <w:szCs w:val="22"/>
              </w:rPr>
            </w:pPr>
            <w:r w:rsidRPr="001A2D30">
              <w:rPr>
                <w:color w:val="auto"/>
                <w:sz w:val="22"/>
                <w:szCs w:val="22"/>
              </w:rPr>
              <w:t>Norfolk</w:t>
            </w:r>
          </w:p>
        </w:tc>
      </w:tr>
      <w:tr w:rsidR="00593497" w:rsidRPr="007317E8" w14:paraId="3A358238" w14:textId="77777777" w:rsidTr="003D5FEB">
        <w:trPr>
          <w:trHeight w:val="255"/>
        </w:trPr>
        <w:tc>
          <w:tcPr>
            <w:tcW w:w="6242" w:type="dxa"/>
            <w:noWrap/>
            <w:vAlign w:val="bottom"/>
          </w:tcPr>
          <w:p w14:paraId="6B64D883" w14:textId="77777777" w:rsidR="00593497" w:rsidRDefault="00593497" w:rsidP="003D5FEB">
            <w:pPr>
              <w:pStyle w:val="Tabletext-left"/>
              <w:rPr>
                <w:color w:val="auto"/>
              </w:rPr>
            </w:pPr>
            <w:r>
              <w:rPr>
                <w:color w:val="auto"/>
              </w:rPr>
              <w:t>Pearson PLC</w:t>
            </w:r>
          </w:p>
        </w:tc>
        <w:tc>
          <w:tcPr>
            <w:tcW w:w="3119" w:type="dxa"/>
            <w:noWrap/>
            <w:vAlign w:val="bottom"/>
          </w:tcPr>
          <w:p w14:paraId="16D310BB" w14:textId="77777777" w:rsidR="00593497" w:rsidRPr="001A2D30" w:rsidRDefault="00593497" w:rsidP="003D5FEB">
            <w:pPr>
              <w:rPr>
                <w:color w:val="auto"/>
                <w:sz w:val="22"/>
                <w:szCs w:val="22"/>
              </w:rPr>
            </w:pPr>
            <w:r w:rsidRPr="001A2D30">
              <w:rPr>
                <w:color w:val="auto"/>
                <w:sz w:val="22"/>
                <w:szCs w:val="22"/>
              </w:rPr>
              <w:t>Essex</w:t>
            </w:r>
          </w:p>
        </w:tc>
      </w:tr>
      <w:tr w:rsidR="00593497" w:rsidRPr="007317E8" w14:paraId="3D7FDF30" w14:textId="77777777" w:rsidTr="003D5FEB">
        <w:trPr>
          <w:trHeight w:val="255"/>
        </w:trPr>
        <w:tc>
          <w:tcPr>
            <w:tcW w:w="6242" w:type="dxa"/>
            <w:noWrap/>
            <w:vAlign w:val="bottom"/>
          </w:tcPr>
          <w:p w14:paraId="31D15F3C" w14:textId="77777777" w:rsidR="00593497" w:rsidRDefault="00593497" w:rsidP="003D5FEB">
            <w:pPr>
              <w:pStyle w:val="Tabletext-left"/>
              <w:rPr>
                <w:color w:val="auto"/>
              </w:rPr>
            </w:pPr>
            <w:r>
              <w:rPr>
                <w:color w:val="auto"/>
              </w:rPr>
              <w:t>Pilot IMS Limited</w:t>
            </w:r>
          </w:p>
        </w:tc>
        <w:tc>
          <w:tcPr>
            <w:tcW w:w="3119" w:type="dxa"/>
            <w:noWrap/>
            <w:vAlign w:val="bottom"/>
          </w:tcPr>
          <w:p w14:paraId="483F3FD0" w14:textId="77777777" w:rsidR="00593497" w:rsidRPr="001A2D30" w:rsidRDefault="00593497" w:rsidP="003D5FEB">
            <w:pPr>
              <w:rPr>
                <w:color w:val="auto"/>
                <w:sz w:val="22"/>
                <w:szCs w:val="22"/>
              </w:rPr>
            </w:pPr>
            <w:r w:rsidRPr="001A2D30">
              <w:rPr>
                <w:color w:val="auto"/>
                <w:sz w:val="22"/>
                <w:szCs w:val="22"/>
              </w:rPr>
              <w:t>Birmingham</w:t>
            </w:r>
          </w:p>
        </w:tc>
      </w:tr>
      <w:tr w:rsidR="00593497" w:rsidRPr="007317E8" w14:paraId="4277B4D2" w14:textId="77777777" w:rsidTr="003D5FEB">
        <w:trPr>
          <w:trHeight w:val="255"/>
        </w:trPr>
        <w:tc>
          <w:tcPr>
            <w:tcW w:w="6242" w:type="dxa"/>
            <w:noWrap/>
            <w:vAlign w:val="bottom"/>
          </w:tcPr>
          <w:p w14:paraId="6DA1F8FF" w14:textId="77777777" w:rsidR="00593497" w:rsidRDefault="00593497" w:rsidP="003D5FEB">
            <w:pPr>
              <w:pStyle w:val="Tabletext-left"/>
              <w:rPr>
                <w:color w:val="auto"/>
              </w:rPr>
            </w:pPr>
            <w:r>
              <w:rPr>
                <w:color w:val="auto"/>
              </w:rPr>
              <w:t>Progress to Excellence</w:t>
            </w:r>
          </w:p>
        </w:tc>
        <w:tc>
          <w:tcPr>
            <w:tcW w:w="3119" w:type="dxa"/>
            <w:noWrap/>
            <w:vAlign w:val="bottom"/>
          </w:tcPr>
          <w:p w14:paraId="79DA3031" w14:textId="77777777" w:rsidR="00593497" w:rsidRPr="001A2D30" w:rsidRDefault="00593497" w:rsidP="003D5FEB">
            <w:pPr>
              <w:rPr>
                <w:color w:val="auto"/>
                <w:sz w:val="22"/>
                <w:szCs w:val="22"/>
              </w:rPr>
            </w:pPr>
            <w:r w:rsidRPr="001A2D30">
              <w:rPr>
                <w:color w:val="auto"/>
                <w:sz w:val="22"/>
                <w:szCs w:val="22"/>
              </w:rPr>
              <w:t>Wirral</w:t>
            </w:r>
          </w:p>
        </w:tc>
      </w:tr>
      <w:tr w:rsidR="00593497" w:rsidRPr="007317E8" w14:paraId="3D8E219A" w14:textId="77777777" w:rsidTr="003D5FEB">
        <w:trPr>
          <w:trHeight w:val="255"/>
        </w:trPr>
        <w:tc>
          <w:tcPr>
            <w:tcW w:w="6242" w:type="dxa"/>
            <w:noWrap/>
            <w:vAlign w:val="bottom"/>
          </w:tcPr>
          <w:p w14:paraId="0560C139" w14:textId="77777777" w:rsidR="00593497" w:rsidRDefault="00593497" w:rsidP="003D5FEB">
            <w:pPr>
              <w:pStyle w:val="Tabletext-left"/>
              <w:rPr>
                <w:color w:val="auto"/>
              </w:rPr>
            </w:pPr>
            <w:r>
              <w:rPr>
                <w:color w:val="auto"/>
              </w:rPr>
              <w:t>Redbridge College</w:t>
            </w:r>
          </w:p>
        </w:tc>
        <w:tc>
          <w:tcPr>
            <w:tcW w:w="3119" w:type="dxa"/>
            <w:noWrap/>
            <w:vAlign w:val="bottom"/>
          </w:tcPr>
          <w:p w14:paraId="6BE14E84" w14:textId="77777777" w:rsidR="00593497" w:rsidRPr="001A2D30" w:rsidRDefault="00593497" w:rsidP="003D5FEB">
            <w:pPr>
              <w:rPr>
                <w:color w:val="auto"/>
                <w:sz w:val="22"/>
                <w:szCs w:val="22"/>
              </w:rPr>
            </w:pPr>
            <w:r w:rsidRPr="001A2D30">
              <w:rPr>
                <w:color w:val="auto"/>
                <w:sz w:val="22"/>
                <w:szCs w:val="22"/>
              </w:rPr>
              <w:t>Redbridge</w:t>
            </w:r>
          </w:p>
        </w:tc>
      </w:tr>
      <w:tr w:rsidR="00593497" w:rsidRPr="007317E8" w14:paraId="5277E599" w14:textId="77777777" w:rsidTr="003D5FEB">
        <w:trPr>
          <w:trHeight w:val="255"/>
        </w:trPr>
        <w:tc>
          <w:tcPr>
            <w:tcW w:w="6242" w:type="dxa"/>
            <w:noWrap/>
            <w:vAlign w:val="bottom"/>
          </w:tcPr>
          <w:p w14:paraId="10ABF055" w14:textId="3B7AAD4C" w:rsidR="00593497" w:rsidRDefault="00593497" w:rsidP="003D5FEB">
            <w:pPr>
              <w:pStyle w:val="Tabletext-left"/>
              <w:rPr>
                <w:color w:val="auto"/>
              </w:rPr>
            </w:pPr>
            <w:r>
              <w:rPr>
                <w:color w:val="auto"/>
              </w:rPr>
              <w:t>Richmond-upon-Thames College</w:t>
            </w:r>
          </w:p>
        </w:tc>
        <w:tc>
          <w:tcPr>
            <w:tcW w:w="3119" w:type="dxa"/>
            <w:noWrap/>
            <w:vAlign w:val="bottom"/>
          </w:tcPr>
          <w:p w14:paraId="2F2FA91F" w14:textId="77777777" w:rsidR="00593497" w:rsidRPr="001A2D30" w:rsidRDefault="00593497" w:rsidP="003D5FEB">
            <w:pPr>
              <w:rPr>
                <w:color w:val="auto"/>
                <w:sz w:val="22"/>
                <w:szCs w:val="22"/>
              </w:rPr>
            </w:pPr>
            <w:r w:rsidRPr="001A2D30">
              <w:rPr>
                <w:color w:val="auto"/>
                <w:sz w:val="22"/>
                <w:szCs w:val="22"/>
              </w:rPr>
              <w:t>Richmond-upon-Thames</w:t>
            </w:r>
          </w:p>
        </w:tc>
      </w:tr>
      <w:tr w:rsidR="00593497" w:rsidRPr="007317E8" w14:paraId="181D442B" w14:textId="77777777" w:rsidTr="003D5FEB">
        <w:trPr>
          <w:trHeight w:val="255"/>
        </w:trPr>
        <w:tc>
          <w:tcPr>
            <w:tcW w:w="6242" w:type="dxa"/>
            <w:noWrap/>
            <w:vAlign w:val="bottom"/>
          </w:tcPr>
          <w:p w14:paraId="5CB00887" w14:textId="77777777" w:rsidR="00593497" w:rsidRDefault="00593497" w:rsidP="003D5FEB">
            <w:pPr>
              <w:pStyle w:val="Tabletext-left"/>
              <w:rPr>
                <w:color w:val="auto"/>
              </w:rPr>
            </w:pPr>
            <w:r>
              <w:rPr>
                <w:color w:val="auto"/>
              </w:rPr>
              <w:t>Skegness College of Vocational Training</w:t>
            </w:r>
          </w:p>
        </w:tc>
        <w:tc>
          <w:tcPr>
            <w:tcW w:w="3119" w:type="dxa"/>
            <w:noWrap/>
            <w:vAlign w:val="bottom"/>
          </w:tcPr>
          <w:p w14:paraId="68441D19" w14:textId="77777777" w:rsidR="00593497" w:rsidRPr="001A2D30" w:rsidRDefault="00593497" w:rsidP="003D5FEB">
            <w:pPr>
              <w:rPr>
                <w:color w:val="auto"/>
                <w:sz w:val="22"/>
                <w:szCs w:val="22"/>
              </w:rPr>
            </w:pPr>
            <w:r w:rsidRPr="001A2D30">
              <w:rPr>
                <w:color w:val="auto"/>
                <w:sz w:val="22"/>
                <w:szCs w:val="22"/>
              </w:rPr>
              <w:t>Lincolnshire</w:t>
            </w:r>
          </w:p>
        </w:tc>
      </w:tr>
      <w:tr w:rsidR="00593497" w:rsidRPr="007317E8" w14:paraId="79FE71DF" w14:textId="77777777" w:rsidTr="003D5FEB">
        <w:trPr>
          <w:trHeight w:val="255"/>
        </w:trPr>
        <w:tc>
          <w:tcPr>
            <w:tcW w:w="6242" w:type="dxa"/>
            <w:noWrap/>
            <w:vAlign w:val="bottom"/>
          </w:tcPr>
          <w:p w14:paraId="35CCD14E" w14:textId="77777777" w:rsidR="00593497" w:rsidRDefault="00593497" w:rsidP="003D5FEB">
            <w:pPr>
              <w:pStyle w:val="Tabletext-left"/>
              <w:rPr>
                <w:color w:val="auto"/>
              </w:rPr>
            </w:pPr>
            <w:r>
              <w:rPr>
                <w:color w:val="auto"/>
              </w:rPr>
              <w:t>South Cheshire College</w:t>
            </w:r>
          </w:p>
        </w:tc>
        <w:tc>
          <w:tcPr>
            <w:tcW w:w="3119" w:type="dxa"/>
            <w:noWrap/>
            <w:vAlign w:val="bottom"/>
          </w:tcPr>
          <w:p w14:paraId="0D867335" w14:textId="77777777" w:rsidR="00593497" w:rsidRPr="001A2D30" w:rsidRDefault="00593497" w:rsidP="003D5FEB">
            <w:pPr>
              <w:rPr>
                <w:color w:val="auto"/>
                <w:sz w:val="22"/>
                <w:szCs w:val="22"/>
              </w:rPr>
            </w:pPr>
            <w:r w:rsidRPr="001A2D30">
              <w:rPr>
                <w:color w:val="auto"/>
                <w:sz w:val="22"/>
                <w:szCs w:val="22"/>
              </w:rPr>
              <w:t>Cheshire East</w:t>
            </w:r>
          </w:p>
        </w:tc>
      </w:tr>
      <w:tr w:rsidR="00593497" w:rsidRPr="007317E8" w14:paraId="19E21EE2" w14:textId="77777777" w:rsidTr="003D5FEB">
        <w:trPr>
          <w:trHeight w:val="255"/>
        </w:trPr>
        <w:tc>
          <w:tcPr>
            <w:tcW w:w="6242" w:type="dxa"/>
            <w:noWrap/>
            <w:vAlign w:val="bottom"/>
          </w:tcPr>
          <w:p w14:paraId="31636C00" w14:textId="77777777" w:rsidR="00593497" w:rsidRDefault="00593497" w:rsidP="003D5FEB">
            <w:pPr>
              <w:pStyle w:val="Tabletext-left"/>
              <w:rPr>
                <w:color w:val="auto"/>
              </w:rPr>
            </w:pPr>
            <w:r>
              <w:rPr>
                <w:color w:val="auto"/>
              </w:rPr>
              <w:t>St Elizabeth’s College</w:t>
            </w:r>
          </w:p>
        </w:tc>
        <w:tc>
          <w:tcPr>
            <w:tcW w:w="3119" w:type="dxa"/>
            <w:noWrap/>
            <w:vAlign w:val="bottom"/>
          </w:tcPr>
          <w:p w14:paraId="4E331CBB" w14:textId="77777777" w:rsidR="00593497" w:rsidRPr="001A2D30" w:rsidRDefault="00593497" w:rsidP="003D5FEB">
            <w:pPr>
              <w:rPr>
                <w:color w:val="auto"/>
                <w:sz w:val="22"/>
                <w:szCs w:val="22"/>
              </w:rPr>
            </w:pPr>
            <w:r w:rsidRPr="001A2D30">
              <w:rPr>
                <w:color w:val="auto"/>
                <w:sz w:val="22"/>
                <w:szCs w:val="22"/>
              </w:rPr>
              <w:t>Hertfordshire</w:t>
            </w:r>
          </w:p>
        </w:tc>
      </w:tr>
      <w:tr w:rsidR="00593497" w:rsidRPr="007317E8" w14:paraId="36000A2C" w14:textId="77777777" w:rsidTr="003D5FEB">
        <w:trPr>
          <w:trHeight w:val="255"/>
        </w:trPr>
        <w:tc>
          <w:tcPr>
            <w:tcW w:w="6242" w:type="dxa"/>
            <w:noWrap/>
            <w:vAlign w:val="bottom"/>
          </w:tcPr>
          <w:p w14:paraId="12C77BA0" w14:textId="77777777" w:rsidR="00593497" w:rsidRDefault="00593497" w:rsidP="003D5FEB">
            <w:pPr>
              <w:pStyle w:val="Tabletext-left"/>
              <w:rPr>
                <w:color w:val="auto"/>
              </w:rPr>
            </w:pPr>
            <w:r>
              <w:rPr>
                <w:color w:val="auto"/>
              </w:rPr>
              <w:t>TDR Training Limited</w:t>
            </w:r>
          </w:p>
        </w:tc>
        <w:tc>
          <w:tcPr>
            <w:tcW w:w="3119" w:type="dxa"/>
            <w:noWrap/>
            <w:vAlign w:val="bottom"/>
          </w:tcPr>
          <w:p w14:paraId="09DE7375" w14:textId="77777777" w:rsidR="00593497" w:rsidRPr="001A2D30" w:rsidRDefault="00593497" w:rsidP="003D5FEB">
            <w:pPr>
              <w:rPr>
                <w:color w:val="auto"/>
                <w:sz w:val="22"/>
                <w:szCs w:val="22"/>
              </w:rPr>
            </w:pPr>
            <w:r w:rsidRPr="001A2D30">
              <w:rPr>
                <w:color w:val="auto"/>
                <w:sz w:val="22"/>
                <w:szCs w:val="22"/>
              </w:rPr>
              <w:t>North Tyneside</w:t>
            </w:r>
          </w:p>
        </w:tc>
      </w:tr>
      <w:tr w:rsidR="00593497" w:rsidRPr="007317E8" w14:paraId="5C0075F7" w14:textId="77777777" w:rsidTr="003D5FEB">
        <w:trPr>
          <w:trHeight w:val="255"/>
        </w:trPr>
        <w:tc>
          <w:tcPr>
            <w:tcW w:w="6242" w:type="dxa"/>
            <w:noWrap/>
            <w:vAlign w:val="bottom"/>
          </w:tcPr>
          <w:p w14:paraId="3A931C71" w14:textId="77777777" w:rsidR="00593497" w:rsidRDefault="00593497" w:rsidP="003D5FEB">
            <w:pPr>
              <w:pStyle w:val="Tabletext-left"/>
              <w:rPr>
                <w:color w:val="auto"/>
              </w:rPr>
            </w:pPr>
            <w:r>
              <w:rPr>
                <w:color w:val="auto"/>
              </w:rPr>
              <w:t>The Derbyshire Network</w:t>
            </w:r>
          </w:p>
        </w:tc>
        <w:tc>
          <w:tcPr>
            <w:tcW w:w="3119" w:type="dxa"/>
            <w:noWrap/>
            <w:vAlign w:val="bottom"/>
          </w:tcPr>
          <w:p w14:paraId="38B6E874" w14:textId="77777777" w:rsidR="00593497" w:rsidRPr="001A2D30" w:rsidRDefault="00593497" w:rsidP="003D5FEB">
            <w:pPr>
              <w:rPr>
                <w:color w:val="auto"/>
                <w:sz w:val="22"/>
                <w:szCs w:val="22"/>
              </w:rPr>
            </w:pPr>
            <w:r w:rsidRPr="001A2D30">
              <w:rPr>
                <w:color w:val="auto"/>
                <w:sz w:val="22"/>
                <w:szCs w:val="22"/>
              </w:rPr>
              <w:t>Derbyshire</w:t>
            </w:r>
          </w:p>
        </w:tc>
      </w:tr>
      <w:tr w:rsidR="00593497" w:rsidRPr="007317E8" w14:paraId="2C6E5196" w14:textId="77777777" w:rsidTr="003D5FEB">
        <w:trPr>
          <w:trHeight w:val="255"/>
        </w:trPr>
        <w:tc>
          <w:tcPr>
            <w:tcW w:w="6242" w:type="dxa"/>
            <w:noWrap/>
            <w:vAlign w:val="bottom"/>
          </w:tcPr>
          <w:p w14:paraId="18BA7E0B" w14:textId="77777777" w:rsidR="00593497" w:rsidRDefault="00593497" w:rsidP="003D5FEB">
            <w:pPr>
              <w:pStyle w:val="Tabletext-left"/>
              <w:rPr>
                <w:color w:val="auto"/>
              </w:rPr>
            </w:pPr>
            <w:r>
              <w:rPr>
                <w:color w:val="auto"/>
              </w:rPr>
              <w:t>The Sheffield College</w:t>
            </w:r>
          </w:p>
        </w:tc>
        <w:tc>
          <w:tcPr>
            <w:tcW w:w="3119" w:type="dxa"/>
            <w:noWrap/>
            <w:vAlign w:val="bottom"/>
          </w:tcPr>
          <w:p w14:paraId="45822265" w14:textId="77777777" w:rsidR="00593497" w:rsidRPr="001A2D30" w:rsidRDefault="00593497" w:rsidP="003D5FEB">
            <w:pPr>
              <w:rPr>
                <w:color w:val="auto"/>
                <w:sz w:val="22"/>
                <w:szCs w:val="22"/>
              </w:rPr>
            </w:pPr>
            <w:r w:rsidRPr="001A2D30">
              <w:rPr>
                <w:color w:val="auto"/>
                <w:sz w:val="22"/>
                <w:szCs w:val="22"/>
              </w:rPr>
              <w:t>Sheffield</w:t>
            </w:r>
          </w:p>
        </w:tc>
      </w:tr>
      <w:tr w:rsidR="00593497" w:rsidRPr="007317E8" w14:paraId="405A7EE0" w14:textId="77777777" w:rsidTr="003D5FEB">
        <w:trPr>
          <w:trHeight w:val="255"/>
        </w:trPr>
        <w:tc>
          <w:tcPr>
            <w:tcW w:w="6242" w:type="dxa"/>
            <w:noWrap/>
            <w:vAlign w:val="bottom"/>
          </w:tcPr>
          <w:p w14:paraId="1F3CB99E" w14:textId="77777777" w:rsidR="00593497" w:rsidRDefault="00593497" w:rsidP="003D5FEB">
            <w:pPr>
              <w:pStyle w:val="Tabletext-left"/>
              <w:rPr>
                <w:color w:val="auto"/>
              </w:rPr>
            </w:pPr>
            <w:r>
              <w:rPr>
                <w:color w:val="auto"/>
              </w:rPr>
              <w:t>Unique Training (North East) Limited</w:t>
            </w:r>
          </w:p>
        </w:tc>
        <w:tc>
          <w:tcPr>
            <w:tcW w:w="3119" w:type="dxa"/>
            <w:noWrap/>
            <w:vAlign w:val="bottom"/>
          </w:tcPr>
          <w:p w14:paraId="77A998DE" w14:textId="77777777" w:rsidR="00593497" w:rsidRPr="001A2D30" w:rsidRDefault="00593497" w:rsidP="003D5FEB">
            <w:pPr>
              <w:rPr>
                <w:color w:val="auto"/>
                <w:sz w:val="22"/>
                <w:szCs w:val="22"/>
              </w:rPr>
            </w:pPr>
            <w:r w:rsidRPr="001A2D30">
              <w:rPr>
                <w:color w:val="auto"/>
                <w:sz w:val="22"/>
                <w:szCs w:val="22"/>
              </w:rPr>
              <w:t>South Tyneside</w:t>
            </w:r>
          </w:p>
        </w:tc>
      </w:tr>
      <w:tr w:rsidR="00593497" w:rsidRPr="007317E8" w14:paraId="1EC3451E" w14:textId="77777777" w:rsidTr="003D5FEB">
        <w:trPr>
          <w:trHeight w:val="255"/>
        </w:trPr>
        <w:tc>
          <w:tcPr>
            <w:tcW w:w="6242" w:type="dxa"/>
            <w:noWrap/>
            <w:vAlign w:val="bottom"/>
          </w:tcPr>
          <w:p w14:paraId="6AC22586" w14:textId="77777777" w:rsidR="00593497" w:rsidRDefault="00593497" w:rsidP="003D5FEB">
            <w:pPr>
              <w:pStyle w:val="Tabletext-left"/>
              <w:rPr>
                <w:color w:val="auto"/>
              </w:rPr>
            </w:pPr>
            <w:r>
              <w:rPr>
                <w:color w:val="auto"/>
              </w:rPr>
              <w:t>West Sussex County Council</w:t>
            </w:r>
          </w:p>
        </w:tc>
        <w:tc>
          <w:tcPr>
            <w:tcW w:w="3119" w:type="dxa"/>
            <w:noWrap/>
            <w:vAlign w:val="bottom"/>
          </w:tcPr>
          <w:p w14:paraId="352670D4" w14:textId="77777777" w:rsidR="00593497" w:rsidRPr="001A2D30" w:rsidRDefault="00593497" w:rsidP="003D5FEB">
            <w:pPr>
              <w:rPr>
                <w:color w:val="auto"/>
                <w:sz w:val="22"/>
                <w:szCs w:val="22"/>
              </w:rPr>
            </w:pPr>
            <w:r w:rsidRPr="001A2D30">
              <w:rPr>
                <w:color w:val="auto"/>
                <w:sz w:val="22"/>
                <w:szCs w:val="22"/>
              </w:rPr>
              <w:t>West Sussex</w:t>
            </w:r>
          </w:p>
        </w:tc>
      </w:tr>
      <w:tr w:rsidR="00593497" w:rsidRPr="007317E8" w14:paraId="1B592385" w14:textId="77777777" w:rsidTr="003D5FEB">
        <w:trPr>
          <w:trHeight w:val="255"/>
        </w:trPr>
        <w:tc>
          <w:tcPr>
            <w:tcW w:w="6242" w:type="dxa"/>
            <w:noWrap/>
            <w:vAlign w:val="bottom"/>
          </w:tcPr>
          <w:p w14:paraId="443F4A0B" w14:textId="77777777" w:rsidR="00593497" w:rsidRDefault="00593497" w:rsidP="003D5FEB">
            <w:pPr>
              <w:pStyle w:val="Tabletext-left"/>
              <w:rPr>
                <w:color w:val="auto"/>
              </w:rPr>
            </w:pPr>
            <w:r>
              <w:rPr>
                <w:color w:val="auto"/>
              </w:rPr>
              <w:t>Weymouth College</w:t>
            </w:r>
          </w:p>
        </w:tc>
        <w:tc>
          <w:tcPr>
            <w:tcW w:w="3119" w:type="dxa"/>
            <w:noWrap/>
            <w:vAlign w:val="bottom"/>
          </w:tcPr>
          <w:p w14:paraId="4B086009" w14:textId="77777777" w:rsidR="00593497" w:rsidRPr="001A2D30" w:rsidRDefault="00593497" w:rsidP="003D5FEB">
            <w:pPr>
              <w:rPr>
                <w:color w:val="auto"/>
                <w:sz w:val="22"/>
                <w:szCs w:val="22"/>
              </w:rPr>
            </w:pPr>
            <w:r w:rsidRPr="001A2D30">
              <w:rPr>
                <w:color w:val="auto"/>
                <w:sz w:val="22"/>
                <w:szCs w:val="22"/>
              </w:rPr>
              <w:t>Dorset</w:t>
            </w:r>
          </w:p>
        </w:tc>
      </w:tr>
    </w:tbl>
    <w:p w14:paraId="45B46E85" w14:textId="77777777" w:rsidR="00593497" w:rsidRPr="007317E8" w:rsidRDefault="00593497" w:rsidP="00593497">
      <w:pPr>
        <w:pStyle w:val="Tabletext-left"/>
        <w:rPr>
          <w:rFonts w:cs="Tahoma"/>
          <w:color w:val="auto"/>
        </w:rPr>
      </w:pPr>
    </w:p>
    <w:bookmarkEnd w:id="10"/>
    <w:bookmarkEnd w:id="11"/>
    <w:p w14:paraId="3600CFEA" w14:textId="77777777" w:rsidR="00593497" w:rsidRPr="00EB6EBA" w:rsidRDefault="00593497" w:rsidP="00593497">
      <w:pPr>
        <w:pStyle w:val="Unnumberedparagraph"/>
        <w:rPr>
          <w:lang w:eastAsia="en-GB"/>
        </w:rPr>
      </w:pPr>
    </w:p>
    <w:p w14:paraId="5835178D" w14:textId="77777777" w:rsidR="00593497" w:rsidRPr="00593497" w:rsidRDefault="00593497" w:rsidP="00593497">
      <w:pPr>
        <w:pStyle w:val="Numberedparagraph"/>
        <w:numPr>
          <w:ilvl w:val="0"/>
          <w:numId w:val="0"/>
        </w:numPr>
        <w:ind w:left="567" w:hanging="567"/>
      </w:pPr>
    </w:p>
    <w:p w14:paraId="07D56A5F" w14:textId="77777777" w:rsidR="000B0459" w:rsidRPr="004E0E33" w:rsidRDefault="000B0459" w:rsidP="004E0E33">
      <w:pPr>
        <w:rPr>
          <w:color w:val="FF0000"/>
        </w:rPr>
      </w:pPr>
      <w:r w:rsidRPr="004E0E33">
        <w:rPr>
          <w:color w:val="FF0000"/>
        </w:rPr>
        <w:br w:type="page"/>
      </w:r>
    </w:p>
    <w:p w14:paraId="215E7270" w14:textId="77777777"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3F5907CE"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17" w:history="1">
        <w:r w:rsidRPr="00635588">
          <w:rPr>
            <w:rStyle w:val="Hyperlink"/>
          </w:rPr>
          <w:t>enquiries@ofsted.gov.uk</w:t>
        </w:r>
      </w:hyperlink>
      <w:r w:rsidRPr="00635588">
        <w:t>.</w:t>
      </w:r>
    </w:p>
    <w:p w14:paraId="558D50D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18"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19" w:history="1">
        <w:r w:rsidRPr="00635588">
          <w:rPr>
            <w:rStyle w:val="Hyperlink"/>
          </w:rPr>
          <w:t>psi@nationalarchives.gsi.gov.uk</w:t>
        </w:r>
      </w:hyperlink>
      <w:r w:rsidRPr="00635588">
        <w:t>.</w:t>
      </w:r>
    </w:p>
    <w:p w14:paraId="2963FEC3" w14:textId="77777777" w:rsidR="000B0459" w:rsidRPr="00635588" w:rsidRDefault="000B0459" w:rsidP="00635588">
      <w:pPr>
        <w:pStyle w:val="Copyright"/>
      </w:pPr>
      <w:r w:rsidRPr="00635588">
        <w:t xml:space="preserve">This publication is available at </w:t>
      </w:r>
      <w:hyperlink r:id="rId20" w:history="1">
        <w:r w:rsidRPr="00635588">
          <w:rPr>
            <w:rStyle w:val="Hyperlink"/>
          </w:rPr>
          <w:t>www.gov.uk/government/organisations/ofsted</w:t>
        </w:r>
      </w:hyperlink>
      <w:r w:rsidRPr="00635588">
        <w:t>.</w:t>
      </w:r>
    </w:p>
    <w:p w14:paraId="7C313576"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1" w:history="1">
        <w:r w:rsidRPr="00635588">
          <w:rPr>
            <w:rStyle w:val="Hyperlink"/>
          </w:rPr>
          <w:t>http://eepurl.com/iTrDn</w:t>
        </w:r>
      </w:hyperlink>
      <w:r w:rsidRPr="00635588">
        <w:t xml:space="preserve">. </w:t>
      </w:r>
    </w:p>
    <w:p w14:paraId="06DCD9AB" w14:textId="77777777" w:rsidR="000B0459" w:rsidRPr="00635588" w:rsidRDefault="000B0459" w:rsidP="001C74CA">
      <w:pPr>
        <w:pStyle w:val="Copyright"/>
        <w:spacing w:after="0"/>
      </w:pPr>
      <w:r w:rsidRPr="00635588">
        <w:t>Piccadilly Gate</w:t>
      </w:r>
    </w:p>
    <w:p w14:paraId="61973AE1" w14:textId="77777777" w:rsidR="000B0459" w:rsidRPr="00635588" w:rsidRDefault="000B0459" w:rsidP="001C74CA">
      <w:pPr>
        <w:pStyle w:val="Copyright"/>
        <w:spacing w:after="0"/>
      </w:pPr>
      <w:r w:rsidRPr="00635588">
        <w:t>Store Street</w:t>
      </w:r>
    </w:p>
    <w:p w14:paraId="01BAA7B4" w14:textId="77777777" w:rsidR="000B0459" w:rsidRPr="00635588" w:rsidRDefault="000B0459" w:rsidP="001C74CA">
      <w:pPr>
        <w:pStyle w:val="Copyright"/>
        <w:spacing w:after="0"/>
      </w:pPr>
      <w:r w:rsidRPr="00635588">
        <w:t>Manchester</w:t>
      </w:r>
    </w:p>
    <w:p w14:paraId="70C04F52" w14:textId="6C572223" w:rsidR="000B0459" w:rsidRPr="00635588" w:rsidRDefault="000B0459" w:rsidP="001C74CA">
      <w:pPr>
        <w:pStyle w:val="Copyright"/>
        <w:spacing w:after="0"/>
      </w:pPr>
      <w:r w:rsidRPr="00635588">
        <w:t>M1 2WD</w:t>
      </w:r>
    </w:p>
    <w:p w14:paraId="1CB00011" w14:textId="77777777" w:rsidR="000B0459" w:rsidRPr="00635588" w:rsidRDefault="000B0459" w:rsidP="001C74CA">
      <w:pPr>
        <w:pStyle w:val="Copyright"/>
        <w:spacing w:after="0"/>
      </w:pPr>
    </w:p>
    <w:p w14:paraId="26FF5FB9" w14:textId="77777777" w:rsidR="000B0459" w:rsidRPr="00635588" w:rsidRDefault="000B0459" w:rsidP="001C74CA">
      <w:pPr>
        <w:pStyle w:val="Copyright"/>
        <w:spacing w:after="0"/>
      </w:pPr>
      <w:r w:rsidRPr="00635588">
        <w:t>T: 0300 123 1231</w:t>
      </w:r>
    </w:p>
    <w:p w14:paraId="2E0803FD" w14:textId="77777777" w:rsidR="000B0459" w:rsidRPr="00635588" w:rsidRDefault="000B0459" w:rsidP="001C74CA">
      <w:pPr>
        <w:pStyle w:val="Copyright"/>
        <w:spacing w:after="0"/>
      </w:pPr>
      <w:proofErr w:type="spellStart"/>
      <w:r w:rsidRPr="00635588">
        <w:t>Textphone</w:t>
      </w:r>
      <w:proofErr w:type="spellEnd"/>
      <w:r w:rsidRPr="00635588">
        <w:t>: 0161 618 8524</w:t>
      </w:r>
    </w:p>
    <w:p w14:paraId="048DDB34"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11F08A5" w14:textId="77777777" w:rsidR="000B0459" w:rsidRPr="00635588" w:rsidRDefault="000B0459" w:rsidP="001C74CA">
      <w:pPr>
        <w:pStyle w:val="Copyright"/>
        <w:spacing w:after="0"/>
      </w:pPr>
      <w:r w:rsidRPr="00635588">
        <w:t xml:space="preserve">W: </w:t>
      </w:r>
      <w:hyperlink r:id="rId22" w:history="1">
        <w:r w:rsidRPr="00635588">
          <w:rPr>
            <w:rStyle w:val="Hyperlink"/>
          </w:rPr>
          <w:t>www.gov.uk/ofsted</w:t>
        </w:r>
      </w:hyperlink>
      <w:r w:rsidRPr="00635588">
        <w:t xml:space="preserve"> </w:t>
      </w:r>
    </w:p>
    <w:p w14:paraId="2E9B88F8" w14:textId="5312D284" w:rsidR="000B0459" w:rsidRPr="00635588" w:rsidRDefault="000B0459" w:rsidP="001C74CA">
      <w:pPr>
        <w:pStyle w:val="Copyright"/>
        <w:spacing w:after="0"/>
      </w:pPr>
      <w:r w:rsidRPr="00635588">
        <w:t xml:space="preserve">No. </w:t>
      </w:r>
      <w:r w:rsidR="00F3571A">
        <w:t>160041</w:t>
      </w:r>
    </w:p>
    <w:p w14:paraId="1FE26292" w14:textId="77777777" w:rsidR="000B0459" w:rsidRPr="00635588" w:rsidRDefault="000B0459" w:rsidP="001C74CA">
      <w:pPr>
        <w:pStyle w:val="Copyright"/>
        <w:spacing w:after="0"/>
      </w:pPr>
      <w:r w:rsidRPr="00635588">
        <w:t>© Crown copyright 2016</w:t>
      </w:r>
    </w:p>
    <w:p w14:paraId="4AEC31A9" w14:textId="77777777" w:rsidR="000B0459" w:rsidRPr="000B0459" w:rsidRDefault="000B0459" w:rsidP="004E0E33"/>
    <w:sectPr w:rsidR="000B0459" w:rsidRPr="000B0459" w:rsidSect="00045279">
      <w:headerReference w:type="even" r:id="rId23"/>
      <w:headerReference w:type="default" r:id="rId24"/>
      <w:footerReference w:type="even" r:id="rId25"/>
      <w:footerReference w:type="default" r:id="rId26"/>
      <w:headerReference w:type="first" r:id="rId27"/>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51918" w14:textId="77777777" w:rsidR="007824F2" w:rsidRDefault="007824F2">
      <w:pPr>
        <w:pStyle w:val="Tabletext-left"/>
      </w:pPr>
      <w:r>
        <w:separator/>
      </w:r>
    </w:p>
    <w:p w14:paraId="27D0B6D7" w14:textId="77777777" w:rsidR="007824F2" w:rsidRDefault="007824F2"/>
    <w:p w14:paraId="0D03192B" w14:textId="77777777" w:rsidR="007824F2" w:rsidRDefault="007824F2"/>
  </w:endnote>
  <w:endnote w:type="continuationSeparator" w:id="0">
    <w:p w14:paraId="73AB1D1E" w14:textId="77777777" w:rsidR="007824F2" w:rsidRDefault="007824F2">
      <w:pPr>
        <w:pStyle w:val="Tabletext-left"/>
      </w:pPr>
      <w:r>
        <w:continuationSeparator/>
      </w:r>
    </w:p>
    <w:p w14:paraId="0688FDB1" w14:textId="77777777" w:rsidR="007824F2" w:rsidRDefault="007824F2"/>
    <w:p w14:paraId="50791118" w14:textId="77777777" w:rsidR="007824F2" w:rsidRDefault="00782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3914" w14:textId="77777777" w:rsidR="007824F2" w:rsidRDefault="007824F2" w:rsidP="00045279">
    <w:pPr>
      <w:pStyle w:val="Footer-LHSEven"/>
      <w:tabs>
        <w:tab w:val="left" w:pos="720"/>
      </w:tabs>
    </w:pPr>
    <w:r>
      <w:t>Title</w:t>
    </w:r>
  </w:p>
  <w:p w14:paraId="3F079D64" w14:textId="77777777" w:rsidR="007824F2" w:rsidRDefault="007824F2"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70C4" w14:textId="67C425B5" w:rsidR="007824F2" w:rsidRDefault="007824F2" w:rsidP="008C1D16">
    <w:pPr>
      <w:pStyle w:val="Footer"/>
      <w:jc w:val="right"/>
    </w:pPr>
    <w:r>
      <w:rPr>
        <w:noProof/>
        <w:lang w:eastAsia="en-GB"/>
      </w:rPr>
      <w:drawing>
        <wp:inline distT="0" distB="0" distL="0" distR="0" wp14:anchorId="37B7D860" wp14:editId="48CC7C2A">
          <wp:extent cx="2092960" cy="447040"/>
          <wp:effectExtent l="0" t="0" r="2540" b="0"/>
          <wp:docPr id="3" name="Picture 3"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4470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DF7C" w14:textId="77777777" w:rsidR="007824F2" w:rsidRDefault="007824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6513" w14:textId="77777777" w:rsidR="007824F2" w:rsidRDefault="007824F2"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E651F">
      <w:rPr>
        <w:rStyle w:val="PageNumber"/>
        <w:b w:val="0"/>
        <w:noProof/>
      </w:rPr>
      <w:t>3</w:t>
    </w:r>
    <w:r>
      <w:rPr>
        <w:rStyle w:val="PageNumber"/>
        <w:b w:val="0"/>
      </w:rPr>
      <w:fldChar w:fldCharType="end"/>
    </w:r>
  </w:p>
  <w:p w14:paraId="3EA73B21" w14:textId="77777777" w:rsidR="007824F2" w:rsidRDefault="007824F2" w:rsidP="005E5431">
    <w:pPr>
      <w:pStyle w:val="Footer-LHSEven"/>
      <w:tabs>
        <w:tab w:val="left" w:pos="720"/>
      </w:tabs>
      <w:jc w:val="right"/>
    </w:pPr>
    <w:r>
      <w:tab/>
    </w:r>
    <w:r>
      <w:tab/>
      <w:t>Document title goes here</w:t>
    </w:r>
  </w:p>
  <w:p w14:paraId="309447CB" w14:textId="77777777" w:rsidR="007824F2" w:rsidRDefault="007824F2" w:rsidP="005E5431">
    <w:pPr>
      <w:pStyle w:val="Footer-LHSEven"/>
      <w:tabs>
        <w:tab w:val="left" w:pos="720"/>
      </w:tabs>
      <w:jc w:val="right"/>
    </w:pPr>
    <w:r>
      <w:t xml:space="preserve">Month Year, No. </w:t>
    </w:r>
    <w:proofErr w:type="spellStart"/>
    <w:r>
      <w:t>xxxxxx</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6D069" w14:textId="77777777" w:rsidR="007824F2" w:rsidRDefault="007824F2"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D74808">
      <w:rPr>
        <w:rStyle w:val="PageNumber"/>
        <w:b w:val="0"/>
        <w:noProof/>
      </w:rPr>
      <w:t>20</w:t>
    </w:r>
    <w:r>
      <w:rPr>
        <w:rStyle w:val="PageNumber"/>
        <w:b w:val="0"/>
      </w:rPr>
      <w:fldChar w:fldCharType="end"/>
    </w:r>
  </w:p>
  <w:p w14:paraId="3E5634D2" w14:textId="12FC5B0A" w:rsidR="007824F2" w:rsidRDefault="007824F2" w:rsidP="005E5431">
    <w:pPr>
      <w:pStyle w:val="Footer-LHSEven"/>
      <w:tabs>
        <w:tab w:val="left" w:pos="720"/>
      </w:tabs>
    </w:pPr>
    <w:r w:rsidRPr="005D0E6B">
      <w:t xml:space="preserve">How well are further education and skills providers implementing the </w:t>
    </w:r>
    <w:r>
      <w:t>‘Prevent’</w:t>
    </w:r>
    <w:r w:rsidRPr="005D0E6B">
      <w:t xml:space="preserve"> duty?</w:t>
    </w:r>
  </w:p>
  <w:p w14:paraId="0C352CB1" w14:textId="630333CF" w:rsidR="007824F2" w:rsidRDefault="007824F2" w:rsidP="005E5431">
    <w:pPr>
      <w:pStyle w:val="Footer-RHSOdd"/>
      <w:tabs>
        <w:tab w:val="right" w:pos="8460"/>
      </w:tabs>
    </w:pPr>
    <w:r>
      <w:t>July 2016, No. 160041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A0A31" w14:textId="77777777" w:rsidR="007824F2" w:rsidRDefault="007824F2">
      <w:pPr>
        <w:pStyle w:val="Tabletext-left"/>
      </w:pPr>
      <w:r>
        <w:separator/>
      </w:r>
    </w:p>
    <w:p w14:paraId="67A5E5EC" w14:textId="77777777" w:rsidR="007824F2" w:rsidRDefault="007824F2"/>
  </w:footnote>
  <w:footnote w:type="continuationSeparator" w:id="0">
    <w:p w14:paraId="5AC0B9F6" w14:textId="77777777" w:rsidR="007824F2" w:rsidRDefault="007824F2">
      <w:pPr>
        <w:pStyle w:val="Tabletext-left"/>
      </w:pPr>
      <w:r>
        <w:continuationSeparator/>
      </w:r>
    </w:p>
    <w:p w14:paraId="2EAAEF48" w14:textId="77777777" w:rsidR="007824F2" w:rsidRDefault="007824F2"/>
    <w:p w14:paraId="6EAA599F" w14:textId="77777777" w:rsidR="007824F2" w:rsidRDefault="007824F2"/>
  </w:footnote>
  <w:footnote w:id="1">
    <w:p w14:paraId="4E220914" w14:textId="0706F686" w:rsidR="007824F2" w:rsidRPr="004B6D37" w:rsidRDefault="007824F2">
      <w:pPr>
        <w:pStyle w:val="FootnoteText"/>
        <w:rPr>
          <w:sz w:val="16"/>
          <w:szCs w:val="16"/>
        </w:rPr>
      </w:pPr>
      <w:r>
        <w:rPr>
          <w:rStyle w:val="FootnoteReference"/>
        </w:rPr>
        <w:footnoteRef/>
      </w:r>
      <w:proofErr w:type="gramStart"/>
      <w:r>
        <w:t>‘“</w:t>
      </w:r>
      <w:r>
        <w:rPr>
          <w:sz w:val="16"/>
          <w:szCs w:val="16"/>
        </w:rPr>
        <w:t>Prevent”</w:t>
      </w:r>
      <w:r w:rsidRPr="004B6D37">
        <w:rPr>
          <w:sz w:val="16"/>
          <w:szCs w:val="16"/>
        </w:rPr>
        <w:t xml:space="preserve"> </w:t>
      </w:r>
      <w:r>
        <w:rPr>
          <w:sz w:val="16"/>
          <w:szCs w:val="16"/>
        </w:rPr>
        <w:t>d</w:t>
      </w:r>
      <w:r w:rsidRPr="004B6D37">
        <w:rPr>
          <w:sz w:val="16"/>
          <w:szCs w:val="16"/>
        </w:rPr>
        <w:t xml:space="preserve">uty </w:t>
      </w:r>
      <w:r>
        <w:rPr>
          <w:sz w:val="16"/>
          <w:szCs w:val="16"/>
        </w:rPr>
        <w:t>g</w:t>
      </w:r>
      <w:r w:rsidRPr="004B6D37">
        <w:rPr>
          <w:sz w:val="16"/>
          <w:szCs w:val="16"/>
        </w:rPr>
        <w:t>uidance or further education institutions in England and Wales</w:t>
      </w:r>
      <w:r>
        <w:rPr>
          <w:sz w:val="16"/>
          <w:szCs w:val="16"/>
        </w:rPr>
        <w:t>’, Home Office;</w:t>
      </w:r>
      <w:r w:rsidRPr="004B6D37">
        <w:rPr>
          <w:sz w:val="16"/>
          <w:szCs w:val="16"/>
        </w:rPr>
        <w:t xml:space="preserve"> </w:t>
      </w:r>
      <w:hyperlink r:id="rId1" w:history="1">
        <w:r w:rsidRPr="00267EBC">
          <w:rPr>
            <w:rStyle w:val="Hyperlink"/>
            <w:sz w:val="16"/>
            <w:szCs w:val="16"/>
          </w:rPr>
          <w:t>www.gov.uk/government/publications/prevent-duty-guidance</w:t>
        </w:r>
      </w:hyperlink>
      <w:r>
        <w:rPr>
          <w:sz w:val="16"/>
          <w:szCs w:val="16"/>
        </w:rPr>
        <w:t>.</w:t>
      </w:r>
      <w:proofErr w:type="gramEnd"/>
      <w:r>
        <w:rPr>
          <w:sz w:val="16"/>
          <w:szCs w:val="16"/>
        </w:rPr>
        <w:t xml:space="preserve"> </w:t>
      </w:r>
    </w:p>
  </w:footnote>
  <w:footnote w:id="2">
    <w:p w14:paraId="5A1F15DD" w14:textId="312C3046" w:rsidR="007824F2" w:rsidRPr="00BD3D20" w:rsidRDefault="007824F2" w:rsidP="00593497">
      <w:pPr>
        <w:pStyle w:val="FootnoteText"/>
      </w:pPr>
      <w:r>
        <w:rPr>
          <w:rStyle w:val="FootnoteReference"/>
        </w:rPr>
        <w:footnoteRef/>
      </w:r>
      <w:r>
        <w:t xml:space="preserve"> CONTEST is the overall counter terrorism strategy as identified in the Counter Terrorism and Security Act 2015. CONTEST has four strands, of which ‘Prevent’ is one:</w:t>
      </w:r>
    </w:p>
    <w:p w14:paraId="7596AD34" w14:textId="77777777" w:rsidR="007824F2" w:rsidRPr="001815F8" w:rsidRDefault="007824F2" w:rsidP="007E61B3">
      <w:pPr>
        <w:numPr>
          <w:ilvl w:val="0"/>
          <w:numId w:val="27"/>
        </w:numPr>
        <w:jc w:val="both"/>
        <w:rPr>
          <w:rFonts w:cs="Tahoma"/>
          <w:sz w:val="20"/>
          <w:szCs w:val="20"/>
        </w:rPr>
      </w:pPr>
      <w:r w:rsidRPr="001815F8">
        <w:rPr>
          <w:rFonts w:cs="Tahoma"/>
          <w:b/>
          <w:bCs/>
          <w:sz w:val="20"/>
          <w:szCs w:val="20"/>
        </w:rPr>
        <w:t>Pursue</w:t>
      </w:r>
      <w:r w:rsidRPr="001815F8">
        <w:rPr>
          <w:rFonts w:cs="Tahoma"/>
          <w:sz w:val="20"/>
          <w:szCs w:val="20"/>
        </w:rPr>
        <w:t xml:space="preserve"> – aims to disrupt and stop terrorist attacks wherever possible by prosecuting those that have engaged in terrorist related activity</w:t>
      </w:r>
    </w:p>
    <w:p w14:paraId="307F8FA4" w14:textId="77777777" w:rsidR="007824F2" w:rsidRPr="001815F8" w:rsidRDefault="007824F2" w:rsidP="007E61B3">
      <w:pPr>
        <w:numPr>
          <w:ilvl w:val="0"/>
          <w:numId w:val="27"/>
        </w:numPr>
        <w:jc w:val="both"/>
        <w:rPr>
          <w:rFonts w:cs="Tahoma"/>
          <w:sz w:val="20"/>
          <w:szCs w:val="20"/>
        </w:rPr>
      </w:pPr>
      <w:r w:rsidRPr="001815F8">
        <w:rPr>
          <w:rFonts w:cs="Tahoma"/>
          <w:b/>
          <w:bCs/>
          <w:sz w:val="20"/>
          <w:szCs w:val="20"/>
        </w:rPr>
        <w:t>Protect</w:t>
      </w:r>
      <w:r w:rsidRPr="001815F8">
        <w:rPr>
          <w:rFonts w:cs="Tahoma"/>
          <w:sz w:val="20"/>
          <w:szCs w:val="20"/>
        </w:rPr>
        <w:t xml:space="preserve"> – aims to strengthen protection against a terrorist attack in the UK and reduce our vulnerability</w:t>
      </w:r>
    </w:p>
    <w:p w14:paraId="28B641D9" w14:textId="77777777" w:rsidR="007824F2" w:rsidRPr="001815F8" w:rsidRDefault="007824F2" w:rsidP="007E61B3">
      <w:pPr>
        <w:numPr>
          <w:ilvl w:val="0"/>
          <w:numId w:val="27"/>
        </w:numPr>
        <w:jc w:val="both"/>
        <w:rPr>
          <w:rFonts w:cs="Tahoma"/>
          <w:sz w:val="20"/>
          <w:szCs w:val="20"/>
        </w:rPr>
      </w:pPr>
      <w:r w:rsidRPr="001815F8">
        <w:rPr>
          <w:rFonts w:cs="Tahoma"/>
          <w:b/>
          <w:bCs/>
          <w:sz w:val="20"/>
          <w:szCs w:val="20"/>
        </w:rPr>
        <w:t xml:space="preserve">Prepare </w:t>
      </w:r>
      <w:r w:rsidRPr="001815F8">
        <w:rPr>
          <w:rFonts w:cs="Tahoma"/>
          <w:sz w:val="20"/>
          <w:szCs w:val="20"/>
        </w:rPr>
        <w:t>– aims to mitigate the impact of a terrorist attack where the attack cannot be stopped</w:t>
      </w:r>
    </w:p>
    <w:p w14:paraId="38D17C7F" w14:textId="5A0F85C1" w:rsidR="007824F2" w:rsidRDefault="007824F2" w:rsidP="00084715">
      <w:pPr>
        <w:numPr>
          <w:ilvl w:val="0"/>
          <w:numId w:val="21"/>
        </w:numPr>
        <w:jc w:val="both"/>
      </w:pPr>
      <w:r w:rsidRPr="00A94A9E">
        <w:rPr>
          <w:rFonts w:cs="Tahoma"/>
          <w:b/>
          <w:bCs/>
          <w:sz w:val="20"/>
          <w:szCs w:val="20"/>
        </w:rPr>
        <w:t xml:space="preserve">‘Prevent’ </w:t>
      </w:r>
      <w:r w:rsidRPr="00A94A9E">
        <w:rPr>
          <w:rFonts w:cs="Tahoma"/>
          <w:sz w:val="20"/>
          <w:szCs w:val="20"/>
        </w:rPr>
        <w:t>– aims to stop people becoming terrorists or supporting terrorism. Delivered in partnership with a range of organisations including further education and skills providers.</w:t>
      </w:r>
    </w:p>
  </w:footnote>
  <w:footnote w:id="3">
    <w:p w14:paraId="57A1E309" w14:textId="0BD6C828" w:rsidR="007824F2" w:rsidRDefault="007824F2" w:rsidP="00593497">
      <w:pPr>
        <w:pStyle w:val="FootnoteText"/>
      </w:pPr>
      <w:r>
        <w:rPr>
          <w:rStyle w:val="FootnoteReference"/>
        </w:rPr>
        <w:footnoteRef/>
      </w:r>
      <w:r>
        <w:t xml:space="preserve"> The ‘Prevent’ duty specifically mentions </w:t>
      </w:r>
      <w:proofErr w:type="spellStart"/>
      <w:r>
        <w:t>Jisc</w:t>
      </w:r>
      <w:proofErr w:type="spellEnd"/>
      <w:r>
        <w:t xml:space="preserve"> as a source of specialist support and advice to help providers ensure learners are safe online and appropriate safeguards are in place. </w:t>
      </w:r>
      <w:proofErr w:type="spellStart"/>
      <w:r>
        <w:t>Jisc</w:t>
      </w:r>
      <w:proofErr w:type="spellEnd"/>
      <w:r>
        <w:t xml:space="preserve"> also has a Computer Security Incident Response Team who can provide assistance in the event of an online incident occurring. </w:t>
      </w:r>
      <w:hyperlink r:id="rId2" w:history="1">
        <w:r w:rsidRPr="00A94A9E">
          <w:rPr>
            <w:rStyle w:val="Hyperlink"/>
          </w:rPr>
          <w:t>www.jisc.ac.uk</w:t>
        </w:r>
      </w:hyperlink>
      <w:r>
        <w:t>.</w:t>
      </w:r>
    </w:p>
  </w:footnote>
  <w:footnote w:id="4">
    <w:p w14:paraId="24789EA1" w14:textId="77777777" w:rsidR="007824F2" w:rsidRDefault="007824F2" w:rsidP="00465082">
      <w:pPr>
        <w:pStyle w:val="FootnoteText"/>
        <w:rPr>
          <w:rFonts w:ascii="Arial" w:hAnsi="Arial" w:cs="Arial"/>
          <w:shd w:val="clear" w:color="auto" w:fill="FFFFFF"/>
        </w:rPr>
      </w:pPr>
      <w:r>
        <w:rPr>
          <w:rStyle w:val="FootnoteReference"/>
        </w:rPr>
        <w:footnoteRef/>
      </w:r>
      <w:r>
        <w:t xml:space="preserve"> </w:t>
      </w:r>
      <w:r w:rsidRPr="00B2504B">
        <w:t xml:space="preserve">Channel is a programme which focuses on providing support at an early stage to people who are identified as being vulnerable to being drawn in terrorism. The Channel General Awareness Training Module provides information on Channel. </w:t>
      </w:r>
      <w:hyperlink r:id="rId3" w:history="1">
        <w:r w:rsidRPr="00906FB7">
          <w:rPr>
            <w:rStyle w:val="Hyperlink"/>
            <w:rFonts w:cs="Tahoma"/>
            <w:shd w:val="clear" w:color="auto" w:fill="FFFFFF"/>
          </w:rPr>
          <w:t>http://course.ncalt.com/Channel_General_Awareness/01/index.html</w:t>
        </w:r>
      </w:hyperlink>
      <w:r>
        <w:rPr>
          <w:rStyle w:val="Hyperlink"/>
          <w:rFonts w:cs="Tahoma"/>
          <w:shd w:val="clear" w:color="auto" w:fill="FFFFFF"/>
        </w:rPr>
        <w:t xml:space="preserve">. </w:t>
      </w:r>
    </w:p>
    <w:p w14:paraId="426A4C9F" w14:textId="77777777" w:rsidR="007824F2" w:rsidRDefault="007824F2" w:rsidP="00465082">
      <w:pPr>
        <w:pStyle w:val="FootnoteText"/>
      </w:pPr>
    </w:p>
  </w:footnote>
  <w:footnote w:id="5">
    <w:p w14:paraId="7AAFB74C" w14:textId="77777777" w:rsidR="007824F2" w:rsidRDefault="007824F2" w:rsidP="002C0489">
      <w:pPr>
        <w:pStyle w:val="FootnoteText"/>
      </w:pPr>
      <w:r>
        <w:rPr>
          <w:rStyle w:val="FootnoteReference"/>
        </w:rPr>
        <w:footnoteRef/>
      </w:r>
      <w:r>
        <w:t xml:space="preserve"> ‘Prevent’ incidents are reported to police through the Channel programme. It is then determined if the incident meets the threshold for Channel.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92AED" w14:textId="77777777" w:rsidR="007824F2" w:rsidRDefault="00782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27ED" w14:textId="5B667862" w:rsidR="007824F2" w:rsidRPr="004D7E32" w:rsidRDefault="007824F2" w:rsidP="004D7E32">
    <w:r>
      <w:rPr>
        <w:noProof/>
        <w:lang w:eastAsia="en-GB"/>
      </w:rPr>
      <w:drawing>
        <wp:anchor distT="0" distB="0" distL="114300" distR="114300" simplePos="0" relativeHeight="251658752" behindDoc="1" locked="0" layoutInCell="1" allowOverlap="1" wp14:anchorId="61814819" wp14:editId="21693016">
          <wp:simplePos x="0" y="0"/>
          <wp:positionH relativeFrom="page">
            <wp:posOffset>5832475</wp:posOffset>
          </wp:positionH>
          <wp:positionV relativeFrom="page">
            <wp:posOffset>323850</wp:posOffset>
          </wp:positionV>
          <wp:extent cx="1295400" cy="1098550"/>
          <wp:effectExtent l="0" t="0" r="0" b="6350"/>
          <wp:wrapNone/>
          <wp:docPr id="2" name="Picture 2"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69241" w14:textId="77777777" w:rsidR="007824F2" w:rsidRDefault="007824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7CF04" w14:textId="3120FD15" w:rsidR="007824F2" w:rsidRDefault="007824F2"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22F4A6EE" wp14:editId="06777DC7">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DA8FD" w14:textId="77777777" w:rsidR="007824F2" w:rsidRDefault="007824F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D60D2" w14:textId="2B987543" w:rsidR="007824F2" w:rsidRDefault="007824F2" w:rsidP="00E40D01">
    <w:pPr>
      <w:pStyle w:val="Header"/>
      <w:pBdr>
        <w:bottom w:val="none" w:sz="0" w:space="0" w:color="auto"/>
      </w:pBdr>
    </w:pPr>
    <w:r>
      <w:rPr>
        <w:noProof/>
        <w:lang w:eastAsia="en-GB"/>
      </w:rPr>
      <w:drawing>
        <wp:anchor distT="0" distB="0" distL="114300" distR="114300" simplePos="0" relativeHeight="251656704" behindDoc="1" locked="1" layoutInCell="0" allowOverlap="0" wp14:anchorId="1EB4B9F3" wp14:editId="5F6472E4">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685A5E" w14:textId="77777777" w:rsidR="007824F2" w:rsidRDefault="007824F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4B8F" w14:textId="77777777" w:rsidR="007824F2" w:rsidRDefault="007824F2">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5E651F">
      <w:rPr>
        <w:rStyle w:val="PageNumber"/>
        <w:noProof/>
      </w:rPr>
      <w:t>3</w:t>
    </w:r>
    <w:r>
      <w:rPr>
        <w:rStyle w:val="PageNumber"/>
      </w:rPr>
      <w:fldChar w:fldCharType="end"/>
    </w:r>
  </w:p>
  <w:p w14:paraId="2F2498C6" w14:textId="77777777" w:rsidR="007824F2" w:rsidRDefault="007824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8B6AD8"/>
    <w:multiLevelType w:val="hybridMultilevel"/>
    <w:tmpl w:val="3844DB02"/>
    <w:lvl w:ilvl="0" w:tplc="DCC0323A">
      <w:start w:val="1"/>
      <w:numFmt w:val="bullet"/>
      <w:lvlText w:val=""/>
      <w:lvlJc w:val="left"/>
      <w:pPr>
        <w:tabs>
          <w:tab w:val="num" w:pos="720"/>
        </w:tabs>
        <w:ind w:left="720" w:hanging="360"/>
      </w:pPr>
      <w:rPr>
        <w:rFonts w:ascii="Wingdings" w:hAnsi="Wingdings"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abstractNum w:abstractNumId="14">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855E5E"/>
    <w:multiLevelType w:val="hybridMultilevel"/>
    <w:tmpl w:val="EF88FB12"/>
    <w:lvl w:ilvl="0" w:tplc="DCC0323A">
      <w:start w:val="1"/>
      <w:numFmt w:val="bullet"/>
      <w:lvlText w:val=""/>
      <w:lvlJc w:val="left"/>
      <w:pPr>
        <w:tabs>
          <w:tab w:val="num" w:pos="720"/>
        </w:tabs>
        <w:ind w:left="720" w:hanging="360"/>
      </w:pPr>
      <w:rPr>
        <w:rFonts w:ascii="Wingdings" w:hAnsi="Wingdings"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4"/>
  </w:num>
  <w:num w:numId="4">
    <w:abstractNumId w:val="8"/>
  </w:num>
  <w:num w:numId="5">
    <w:abstractNumId w:val="0"/>
  </w:num>
  <w:num w:numId="6">
    <w:abstractNumId w:val="15"/>
  </w:num>
  <w:num w:numId="7">
    <w:abstractNumId w:val="3"/>
  </w:num>
  <w:num w:numId="8">
    <w:abstractNumId w:val="1"/>
  </w:num>
  <w:num w:numId="9">
    <w:abstractNumId w:val="14"/>
  </w:num>
  <w:num w:numId="10">
    <w:abstractNumId w:val="15"/>
  </w:num>
  <w:num w:numId="11">
    <w:abstractNumId w:val="15"/>
  </w:num>
  <w:num w:numId="12">
    <w:abstractNumId w:val="5"/>
  </w:num>
  <w:num w:numId="13">
    <w:abstractNumId w:val="11"/>
  </w:num>
  <w:num w:numId="14">
    <w:abstractNumId w:val="3"/>
  </w:num>
  <w:num w:numId="15">
    <w:abstractNumId w:val="3"/>
  </w:num>
  <w:num w:numId="16">
    <w:abstractNumId w:val="3"/>
  </w:num>
  <w:num w:numId="17">
    <w:abstractNumId w:val="3"/>
  </w:num>
  <w:num w:numId="18">
    <w:abstractNumId w:val="5"/>
  </w:num>
  <w:num w:numId="19">
    <w:abstractNumId w:val="2"/>
  </w:num>
  <w:num w:numId="20">
    <w:abstractNumId w:val="12"/>
  </w:num>
  <w:num w:numId="21">
    <w:abstractNumId w:val="17"/>
  </w:num>
  <w:num w:numId="22">
    <w:abstractNumId w:val="9"/>
  </w:num>
  <w:num w:numId="23">
    <w:abstractNumId w:val="10"/>
  </w:num>
  <w:num w:numId="24">
    <w:abstractNumId w:val="6"/>
  </w:num>
  <w:num w:numId="25">
    <w:abstractNumId w:val="1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1B0F"/>
    <w:rsid w:val="0001349B"/>
    <w:rsid w:val="00013AC4"/>
    <w:rsid w:val="00015D6E"/>
    <w:rsid w:val="000200AD"/>
    <w:rsid w:val="00020FAF"/>
    <w:rsid w:val="0003086D"/>
    <w:rsid w:val="000314E9"/>
    <w:rsid w:val="00033081"/>
    <w:rsid w:val="000337F1"/>
    <w:rsid w:val="00041C90"/>
    <w:rsid w:val="00045279"/>
    <w:rsid w:val="00051CB0"/>
    <w:rsid w:val="00053BC5"/>
    <w:rsid w:val="00056597"/>
    <w:rsid w:val="000633BF"/>
    <w:rsid w:val="00074244"/>
    <w:rsid w:val="00080F6A"/>
    <w:rsid w:val="0008102D"/>
    <w:rsid w:val="00081DC6"/>
    <w:rsid w:val="00084715"/>
    <w:rsid w:val="000866CF"/>
    <w:rsid w:val="000867C9"/>
    <w:rsid w:val="00091152"/>
    <w:rsid w:val="00091BB7"/>
    <w:rsid w:val="00095718"/>
    <w:rsid w:val="00096DBA"/>
    <w:rsid w:val="000A129A"/>
    <w:rsid w:val="000A2C9E"/>
    <w:rsid w:val="000A4291"/>
    <w:rsid w:val="000A4E35"/>
    <w:rsid w:val="000A7674"/>
    <w:rsid w:val="000B0459"/>
    <w:rsid w:val="000B2F99"/>
    <w:rsid w:val="000C6789"/>
    <w:rsid w:val="000D0750"/>
    <w:rsid w:val="000D1FDB"/>
    <w:rsid w:val="000D6886"/>
    <w:rsid w:val="000E0353"/>
    <w:rsid w:val="000E15F0"/>
    <w:rsid w:val="000F215B"/>
    <w:rsid w:val="000F4EBD"/>
    <w:rsid w:val="000F7B05"/>
    <w:rsid w:val="00103213"/>
    <w:rsid w:val="001052DD"/>
    <w:rsid w:val="001134E3"/>
    <w:rsid w:val="00120582"/>
    <w:rsid w:val="0012126C"/>
    <w:rsid w:val="00122DF2"/>
    <w:rsid w:val="00131186"/>
    <w:rsid w:val="00143858"/>
    <w:rsid w:val="0014479E"/>
    <w:rsid w:val="00144B68"/>
    <w:rsid w:val="001600F6"/>
    <w:rsid w:val="00162579"/>
    <w:rsid w:val="00162847"/>
    <w:rsid w:val="00163012"/>
    <w:rsid w:val="00171AAB"/>
    <w:rsid w:val="001840DE"/>
    <w:rsid w:val="00190831"/>
    <w:rsid w:val="00190B7D"/>
    <w:rsid w:val="001915B4"/>
    <w:rsid w:val="00195358"/>
    <w:rsid w:val="00197052"/>
    <w:rsid w:val="001A23D0"/>
    <w:rsid w:val="001A4A91"/>
    <w:rsid w:val="001A61EC"/>
    <w:rsid w:val="001B21F3"/>
    <w:rsid w:val="001B57E8"/>
    <w:rsid w:val="001B687D"/>
    <w:rsid w:val="001B6888"/>
    <w:rsid w:val="001B7048"/>
    <w:rsid w:val="001C147A"/>
    <w:rsid w:val="001C21B3"/>
    <w:rsid w:val="001C35A4"/>
    <w:rsid w:val="001C35EF"/>
    <w:rsid w:val="001C589E"/>
    <w:rsid w:val="001C74CA"/>
    <w:rsid w:val="001D5616"/>
    <w:rsid w:val="001D6244"/>
    <w:rsid w:val="001D747C"/>
    <w:rsid w:val="001E10F9"/>
    <w:rsid w:val="001F3D85"/>
    <w:rsid w:val="00206A41"/>
    <w:rsid w:val="00215E9A"/>
    <w:rsid w:val="002227D5"/>
    <w:rsid w:val="002333EB"/>
    <w:rsid w:val="00234121"/>
    <w:rsid w:val="00234290"/>
    <w:rsid w:val="00240233"/>
    <w:rsid w:val="002422D3"/>
    <w:rsid w:val="00252045"/>
    <w:rsid w:val="0025486B"/>
    <w:rsid w:val="00254E78"/>
    <w:rsid w:val="0026011B"/>
    <w:rsid w:val="00260458"/>
    <w:rsid w:val="002607A5"/>
    <w:rsid w:val="00267EBC"/>
    <w:rsid w:val="00281EA9"/>
    <w:rsid w:val="002A0231"/>
    <w:rsid w:val="002A098C"/>
    <w:rsid w:val="002A6188"/>
    <w:rsid w:val="002B3474"/>
    <w:rsid w:val="002B4CDC"/>
    <w:rsid w:val="002B7ED2"/>
    <w:rsid w:val="002C0489"/>
    <w:rsid w:val="002C42FC"/>
    <w:rsid w:val="002D0859"/>
    <w:rsid w:val="002E55A9"/>
    <w:rsid w:val="002F2B43"/>
    <w:rsid w:val="002F3F48"/>
    <w:rsid w:val="002F4B3A"/>
    <w:rsid w:val="002F67F2"/>
    <w:rsid w:val="002F6C62"/>
    <w:rsid w:val="003021B7"/>
    <w:rsid w:val="00303F31"/>
    <w:rsid w:val="00304048"/>
    <w:rsid w:val="00304BB8"/>
    <w:rsid w:val="00317361"/>
    <w:rsid w:val="0031768D"/>
    <w:rsid w:val="00321B22"/>
    <w:rsid w:val="00324CB7"/>
    <w:rsid w:val="00326A24"/>
    <w:rsid w:val="00327CFF"/>
    <w:rsid w:val="003312DB"/>
    <w:rsid w:val="003354B0"/>
    <w:rsid w:val="00336C0C"/>
    <w:rsid w:val="00341E82"/>
    <w:rsid w:val="00346258"/>
    <w:rsid w:val="003479AE"/>
    <w:rsid w:val="00350293"/>
    <w:rsid w:val="00364344"/>
    <w:rsid w:val="003673BA"/>
    <w:rsid w:val="00370741"/>
    <w:rsid w:val="00375225"/>
    <w:rsid w:val="00376A1A"/>
    <w:rsid w:val="00377439"/>
    <w:rsid w:val="00381840"/>
    <w:rsid w:val="00383833"/>
    <w:rsid w:val="003852DD"/>
    <w:rsid w:val="003860EC"/>
    <w:rsid w:val="0038619B"/>
    <w:rsid w:val="00386BC5"/>
    <w:rsid w:val="00397B6B"/>
    <w:rsid w:val="003A0566"/>
    <w:rsid w:val="003A3152"/>
    <w:rsid w:val="003A3976"/>
    <w:rsid w:val="003A5FA1"/>
    <w:rsid w:val="003A662E"/>
    <w:rsid w:val="003B0AE1"/>
    <w:rsid w:val="003B1959"/>
    <w:rsid w:val="003B2517"/>
    <w:rsid w:val="003C0D14"/>
    <w:rsid w:val="003C5600"/>
    <w:rsid w:val="003D0BDE"/>
    <w:rsid w:val="003D2521"/>
    <w:rsid w:val="003D443E"/>
    <w:rsid w:val="003D5FEB"/>
    <w:rsid w:val="003D64E5"/>
    <w:rsid w:val="003E5868"/>
    <w:rsid w:val="003F11EA"/>
    <w:rsid w:val="003F1B1A"/>
    <w:rsid w:val="003F274A"/>
    <w:rsid w:val="003F72DD"/>
    <w:rsid w:val="00400881"/>
    <w:rsid w:val="004026B4"/>
    <w:rsid w:val="00417E39"/>
    <w:rsid w:val="004205C9"/>
    <w:rsid w:val="004207BE"/>
    <w:rsid w:val="0042290D"/>
    <w:rsid w:val="0042352A"/>
    <w:rsid w:val="00424221"/>
    <w:rsid w:val="00431149"/>
    <w:rsid w:val="0043234E"/>
    <w:rsid w:val="00434A5F"/>
    <w:rsid w:val="00436AA7"/>
    <w:rsid w:val="00437FDD"/>
    <w:rsid w:val="00443DAE"/>
    <w:rsid w:val="004447FE"/>
    <w:rsid w:val="004530C1"/>
    <w:rsid w:val="00454880"/>
    <w:rsid w:val="00455E93"/>
    <w:rsid w:val="0045629E"/>
    <w:rsid w:val="004567D8"/>
    <w:rsid w:val="00463288"/>
    <w:rsid w:val="00465082"/>
    <w:rsid w:val="0046526B"/>
    <w:rsid w:val="004708C5"/>
    <w:rsid w:val="00475C75"/>
    <w:rsid w:val="00480623"/>
    <w:rsid w:val="004838A2"/>
    <w:rsid w:val="00487371"/>
    <w:rsid w:val="0049022F"/>
    <w:rsid w:val="00496010"/>
    <w:rsid w:val="00497E3D"/>
    <w:rsid w:val="004A0983"/>
    <w:rsid w:val="004A3088"/>
    <w:rsid w:val="004A3709"/>
    <w:rsid w:val="004A5DF1"/>
    <w:rsid w:val="004B019E"/>
    <w:rsid w:val="004B6D37"/>
    <w:rsid w:val="004C0ADD"/>
    <w:rsid w:val="004C26E0"/>
    <w:rsid w:val="004C7B32"/>
    <w:rsid w:val="004D5F03"/>
    <w:rsid w:val="004D6F5A"/>
    <w:rsid w:val="004D7E32"/>
    <w:rsid w:val="004E0E33"/>
    <w:rsid w:val="004E3BEE"/>
    <w:rsid w:val="004E3DAC"/>
    <w:rsid w:val="004E63D3"/>
    <w:rsid w:val="004F016D"/>
    <w:rsid w:val="004F28AB"/>
    <w:rsid w:val="004F49AC"/>
    <w:rsid w:val="004F69A5"/>
    <w:rsid w:val="00501B4F"/>
    <w:rsid w:val="005045AA"/>
    <w:rsid w:val="005061FD"/>
    <w:rsid w:val="00506563"/>
    <w:rsid w:val="005066A4"/>
    <w:rsid w:val="005073A0"/>
    <w:rsid w:val="005077CD"/>
    <w:rsid w:val="0051705A"/>
    <w:rsid w:val="00517791"/>
    <w:rsid w:val="00527824"/>
    <w:rsid w:val="005306B2"/>
    <w:rsid w:val="00533481"/>
    <w:rsid w:val="005336CD"/>
    <w:rsid w:val="00542C27"/>
    <w:rsid w:val="00550A85"/>
    <w:rsid w:val="005571AF"/>
    <w:rsid w:val="005604C0"/>
    <w:rsid w:val="00562761"/>
    <w:rsid w:val="00565699"/>
    <w:rsid w:val="00571E5F"/>
    <w:rsid w:val="005724C2"/>
    <w:rsid w:val="00591BB5"/>
    <w:rsid w:val="00593497"/>
    <w:rsid w:val="00593705"/>
    <w:rsid w:val="00593A90"/>
    <w:rsid w:val="005A0541"/>
    <w:rsid w:val="005B1735"/>
    <w:rsid w:val="005C0820"/>
    <w:rsid w:val="005C1916"/>
    <w:rsid w:val="005C2FF3"/>
    <w:rsid w:val="005C31F3"/>
    <w:rsid w:val="005C44B1"/>
    <w:rsid w:val="005C5540"/>
    <w:rsid w:val="005D0E6B"/>
    <w:rsid w:val="005D26CF"/>
    <w:rsid w:val="005E056A"/>
    <w:rsid w:val="005E5431"/>
    <w:rsid w:val="005E651F"/>
    <w:rsid w:val="005E7D60"/>
    <w:rsid w:val="005F720E"/>
    <w:rsid w:val="006054DD"/>
    <w:rsid w:val="00605D7E"/>
    <w:rsid w:val="00606F81"/>
    <w:rsid w:val="00615061"/>
    <w:rsid w:val="00616704"/>
    <w:rsid w:val="00617674"/>
    <w:rsid w:val="00623364"/>
    <w:rsid w:val="0063297D"/>
    <w:rsid w:val="00635588"/>
    <w:rsid w:val="00640ADD"/>
    <w:rsid w:val="00646A08"/>
    <w:rsid w:val="006653BE"/>
    <w:rsid w:val="00674C73"/>
    <w:rsid w:val="0068057C"/>
    <w:rsid w:val="00685D6C"/>
    <w:rsid w:val="0068656B"/>
    <w:rsid w:val="006875EA"/>
    <w:rsid w:val="00694F5D"/>
    <w:rsid w:val="00696ED4"/>
    <w:rsid w:val="006A2859"/>
    <w:rsid w:val="006A484F"/>
    <w:rsid w:val="006B1F60"/>
    <w:rsid w:val="006B4941"/>
    <w:rsid w:val="006B76EF"/>
    <w:rsid w:val="006C0E4C"/>
    <w:rsid w:val="006C250D"/>
    <w:rsid w:val="006D48A2"/>
    <w:rsid w:val="006D5055"/>
    <w:rsid w:val="006E3137"/>
    <w:rsid w:val="006E3686"/>
    <w:rsid w:val="006E42A7"/>
    <w:rsid w:val="006E538B"/>
    <w:rsid w:val="006E641F"/>
    <w:rsid w:val="006F1E22"/>
    <w:rsid w:val="006F7075"/>
    <w:rsid w:val="006F75A0"/>
    <w:rsid w:val="007014AB"/>
    <w:rsid w:val="007020D8"/>
    <w:rsid w:val="00705A8C"/>
    <w:rsid w:val="00710B0E"/>
    <w:rsid w:val="0071679F"/>
    <w:rsid w:val="00723E36"/>
    <w:rsid w:val="00724EE7"/>
    <w:rsid w:val="007261D8"/>
    <w:rsid w:val="00732EF4"/>
    <w:rsid w:val="007330CD"/>
    <w:rsid w:val="007351EA"/>
    <w:rsid w:val="007428C7"/>
    <w:rsid w:val="00744D61"/>
    <w:rsid w:val="00752460"/>
    <w:rsid w:val="00753BBA"/>
    <w:rsid w:val="00755207"/>
    <w:rsid w:val="007570A6"/>
    <w:rsid w:val="00760586"/>
    <w:rsid w:val="007609CB"/>
    <w:rsid w:val="007615C9"/>
    <w:rsid w:val="00761D10"/>
    <w:rsid w:val="00763FF8"/>
    <w:rsid w:val="00766391"/>
    <w:rsid w:val="007717A9"/>
    <w:rsid w:val="007721EA"/>
    <w:rsid w:val="00773D5C"/>
    <w:rsid w:val="007824F2"/>
    <w:rsid w:val="007922CB"/>
    <w:rsid w:val="00793254"/>
    <w:rsid w:val="00795698"/>
    <w:rsid w:val="00797705"/>
    <w:rsid w:val="007A1ADD"/>
    <w:rsid w:val="007B340C"/>
    <w:rsid w:val="007C394C"/>
    <w:rsid w:val="007C756F"/>
    <w:rsid w:val="007D24D8"/>
    <w:rsid w:val="007E4679"/>
    <w:rsid w:val="007E61B3"/>
    <w:rsid w:val="007F1145"/>
    <w:rsid w:val="007F2300"/>
    <w:rsid w:val="007F64F7"/>
    <w:rsid w:val="0080253C"/>
    <w:rsid w:val="00803AC2"/>
    <w:rsid w:val="00805A3D"/>
    <w:rsid w:val="00811BF1"/>
    <w:rsid w:val="00812A54"/>
    <w:rsid w:val="008241D4"/>
    <w:rsid w:val="008262C3"/>
    <w:rsid w:val="00826710"/>
    <w:rsid w:val="00827FF5"/>
    <w:rsid w:val="00837650"/>
    <w:rsid w:val="008412A3"/>
    <w:rsid w:val="00842F3A"/>
    <w:rsid w:val="00843F38"/>
    <w:rsid w:val="0084547F"/>
    <w:rsid w:val="00846ED8"/>
    <w:rsid w:val="00857023"/>
    <w:rsid w:val="00860320"/>
    <w:rsid w:val="008719A8"/>
    <w:rsid w:val="008739B1"/>
    <w:rsid w:val="00874C45"/>
    <w:rsid w:val="008750E5"/>
    <w:rsid w:val="00887A07"/>
    <w:rsid w:val="00887CBF"/>
    <w:rsid w:val="00890B6D"/>
    <w:rsid w:val="008942A0"/>
    <w:rsid w:val="008A1657"/>
    <w:rsid w:val="008A2398"/>
    <w:rsid w:val="008A2ECC"/>
    <w:rsid w:val="008A6682"/>
    <w:rsid w:val="008B579C"/>
    <w:rsid w:val="008C1A22"/>
    <w:rsid w:val="008C1B63"/>
    <w:rsid w:val="008C1D16"/>
    <w:rsid w:val="008D0DD8"/>
    <w:rsid w:val="008D657E"/>
    <w:rsid w:val="008E2A22"/>
    <w:rsid w:val="008E75AA"/>
    <w:rsid w:val="008F1A0C"/>
    <w:rsid w:val="008F2AC8"/>
    <w:rsid w:val="008F3D2E"/>
    <w:rsid w:val="008F5DF8"/>
    <w:rsid w:val="008F5E90"/>
    <w:rsid w:val="008F5FAF"/>
    <w:rsid w:val="008F7338"/>
    <w:rsid w:val="00903B14"/>
    <w:rsid w:val="00906FB7"/>
    <w:rsid w:val="0091137A"/>
    <w:rsid w:val="00911829"/>
    <w:rsid w:val="00911EE7"/>
    <w:rsid w:val="00921EE3"/>
    <w:rsid w:val="00922CAA"/>
    <w:rsid w:val="0092387C"/>
    <w:rsid w:val="009256C5"/>
    <w:rsid w:val="00927209"/>
    <w:rsid w:val="00933419"/>
    <w:rsid w:val="0093358D"/>
    <w:rsid w:val="0093538D"/>
    <w:rsid w:val="00940C01"/>
    <w:rsid w:val="00941BCA"/>
    <w:rsid w:val="009472A8"/>
    <w:rsid w:val="009477AE"/>
    <w:rsid w:val="00951C6F"/>
    <w:rsid w:val="00955CDA"/>
    <w:rsid w:val="0096318B"/>
    <w:rsid w:val="009656A4"/>
    <w:rsid w:val="0096659F"/>
    <w:rsid w:val="00977CB0"/>
    <w:rsid w:val="0099005D"/>
    <w:rsid w:val="00994042"/>
    <w:rsid w:val="009A16E4"/>
    <w:rsid w:val="009B1DB8"/>
    <w:rsid w:val="009B40E3"/>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2145"/>
    <w:rsid w:val="00A137FF"/>
    <w:rsid w:val="00A17AD4"/>
    <w:rsid w:val="00A209E5"/>
    <w:rsid w:val="00A2204A"/>
    <w:rsid w:val="00A24090"/>
    <w:rsid w:val="00A31D5D"/>
    <w:rsid w:val="00A32B63"/>
    <w:rsid w:val="00A330B8"/>
    <w:rsid w:val="00A3771C"/>
    <w:rsid w:val="00A37CA4"/>
    <w:rsid w:val="00A37EE6"/>
    <w:rsid w:val="00A436FB"/>
    <w:rsid w:val="00A46081"/>
    <w:rsid w:val="00A47730"/>
    <w:rsid w:val="00A53BA5"/>
    <w:rsid w:val="00A615D0"/>
    <w:rsid w:val="00A71DB5"/>
    <w:rsid w:val="00A82AC5"/>
    <w:rsid w:val="00A90FC6"/>
    <w:rsid w:val="00A92577"/>
    <w:rsid w:val="00A94A9E"/>
    <w:rsid w:val="00A9623D"/>
    <w:rsid w:val="00AA1ADF"/>
    <w:rsid w:val="00AA2407"/>
    <w:rsid w:val="00AB0933"/>
    <w:rsid w:val="00AB22BC"/>
    <w:rsid w:val="00AB58F1"/>
    <w:rsid w:val="00AC74FE"/>
    <w:rsid w:val="00AD0C85"/>
    <w:rsid w:val="00AD48D0"/>
    <w:rsid w:val="00AD7C60"/>
    <w:rsid w:val="00AE0CA9"/>
    <w:rsid w:val="00AE0F18"/>
    <w:rsid w:val="00AE318F"/>
    <w:rsid w:val="00AE4C39"/>
    <w:rsid w:val="00AE7861"/>
    <w:rsid w:val="00AF0435"/>
    <w:rsid w:val="00AF7EB5"/>
    <w:rsid w:val="00B028BD"/>
    <w:rsid w:val="00B0458D"/>
    <w:rsid w:val="00B132D5"/>
    <w:rsid w:val="00B17690"/>
    <w:rsid w:val="00B2504B"/>
    <w:rsid w:val="00B26CA6"/>
    <w:rsid w:val="00B3567D"/>
    <w:rsid w:val="00B4127E"/>
    <w:rsid w:val="00B413F2"/>
    <w:rsid w:val="00B41871"/>
    <w:rsid w:val="00B46B9C"/>
    <w:rsid w:val="00B46F8E"/>
    <w:rsid w:val="00B52F99"/>
    <w:rsid w:val="00B53134"/>
    <w:rsid w:val="00B55820"/>
    <w:rsid w:val="00B55F2A"/>
    <w:rsid w:val="00B57400"/>
    <w:rsid w:val="00B70075"/>
    <w:rsid w:val="00B71F55"/>
    <w:rsid w:val="00B74E0C"/>
    <w:rsid w:val="00B75FD6"/>
    <w:rsid w:val="00B777FC"/>
    <w:rsid w:val="00B81E13"/>
    <w:rsid w:val="00B84539"/>
    <w:rsid w:val="00B90699"/>
    <w:rsid w:val="00B92520"/>
    <w:rsid w:val="00B942FB"/>
    <w:rsid w:val="00BA0C39"/>
    <w:rsid w:val="00BA22CF"/>
    <w:rsid w:val="00BB0712"/>
    <w:rsid w:val="00BB1F64"/>
    <w:rsid w:val="00BB4268"/>
    <w:rsid w:val="00BB5380"/>
    <w:rsid w:val="00BB5F05"/>
    <w:rsid w:val="00BD3139"/>
    <w:rsid w:val="00BE0ED4"/>
    <w:rsid w:val="00BE7ADB"/>
    <w:rsid w:val="00BF0677"/>
    <w:rsid w:val="00BF12C9"/>
    <w:rsid w:val="00BF30AF"/>
    <w:rsid w:val="00BF457E"/>
    <w:rsid w:val="00C019BA"/>
    <w:rsid w:val="00C02433"/>
    <w:rsid w:val="00C06800"/>
    <w:rsid w:val="00C307A8"/>
    <w:rsid w:val="00C34AE5"/>
    <w:rsid w:val="00C359D1"/>
    <w:rsid w:val="00C36FCE"/>
    <w:rsid w:val="00C453BE"/>
    <w:rsid w:val="00C50300"/>
    <w:rsid w:val="00C5048D"/>
    <w:rsid w:val="00C50DBB"/>
    <w:rsid w:val="00C531E6"/>
    <w:rsid w:val="00C55F4A"/>
    <w:rsid w:val="00C63F79"/>
    <w:rsid w:val="00C72BB4"/>
    <w:rsid w:val="00C764BE"/>
    <w:rsid w:val="00C76C59"/>
    <w:rsid w:val="00C77EE3"/>
    <w:rsid w:val="00C83504"/>
    <w:rsid w:val="00C84E9E"/>
    <w:rsid w:val="00C85B3F"/>
    <w:rsid w:val="00C9460F"/>
    <w:rsid w:val="00C97493"/>
    <w:rsid w:val="00CA4323"/>
    <w:rsid w:val="00CB483E"/>
    <w:rsid w:val="00CB5176"/>
    <w:rsid w:val="00CC29E9"/>
    <w:rsid w:val="00CC2F57"/>
    <w:rsid w:val="00CC3487"/>
    <w:rsid w:val="00CD37F4"/>
    <w:rsid w:val="00CD727C"/>
    <w:rsid w:val="00CE0250"/>
    <w:rsid w:val="00CE2143"/>
    <w:rsid w:val="00CE452A"/>
    <w:rsid w:val="00CF15E5"/>
    <w:rsid w:val="00CF2A43"/>
    <w:rsid w:val="00CF67BF"/>
    <w:rsid w:val="00D00302"/>
    <w:rsid w:val="00D067AF"/>
    <w:rsid w:val="00D12B7F"/>
    <w:rsid w:val="00D1355D"/>
    <w:rsid w:val="00D1411E"/>
    <w:rsid w:val="00D142EE"/>
    <w:rsid w:val="00D152EE"/>
    <w:rsid w:val="00D22576"/>
    <w:rsid w:val="00D22CD1"/>
    <w:rsid w:val="00D22EA7"/>
    <w:rsid w:val="00D31B70"/>
    <w:rsid w:val="00D434A3"/>
    <w:rsid w:val="00D434A8"/>
    <w:rsid w:val="00D47C19"/>
    <w:rsid w:val="00D53419"/>
    <w:rsid w:val="00D572CF"/>
    <w:rsid w:val="00D625C3"/>
    <w:rsid w:val="00D62FB0"/>
    <w:rsid w:val="00D638BC"/>
    <w:rsid w:val="00D66711"/>
    <w:rsid w:val="00D74808"/>
    <w:rsid w:val="00D755E3"/>
    <w:rsid w:val="00D76F1C"/>
    <w:rsid w:val="00D82121"/>
    <w:rsid w:val="00D82924"/>
    <w:rsid w:val="00D9337A"/>
    <w:rsid w:val="00DA45A8"/>
    <w:rsid w:val="00DA45BD"/>
    <w:rsid w:val="00DB1C31"/>
    <w:rsid w:val="00DD0FFE"/>
    <w:rsid w:val="00DD18BF"/>
    <w:rsid w:val="00DD2488"/>
    <w:rsid w:val="00DD58C4"/>
    <w:rsid w:val="00DD5F38"/>
    <w:rsid w:val="00DE0440"/>
    <w:rsid w:val="00DE539D"/>
    <w:rsid w:val="00DF311B"/>
    <w:rsid w:val="00E01189"/>
    <w:rsid w:val="00E0562D"/>
    <w:rsid w:val="00E07112"/>
    <w:rsid w:val="00E1058E"/>
    <w:rsid w:val="00E1083E"/>
    <w:rsid w:val="00E12E6B"/>
    <w:rsid w:val="00E22C1A"/>
    <w:rsid w:val="00E2380D"/>
    <w:rsid w:val="00E2606C"/>
    <w:rsid w:val="00E268F9"/>
    <w:rsid w:val="00E26F1B"/>
    <w:rsid w:val="00E3052A"/>
    <w:rsid w:val="00E314BE"/>
    <w:rsid w:val="00E372EE"/>
    <w:rsid w:val="00E4029E"/>
    <w:rsid w:val="00E40D01"/>
    <w:rsid w:val="00E42B2C"/>
    <w:rsid w:val="00E457D2"/>
    <w:rsid w:val="00E45C5C"/>
    <w:rsid w:val="00E4725F"/>
    <w:rsid w:val="00E572BB"/>
    <w:rsid w:val="00E64CE9"/>
    <w:rsid w:val="00E67E9A"/>
    <w:rsid w:val="00E70E96"/>
    <w:rsid w:val="00E7448E"/>
    <w:rsid w:val="00E7751B"/>
    <w:rsid w:val="00E826FB"/>
    <w:rsid w:val="00E837D5"/>
    <w:rsid w:val="00E97961"/>
    <w:rsid w:val="00EA434A"/>
    <w:rsid w:val="00EA705D"/>
    <w:rsid w:val="00EB2E3E"/>
    <w:rsid w:val="00EC6932"/>
    <w:rsid w:val="00ED18F7"/>
    <w:rsid w:val="00ED3D21"/>
    <w:rsid w:val="00EE294E"/>
    <w:rsid w:val="00EE4531"/>
    <w:rsid w:val="00EF2331"/>
    <w:rsid w:val="00F00F28"/>
    <w:rsid w:val="00F052A9"/>
    <w:rsid w:val="00F056D2"/>
    <w:rsid w:val="00F05DD3"/>
    <w:rsid w:val="00F11D7D"/>
    <w:rsid w:val="00F13543"/>
    <w:rsid w:val="00F1631F"/>
    <w:rsid w:val="00F173CC"/>
    <w:rsid w:val="00F207D9"/>
    <w:rsid w:val="00F262A4"/>
    <w:rsid w:val="00F27582"/>
    <w:rsid w:val="00F3189B"/>
    <w:rsid w:val="00F33F58"/>
    <w:rsid w:val="00F3571A"/>
    <w:rsid w:val="00F4754E"/>
    <w:rsid w:val="00F53BF3"/>
    <w:rsid w:val="00F55AA7"/>
    <w:rsid w:val="00F56A6C"/>
    <w:rsid w:val="00F606D4"/>
    <w:rsid w:val="00F62943"/>
    <w:rsid w:val="00F74745"/>
    <w:rsid w:val="00F85136"/>
    <w:rsid w:val="00F934B0"/>
    <w:rsid w:val="00F95358"/>
    <w:rsid w:val="00F974F5"/>
    <w:rsid w:val="00FA3ABD"/>
    <w:rsid w:val="00FB04F4"/>
    <w:rsid w:val="00FB4BFC"/>
    <w:rsid w:val="00FB4CA7"/>
    <w:rsid w:val="00FC3E7A"/>
    <w:rsid w:val="00FC47AA"/>
    <w:rsid w:val="00FC5284"/>
    <w:rsid w:val="00FC77AD"/>
    <w:rsid w:val="00FD179C"/>
    <w:rsid w:val="00FD569E"/>
    <w:rsid w:val="00FE6202"/>
    <w:rsid w:val="00FF3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159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25340">
      <w:bodyDiv w:val="1"/>
      <w:marLeft w:val="0"/>
      <w:marRight w:val="0"/>
      <w:marTop w:val="0"/>
      <w:marBottom w:val="0"/>
      <w:divBdr>
        <w:top w:val="none" w:sz="0" w:space="0" w:color="auto"/>
        <w:left w:val="none" w:sz="0" w:space="0" w:color="auto"/>
        <w:bottom w:val="none" w:sz="0" w:space="0" w:color="auto"/>
        <w:right w:val="none" w:sz="0" w:space="0" w:color="auto"/>
      </w:divBdr>
      <w:divsChild>
        <w:div w:id="770396185">
          <w:marLeft w:val="0"/>
          <w:marRight w:val="0"/>
          <w:marTop w:val="0"/>
          <w:marBottom w:val="0"/>
          <w:divBdr>
            <w:top w:val="none" w:sz="0" w:space="0" w:color="auto"/>
            <w:left w:val="none" w:sz="0" w:space="0" w:color="auto"/>
            <w:bottom w:val="none" w:sz="0" w:space="0" w:color="auto"/>
            <w:right w:val="none" w:sz="0" w:space="0" w:color="auto"/>
          </w:divBdr>
          <w:divsChild>
            <w:div w:id="6455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ationalarchives.gov.uk/doc/open-government-licence"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eepurl.com/iTrD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nquiries@ofsted.gov.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urveymonkey.com/r/researchpublications" TargetMode="External"/><Relationship Id="rId20" Type="http://schemas.openxmlformats.org/officeDocument/2006/relationships/hyperlink" Target="http://www.gov.uk/government/organisations/ofst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si@nationalarchives.gsi.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gov.uk/ofsted" TargetMode="External"/><Relationship Id="rId27"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course.ncalt.com/Channel_General_Awareness/01/index.html" TargetMode="External"/><Relationship Id="rId2" Type="http://schemas.openxmlformats.org/officeDocument/2006/relationships/hyperlink" Target="http://www.jisc.ac.uk/" TargetMode="External"/><Relationship Id="rId1" Type="http://schemas.openxmlformats.org/officeDocument/2006/relationships/hyperlink" Target="http://www.gov.uk/government/publications/prevent-duty-guid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43307F4A-F871-45CE-8A80-525478D3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8257</Words>
  <Characters>48752</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56896</CharactersWithSpaces>
  <SharedDoc>false</SharedDoc>
  <HLinks>
    <vt:vector size="36" baseType="variant">
      <vt:variant>
        <vt:i4>1441795</vt:i4>
      </vt:variant>
      <vt:variant>
        <vt:i4>15</vt:i4>
      </vt:variant>
      <vt:variant>
        <vt:i4>0</vt:i4>
      </vt:variant>
      <vt:variant>
        <vt:i4>5</vt:i4>
      </vt:variant>
      <vt:variant>
        <vt:lpwstr>http://www.gov.uk/ofsted</vt:lpwstr>
      </vt:variant>
      <vt:variant>
        <vt:lpwstr/>
      </vt:variant>
      <vt:variant>
        <vt:i4>3276896</vt:i4>
      </vt:variant>
      <vt:variant>
        <vt:i4>12</vt:i4>
      </vt:variant>
      <vt:variant>
        <vt:i4>0</vt:i4>
      </vt:variant>
      <vt:variant>
        <vt:i4>5</vt:i4>
      </vt:variant>
      <vt:variant>
        <vt:lpwstr>http://eepurl.com/iTrDn</vt:lpwstr>
      </vt:variant>
      <vt:variant>
        <vt:lpwstr/>
      </vt:variant>
      <vt:variant>
        <vt:i4>1114132</vt:i4>
      </vt:variant>
      <vt:variant>
        <vt:i4>9</vt:i4>
      </vt:variant>
      <vt:variant>
        <vt:i4>0</vt:i4>
      </vt:variant>
      <vt:variant>
        <vt:i4>5</vt:i4>
      </vt:variant>
      <vt:variant>
        <vt:lpwstr>http://www.gov.uk/government/organisations/ofsted</vt:lpwstr>
      </vt:variant>
      <vt:variant>
        <vt:lpwstr/>
      </vt:variant>
      <vt:variant>
        <vt:i4>3670022</vt:i4>
      </vt:variant>
      <vt:variant>
        <vt:i4>6</vt:i4>
      </vt:variant>
      <vt:variant>
        <vt:i4>0</vt:i4>
      </vt:variant>
      <vt:variant>
        <vt:i4>5</vt:i4>
      </vt:variant>
      <vt:variant>
        <vt:lpwstr>mailto:psi@nationalarchives.gsi.gov.uk</vt:lpwstr>
      </vt:variant>
      <vt:variant>
        <vt:lpwstr/>
      </vt:variant>
      <vt:variant>
        <vt:i4>6553714</vt:i4>
      </vt:variant>
      <vt:variant>
        <vt:i4>3</vt:i4>
      </vt:variant>
      <vt:variant>
        <vt:i4>0</vt:i4>
      </vt:variant>
      <vt:variant>
        <vt:i4>5</vt:i4>
      </vt:variant>
      <vt:variant>
        <vt:lpwstr>http://www.nationalarchives.gov.uk/doc/open-government-licence</vt:lpwstr>
      </vt:variant>
      <vt:variant>
        <vt:lpwstr/>
      </vt:variant>
      <vt:variant>
        <vt:i4>7864340</vt:i4>
      </vt:variant>
      <vt:variant>
        <vt:i4>0</vt:i4>
      </vt:variant>
      <vt:variant>
        <vt:i4>0</vt:i4>
      </vt:variant>
      <vt:variant>
        <vt:i4>5</vt:i4>
      </vt:variant>
      <vt:variant>
        <vt:lpwstr>mailto:enquiries@ofsted.gov.uk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2016-08-04T13:47:00Z</dcterms:created>
  <dcterms:modified xsi:type="dcterms:W3CDTF">2016-08-04T13:48:00Z</dcterms:modified>
</cp:coreProperties>
</file>