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54" w:rsidRPr="006D2854" w:rsidRDefault="006D2854" w:rsidP="006D2854">
      <w:pPr>
        <w:autoSpaceDE w:val="0"/>
        <w:autoSpaceDN w:val="0"/>
        <w:adjustRightInd w:val="0"/>
        <w:spacing w:after="0" w:line="240" w:lineRule="auto"/>
        <w:rPr>
          <w:rFonts w:ascii="Arial" w:hAnsi="Arial" w:cs="Arial"/>
          <w:color w:val="000000"/>
          <w:sz w:val="24"/>
          <w:szCs w:val="24"/>
        </w:rPr>
      </w:pPr>
    </w:p>
    <w:p w:rsidR="006D2854" w:rsidRPr="006D2854" w:rsidRDefault="006D2854" w:rsidP="006D2854">
      <w:pPr>
        <w:autoSpaceDE w:val="0"/>
        <w:autoSpaceDN w:val="0"/>
        <w:adjustRightInd w:val="0"/>
        <w:spacing w:after="0" w:line="240" w:lineRule="auto"/>
        <w:jc w:val="center"/>
        <w:rPr>
          <w:rFonts w:ascii="Arial" w:hAnsi="Arial" w:cs="Arial"/>
          <w:color w:val="000000"/>
          <w:sz w:val="28"/>
          <w:szCs w:val="28"/>
        </w:rPr>
      </w:pPr>
      <w:r>
        <w:rPr>
          <w:rFonts w:ascii="Arial" w:hAnsi="Arial" w:cs="Arial"/>
          <w:b/>
          <w:bCs/>
          <w:color w:val="000000"/>
          <w:sz w:val="28"/>
          <w:szCs w:val="28"/>
        </w:rPr>
        <w:t>Joint Ministerial Council Communiqué Commitments 2015</w:t>
      </w:r>
      <w:r w:rsidRPr="006D2854">
        <w:rPr>
          <w:rFonts w:ascii="Arial" w:hAnsi="Arial" w:cs="Arial"/>
          <w:b/>
          <w:bCs/>
          <w:color w:val="000000"/>
          <w:sz w:val="28"/>
          <w:szCs w:val="28"/>
        </w:rPr>
        <w:t>: U</w:t>
      </w:r>
      <w:r>
        <w:rPr>
          <w:rFonts w:ascii="Arial" w:hAnsi="Arial" w:cs="Arial"/>
          <w:b/>
          <w:bCs/>
          <w:color w:val="000000"/>
          <w:sz w:val="28"/>
          <w:szCs w:val="28"/>
        </w:rPr>
        <w:t xml:space="preserve">nited </w:t>
      </w:r>
      <w:r w:rsidRPr="006D2854">
        <w:rPr>
          <w:rFonts w:ascii="Arial" w:hAnsi="Arial" w:cs="Arial"/>
          <w:b/>
          <w:bCs/>
          <w:color w:val="000000"/>
          <w:sz w:val="28"/>
          <w:szCs w:val="28"/>
        </w:rPr>
        <w:t>K</w:t>
      </w:r>
      <w:r>
        <w:rPr>
          <w:rFonts w:ascii="Arial" w:hAnsi="Arial" w:cs="Arial"/>
          <w:b/>
          <w:bCs/>
          <w:color w:val="000000"/>
          <w:sz w:val="28"/>
          <w:szCs w:val="28"/>
        </w:rPr>
        <w:t xml:space="preserve">ingdom </w:t>
      </w:r>
      <w:r w:rsidRPr="006D2854">
        <w:rPr>
          <w:rFonts w:ascii="Arial" w:hAnsi="Arial" w:cs="Arial"/>
          <w:b/>
          <w:bCs/>
          <w:color w:val="000000"/>
          <w:sz w:val="28"/>
          <w:szCs w:val="28"/>
        </w:rPr>
        <w:t>Progress Report</w:t>
      </w:r>
      <w:r w:rsidR="000E169D">
        <w:rPr>
          <w:rFonts w:ascii="Arial" w:hAnsi="Arial" w:cs="Arial"/>
          <w:b/>
          <w:bCs/>
          <w:color w:val="000000"/>
          <w:sz w:val="28"/>
          <w:szCs w:val="28"/>
        </w:rPr>
        <w:t xml:space="preserve"> </w:t>
      </w:r>
    </w:p>
    <w:p w:rsidR="006D2854" w:rsidRDefault="006D2854" w:rsidP="006D2854">
      <w:pPr>
        <w:pStyle w:val="NoSpacing"/>
        <w:jc w:val="center"/>
        <w:rPr>
          <w:rFonts w:ascii="Arial" w:hAnsi="Arial" w:cs="Arial"/>
          <w:i/>
          <w:iCs/>
          <w:color w:val="000000"/>
          <w:sz w:val="23"/>
          <w:szCs w:val="23"/>
        </w:rPr>
      </w:pPr>
    </w:p>
    <w:p w:rsidR="006D2854" w:rsidRDefault="006D2854" w:rsidP="006D2854">
      <w:pPr>
        <w:pStyle w:val="NoSpacing"/>
        <w:jc w:val="center"/>
        <w:rPr>
          <w:rFonts w:ascii="Arial" w:hAnsi="Arial" w:cs="Arial"/>
          <w:i/>
          <w:iCs/>
          <w:color w:val="000000"/>
          <w:sz w:val="23"/>
          <w:szCs w:val="23"/>
        </w:rPr>
      </w:pPr>
      <w:r w:rsidRPr="006D2854">
        <w:rPr>
          <w:rFonts w:ascii="Arial" w:hAnsi="Arial" w:cs="Arial"/>
          <w:i/>
          <w:iCs/>
          <w:color w:val="000000"/>
          <w:sz w:val="23"/>
          <w:szCs w:val="23"/>
        </w:rPr>
        <w:t>The UK and Overseas Territories Governments made a number of commitments to action in the Joint Communiqué issued after the Joint Ministerial Council in December 201</w:t>
      </w:r>
      <w:r>
        <w:rPr>
          <w:rFonts w:ascii="Arial" w:hAnsi="Arial" w:cs="Arial"/>
          <w:i/>
          <w:iCs/>
          <w:color w:val="000000"/>
          <w:sz w:val="23"/>
          <w:szCs w:val="23"/>
        </w:rPr>
        <w:t>5</w:t>
      </w:r>
      <w:r w:rsidRPr="006D2854">
        <w:rPr>
          <w:rFonts w:ascii="Arial" w:hAnsi="Arial" w:cs="Arial"/>
          <w:i/>
          <w:iCs/>
          <w:color w:val="000000"/>
          <w:sz w:val="23"/>
          <w:szCs w:val="23"/>
        </w:rPr>
        <w:t>. This report summarises work undertaken by the UK Government to carry out those commitments.</w:t>
      </w:r>
    </w:p>
    <w:p w:rsidR="00856A99" w:rsidRDefault="00856A99" w:rsidP="006D2854">
      <w:pPr>
        <w:pStyle w:val="NoSpacing"/>
        <w:jc w:val="center"/>
        <w:rPr>
          <w:b/>
        </w:rPr>
      </w:pPr>
    </w:p>
    <w:p w:rsidR="006D2854" w:rsidRDefault="006D2854" w:rsidP="0061483E">
      <w:pPr>
        <w:pStyle w:val="NoSpacing"/>
        <w:jc w:val="center"/>
        <w:rPr>
          <w:b/>
        </w:rPr>
      </w:pPr>
    </w:p>
    <w:tbl>
      <w:tblPr>
        <w:tblStyle w:val="TableGrid"/>
        <w:tblW w:w="9780" w:type="dxa"/>
        <w:tblInd w:w="534" w:type="dxa"/>
        <w:tblLayout w:type="fixed"/>
        <w:tblLook w:val="04A0"/>
      </w:tblPr>
      <w:tblGrid>
        <w:gridCol w:w="5103"/>
        <w:gridCol w:w="4677"/>
      </w:tblGrid>
      <w:tr w:rsidR="009C73FF" w:rsidRPr="00554171" w:rsidTr="004D1C29">
        <w:tc>
          <w:tcPr>
            <w:tcW w:w="5103" w:type="dxa"/>
          </w:tcPr>
          <w:p w:rsidR="009C73FF" w:rsidRPr="009C73FF" w:rsidRDefault="009C73FF" w:rsidP="009C73FF">
            <w:pPr>
              <w:pStyle w:val="NoSpacing"/>
              <w:rPr>
                <w:b/>
              </w:rPr>
            </w:pPr>
            <w:r w:rsidRPr="009C73FF">
              <w:rPr>
                <w:b/>
              </w:rPr>
              <w:t xml:space="preserve">Commitments </w:t>
            </w:r>
          </w:p>
          <w:p w:rsidR="009C73FF" w:rsidRPr="009C73FF" w:rsidRDefault="009C73FF" w:rsidP="009C73FF">
            <w:pPr>
              <w:pStyle w:val="NoSpacing"/>
              <w:rPr>
                <w:b/>
              </w:rPr>
            </w:pPr>
          </w:p>
        </w:tc>
        <w:tc>
          <w:tcPr>
            <w:tcW w:w="4677" w:type="dxa"/>
            <w:tcBorders>
              <w:bottom w:val="single" w:sz="4" w:space="0" w:color="auto"/>
            </w:tcBorders>
            <w:shd w:val="clear" w:color="auto" w:fill="auto"/>
          </w:tcPr>
          <w:p w:rsidR="009C73FF" w:rsidRPr="009C73FF" w:rsidRDefault="009C73FF" w:rsidP="004D1C29">
            <w:pPr>
              <w:pStyle w:val="NoSpacing"/>
              <w:rPr>
                <w:b/>
              </w:rPr>
            </w:pPr>
            <w:r w:rsidRPr="009C73FF">
              <w:rPr>
                <w:b/>
              </w:rPr>
              <w:t>Action</w:t>
            </w:r>
            <w:r w:rsidR="004D1C29">
              <w:rPr>
                <w:b/>
              </w:rPr>
              <w:t xml:space="preserve"> </w:t>
            </w:r>
            <w:r w:rsidR="00856A99">
              <w:rPr>
                <w:b/>
              </w:rPr>
              <w:t xml:space="preserve"> </w:t>
            </w:r>
          </w:p>
        </w:tc>
      </w:tr>
      <w:tr w:rsidR="009C73FF" w:rsidRPr="00554171" w:rsidTr="004D1C29">
        <w:tc>
          <w:tcPr>
            <w:tcW w:w="5103" w:type="dxa"/>
          </w:tcPr>
          <w:p w:rsidR="009C73FF" w:rsidRDefault="003D3AD7" w:rsidP="00D24D08">
            <w:pPr>
              <w:pStyle w:val="NoSpacing"/>
              <w:numPr>
                <w:ilvl w:val="0"/>
                <w:numId w:val="5"/>
              </w:numPr>
            </w:pPr>
            <w:r>
              <w:t xml:space="preserve">The </w:t>
            </w:r>
            <w:r w:rsidR="009C73FF" w:rsidRPr="00554171">
              <w:t>U</w:t>
            </w:r>
            <w:r w:rsidR="009C73FF">
              <w:t xml:space="preserve">nited </w:t>
            </w:r>
            <w:r w:rsidR="009C73FF" w:rsidRPr="00554171">
              <w:t>K</w:t>
            </w:r>
            <w:r w:rsidR="009C73FF">
              <w:t xml:space="preserve">ingdom </w:t>
            </w:r>
            <w:r w:rsidR="009C73FF" w:rsidRPr="00554171">
              <w:t>G</w:t>
            </w:r>
            <w:r w:rsidR="009C73FF">
              <w:t xml:space="preserve">overnment </w:t>
            </w:r>
            <w:r w:rsidR="009C73FF" w:rsidRPr="00554171">
              <w:t>to liaise with UK banks to ensure that O</w:t>
            </w:r>
            <w:r w:rsidR="009C73FF">
              <w:t xml:space="preserve">verseas </w:t>
            </w:r>
            <w:r w:rsidR="009C73FF" w:rsidRPr="00554171">
              <w:t>T</w:t>
            </w:r>
            <w:r w:rsidR="009C73FF">
              <w:t xml:space="preserve">erritories (OTs) </w:t>
            </w:r>
            <w:r w:rsidR="009C73FF" w:rsidRPr="00554171">
              <w:t>have full access to banking services</w:t>
            </w:r>
            <w:r w:rsidR="008C4E8A">
              <w:t>.</w:t>
            </w:r>
            <w:r w:rsidR="009C73FF" w:rsidRPr="00554171">
              <w:t xml:space="preserve"> </w:t>
            </w:r>
          </w:p>
          <w:p w:rsidR="009C73FF" w:rsidRPr="00554171" w:rsidRDefault="009C73FF" w:rsidP="009C73FF">
            <w:pPr>
              <w:pStyle w:val="NoSpacing"/>
            </w:pPr>
          </w:p>
        </w:tc>
        <w:tc>
          <w:tcPr>
            <w:tcW w:w="4677" w:type="dxa"/>
            <w:tcBorders>
              <w:bottom w:val="single" w:sz="4" w:space="0" w:color="auto"/>
            </w:tcBorders>
            <w:shd w:val="clear" w:color="auto" w:fill="auto"/>
          </w:tcPr>
          <w:p w:rsidR="006A287F" w:rsidRDefault="006A287F" w:rsidP="006A287F">
            <w:pPr>
              <w:pStyle w:val="PlainText"/>
            </w:pPr>
            <w:r>
              <w:t>HM Treasury has engaged with a number of Overseas Territories on correspondent banking.</w:t>
            </w:r>
          </w:p>
          <w:p w:rsidR="006A287F" w:rsidRDefault="006A287F" w:rsidP="006A287F">
            <w:pPr>
              <w:pStyle w:val="PlainText"/>
            </w:pPr>
            <w:r>
              <w:t>Following discussions with HMT in March 2016, the Government of Montserrat has worked directly with the Government of Gibraltar to secure correspondent banking services from The Gibraltar International Bank Ltd.</w:t>
            </w:r>
          </w:p>
          <w:p w:rsidR="00902D85" w:rsidRPr="00880EBB" w:rsidRDefault="00902D85" w:rsidP="009C73FF">
            <w:pPr>
              <w:pStyle w:val="NoSpacing"/>
              <w:rPr>
                <w:color w:val="FF0000"/>
              </w:rPr>
            </w:pPr>
          </w:p>
        </w:tc>
      </w:tr>
      <w:tr w:rsidR="009C73FF" w:rsidRPr="00554171" w:rsidTr="004D1C29">
        <w:tc>
          <w:tcPr>
            <w:tcW w:w="5103" w:type="dxa"/>
          </w:tcPr>
          <w:p w:rsidR="009C73FF" w:rsidRDefault="009C73FF" w:rsidP="00D24D08">
            <w:pPr>
              <w:pStyle w:val="NoSpacing"/>
              <w:numPr>
                <w:ilvl w:val="0"/>
                <w:numId w:val="5"/>
              </w:numPr>
            </w:pPr>
            <w:r w:rsidRPr="00554171">
              <w:t>U</w:t>
            </w:r>
            <w:r>
              <w:t xml:space="preserve">nited </w:t>
            </w:r>
            <w:r w:rsidRPr="00554171">
              <w:t>K</w:t>
            </w:r>
            <w:r>
              <w:t xml:space="preserve">ingdom </w:t>
            </w:r>
            <w:r w:rsidRPr="00554171">
              <w:t>G</w:t>
            </w:r>
            <w:r>
              <w:t xml:space="preserve">overnment </w:t>
            </w:r>
            <w:r w:rsidRPr="00554171">
              <w:t>to expedite infrastructure development in the O</w:t>
            </w:r>
            <w:r>
              <w:t xml:space="preserve">verseas </w:t>
            </w:r>
            <w:r w:rsidRPr="00554171">
              <w:t>T</w:t>
            </w:r>
            <w:r>
              <w:t xml:space="preserve">erritories </w:t>
            </w:r>
            <w:r w:rsidRPr="00554171">
              <w:t>and ensure that priority infrastructure needs continue to be monitored, addressed and supported where appropriate</w:t>
            </w:r>
            <w:r w:rsidR="008C4E8A">
              <w:t>.</w:t>
            </w:r>
            <w:r w:rsidRPr="00554171">
              <w:t xml:space="preserve"> </w:t>
            </w:r>
          </w:p>
          <w:p w:rsidR="009C73FF" w:rsidRPr="00554171" w:rsidRDefault="009C73FF" w:rsidP="00DF1688">
            <w:pPr>
              <w:pStyle w:val="NoSpacing"/>
            </w:pPr>
          </w:p>
        </w:tc>
        <w:tc>
          <w:tcPr>
            <w:tcW w:w="4677" w:type="dxa"/>
            <w:vMerge w:val="restart"/>
            <w:shd w:val="clear" w:color="auto" w:fill="auto"/>
          </w:tcPr>
          <w:p w:rsidR="009C73FF" w:rsidRDefault="004D1C29" w:rsidP="009C73FF">
            <w:pPr>
              <w:pStyle w:val="NoSpacing"/>
            </w:pPr>
            <w:r>
              <w:t xml:space="preserve">Support for Territories’ sustainable economic development </w:t>
            </w:r>
            <w:r w:rsidR="00121FEB">
              <w:t xml:space="preserve">is </w:t>
            </w:r>
            <w:r>
              <w:t>a priority for the new cross</w:t>
            </w:r>
            <w:r w:rsidR="00121FEB">
              <w:t>-</w:t>
            </w:r>
            <w:r>
              <w:t xml:space="preserve"> Whitehall OT Regional Board and OT </w:t>
            </w:r>
            <w:r w:rsidRPr="006D2854">
              <w:t>C</w:t>
            </w:r>
            <w:r>
              <w:t xml:space="preserve">onflict </w:t>
            </w:r>
            <w:r w:rsidRPr="006D2854">
              <w:t>S</w:t>
            </w:r>
            <w:r>
              <w:t xml:space="preserve">tability and </w:t>
            </w:r>
            <w:r w:rsidRPr="006D2854">
              <w:t>S</w:t>
            </w:r>
            <w:r>
              <w:t xml:space="preserve">ecurity </w:t>
            </w:r>
            <w:r w:rsidRPr="006D2854">
              <w:t>F</w:t>
            </w:r>
            <w:r>
              <w:t xml:space="preserve">und (CSSF) funding.  Scoping projects </w:t>
            </w:r>
            <w:r w:rsidR="00121FEB">
              <w:t xml:space="preserve">are </w:t>
            </w:r>
            <w:r>
              <w:t xml:space="preserve">being taken forward in </w:t>
            </w:r>
            <w:r w:rsidR="009C73FF" w:rsidRPr="004D1C29">
              <w:t>Ascension and Anguilla</w:t>
            </w:r>
            <w:r w:rsidR="00121FEB">
              <w:t>,</w:t>
            </w:r>
            <w:r w:rsidRPr="004D1C29">
              <w:t xml:space="preserve"> funded through the</w:t>
            </w:r>
            <w:r w:rsidR="00FA05A3">
              <w:t xml:space="preserve"> CSSF.  </w:t>
            </w:r>
            <w:r w:rsidR="00121FEB">
              <w:t xml:space="preserve">The </w:t>
            </w:r>
            <w:r w:rsidR="00FA05A3">
              <w:t>Department for International Development (DfID) continues to support economic development and infrastructure needs in the ODA</w:t>
            </w:r>
            <w:r w:rsidR="003D3AD7">
              <w:t>- eligible</w:t>
            </w:r>
            <w:r w:rsidR="00121FEB">
              <w:t xml:space="preserve"> OTs</w:t>
            </w:r>
            <w:r w:rsidR="003D3AD7">
              <w:t xml:space="preserve">. </w:t>
            </w:r>
          </w:p>
          <w:p w:rsidR="00FB2196" w:rsidRPr="006D2854" w:rsidRDefault="00FB2196" w:rsidP="009C73FF">
            <w:pPr>
              <w:pStyle w:val="NoSpacing"/>
            </w:pPr>
          </w:p>
        </w:tc>
      </w:tr>
      <w:tr w:rsidR="009C73FF" w:rsidRPr="00554171" w:rsidTr="004D1C29">
        <w:tc>
          <w:tcPr>
            <w:tcW w:w="5103" w:type="dxa"/>
          </w:tcPr>
          <w:p w:rsidR="009C73FF" w:rsidRPr="00554171" w:rsidRDefault="009C73FF" w:rsidP="00D24D08">
            <w:pPr>
              <w:pStyle w:val="NoSpacing"/>
              <w:numPr>
                <w:ilvl w:val="0"/>
                <w:numId w:val="5"/>
              </w:numPr>
            </w:pPr>
            <w:r w:rsidRPr="00554171">
              <w:t>Joint work to explore financing solutions to improve infrastructure</w:t>
            </w:r>
            <w:r w:rsidR="008C4E8A">
              <w:t>.</w:t>
            </w:r>
          </w:p>
          <w:p w:rsidR="009C73FF" w:rsidRPr="00554171" w:rsidRDefault="009C73FF" w:rsidP="008C4E8A">
            <w:pPr>
              <w:pStyle w:val="NoSpacing"/>
            </w:pPr>
          </w:p>
        </w:tc>
        <w:tc>
          <w:tcPr>
            <w:tcW w:w="4677" w:type="dxa"/>
            <w:vMerge/>
            <w:tcBorders>
              <w:bottom w:val="single" w:sz="4" w:space="0" w:color="auto"/>
            </w:tcBorders>
            <w:shd w:val="clear" w:color="auto" w:fill="auto"/>
          </w:tcPr>
          <w:p w:rsidR="009C73FF" w:rsidRPr="006D2854" w:rsidRDefault="009C73FF" w:rsidP="00EB5A97">
            <w:pPr>
              <w:pStyle w:val="NoSpacing"/>
            </w:pPr>
          </w:p>
        </w:tc>
      </w:tr>
      <w:tr w:rsidR="009C73FF" w:rsidRPr="00554171" w:rsidTr="004D1C29">
        <w:tc>
          <w:tcPr>
            <w:tcW w:w="5103" w:type="dxa"/>
          </w:tcPr>
          <w:p w:rsidR="009C73FF" w:rsidRPr="00554171" w:rsidRDefault="009C73FF" w:rsidP="00D24D08">
            <w:pPr>
              <w:pStyle w:val="NoSpacing"/>
              <w:numPr>
                <w:ilvl w:val="0"/>
                <w:numId w:val="5"/>
              </w:numPr>
            </w:pPr>
            <w:r w:rsidRPr="00554171">
              <w:t>Joint work to ensure procurement processes in the O</w:t>
            </w:r>
            <w:r w:rsidR="00AD7CE6">
              <w:t xml:space="preserve">verseas </w:t>
            </w:r>
            <w:r w:rsidRPr="00554171">
              <w:t>T</w:t>
            </w:r>
            <w:r w:rsidR="00AD7CE6">
              <w:t>erritories</w:t>
            </w:r>
            <w:r w:rsidRPr="00554171">
              <w:t xml:space="preserve"> </w:t>
            </w:r>
            <w:r w:rsidR="00FB2196">
              <w:t>is</w:t>
            </w:r>
            <w:r w:rsidRPr="00554171">
              <w:t xml:space="preserve"> in line with international standards</w:t>
            </w:r>
            <w:r w:rsidR="008C4E8A">
              <w:t>.</w:t>
            </w:r>
          </w:p>
        </w:tc>
        <w:tc>
          <w:tcPr>
            <w:tcW w:w="4677" w:type="dxa"/>
            <w:tcBorders>
              <w:bottom w:val="single" w:sz="4" w:space="0" w:color="auto"/>
            </w:tcBorders>
            <w:shd w:val="clear" w:color="auto" w:fill="auto"/>
          </w:tcPr>
          <w:p w:rsidR="009C73FF" w:rsidRDefault="003D3AD7" w:rsidP="00AD7CE6">
            <w:pPr>
              <w:pStyle w:val="NoSpacing"/>
            </w:pPr>
            <w:r>
              <w:t xml:space="preserve">The </w:t>
            </w:r>
            <w:r w:rsidR="009C73FF" w:rsidRPr="006D2854">
              <w:t>F</w:t>
            </w:r>
            <w:r w:rsidR="009C73FF">
              <w:t xml:space="preserve">oreign and </w:t>
            </w:r>
            <w:r w:rsidR="009C73FF" w:rsidRPr="006D2854">
              <w:t>C</w:t>
            </w:r>
            <w:r w:rsidR="00AD7CE6">
              <w:t xml:space="preserve">ommonwealth </w:t>
            </w:r>
            <w:r w:rsidR="009C73FF" w:rsidRPr="006D2854">
              <w:t>O</w:t>
            </w:r>
            <w:r w:rsidR="00AD7CE6">
              <w:t xml:space="preserve">ffice </w:t>
            </w:r>
            <w:r w:rsidR="00121FEB">
              <w:t xml:space="preserve">(FCO) </w:t>
            </w:r>
            <w:r w:rsidR="003713C7">
              <w:t>ha</w:t>
            </w:r>
            <w:r w:rsidR="00121FEB">
              <w:t xml:space="preserve">s </w:t>
            </w:r>
            <w:r w:rsidR="004D1C29">
              <w:t xml:space="preserve">directly </w:t>
            </w:r>
            <w:r w:rsidR="009C73FF" w:rsidRPr="006D2854">
              <w:t xml:space="preserve">engaged with </w:t>
            </w:r>
            <w:r w:rsidR="004D1C29">
              <w:t xml:space="preserve">a number of OTs (including </w:t>
            </w:r>
            <w:r w:rsidR="009C73FF" w:rsidRPr="006D2854">
              <w:t>Cayman, Bermuda and B</w:t>
            </w:r>
            <w:r w:rsidR="00AD7CE6">
              <w:t xml:space="preserve">ritish </w:t>
            </w:r>
            <w:r w:rsidR="009C73FF" w:rsidRPr="006D2854">
              <w:t>V</w:t>
            </w:r>
            <w:r w:rsidR="00AD7CE6">
              <w:t xml:space="preserve">irgin </w:t>
            </w:r>
            <w:r w:rsidR="009C73FF" w:rsidRPr="006D2854">
              <w:t>I</w:t>
            </w:r>
            <w:r w:rsidR="00AD7CE6">
              <w:t>slands</w:t>
            </w:r>
            <w:r w:rsidR="004D1C29">
              <w:t>)</w:t>
            </w:r>
            <w:r w:rsidR="009C73FF" w:rsidRPr="006D2854">
              <w:t xml:space="preserve"> on</w:t>
            </w:r>
            <w:r w:rsidR="004D1C29">
              <w:t xml:space="preserve"> supporting open</w:t>
            </w:r>
            <w:r w:rsidR="009C73FF" w:rsidRPr="006D2854">
              <w:t xml:space="preserve"> procurement for new </w:t>
            </w:r>
            <w:r w:rsidR="004D1C29">
              <w:t xml:space="preserve">infrastructure </w:t>
            </w:r>
            <w:r w:rsidR="009C73FF" w:rsidRPr="006D2854">
              <w:t>projects.</w:t>
            </w:r>
          </w:p>
          <w:p w:rsidR="005A2F4E" w:rsidRPr="006D2854" w:rsidRDefault="005A2F4E" w:rsidP="00AD7CE6">
            <w:pPr>
              <w:pStyle w:val="NoSpacing"/>
            </w:pPr>
          </w:p>
        </w:tc>
      </w:tr>
      <w:tr w:rsidR="009C73FF" w:rsidRPr="00554171" w:rsidTr="004D1C29">
        <w:tc>
          <w:tcPr>
            <w:tcW w:w="5103" w:type="dxa"/>
          </w:tcPr>
          <w:p w:rsidR="009C73FF" w:rsidRDefault="009C73FF" w:rsidP="00D24D08">
            <w:pPr>
              <w:pStyle w:val="NoSpacing"/>
              <w:numPr>
                <w:ilvl w:val="0"/>
                <w:numId w:val="5"/>
              </w:numPr>
            </w:pPr>
            <w:r w:rsidRPr="00554171">
              <w:t>O</w:t>
            </w:r>
            <w:r w:rsidR="00FB2196">
              <w:t xml:space="preserve">verseas </w:t>
            </w:r>
            <w:r w:rsidRPr="00554171">
              <w:t>T</w:t>
            </w:r>
            <w:r w:rsidR="00FB2196">
              <w:t>erritories</w:t>
            </w:r>
            <w:r w:rsidRPr="00554171">
              <w:t xml:space="preserve"> to be early adopters of the new OECD global standard on tax transparency, with first exchange of data taking place in 2017</w:t>
            </w:r>
            <w:r w:rsidR="008C4E8A">
              <w:t>.</w:t>
            </w:r>
          </w:p>
          <w:p w:rsidR="00FB2196" w:rsidRPr="00554171" w:rsidRDefault="00FB2196" w:rsidP="00FB2196">
            <w:pPr>
              <w:pStyle w:val="NoSpacing"/>
            </w:pPr>
          </w:p>
        </w:tc>
        <w:tc>
          <w:tcPr>
            <w:tcW w:w="4677" w:type="dxa"/>
            <w:tcBorders>
              <w:bottom w:val="single" w:sz="4" w:space="0" w:color="auto"/>
            </w:tcBorders>
            <w:shd w:val="clear" w:color="auto" w:fill="auto"/>
          </w:tcPr>
          <w:p w:rsidR="009C73FF" w:rsidRPr="005A2F4E" w:rsidRDefault="004D1C29" w:rsidP="0055633C">
            <w:pPr>
              <w:pStyle w:val="NoSpacing"/>
            </w:pPr>
            <w:r>
              <w:t xml:space="preserve">All the OTs </w:t>
            </w:r>
            <w:proofErr w:type="gramStart"/>
            <w:r w:rsidR="00A62EBD">
              <w:t>are</w:t>
            </w:r>
            <w:proofErr w:type="gramEnd"/>
            <w:r>
              <w:t xml:space="preserve"> on track to implement the new standard from next year.</w:t>
            </w:r>
            <w:r w:rsidR="005A2F4E">
              <w:t xml:space="preserve"> </w:t>
            </w:r>
            <w:r w:rsidR="005A2F4E" w:rsidRPr="005A2F4E">
              <w:t xml:space="preserve"> </w:t>
            </w:r>
          </w:p>
        </w:tc>
      </w:tr>
      <w:tr w:rsidR="009C73FF" w:rsidRPr="00554171" w:rsidTr="004D1C29">
        <w:tc>
          <w:tcPr>
            <w:tcW w:w="5103" w:type="dxa"/>
          </w:tcPr>
          <w:p w:rsidR="009C73FF" w:rsidRDefault="009C73FF" w:rsidP="00D24D08">
            <w:pPr>
              <w:pStyle w:val="NoSpacing"/>
              <w:numPr>
                <w:ilvl w:val="0"/>
                <w:numId w:val="5"/>
              </w:numPr>
            </w:pPr>
            <w:r w:rsidRPr="00554171">
              <w:t>O</w:t>
            </w:r>
            <w:r w:rsidR="005A2F4E">
              <w:t xml:space="preserve">verseas </w:t>
            </w:r>
            <w:r w:rsidRPr="00554171">
              <w:t>T</w:t>
            </w:r>
            <w:r w:rsidR="005A2F4E">
              <w:t xml:space="preserve">erritories </w:t>
            </w:r>
            <w:r w:rsidRPr="00554171">
              <w:t xml:space="preserve">to hold beneficial ownership information in our respective jurisdictions via central registers </w:t>
            </w:r>
            <w:r w:rsidR="00902D85">
              <w:t>or similarly effective systems.</w:t>
            </w:r>
          </w:p>
          <w:p w:rsidR="005A2F4E" w:rsidRPr="00554171" w:rsidRDefault="005A2F4E" w:rsidP="005A2F4E">
            <w:pPr>
              <w:pStyle w:val="NoSpacing"/>
            </w:pPr>
          </w:p>
        </w:tc>
        <w:tc>
          <w:tcPr>
            <w:tcW w:w="4677" w:type="dxa"/>
            <w:tcBorders>
              <w:bottom w:val="single" w:sz="4" w:space="0" w:color="auto"/>
            </w:tcBorders>
            <w:shd w:val="clear" w:color="auto" w:fill="auto"/>
          </w:tcPr>
          <w:p w:rsidR="009C73FF" w:rsidRPr="006D2854" w:rsidRDefault="004D1C29" w:rsidP="00121FEB">
            <w:pPr>
              <w:pStyle w:val="NoSpacing"/>
            </w:pPr>
            <w:r>
              <w:t>All O</w:t>
            </w:r>
            <w:r w:rsidR="00121FEB">
              <w:t>Ts</w:t>
            </w:r>
            <w:r>
              <w:t xml:space="preserve"> with significant financial services industries have made a c</w:t>
            </w:r>
            <w:r w:rsidR="009C73FF" w:rsidRPr="006D2854">
              <w:t>ommitment</w:t>
            </w:r>
            <w:r>
              <w:t xml:space="preserve"> to establishing central registers or similarly effective systems by June 2017 </w:t>
            </w:r>
            <w:r w:rsidR="009C73FF" w:rsidRPr="006D2854">
              <w:t>through</w:t>
            </w:r>
            <w:r>
              <w:t xml:space="preserve"> an</w:t>
            </w:r>
            <w:r w:rsidR="009C73FF" w:rsidRPr="006D2854">
              <w:t xml:space="preserve"> exchange of notes </w:t>
            </w:r>
            <w:r>
              <w:t>with the UK.</w:t>
            </w:r>
          </w:p>
        </w:tc>
      </w:tr>
      <w:tr w:rsidR="009C73FF" w:rsidRPr="00554171" w:rsidTr="004D1C29">
        <w:tc>
          <w:tcPr>
            <w:tcW w:w="5103" w:type="dxa"/>
          </w:tcPr>
          <w:p w:rsidR="009C73FF" w:rsidRPr="00554171" w:rsidRDefault="009C73FF" w:rsidP="00D24D08">
            <w:pPr>
              <w:pStyle w:val="NoSpacing"/>
              <w:numPr>
                <w:ilvl w:val="0"/>
                <w:numId w:val="5"/>
              </w:numPr>
            </w:pPr>
            <w:r w:rsidRPr="00554171">
              <w:t xml:space="preserve">Joint work to extend the core UN Human </w:t>
            </w:r>
            <w:r w:rsidR="00902D85">
              <w:t>R</w:t>
            </w:r>
            <w:r w:rsidRPr="00554171">
              <w:t>ights Conventions to the OTs, where these have not been extended already</w:t>
            </w:r>
            <w:r w:rsidR="00902D85">
              <w:t>.</w:t>
            </w:r>
          </w:p>
        </w:tc>
        <w:tc>
          <w:tcPr>
            <w:tcW w:w="4677" w:type="dxa"/>
            <w:tcBorders>
              <w:bottom w:val="single" w:sz="4" w:space="0" w:color="auto"/>
            </w:tcBorders>
            <w:shd w:val="clear" w:color="auto" w:fill="auto"/>
          </w:tcPr>
          <w:p w:rsidR="009C73FF" w:rsidRDefault="009C73FF" w:rsidP="00A62EBD">
            <w:pPr>
              <w:pStyle w:val="NoSpacing"/>
            </w:pPr>
            <w:r w:rsidRPr="006D2854">
              <w:t>Anguilla</w:t>
            </w:r>
            <w:r w:rsidR="004D1C29">
              <w:t xml:space="preserve"> is</w:t>
            </w:r>
            <w:r w:rsidRPr="006D2854">
              <w:t xml:space="preserve"> finalising transposition tables for </w:t>
            </w:r>
            <w:r w:rsidR="00A62EBD">
              <w:t xml:space="preserve">the </w:t>
            </w:r>
            <w:r w:rsidRPr="006D2854">
              <w:t>I</w:t>
            </w:r>
            <w:r w:rsidR="00530755">
              <w:t xml:space="preserve">nternational </w:t>
            </w:r>
            <w:r w:rsidRPr="006D2854">
              <w:t>C</w:t>
            </w:r>
            <w:r w:rsidR="00530755">
              <w:t>onvention on Civil and Political Rights (IC</w:t>
            </w:r>
            <w:r w:rsidRPr="006D2854">
              <w:t>CPR</w:t>
            </w:r>
            <w:r w:rsidR="00530755">
              <w:t>)</w:t>
            </w:r>
            <w:r w:rsidRPr="006D2854">
              <w:t xml:space="preserve"> and </w:t>
            </w:r>
            <w:r w:rsidR="00153625">
              <w:t>International Convention on Economical, Social and Civil Rights (</w:t>
            </w:r>
            <w:r w:rsidRPr="006D2854">
              <w:t>ICESCR</w:t>
            </w:r>
            <w:r w:rsidR="00153625">
              <w:t>)</w:t>
            </w:r>
            <w:r w:rsidRPr="006D2854">
              <w:t xml:space="preserve">. </w:t>
            </w:r>
            <w:r w:rsidR="00121FEB">
              <w:t>The</w:t>
            </w:r>
            <w:r w:rsidR="002D74CC">
              <w:t xml:space="preserve"> </w:t>
            </w:r>
            <w:r w:rsidR="00153625">
              <w:t>Convention on the Elimination on all forms of Discrimination Against Women (</w:t>
            </w:r>
            <w:r w:rsidRPr="006D2854">
              <w:t>CEDAW</w:t>
            </w:r>
            <w:r w:rsidR="00153625">
              <w:t>)</w:t>
            </w:r>
            <w:r w:rsidR="00A62EBD">
              <w:t xml:space="preserve"> has been </w:t>
            </w:r>
            <w:r w:rsidRPr="006D2854">
              <w:t xml:space="preserve">extended to Anguilla and the Cayman Islands in March. Pitcairn and </w:t>
            </w:r>
            <w:r w:rsidR="00A62EBD">
              <w:t xml:space="preserve">the </w:t>
            </w:r>
            <w:r w:rsidRPr="006D2854">
              <w:t xml:space="preserve">St Helena </w:t>
            </w:r>
            <w:r w:rsidR="00A62EBD">
              <w:t xml:space="preserve">grouping </w:t>
            </w:r>
            <w:r w:rsidRPr="006D2854">
              <w:t xml:space="preserve">requested extension in May and July respectively. </w:t>
            </w:r>
            <w:r w:rsidR="003D3AD7">
              <w:t xml:space="preserve">The </w:t>
            </w:r>
            <w:r w:rsidRPr="006D2854">
              <w:t>D</w:t>
            </w:r>
            <w:r w:rsidR="005A2F4E">
              <w:t xml:space="preserve">epartment </w:t>
            </w:r>
            <w:r w:rsidRPr="006D2854">
              <w:t>f</w:t>
            </w:r>
            <w:r w:rsidR="005A2F4E">
              <w:t xml:space="preserve">or </w:t>
            </w:r>
            <w:r w:rsidRPr="006D2854">
              <w:t>E</w:t>
            </w:r>
            <w:r w:rsidR="005A2F4E">
              <w:t>ducation</w:t>
            </w:r>
            <w:r w:rsidR="0088393B">
              <w:t xml:space="preserve"> and</w:t>
            </w:r>
            <w:r w:rsidR="00A62EBD">
              <w:t xml:space="preserve"> </w:t>
            </w:r>
            <w:r w:rsidRPr="006D2854">
              <w:t>FCO</w:t>
            </w:r>
            <w:r w:rsidR="0088393B">
              <w:t>)</w:t>
            </w:r>
            <w:r w:rsidRPr="006D2854">
              <w:t xml:space="preserve"> </w:t>
            </w:r>
            <w:r w:rsidR="003D3AD7">
              <w:t>engaged with</w:t>
            </w:r>
            <w:r w:rsidRPr="006D2854">
              <w:t xml:space="preserve"> HM</w:t>
            </w:r>
            <w:r w:rsidR="00902D85">
              <w:t xml:space="preserve"> Government of </w:t>
            </w:r>
            <w:r w:rsidRPr="006D2854">
              <w:t>G</w:t>
            </w:r>
            <w:r w:rsidR="00902D85">
              <w:t xml:space="preserve">ibraltar </w:t>
            </w:r>
            <w:r w:rsidRPr="006D2854">
              <w:t xml:space="preserve">to discuss </w:t>
            </w:r>
            <w:r w:rsidR="006A287F">
              <w:t xml:space="preserve">the </w:t>
            </w:r>
            <w:r w:rsidRPr="006D2854">
              <w:t>U</w:t>
            </w:r>
            <w:r w:rsidR="005A2F4E">
              <w:t xml:space="preserve">nited </w:t>
            </w:r>
            <w:r w:rsidRPr="006D2854">
              <w:t>N</w:t>
            </w:r>
            <w:r w:rsidR="005A2F4E">
              <w:t>ations</w:t>
            </w:r>
            <w:r w:rsidRPr="006D2854">
              <w:t xml:space="preserve"> C</w:t>
            </w:r>
            <w:r w:rsidR="005A2F4E">
              <w:t xml:space="preserve">onvention </w:t>
            </w:r>
            <w:r w:rsidRPr="006D2854">
              <w:t>R</w:t>
            </w:r>
            <w:r w:rsidR="005A2F4E">
              <w:t xml:space="preserve">ights of the </w:t>
            </w:r>
            <w:r w:rsidRPr="006D2854">
              <w:t>C</w:t>
            </w:r>
            <w:r w:rsidR="005A2F4E">
              <w:t>hild</w:t>
            </w:r>
            <w:r w:rsidRPr="006D2854">
              <w:t>.</w:t>
            </w:r>
          </w:p>
          <w:p w:rsidR="005A2F4E" w:rsidRPr="006D2854" w:rsidRDefault="005A2F4E" w:rsidP="005565EF">
            <w:pPr>
              <w:pStyle w:val="NoSpacing"/>
            </w:pPr>
          </w:p>
        </w:tc>
      </w:tr>
      <w:tr w:rsidR="009C73FF" w:rsidRPr="00554171" w:rsidTr="004D1C29">
        <w:tc>
          <w:tcPr>
            <w:tcW w:w="5103" w:type="dxa"/>
          </w:tcPr>
          <w:p w:rsidR="009C73FF" w:rsidRPr="00554171" w:rsidRDefault="009C73FF" w:rsidP="00D24D08">
            <w:pPr>
              <w:pStyle w:val="Default"/>
              <w:numPr>
                <w:ilvl w:val="0"/>
                <w:numId w:val="5"/>
              </w:numPr>
              <w:rPr>
                <w:rFonts w:asciiTheme="minorHAnsi" w:hAnsiTheme="minorHAnsi"/>
                <w:sz w:val="22"/>
                <w:szCs w:val="22"/>
              </w:rPr>
            </w:pPr>
            <w:r w:rsidRPr="00554171">
              <w:rPr>
                <w:rFonts w:asciiTheme="minorHAnsi" w:hAnsiTheme="minorHAnsi"/>
                <w:sz w:val="22"/>
                <w:szCs w:val="22"/>
              </w:rPr>
              <w:t xml:space="preserve">UKG to ensure that pending treaty extension requests from the OTs are taken forward </w:t>
            </w:r>
            <w:r w:rsidR="00902D85">
              <w:rPr>
                <w:rFonts w:asciiTheme="minorHAnsi" w:hAnsiTheme="minorHAnsi"/>
                <w:sz w:val="22"/>
                <w:szCs w:val="22"/>
              </w:rPr>
              <w:t>as soon as possible.</w:t>
            </w:r>
          </w:p>
          <w:p w:rsidR="009C73FF" w:rsidRPr="00554171" w:rsidRDefault="009C73FF" w:rsidP="001362DC">
            <w:pPr>
              <w:pStyle w:val="NoSpacing"/>
            </w:pPr>
          </w:p>
        </w:tc>
        <w:tc>
          <w:tcPr>
            <w:tcW w:w="4677" w:type="dxa"/>
            <w:tcBorders>
              <w:bottom w:val="single" w:sz="4" w:space="0" w:color="auto"/>
            </w:tcBorders>
            <w:shd w:val="clear" w:color="auto" w:fill="auto"/>
          </w:tcPr>
          <w:p w:rsidR="009C73FF" w:rsidRPr="006E0247" w:rsidRDefault="00A62EBD" w:rsidP="00A62EBD">
            <w:pPr>
              <w:pStyle w:val="NoSpacing"/>
            </w:pPr>
            <w:r>
              <w:t xml:space="preserve">Requests from </w:t>
            </w:r>
            <w:r w:rsidR="006E0247">
              <w:t xml:space="preserve">Pitcairn and St Helena for </w:t>
            </w:r>
            <w:r w:rsidR="003D3AD7" w:rsidRPr="003D3AD7">
              <w:rPr>
                <w:rFonts w:cs="Arial"/>
              </w:rPr>
              <w:t xml:space="preserve">The Convention on the Elimination of all Forms of Discrimination Against Women </w:t>
            </w:r>
            <w:r w:rsidR="003D3AD7">
              <w:rPr>
                <w:rFonts w:cs="Arial"/>
              </w:rPr>
              <w:t>(</w:t>
            </w:r>
            <w:r w:rsidR="009C73FF" w:rsidRPr="003D3AD7">
              <w:t>CEDAW</w:t>
            </w:r>
            <w:r w:rsidR="003D3AD7">
              <w:t>)</w:t>
            </w:r>
            <w:r w:rsidR="009C73FF" w:rsidRPr="003D3AD7">
              <w:t xml:space="preserve"> </w:t>
            </w:r>
            <w:r>
              <w:t>are</w:t>
            </w:r>
            <w:r w:rsidR="009C73FF" w:rsidRPr="003D3AD7">
              <w:t xml:space="preserve"> in train. </w:t>
            </w:r>
            <w:r w:rsidR="00A773F3">
              <w:t xml:space="preserve"> </w:t>
            </w:r>
            <w:r>
              <w:t xml:space="preserve">The </w:t>
            </w:r>
            <w:r w:rsidR="0088393B">
              <w:t xml:space="preserve">Government Equalities Office </w:t>
            </w:r>
            <w:r w:rsidR="003D3AD7">
              <w:t>(</w:t>
            </w:r>
            <w:r w:rsidR="009C73FF" w:rsidRPr="003D3AD7">
              <w:t>GEO</w:t>
            </w:r>
            <w:r w:rsidR="003D3AD7">
              <w:t>)</w:t>
            </w:r>
            <w:r w:rsidR="009C73FF" w:rsidRPr="003D3AD7">
              <w:t xml:space="preserve"> </w:t>
            </w:r>
            <w:r>
              <w:t xml:space="preserve">is </w:t>
            </w:r>
            <w:r w:rsidR="009C73FF" w:rsidRPr="003D3AD7">
              <w:t>awaiting information from Bermuda and Gibraltar on</w:t>
            </w:r>
            <w:r w:rsidR="00B70F62" w:rsidRPr="003D3AD7">
              <w:t xml:space="preserve"> extension of</w:t>
            </w:r>
            <w:r w:rsidR="009C73FF" w:rsidRPr="003D3AD7">
              <w:t xml:space="preserve"> CEDAW.</w:t>
            </w:r>
            <w:r w:rsidR="002C1A40">
              <w:t xml:space="preserve"> A requ</w:t>
            </w:r>
            <w:r w:rsidR="008328D0">
              <w:t>est for the extension of the UN</w:t>
            </w:r>
            <w:r w:rsidR="006A287F">
              <w:t xml:space="preserve"> </w:t>
            </w:r>
            <w:r w:rsidR="002C1A40">
              <w:t>C</w:t>
            </w:r>
            <w:r w:rsidR="006A287F">
              <w:t xml:space="preserve">onvention </w:t>
            </w:r>
            <w:r w:rsidR="002C1A40">
              <w:t>A</w:t>
            </w:r>
            <w:r w:rsidR="006A287F">
              <w:t xml:space="preserve">gainst </w:t>
            </w:r>
            <w:r w:rsidR="002C1A40">
              <w:t>C</w:t>
            </w:r>
            <w:r w:rsidR="006A287F">
              <w:t>orruption (UNCAC)</w:t>
            </w:r>
            <w:r w:rsidR="002C1A40">
              <w:t xml:space="preserve"> to the Cayman Islands is also in progress. </w:t>
            </w:r>
          </w:p>
        </w:tc>
      </w:tr>
      <w:tr w:rsidR="009C73FF" w:rsidRPr="00554171" w:rsidTr="004D1C29">
        <w:tc>
          <w:tcPr>
            <w:tcW w:w="5103" w:type="dxa"/>
          </w:tcPr>
          <w:p w:rsidR="009C73FF" w:rsidRPr="00554171" w:rsidRDefault="00A773F3" w:rsidP="00D24D08">
            <w:pPr>
              <w:pStyle w:val="NoSpacing"/>
              <w:numPr>
                <w:ilvl w:val="0"/>
                <w:numId w:val="5"/>
              </w:numPr>
            </w:pPr>
            <w:r>
              <w:t>S</w:t>
            </w:r>
            <w:r w:rsidR="009C73FF" w:rsidRPr="00554171">
              <w:t xml:space="preserve">upport </w:t>
            </w:r>
            <w:r>
              <w:t xml:space="preserve">for </w:t>
            </w:r>
            <w:r w:rsidR="009C73FF" w:rsidRPr="00554171">
              <w:t>capacity building and development of expertis</w:t>
            </w:r>
            <w:r w:rsidR="00902D85">
              <w:t xml:space="preserve">e in the following core areas: </w:t>
            </w:r>
          </w:p>
          <w:p w:rsidR="005A2F4E" w:rsidRPr="00554171" w:rsidRDefault="009C73FF" w:rsidP="005A2F4E">
            <w:pPr>
              <w:pStyle w:val="NoSpacing"/>
              <w:numPr>
                <w:ilvl w:val="0"/>
                <w:numId w:val="1"/>
              </w:numPr>
            </w:pPr>
            <w:r w:rsidRPr="00554171">
              <w:t>Public financial management &amp; economic planning: maintaining sound public finances, building economic resilience and ensuring value for money in use of public funds, including through effective use of audit;</w:t>
            </w:r>
          </w:p>
        </w:tc>
        <w:tc>
          <w:tcPr>
            <w:tcW w:w="4677" w:type="dxa"/>
            <w:tcBorders>
              <w:bottom w:val="single" w:sz="4" w:space="0" w:color="auto"/>
            </w:tcBorders>
            <w:shd w:val="clear" w:color="auto" w:fill="auto"/>
          </w:tcPr>
          <w:p w:rsidR="009C73FF" w:rsidRPr="006D2854" w:rsidRDefault="00B70F62" w:rsidP="00A62EBD">
            <w:pPr>
              <w:pStyle w:val="NoSpacing"/>
            </w:pPr>
            <w:r w:rsidRPr="006D2854">
              <w:t xml:space="preserve">Support for </w:t>
            </w:r>
            <w:r>
              <w:t>public financial management</w:t>
            </w:r>
            <w:r w:rsidRPr="006D2854">
              <w:t xml:space="preserve"> in the OTs</w:t>
            </w:r>
            <w:r>
              <w:t xml:space="preserve"> </w:t>
            </w:r>
            <w:r w:rsidR="00A773F3">
              <w:t xml:space="preserve">is </w:t>
            </w:r>
            <w:r>
              <w:t>a priority for the new cross</w:t>
            </w:r>
            <w:r w:rsidR="00A773F3">
              <w:t>-</w:t>
            </w:r>
            <w:r>
              <w:t xml:space="preserve">Whitehall OT Regional Board and OT </w:t>
            </w:r>
            <w:r w:rsidRPr="006D2854">
              <w:t>C</w:t>
            </w:r>
            <w:r>
              <w:t xml:space="preserve">onflict </w:t>
            </w:r>
            <w:r w:rsidRPr="006D2854">
              <w:t>S</w:t>
            </w:r>
            <w:r>
              <w:t xml:space="preserve">tability and </w:t>
            </w:r>
            <w:r w:rsidRPr="006D2854">
              <w:t>S</w:t>
            </w:r>
            <w:r>
              <w:t xml:space="preserve">ecurity </w:t>
            </w:r>
            <w:r w:rsidRPr="006D2854">
              <w:t>F</w:t>
            </w:r>
            <w:r>
              <w:t>und (CSSF) funding.  Work to embed the National Audit Office principles</w:t>
            </w:r>
            <w:r w:rsidR="00A773F3">
              <w:t>-</w:t>
            </w:r>
            <w:r>
              <w:t xml:space="preserve">based model </w:t>
            </w:r>
            <w:r w:rsidR="003D3AD7">
              <w:t xml:space="preserve">is </w:t>
            </w:r>
            <w:r>
              <w:t xml:space="preserve">being developed in consultation with </w:t>
            </w:r>
            <w:r w:rsidR="00254C6D">
              <w:t>Territory</w:t>
            </w:r>
            <w:r>
              <w:t xml:space="preserve"> governments.  </w:t>
            </w:r>
          </w:p>
        </w:tc>
      </w:tr>
      <w:tr w:rsidR="00B70F62" w:rsidRPr="00554171" w:rsidTr="00BE2B1A">
        <w:trPr>
          <w:trHeight w:val="1353"/>
        </w:trPr>
        <w:tc>
          <w:tcPr>
            <w:tcW w:w="5103" w:type="dxa"/>
          </w:tcPr>
          <w:p w:rsidR="00B70F62" w:rsidRPr="00554171" w:rsidRDefault="00B70F62" w:rsidP="00EB5A97">
            <w:pPr>
              <w:pStyle w:val="NoSpacing"/>
              <w:numPr>
                <w:ilvl w:val="0"/>
                <w:numId w:val="1"/>
              </w:numPr>
            </w:pPr>
            <w:r w:rsidRPr="00554171">
              <w:t>Create a meaningful culture of ethics, integrity &amp; transparency, including through Codes of Conduct for Ministers and civil servants where these are not already in place;</w:t>
            </w:r>
          </w:p>
        </w:tc>
        <w:tc>
          <w:tcPr>
            <w:tcW w:w="4677" w:type="dxa"/>
            <w:vMerge w:val="restart"/>
            <w:shd w:val="clear" w:color="auto" w:fill="auto"/>
          </w:tcPr>
          <w:p w:rsidR="00B70F62" w:rsidRPr="00B70F62" w:rsidRDefault="00B70F62" w:rsidP="00B70F62">
            <w:pPr>
              <w:pStyle w:val="NoSpacing"/>
            </w:pPr>
            <w:r w:rsidRPr="00B70F62">
              <w:t xml:space="preserve">Action </w:t>
            </w:r>
            <w:r w:rsidR="003D3AD7">
              <w:t xml:space="preserve">is </w:t>
            </w:r>
            <w:r w:rsidRPr="00B70F62">
              <w:t>primarily for Overseas Territory Governments.</w:t>
            </w:r>
          </w:p>
          <w:p w:rsidR="00B70F62" w:rsidRPr="006D2854" w:rsidRDefault="00B70F62" w:rsidP="00A62EBD">
            <w:pPr>
              <w:pStyle w:val="NoSpacing"/>
            </w:pPr>
            <w:r w:rsidRPr="00B70F62">
              <w:t xml:space="preserve">Support for governance and public sector reform in the OTs </w:t>
            </w:r>
            <w:r w:rsidR="003D3AD7">
              <w:t xml:space="preserve">is </w:t>
            </w:r>
            <w:r w:rsidRPr="00B70F62">
              <w:t xml:space="preserve">a priority for the new cross Whitehall OT Regional Board and OT Conflict Stability and Security Fund (CSSF) funding.  </w:t>
            </w:r>
            <w:r w:rsidR="003D3AD7">
              <w:t xml:space="preserve">A </w:t>
            </w:r>
            <w:r w:rsidRPr="00B70F62">
              <w:t>Programme</w:t>
            </w:r>
            <w:r w:rsidR="00D51B8B">
              <w:t xml:space="preserve"> </w:t>
            </w:r>
            <w:r w:rsidRPr="00B70F62">
              <w:t xml:space="preserve">details </w:t>
            </w:r>
            <w:r w:rsidR="00A62EBD">
              <w:t>are</w:t>
            </w:r>
            <w:r w:rsidR="003D3AD7">
              <w:t xml:space="preserve"> </w:t>
            </w:r>
            <w:r w:rsidRPr="00B70F62">
              <w:t>being developed in consultation with OT governments.</w:t>
            </w:r>
            <w:r w:rsidR="006E0247">
              <w:t xml:space="preserve"> </w:t>
            </w:r>
            <w:r w:rsidR="00A62EBD">
              <w:t xml:space="preserve">A </w:t>
            </w:r>
            <w:r w:rsidRPr="00B70F62">
              <w:t xml:space="preserve">Criminal Justice Advisor </w:t>
            </w:r>
            <w:r w:rsidR="00A62EBD">
              <w:t xml:space="preserve">is </w:t>
            </w:r>
            <w:r w:rsidRPr="00B70F62">
              <w:t xml:space="preserve">in place for the Caribbean OTs. </w:t>
            </w:r>
            <w:r w:rsidR="00D51B8B">
              <w:t>A p</w:t>
            </w:r>
            <w:r w:rsidRPr="00B70F62">
              <w:t xml:space="preserve">rogramme of law enforcement </w:t>
            </w:r>
            <w:r w:rsidR="00D51B8B">
              <w:t>and</w:t>
            </w:r>
            <w:r w:rsidRPr="00B70F62">
              <w:t xml:space="preserve"> security support </w:t>
            </w:r>
            <w:r w:rsidR="00D51B8B">
              <w:t xml:space="preserve">is </w:t>
            </w:r>
            <w:r w:rsidRPr="00B70F62">
              <w:t>being developed</w:t>
            </w:r>
            <w:r w:rsidRPr="004D1C29">
              <w:t>.</w:t>
            </w:r>
            <w:r w:rsidRPr="006D2854">
              <w:t xml:space="preserve">  </w:t>
            </w:r>
          </w:p>
        </w:tc>
      </w:tr>
      <w:tr w:rsidR="00B70F62" w:rsidRPr="00554171" w:rsidTr="004D1C29">
        <w:tc>
          <w:tcPr>
            <w:tcW w:w="5103" w:type="dxa"/>
          </w:tcPr>
          <w:p w:rsidR="00B70F62" w:rsidRDefault="00B70F62" w:rsidP="00C2663C">
            <w:pPr>
              <w:pStyle w:val="NoSpacing"/>
              <w:numPr>
                <w:ilvl w:val="0"/>
                <w:numId w:val="1"/>
              </w:numPr>
            </w:pPr>
            <w:r w:rsidRPr="00554171">
              <w:t>Human rights, democracy and the rule of law: building strong and effective institutions that promote democracy, human rights, the rule of law and deliver access to justice; and</w:t>
            </w:r>
          </w:p>
          <w:p w:rsidR="00B70F62" w:rsidRPr="00554171" w:rsidRDefault="00B70F62" w:rsidP="0041468E">
            <w:pPr>
              <w:pStyle w:val="NoSpacing"/>
            </w:pPr>
          </w:p>
        </w:tc>
        <w:tc>
          <w:tcPr>
            <w:tcW w:w="4677" w:type="dxa"/>
            <w:vMerge/>
            <w:shd w:val="clear" w:color="auto" w:fill="auto"/>
          </w:tcPr>
          <w:p w:rsidR="00B70F62" w:rsidRPr="006D2854" w:rsidRDefault="00B70F62" w:rsidP="004D1C29">
            <w:pPr>
              <w:pStyle w:val="NoSpacing"/>
            </w:pPr>
          </w:p>
        </w:tc>
      </w:tr>
      <w:tr w:rsidR="00B70F62" w:rsidRPr="00554171" w:rsidTr="004D1C29">
        <w:tc>
          <w:tcPr>
            <w:tcW w:w="5103" w:type="dxa"/>
          </w:tcPr>
          <w:p w:rsidR="00B70F62" w:rsidRDefault="00B70F62" w:rsidP="00C2663C">
            <w:pPr>
              <w:pStyle w:val="NoSpacing"/>
              <w:numPr>
                <w:ilvl w:val="0"/>
                <w:numId w:val="1"/>
              </w:numPr>
            </w:pPr>
            <w:r w:rsidRPr="00554171">
              <w:t>Security and anti-corruption: upholding Territories’ security and enhancing their reputation as sound jurisdictions for business, including through continued support for international efforts against bribery and corruption and fraud.</w:t>
            </w:r>
          </w:p>
          <w:p w:rsidR="00B70F62" w:rsidRPr="00554171" w:rsidRDefault="00B70F62" w:rsidP="0041468E">
            <w:pPr>
              <w:pStyle w:val="NoSpacing"/>
            </w:pPr>
          </w:p>
        </w:tc>
        <w:tc>
          <w:tcPr>
            <w:tcW w:w="4677" w:type="dxa"/>
            <w:vMerge/>
            <w:shd w:val="clear" w:color="auto" w:fill="auto"/>
          </w:tcPr>
          <w:p w:rsidR="00B70F62" w:rsidRPr="006D2854" w:rsidRDefault="00B70F62" w:rsidP="00EB5A97">
            <w:pPr>
              <w:pStyle w:val="NoSpacing"/>
            </w:pPr>
          </w:p>
        </w:tc>
      </w:tr>
      <w:tr w:rsidR="009C73FF" w:rsidRPr="00554171" w:rsidTr="004D1C29">
        <w:tc>
          <w:tcPr>
            <w:tcW w:w="5103" w:type="dxa"/>
          </w:tcPr>
          <w:p w:rsidR="00C62C25" w:rsidRPr="00554171" w:rsidRDefault="009C73FF" w:rsidP="00D24D08">
            <w:pPr>
              <w:pStyle w:val="NoSpacing"/>
              <w:numPr>
                <w:ilvl w:val="0"/>
                <w:numId w:val="5"/>
              </w:numPr>
            </w:pPr>
            <w:r w:rsidRPr="00554171">
              <w:t>Joint work to update and simplify extradition processes between the OTs and the UK and between the OTs and third countries</w:t>
            </w:r>
            <w:r w:rsidR="00902D85">
              <w:t>.</w:t>
            </w:r>
            <w:r w:rsidRPr="00554171">
              <w:t xml:space="preserve"> </w:t>
            </w:r>
          </w:p>
        </w:tc>
        <w:tc>
          <w:tcPr>
            <w:tcW w:w="4677" w:type="dxa"/>
            <w:tcBorders>
              <w:bottom w:val="single" w:sz="4" w:space="0" w:color="auto"/>
            </w:tcBorders>
            <w:shd w:val="clear" w:color="auto" w:fill="auto"/>
          </w:tcPr>
          <w:p w:rsidR="009C73FF" w:rsidRPr="006D2854" w:rsidRDefault="00D51B8B" w:rsidP="00D51B8B">
            <w:pPr>
              <w:pStyle w:val="NoSpacing"/>
            </w:pPr>
            <w:r>
              <w:t xml:space="preserve">An </w:t>
            </w:r>
            <w:r w:rsidR="004D1C29">
              <w:t xml:space="preserve">Order </w:t>
            </w:r>
            <w:r>
              <w:t xml:space="preserve">was </w:t>
            </w:r>
            <w:r w:rsidR="004D1C29">
              <w:t xml:space="preserve">passed by the Privy Council in October </w:t>
            </w:r>
            <w:r w:rsidR="00A62EBD">
              <w:t>2016.</w:t>
            </w:r>
          </w:p>
        </w:tc>
      </w:tr>
      <w:tr w:rsidR="009C73FF" w:rsidRPr="00554171" w:rsidTr="004D1C29">
        <w:tc>
          <w:tcPr>
            <w:tcW w:w="5103" w:type="dxa"/>
          </w:tcPr>
          <w:p w:rsidR="009C73FF" w:rsidRPr="00554171" w:rsidRDefault="009C73FF" w:rsidP="00D24D08">
            <w:pPr>
              <w:pStyle w:val="NoSpacing"/>
              <w:numPr>
                <w:ilvl w:val="0"/>
                <w:numId w:val="5"/>
              </w:numPr>
            </w:pPr>
            <w:r w:rsidRPr="00554171">
              <w:t xml:space="preserve">UKG to develop disaster response capacity in the Territories </w:t>
            </w:r>
          </w:p>
        </w:tc>
        <w:tc>
          <w:tcPr>
            <w:tcW w:w="4677" w:type="dxa"/>
            <w:tcBorders>
              <w:bottom w:val="single" w:sz="4" w:space="0" w:color="auto"/>
            </w:tcBorders>
            <w:shd w:val="clear" w:color="auto" w:fill="auto"/>
          </w:tcPr>
          <w:p w:rsidR="00C62C25" w:rsidRPr="006D2854" w:rsidRDefault="004D1C29" w:rsidP="009F28A3">
            <w:pPr>
              <w:pStyle w:val="NoSpacing"/>
            </w:pPr>
            <w:r>
              <w:t xml:space="preserve">Support for Territories’ disaster management capacity </w:t>
            </w:r>
            <w:r w:rsidR="009F28A3">
              <w:t xml:space="preserve">is </w:t>
            </w:r>
            <w:r>
              <w:t xml:space="preserve">a priority for the new cross Whitehall OT Regional Board and OT </w:t>
            </w:r>
            <w:r w:rsidRPr="006D2854">
              <w:t>C</w:t>
            </w:r>
            <w:r>
              <w:t xml:space="preserve">onflict </w:t>
            </w:r>
            <w:r w:rsidRPr="006D2854">
              <w:t>S</w:t>
            </w:r>
            <w:r>
              <w:t xml:space="preserve">tability and </w:t>
            </w:r>
            <w:r w:rsidRPr="006D2854">
              <w:t>S</w:t>
            </w:r>
            <w:r>
              <w:t xml:space="preserve">ecurity </w:t>
            </w:r>
            <w:r w:rsidRPr="006D2854">
              <w:t>F</w:t>
            </w:r>
            <w:r>
              <w:t>und (CSSF) funding.  Programme details</w:t>
            </w:r>
            <w:r w:rsidR="009F28A3">
              <w:t xml:space="preserve"> are b</w:t>
            </w:r>
            <w:r>
              <w:t xml:space="preserve">eing developed in consultation with OT governments. </w:t>
            </w:r>
          </w:p>
        </w:tc>
      </w:tr>
      <w:tr w:rsidR="009C73FF" w:rsidRPr="00554171" w:rsidTr="004D1C29">
        <w:tc>
          <w:tcPr>
            <w:tcW w:w="5103" w:type="dxa"/>
          </w:tcPr>
          <w:p w:rsidR="009C73FF" w:rsidRDefault="009C73FF" w:rsidP="00D24D08">
            <w:pPr>
              <w:pStyle w:val="NoSpacing"/>
              <w:numPr>
                <w:ilvl w:val="0"/>
                <w:numId w:val="5"/>
              </w:numPr>
            </w:pPr>
            <w:r w:rsidRPr="00554171">
              <w:t xml:space="preserve">Joint work to tackle serious and organized crime, and reducing </w:t>
            </w:r>
            <w:r w:rsidR="00902D85">
              <w:t>reoffending in the Territories.</w:t>
            </w:r>
          </w:p>
          <w:p w:rsidR="00C62C25" w:rsidRPr="00554171" w:rsidRDefault="00C62C25" w:rsidP="0012760D">
            <w:pPr>
              <w:pStyle w:val="NoSpacing"/>
            </w:pPr>
          </w:p>
        </w:tc>
        <w:tc>
          <w:tcPr>
            <w:tcW w:w="4677" w:type="dxa"/>
            <w:tcBorders>
              <w:bottom w:val="single" w:sz="4" w:space="0" w:color="auto"/>
            </w:tcBorders>
            <w:shd w:val="clear" w:color="auto" w:fill="auto"/>
          </w:tcPr>
          <w:p w:rsidR="009C73FF" w:rsidRPr="006D2854" w:rsidRDefault="004D1C29" w:rsidP="004D1C29">
            <w:pPr>
              <w:pStyle w:val="NoSpacing"/>
            </w:pPr>
            <w:r>
              <w:t xml:space="preserve">Support for Territories’ law enforcement capacity </w:t>
            </w:r>
            <w:r w:rsidR="00A62EBD">
              <w:t xml:space="preserve">is </w:t>
            </w:r>
            <w:r>
              <w:t xml:space="preserve">a priority for the new cross Whitehall OT Regional Board and OT </w:t>
            </w:r>
            <w:r w:rsidRPr="006D2854">
              <w:t>C</w:t>
            </w:r>
            <w:r>
              <w:t xml:space="preserve">onflict </w:t>
            </w:r>
            <w:r w:rsidRPr="006D2854">
              <w:t>S</w:t>
            </w:r>
            <w:r>
              <w:t xml:space="preserve">tability and </w:t>
            </w:r>
            <w:r w:rsidRPr="006D2854">
              <w:t>S</w:t>
            </w:r>
            <w:r>
              <w:t xml:space="preserve">ecurity </w:t>
            </w:r>
            <w:r w:rsidRPr="006D2854">
              <w:t>F</w:t>
            </w:r>
            <w:r>
              <w:t xml:space="preserve">und (CSSF) funding.  Programme details </w:t>
            </w:r>
            <w:r w:rsidR="00A62EBD">
              <w:t xml:space="preserve">are </w:t>
            </w:r>
            <w:r>
              <w:t>being developed in consultation with OT governments.</w:t>
            </w:r>
          </w:p>
        </w:tc>
      </w:tr>
      <w:tr w:rsidR="009C73FF" w:rsidRPr="00554171" w:rsidTr="004D1C29">
        <w:tc>
          <w:tcPr>
            <w:tcW w:w="5103" w:type="dxa"/>
          </w:tcPr>
          <w:p w:rsidR="009C73FF" w:rsidRPr="00554171" w:rsidRDefault="009C73FF" w:rsidP="00D24D08">
            <w:pPr>
              <w:pStyle w:val="Default"/>
              <w:numPr>
                <w:ilvl w:val="0"/>
                <w:numId w:val="5"/>
              </w:numPr>
              <w:rPr>
                <w:rFonts w:asciiTheme="minorHAnsi" w:hAnsiTheme="minorHAnsi"/>
                <w:sz w:val="22"/>
                <w:szCs w:val="22"/>
              </w:rPr>
            </w:pPr>
            <w:r w:rsidRPr="00554171">
              <w:rPr>
                <w:rFonts w:asciiTheme="minorHAnsi" w:hAnsiTheme="minorHAnsi"/>
                <w:sz w:val="22"/>
                <w:szCs w:val="22"/>
              </w:rPr>
              <w:t xml:space="preserve">UKG to work with those OTs where they represent their own interests at international </w:t>
            </w:r>
            <w:proofErr w:type="spellStart"/>
            <w:r w:rsidR="00C62C25">
              <w:rPr>
                <w:rFonts w:asciiTheme="minorHAnsi" w:hAnsiTheme="minorHAnsi"/>
                <w:sz w:val="22"/>
                <w:szCs w:val="22"/>
              </w:rPr>
              <w:t>f</w:t>
            </w:r>
            <w:r w:rsidRPr="00554171">
              <w:rPr>
                <w:rFonts w:asciiTheme="minorHAnsi" w:hAnsiTheme="minorHAnsi"/>
                <w:sz w:val="22"/>
                <w:szCs w:val="22"/>
              </w:rPr>
              <w:t>ora</w:t>
            </w:r>
            <w:proofErr w:type="spellEnd"/>
            <w:r w:rsidR="00902D85">
              <w:rPr>
                <w:rFonts w:asciiTheme="minorHAnsi" w:hAnsiTheme="minorHAnsi"/>
                <w:sz w:val="22"/>
                <w:szCs w:val="22"/>
              </w:rPr>
              <w:t xml:space="preserve">. </w:t>
            </w:r>
            <w:r>
              <w:rPr>
                <w:rFonts w:asciiTheme="minorHAnsi" w:hAnsiTheme="minorHAnsi"/>
                <w:sz w:val="22"/>
                <w:szCs w:val="22"/>
              </w:rPr>
              <w:t xml:space="preserve"> </w:t>
            </w:r>
          </w:p>
          <w:p w:rsidR="009C73FF" w:rsidRPr="00554171" w:rsidRDefault="009C73FF" w:rsidP="0012760D">
            <w:pPr>
              <w:pStyle w:val="NoSpacing"/>
            </w:pPr>
          </w:p>
        </w:tc>
        <w:tc>
          <w:tcPr>
            <w:tcW w:w="4677" w:type="dxa"/>
            <w:vMerge w:val="restart"/>
            <w:shd w:val="clear" w:color="auto" w:fill="auto"/>
          </w:tcPr>
          <w:p w:rsidR="009C73FF" w:rsidRPr="00B70F62" w:rsidRDefault="00B70F62" w:rsidP="006A287F">
            <w:pPr>
              <w:pStyle w:val="NoSpacing"/>
            </w:pPr>
            <w:r>
              <w:t>The previous</w:t>
            </w:r>
            <w:r w:rsidR="002678A2" w:rsidRPr="00B70F62">
              <w:t xml:space="preserve"> </w:t>
            </w:r>
            <w:r w:rsidR="009C73FF" w:rsidRPr="00B70F62">
              <w:t>P</w:t>
            </w:r>
            <w:r w:rsidR="0007184E" w:rsidRPr="00B70F62">
              <w:t xml:space="preserve">rime </w:t>
            </w:r>
            <w:r w:rsidR="009C73FF" w:rsidRPr="00B70F62">
              <w:t>M</w:t>
            </w:r>
            <w:r w:rsidR="0007184E" w:rsidRPr="00B70F62">
              <w:t>inister</w:t>
            </w:r>
            <w:r>
              <w:t xml:space="preserve"> committed in Parliament </w:t>
            </w:r>
            <w:r w:rsidR="00C81729">
              <w:t>to engage</w:t>
            </w:r>
            <w:r w:rsidR="002B72CC">
              <w:t xml:space="preserve"> the </w:t>
            </w:r>
            <w:r w:rsidR="009C73FF" w:rsidRPr="00B70F62">
              <w:t>D</w:t>
            </w:r>
            <w:r w:rsidR="0007184E" w:rsidRPr="00B70F62">
              <w:t xml:space="preserve">evolved </w:t>
            </w:r>
            <w:r w:rsidR="009C73FF" w:rsidRPr="00B70F62">
              <w:t>A</w:t>
            </w:r>
            <w:r w:rsidR="0007184E" w:rsidRPr="00B70F62">
              <w:t>dministration</w:t>
            </w:r>
            <w:r w:rsidR="009C73FF" w:rsidRPr="00B70F62">
              <w:t>s, O</w:t>
            </w:r>
            <w:r w:rsidR="0007184E" w:rsidRPr="00B70F62">
              <w:t xml:space="preserve">verseas </w:t>
            </w:r>
            <w:r w:rsidR="009C73FF" w:rsidRPr="00B70F62">
              <w:t>T</w:t>
            </w:r>
            <w:r w:rsidR="0007184E" w:rsidRPr="00B70F62">
              <w:t>erritories</w:t>
            </w:r>
            <w:r w:rsidR="009C73FF" w:rsidRPr="00B70F62">
              <w:t xml:space="preserve"> and C</w:t>
            </w:r>
            <w:r w:rsidR="0007184E" w:rsidRPr="00B70F62">
              <w:t xml:space="preserve">rown </w:t>
            </w:r>
            <w:r w:rsidR="009C73FF" w:rsidRPr="00B70F62">
              <w:t>D</w:t>
            </w:r>
            <w:r w:rsidR="0007184E" w:rsidRPr="00B70F62">
              <w:t>ependencies</w:t>
            </w:r>
            <w:r>
              <w:t xml:space="preserve"> </w:t>
            </w:r>
            <w:r w:rsidR="00C81729">
              <w:t xml:space="preserve">ahead of EU </w:t>
            </w:r>
            <w:r>
              <w:t>negotiations in</w:t>
            </w:r>
            <w:r w:rsidR="00C81729">
              <w:t xml:space="preserve"> </w:t>
            </w:r>
            <w:r w:rsidR="002B72CC">
              <w:t xml:space="preserve">accordance </w:t>
            </w:r>
            <w:r>
              <w:t xml:space="preserve">with their various Constitutional </w:t>
            </w:r>
            <w:r w:rsidR="0057748C">
              <w:t xml:space="preserve">relationships </w:t>
            </w:r>
            <w:r>
              <w:t>with the UK</w:t>
            </w:r>
            <w:r w:rsidR="0007184E" w:rsidRPr="00B70F62">
              <w:t xml:space="preserve">.  </w:t>
            </w:r>
          </w:p>
        </w:tc>
      </w:tr>
      <w:tr w:rsidR="009C73FF" w:rsidRPr="00554171" w:rsidTr="004D1C29">
        <w:tc>
          <w:tcPr>
            <w:tcW w:w="5103" w:type="dxa"/>
          </w:tcPr>
          <w:p w:rsidR="009C73FF" w:rsidRDefault="009C73FF" w:rsidP="00D24D08">
            <w:pPr>
              <w:pStyle w:val="NoSpacing"/>
              <w:numPr>
                <w:ilvl w:val="0"/>
                <w:numId w:val="5"/>
              </w:numPr>
            </w:pPr>
            <w:r w:rsidRPr="00554171">
              <w:t>UKG to continue to consult OTs for their views on EU can be taken into account</w:t>
            </w:r>
            <w:r w:rsidR="006A287F">
              <w:t>.</w:t>
            </w:r>
            <w:r w:rsidRPr="00554171">
              <w:t xml:space="preserve"> </w:t>
            </w:r>
          </w:p>
          <w:p w:rsidR="00902D85" w:rsidRPr="00554171" w:rsidRDefault="00902D85" w:rsidP="002D133D">
            <w:pPr>
              <w:pStyle w:val="NoSpacing"/>
            </w:pPr>
          </w:p>
        </w:tc>
        <w:tc>
          <w:tcPr>
            <w:tcW w:w="4677" w:type="dxa"/>
            <w:vMerge/>
            <w:shd w:val="clear" w:color="auto" w:fill="auto"/>
          </w:tcPr>
          <w:p w:rsidR="009C73FF" w:rsidRPr="006D2854" w:rsidRDefault="009C73FF" w:rsidP="00DF1688">
            <w:pPr>
              <w:pStyle w:val="NoSpacing"/>
            </w:pPr>
          </w:p>
        </w:tc>
      </w:tr>
      <w:tr w:rsidR="009C73FF" w:rsidRPr="00554171" w:rsidTr="004D1C29">
        <w:tc>
          <w:tcPr>
            <w:tcW w:w="5103" w:type="dxa"/>
          </w:tcPr>
          <w:p w:rsidR="00902D85" w:rsidRPr="00554171" w:rsidRDefault="009C73FF" w:rsidP="00D24D08">
            <w:pPr>
              <w:pStyle w:val="NoSpacing"/>
              <w:numPr>
                <w:ilvl w:val="0"/>
                <w:numId w:val="5"/>
              </w:numPr>
            </w:pPr>
            <w:r w:rsidRPr="00554171">
              <w:t>Joint work to realize the full benefits of the Overseas Association</w:t>
            </w:r>
            <w:r w:rsidR="006A287F">
              <w:t>.</w:t>
            </w:r>
            <w:r w:rsidRPr="00554171">
              <w:t xml:space="preserve"> </w:t>
            </w:r>
          </w:p>
        </w:tc>
        <w:tc>
          <w:tcPr>
            <w:tcW w:w="4677" w:type="dxa"/>
            <w:vMerge/>
            <w:tcBorders>
              <w:bottom w:val="single" w:sz="4" w:space="0" w:color="auto"/>
            </w:tcBorders>
            <w:shd w:val="clear" w:color="auto" w:fill="auto"/>
          </w:tcPr>
          <w:p w:rsidR="009C73FF" w:rsidRPr="006D2854" w:rsidRDefault="009C73FF" w:rsidP="00EB5A97">
            <w:pPr>
              <w:pStyle w:val="NoSpacing"/>
            </w:pPr>
          </w:p>
        </w:tc>
      </w:tr>
      <w:tr w:rsidR="009C73FF" w:rsidRPr="00554171" w:rsidTr="004D1C29">
        <w:tc>
          <w:tcPr>
            <w:tcW w:w="5103" w:type="dxa"/>
          </w:tcPr>
          <w:p w:rsidR="009C73FF" w:rsidRDefault="009C73FF" w:rsidP="00D24D08">
            <w:pPr>
              <w:pStyle w:val="NoSpacing"/>
              <w:numPr>
                <w:ilvl w:val="0"/>
                <w:numId w:val="5"/>
              </w:numPr>
            </w:pPr>
            <w:r w:rsidRPr="00554171">
              <w:t>OT governments  to lead a national response, demonstrating clear leadership and accountability, to ensure a child-centred and coordinated approach to safeguarding based on multi-agency working, information sharing &amp; robust risk assessment</w:t>
            </w:r>
            <w:r w:rsidR="00902D85">
              <w:t>.</w:t>
            </w:r>
            <w:r>
              <w:t xml:space="preserve"> </w:t>
            </w:r>
          </w:p>
          <w:p w:rsidR="002D133D" w:rsidRPr="00554171" w:rsidRDefault="002D133D" w:rsidP="00C62C25">
            <w:pPr>
              <w:pStyle w:val="NoSpacing"/>
            </w:pPr>
          </w:p>
        </w:tc>
        <w:tc>
          <w:tcPr>
            <w:tcW w:w="4677" w:type="dxa"/>
            <w:tcBorders>
              <w:bottom w:val="single" w:sz="4" w:space="0" w:color="auto"/>
            </w:tcBorders>
            <w:shd w:val="clear" w:color="auto" w:fill="auto"/>
          </w:tcPr>
          <w:p w:rsidR="009C73FF" w:rsidRPr="006D2854" w:rsidRDefault="00A91075" w:rsidP="00A91075">
            <w:pPr>
              <w:pStyle w:val="NoSpacing"/>
            </w:pPr>
            <w:r>
              <w:t xml:space="preserve">FCO has engaged with OT governments to support and develop their national safeguarding systems, including multi-agency working and child safeguarding boards. Capabilities in St Helena have been strengthened following the </w:t>
            </w:r>
            <w:proofErr w:type="spellStart"/>
            <w:r>
              <w:t>Wass</w:t>
            </w:r>
            <w:proofErr w:type="spellEnd"/>
            <w:r>
              <w:t xml:space="preserve"> enquiry. </w:t>
            </w:r>
          </w:p>
        </w:tc>
      </w:tr>
      <w:tr w:rsidR="009C73FF" w:rsidRPr="00554171" w:rsidTr="004D1C29">
        <w:tc>
          <w:tcPr>
            <w:tcW w:w="5103" w:type="dxa"/>
          </w:tcPr>
          <w:p w:rsidR="009C73FF" w:rsidRDefault="009C73FF" w:rsidP="00D24D08">
            <w:pPr>
              <w:pStyle w:val="NoSpacing"/>
              <w:numPr>
                <w:ilvl w:val="0"/>
                <w:numId w:val="5"/>
              </w:numPr>
            </w:pPr>
            <w:r w:rsidRPr="00554171">
              <w:t xml:space="preserve">Joint work towards a Territory-led road map and </w:t>
            </w:r>
            <w:r w:rsidR="002D133D" w:rsidRPr="00554171">
              <w:t>M</w:t>
            </w:r>
            <w:r w:rsidR="00902D85">
              <w:t>emorandum of Understanding.</w:t>
            </w:r>
          </w:p>
          <w:p w:rsidR="002D133D" w:rsidRPr="00554171" w:rsidRDefault="002D133D" w:rsidP="002D133D">
            <w:pPr>
              <w:pStyle w:val="NoSpacing"/>
            </w:pPr>
          </w:p>
        </w:tc>
        <w:tc>
          <w:tcPr>
            <w:tcW w:w="4677" w:type="dxa"/>
            <w:tcBorders>
              <w:bottom w:val="single" w:sz="4" w:space="0" w:color="auto"/>
            </w:tcBorders>
            <w:shd w:val="clear" w:color="auto" w:fill="auto"/>
          </w:tcPr>
          <w:p w:rsidR="002D133D" w:rsidRPr="006D2854" w:rsidRDefault="002D133D" w:rsidP="00C81729">
            <w:pPr>
              <w:pStyle w:val="NoSpacing"/>
            </w:pPr>
            <w:r>
              <w:t xml:space="preserve">The </w:t>
            </w:r>
            <w:r w:rsidR="009C73FF" w:rsidRPr="006D2854">
              <w:t xml:space="preserve">Falkland Islands </w:t>
            </w:r>
            <w:r w:rsidR="002B72CC">
              <w:t>developed a Memorandum of Understanding (MOU) to prom</w:t>
            </w:r>
            <w:r w:rsidR="00A62EBD">
              <w:t>o</w:t>
            </w:r>
            <w:r w:rsidR="002B72CC">
              <w:t xml:space="preserve">te more effective collaboration between the OTs for the safeguarding of children. </w:t>
            </w:r>
          </w:p>
        </w:tc>
      </w:tr>
      <w:tr w:rsidR="009C73FF" w:rsidRPr="00554171" w:rsidTr="004D1C29">
        <w:tc>
          <w:tcPr>
            <w:tcW w:w="5103" w:type="dxa"/>
          </w:tcPr>
          <w:p w:rsidR="009C73FF" w:rsidRDefault="009C73FF" w:rsidP="00D24D08">
            <w:pPr>
              <w:pStyle w:val="NoSpacing"/>
              <w:numPr>
                <w:ilvl w:val="0"/>
                <w:numId w:val="5"/>
              </w:numPr>
            </w:pPr>
            <w:r w:rsidRPr="00554171">
              <w:t>Child Safeguarding Assessments in all of the inhabited O</w:t>
            </w:r>
            <w:r w:rsidR="002D133D">
              <w:t xml:space="preserve">verseas </w:t>
            </w:r>
            <w:r w:rsidRPr="00554171">
              <w:t>T</w:t>
            </w:r>
            <w:r w:rsidR="002D133D">
              <w:t xml:space="preserve">erritories </w:t>
            </w:r>
            <w:r w:rsidRPr="00554171">
              <w:t xml:space="preserve">by the end of 2016, noting that some of these had already been held </w:t>
            </w:r>
            <w:r w:rsidR="009F28A3">
              <w:t xml:space="preserve">while others were being planned. </w:t>
            </w:r>
          </w:p>
          <w:p w:rsidR="002D133D" w:rsidRPr="00554171" w:rsidRDefault="002D133D" w:rsidP="002D133D">
            <w:pPr>
              <w:pStyle w:val="NoSpacing"/>
            </w:pPr>
          </w:p>
        </w:tc>
        <w:tc>
          <w:tcPr>
            <w:tcW w:w="4677" w:type="dxa"/>
            <w:tcBorders>
              <w:bottom w:val="single" w:sz="4" w:space="0" w:color="auto"/>
            </w:tcBorders>
            <w:shd w:val="clear" w:color="auto" w:fill="auto"/>
          </w:tcPr>
          <w:p w:rsidR="009C73FF" w:rsidRPr="006D2854" w:rsidRDefault="009C73FF" w:rsidP="00C81729">
            <w:pPr>
              <w:pStyle w:val="NoSpacing"/>
            </w:pPr>
            <w:r w:rsidRPr="006D2854">
              <w:t xml:space="preserve">Action </w:t>
            </w:r>
            <w:r w:rsidR="002D133D">
              <w:t xml:space="preserve">is </w:t>
            </w:r>
            <w:r w:rsidRPr="006D2854">
              <w:t>primarily for O</w:t>
            </w:r>
            <w:r w:rsidR="002D133D">
              <w:t xml:space="preserve">verseas </w:t>
            </w:r>
            <w:r w:rsidRPr="006D2854">
              <w:t>T</w:t>
            </w:r>
            <w:r w:rsidR="002D133D">
              <w:t>erritories</w:t>
            </w:r>
            <w:r w:rsidRPr="006D2854">
              <w:t xml:space="preserve">. </w:t>
            </w:r>
            <w:r w:rsidR="009F28A3">
              <w:t xml:space="preserve">The FCO and </w:t>
            </w:r>
            <w:r w:rsidRPr="006D2854">
              <w:t>B</w:t>
            </w:r>
            <w:r w:rsidR="002D133D">
              <w:t xml:space="preserve">ritish </w:t>
            </w:r>
            <w:r w:rsidRPr="006D2854">
              <w:t>V</w:t>
            </w:r>
            <w:r w:rsidR="002D133D">
              <w:t xml:space="preserve">irgin </w:t>
            </w:r>
            <w:r w:rsidRPr="006D2854">
              <w:t>I</w:t>
            </w:r>
            <w:r w:rsidR="002D133D">
              <w:t xml:space="preserve">slands </w:t>
            </w:r>
            <w:r w:rsidRPr="006D2854">
              <w:t>pilot</w:t>
            </w:r>
            <w:r w:rsidR="009F28A3">
              <w:t>ed a</w:t>
            </w:r>
            <w:r w:rsidRPr="006D2854">
              <w:t xml:space="preserve"> new C</w:t>
            </w:r>
            <w:r w:rsidR="002D133D">
              <w:t xml:space="preserve">hild </w:t>
            </w:r>
            <w:r w:rsidRPr="006D2854">
              <w:t>S</w:t>
            </w:r>
            <w:r w:rsidR="002D133D">
              <w:t>afeguarding</w:t>
            </w:r>
            <w:r w:rsidRPr="006D2854">
              <w:t xml:space="preserve"> </w:t>
            </w:r>
            <w:r w:rsidR="009F28A3">
              <w:t>agreement by</w:t>
            </w:r>
            <w:r w:rsidRPr="006D2854">
              <w:t xml:space="preserve"> the Chief Social Worker for England</w:t>
            </w:r>
            <w:r w:rsidR="009F28A3">
              <w:t xml:space="preserve"> and Wales</w:t>
            </w:r>
            <w:r w:rsidRPr="006D2854">
              <w:t>.</w:t>
            </w:r>
            <w:r w:rsidR="006E0247">
              <w:t xml:space="preserve"> The </w:t>
            </w:r>
            <w:r w:rsidR="006E0247" w:rsidRPr="006D2854">
              <w:t>U</w:t>
            </w:r>
            <w:r w:rsidR="006E0247">
              <w:t xml:space="preserve">nited </w:t>
            </w:r>
            <w:r w:rsidR="006E0247" w:rsidRPr="006D2854">
              <w:t>K</w:t>
            </w:r>
            <w:r w:rsidR="006E0247">
              <w:t xml:space="preserve">ingdom </w:t>
            </w:r>
            <w:r w:rsidR="006E0247" w:rsidRPr="006D2854">
              <w:t>G</w:t>
            </w:r>
            <w:r w:rsidR="006E0247">
              <w:t xml:space="preserve">overnment </w:t>
            </w:r>
            <w:r w:rsidR="006E0247" w:rsidRPr="006D2854">
              <w:t xml:space="preserve">hosted </w:t>
            </w:r>
            <w:r w:rsidR="006E0247">
              <w:t xml:space="preserve">the </w:t>
            </w:r>
            <w:r w:rsidR="006E0247" w:rsidRPr="006D2854">
              <w:t xml:space="preserve">first child safeguarding conference for Directors of children’s services.  </w:t>
            </w:r>
          </w:p>
        </w:tc>
      </w:tr>
      <w:tr w:rsidR="009C73FF" w:rsidRPr="00554171" w:rsidTr="004D1C29">
        <w:tc>
          <w:tcPr>
            <w:tcW w:w="5103" w:type="dxa"/>
          </w:tcPr>
          <w:p w:rsidR="009C73FF" w:rsidRPr="00554171" w:rsidRDefault="009C73FF" w:rsidP="00D24D08">
            <w:pPr>
              <w:pStyle w:val="NoSpacing"/>
              <w:numPr>
                <w:ilvl w:val="0"/>
                <w:numId w:val="5"/>
              </w:numPr>
            </w:pPr>
            <w:r w:rsidRPr="00554171">
              <w:t>Joint work to progressively implement the UN C</w:t>
            </w:r>
            <w:r w:rsidR="006A287F">
              <w:t xml:space="preserve">onvention of the </w:t>
            </w:r>
            <w:r w:rsidRPr="00554171">
              <w:t>R</w:t>
            </w:r>
            <w:r w:rsidR="006A287F">
              <w:t xml:space="preserve">ights of the </w:t>
            </w:r>
            <w:r w:rsidRPr="00554171">
              <w:t>C</w:t>
            </w:r>
            <w:r w:rsidR="006A287F">
              <w:t>hild (UNCRC)</w:t>
            </w:r>
            <w:r w:rsidRPr="00554171">
              <w:t xml:space="preserve"> and C</w:t>
            </w:r>
            <w:r w:rsidR="006A287F">
              <w:t>onvention on the Elimination of all forms of Discrimination against Women (C</w:t>
            </w:r>
            <w:r w:rsidRPr="00554171">
              <w:t>EDAW</w:t>
            </w:r>
            <w:r w:rsidR="006A287F">
              <w:t>)</w:t>
            </w:r>
            <w:r w:rsidR="00902D85">
              <w:t>.</w:t>
            </w:r>
          </w:p>
        </w:tc>
        <w:tc>
          <w:tcPr>
            <w:tcW w:w="4677" w:type="dxa"/>
            <w:tcBorders>
              <w:bottom w:val="single" w:sz="4" w:space="0" w:color="auto"/>
            </w:tcBorders>
            <w:shd w:val="clear" w:color="auto" w:fill="auto"/>
          </w:tcPr>
          <w:p w:rsidR="009C73FF" w:rsidRPr="002678A2" w:rsidRDefault="00794AF3" w:rsidP="00802C27">
            <w:pPr>
              <w:pStyle w:val="NoSpacing"/>
              <w:rPr>
                <w:i/>
              </w:rPr>
            </w:pPr>
            <w:r w:rsidRPr="00794AF3">
              <w:rPr>
                <w:i/>
              </w:rPr>
              <w:t xml:space="preserve">See </w:t>
            </w:r>
            <w:r w:rsidR="006A287F">
              <w:rPr>
                <w:i/>
              </w:rPr>
              <w:t>no. 7</w:t>
            </w:r>
            <w:r w:rsidR="002678A2" w:rsidRPr="002678A2">
              <w:rPr>
                <w:i/>
              </w:rPr>
              <w:t>.</w:t>
            </w:r>
          </w:p>
          <w:p w:rsidR="002D133D" w:rsidRPr="006D2854" w:rsidRDefault="002D133D" w:rsidP="00802C27">
            <w:pPr>
              <w:pStyle w:val="NoSpacing"/>
            </w:pPr>
          </w:p>
        </w:tc>
      </w:tr>
      <w:tr w:rsidR="009C73FF" w:rsidRPr="00554171" w:rsidTr="004D1C29">
        <w:tc>
          <w:tcPr>
            <w:tcW w:w="5103" w:type="dxa"/>
          </w:tcPr>
          <w:p w:rsidR="009C73FF" w:rsidRPr="00554171" w:rsidRDefault="009C73FF" w:rsidP="00D24D08">
            <w:pPr>
              <w:pStyle w:val="Default"/>
              <w:numPr>
                <w:ilvl w:val="0"/>
                <w:numId w:val="5"/>
              </w:numPr>
              <w:rPr>
                <w:rFonts w:asciiTheme="minorHAnsi" w:hAnsiTheme="minorHAnsi"/>
                <w:sz w:val="22"/>
                <w:szCs w:val="22"/>
              </w:rPr>
            </w:pPr>
            <w:r w:rsidRPr="00554171">
              <w:rPr>
                <w:rFonts w:asciiTheme="minorHAnsi" w:hAnsiTheme="minorHAnsi"/>
                <w:sz w:val="22"/>
                <w:szCs w:val="22"/>
              </w:rPr>
              <w:t>Joint work to explore how to make the quot</w:t>
            </w:r>
            <w:r w:rsidR="00902D85">
              <w:rPr>
                <w:rFonts w:asciiTheme="minorHAnsi" w:hAnsiTheme="minorHAnsi"/>
                <w:sz w:val="22"/>
                <w:szCs w:val="22"/>
              </w:rPr>
              <w:t>a system work more effectively.</w:t>
            </w:r>
          </w:p>
          <w:p w:rsidR="009C73FF" w:rsidRPr="00554171" w:rsidRDefault="009C73FF" w:rsidP="00802C27">
            <w:pPr>
              <w:pStyle w:val="NoSpacing"/>
            </w:pPr>
          </w:p>
        </w:tc>
        <w:tc>
          <w:tcPr>
            <w:tcW w:w="4677" w:type="dxa"/>
            <w:tcBorders>
              <w:bottom w:val="single" w:sz="4" w:space="0" w:color="auto"/>
            </w:tcBorders>
            <w:shd w:val="clear" w:color="auto" w:fill="auto"/>
          </w:tcPr>
          <w:p w:rsidR="009C73FF" w:rsidRDefault="00694478" w:rsidP="000D1E2D">
            <w:pPr>
              <w:pStyle w:val="NoSpacing"/>
            </w:pPr>
            <w:r>
              <w:t xml:space="preserve">The </w:t>
            </w:r>
            <w:r w:rsidR="009C73FF" w:rsidRPr="006D2854">
              <w:t>D</w:t>
            </w:r>
            <w:r w:rsidR="002D133D">
              <w:t xml:space="preserve">epartment of </w:t>
            </w:r>
            <w:r w:rsidR="009C73FF" w:rsidRPr="006D2854">
              <w:t>H</w:t>
            </w:r>
            <w:r w:rsidR="002D133D">
              <w:t xml:space="preserve">ealth (DH) </w:t>
            </w:r>
            <w:r w:rsidR="009C73FF" w:rsidRPr="006D2854">
              <w:t>is undertaking a review of the current quota process and how it could work more effectively. Questionnaires have been sent out to the relevant O</w:t>
            </w:r>
            <w:r w:rsidR="002D133D">
              <w:t xml:space="preserve">verseas </w:t>
            </w:r>
            <w:r w:rsidR="009C73FF" w:rsidRPr="006D2854">
              <w:t>T</w:t>
            </w:r>
            <w:r w:rsidR="002D133D">
              <w:t xml:space="preserve">erritories </w:t>
            </w:r>
            <w:r w:rsidR="009C73FF" w:rsidRPr="006D2854">
              <w:t>to identify issues.</w:t>
            </w:r>
            <w:r>
              <w:t xml:space="preserve"> </w:t>
            </w:r>
            <w:r w:rsidR="009C73FF" w:rsidRPr="006D2854">
              <w:t>DH is aware that some O</w:t>
            </w:r>
            <w:r w:rsidR="002D133D">
              <w:t xml:space="preserve">verseas </w:t>
            </w:r>
            <w:r w:rsidR="009C73FF" w:rsidRPr="006D2854">
              <w:t>T</w:t>
            </w:r>
            <w:r w:rsidR="002D133D">
              <w:t xml:space="preserve">erritories </w:t>
            </w:r>
            <w:r w:rsidR="009C73FF" w:rsidRPr="006D2854">
              <w:t xml:space="preserve">are still </w:t>
            </w:r>
            <w:r w:rsidR="002D133D">
              <w:t>requesting</w:t>
            </w:r>
            <w:r w:rsidR="009C73FF" w:rsidRPr="006D2854">
              <w:t xml:space="preserve"> a review of the quota places</w:t>
            </w:r>
            <w:r w:rsidR="000D1E2D">
              <w:t>.</w:t>
            </w:r>
            <w:r>
              <w:t xml:space="preserve"> </w:t>
            </w:r>
          </w:p>
          <w:p w:rsidR="000D1E2D" w:rsidRPr="006D2854" w:rsidRDefault="000D1E2D" w:rsidP="000D1E2D">
            <w:pPr>
              <w:pStyle w:val="NoSpacing"/>
            </w:pPr>
          </w:p>
        </w:tc>
      </w:tr>
      <w:tr w:rsidR="009C73FF" w:rsidRPr="00554171" w:rsidTr="004D1C29">
        <w:tc>
          <w:tcPr>
            <w:tcW w:w="5103" w:type="dxa"/>
          </w:tcPr>
          <w:p w:rsidR="009C73FF" w:rsidRDefault="009C73FF" w:rsidP="00D24D08">
            <w:pPr>
              <w:pStyle w:val="NoSpacing"/>
              <w:numPr>
                <w:ilvl w:val="0"/>
                <w:numId w:val="5"/>
              </w:numPr>
            </w:pPr>
            <w:r w:rsidRPr="00554171">
              <w:t>Joint work to explore inter-Territory healthcare in regional centres of excellence &amp; to support the development &amp; implementation of common monitoring systems for audit &amp; review of healthc</w:t>
            </w:r>
            <w:r w:rsidR="00902D85">
              <w:t>are across OTs.</w:t>
            </w:r>
          </w:p>
          <w:p w:rsidR="002D133D" w:rsidRPr="00554171" w:rsidRDefault="002D133D" w:rsidP="002D133D">
            <w:pPr>
              <w:pStyle w:val="NoSpacing"/>
            </w:pPr>
          </w:p>
        </w:tc>
        <w:tc>
          <w:tcPr>
            <w:tcW w:w="4677" w:type="dxa"/>
            <w:tcBorders>
              <w:bottom w:val="single" w:sz="4" w:space="0" w:color="auto"/>
            </w:tcBorders>
            <w:shd w:val="clear" w:color="auto" w:fill="auto"/>
          </w:tcPr>
          <w:p w:rsidR="009C73FF" w:rsidRDefault="00BB72D2" w:rsidP="002D133D">
            <w:pPr>
              <w:pStyle w:val="NoSpacing"/>
            </w:pPr>
            <w:r>
              <w:t>T</w:t>
            </w:r>
            <w:r w:rsidR="00694478">
              <w:t xml:space="preserve">he </w:t>
            </w:r>
            <w:r w:rsidR="009C73FF" w:rsidRPr="006D2854">
              <w:t>D</w:t>
            </w:r>
            <w:r w:rsidR="002D133D">
              <w:t xml:space="preserve">epartment of </w:t>
            </w:r>
            <w:r w:rsidR="009C73FF" w:rsidRPr="006D2854">
              <w:t>H</w:t>
            </w:r>
            <w:r w:rsidR="002D133D">
              <w:t>ealth</w:t>
            </w:r>
            <w:r w:rsidR="009C73FF" w:rsidRPr="006D2854">
              <w:t xml:space="preserve"> </w:t>
            </w:r>
            <w:r>
              <w:t>met the UK Overs</w:t>
            </w:r>
            <w:r w:rsidR="000D1E2D">
              <w:t xml:space="preserve">eas </w:t>
            </w:r>
            <w:r w:rsidR="009C73FF" w:rsidRPr="006D2854">
              <w:t>T</w:t>
            </w:r>
            <w:r w:rsidR="000D1E2D">
              <w:t xml:space="preserve">erritories </w:t>
            </w:r>
            <w:r>
              <w:t>Association (UKOTA)</w:t>
            </w:r>
            <w:r w:rsidR="00DA03C2">
              <w:t xml:space="preserve"> </w:t>
            </w:r>
            <w:r>
              <w:t>in July and</w:t>
            </w:r>
            <w:r w:rsidR="00DA03C2">
              <w:t xml:space="preserve"> </w:t>
            </w:r>
            <w:r w:rsidR="009C73FF" w:rsidRPr="006D2854">
              <w:t xml:space="preserve">agreed that action </w:t>
            </w:r>
            <w:r w:rsidR="00694478">
              <w:t>will</w:t>
            </w:r>
            <w:r w:rsidR="009C73FF" w:rsidRPr="006D2854">
              <w:t xml:space="preserve"> be taken forward by the O</w:t>
            </w:r>
            <w:r w:rsidR="002D133D">
              <w:t xml:space="preserve">verseas </w:t>
            </w:r>
            <w:r w:rsidR="009C73FF" w:rsidRPr="006D2854">
              <w:t>T</w:t>
            </w:r>
            <w:r w:rsidR="002D133D">
              <w:t xml:space="preserve">erritories </w:t>
            </w:r>
            <w:r w:rsidR="009C73FF" w:rsidRPr="006D2854">
              <w:t>themselves</w:t>
            </w:r>
            <w:r w:rsidR="006A287F">
              <w:t>;</w:t>
            </w:r>
            <w:r>
              <w:t xml:space="preserve"> </w:t>
            </w:r>
            <w:r w:rsidR="009C73FF" w:rsidRPr="006D2854">
              <w:t>UKOTA would arrange a</w:t>
            </w:r>
            <w:r w:rsidR="002D133D">
              <w:t>n</w:t>
            </w:r>
            <w:r w:rsidR="009C73FF" w:rsidRPr="006D2854">
              <w:t xml:space="preserve"> inter-</w:t>
            </w:r>
            <w:r w:rsidR="002D133D">
              <w:t>t</w:t>
            </w:r>
            <w:r w:rsidR="009C73FF" w:rsidRPr="006D2854">
              <w:t>erritory meeting and invite DH to observe.</w:t>
            </w:r>
          </w:p>
          <w:p w:rsidR="000D1E2D" w:rsidRPr="006D2854" w:rsidRDefault="000D1E2D" w:rsidP="002D133D">
            <w:pPr>
              <w:pStyle w:val="NoSpacing"/>
            </w:pPr>
          </w:p>
        </w:tc>
      </w:tr>
      <w:tr w:rsidR="009C73FF" w:rsidRPr="00554171" w:rsidTr="004D1C29">
        <w:tc>
          <w:tcPr>
            <w:tcW w:w="5103" w:type="dxa"/>
          </w:tcPr>
          <w:p w:rsidR="009C73FF" w:rsidRPr="00554171" w:rsidRDefault="009C73FF" w:rsidP="00D24D08">
            <w:pPr>
              <w:pStyle w:val="NoSpacing"/>
              <w:numPr>
                <w:ilvl w:val="0"/>
                <w:numId w:val="5"/>
              </w:numPr>
            </w:pPr>
            <w:r w:rsidRPr="00554171">
              <w:t>UKG to explore greater use of telemedicine and what technical assistance can be provided to the OTs (</w:t>
            </w:r>
            <w:r w:rsidR="002D133D">
              <w:t>P</w:t>
            </w:r>
            <w:r w:rsidRPr="00554171">
              <w:t>ara</w:t>
            </w:r>
            <w:r w:rsidR="002D133D">
              <w:t>graph</w:t>
            </w:r>
            <w:r w:rsidRPr="00554171">
              <w:t xml:space="preserve"> 26/plenary).</w:t>
            </w:r>
          </w:p>
        </w:tc>
        <w:tc>
          <w:tcPr>
            <w:tcW w:w="4677" w:type="dxa"/>
            <w:tcBorders>
              <w:bottom w:val="single" w:sz="4" w:space="0" w:color="auto"/>
            </w:tcBorders>
            <w:shd w:val="clear" w:color="auto" w:fill="auto"/>
          </w:tcPr>
          <w:p w:rsidR="009C73FF" w:rsidRPr="006D2854" w:rsidRDefault="00694478" w:rsidP="00785924">
            <w:pPr>
              <w:pStyle w:val="NoSpacing"/>
            </w:pPr>
            <w:r>
              <w:rPr>
                <w:rFonts w:cs="Arial"/>
              </w:rPr>
              <w:t xml:space="preserve">The </w:t>
            </w:r>
            <w:r w:rsidR="009C73FF" w:rsidRPr="006D2854">
              <w:rPr>
                <w:rFonts w:cs="Arial"/>
              </w:rPr>
              <w:t>D</w:t>
            </w:r>
            <w:r w:rsidR="002D133D">
              <w:rPr>
                <w:rFonts w:cs="Arial"/>
              </w:rPr>
              <w:t xml:space="preserve">epartment of </w:t>
            </w:r>
            <w:r w:rsidR="009C73FF" w:rsidRPr="006D2854">
              <w:rPr>
                <w:rFonts w:cs="Arial"/>
              </w:rPr>
              <w:t>H</w:t>
            </w:r>
            <w:r w:rsidR="002D133D">
              <w:rPr>
                <w:rFonts w:cs="Arial"/>
              </w:rPr>
              <w:t>ealth</w:t>
            </w:r>
            <w:r w:rsidR="00B70F62">
              <w:rPr>
                <w:rFonts w:cs="Arial"/>
              </w:rPr>
              <w:t xml:space="preserve"> has</w:t>
            </w:r>
            <w:r w:rsidR="009C73FF" w:rsidRPr="006D2854">
              <w:rPr>
                <w:rFonts w:cs="Arial"/>
              </w:rPr>
              <w:t xml:space="preserve"> met </w:t>
            </w:r>
            <w:r w:rsidR="00B70F62">
              <w:rPr>
                <w:rFonts w:cs="Arial"/>
              </w:rPr>
              <w:t>OT representatives</w:t>
            </w:r>
            <w:r w:rsidR="00B70F62" w:rsidRPr="006D2854">
              <w:rPr>
                <w:rFonts w:cs="Arial"/>
              </w:rPr>
              <w:t xml:space="preserve"> </w:t>
            </w:r>
            <w:r w:rsidR="009C73FF" w:rsidRPr="006D2854">
              <w:rPr>
                <w:rFonts w:cs="Arial"/>
              </w:rPr>
              <w:t xml:space="preserve">to discuss this issue. </w:t>
            </w:r>
            <w:r w:rsidR="002B72CC">
              <w:t>An</w:t>
            </w:r>
            <w:r w:rsidR="002D133D">
              <w:t xml:space="preserve"> </w:t>
            </w:r>
            <w:r w:rsidR="009C73FF" w:rsidRPr="006D2854">
              <w:t xml:space="preserve">introductory teleconference </w:t>
            </w:r>
            <w:r w:rsidR="002B72CC">
              <w:t xml:space="preserve">on telemedicine </w:t>
            </w:r>
            <w:r w:rsidR="009C73FF" w:rsidRPr="006D2854">
              <w:t>between O</w:t>
            </w:r>
            <w:r w:rsidR="002D133D">
              <w:t xml:space="preserve">verseas </w:t>
            </w:r>
            <w:r w:rsidR="009C73FF" w:rsidRPr="006D2854">
              <w:t>T</w:t>
            </w:r>
            <w:r w:rsidR="002D133D">
              <w:t xml:space="preserve">erritories </w:t>
            </w:r>
            <w:r w:rsidR="009C73FF" w:rsidRPr="006D2854">
              <w:t>and</w:t>
            </w:r>
            <w:r w:rsidR="002B72CC">
              <w:t xml:space="preserve"> NHS Scotland was held </w:t>
            </w:r>
            <w:r w:rsidR="00785924">
              <w:t xml:space="preserve">in </w:t>
            </w:r>
            <w:r w:rsidR="002B72CC">
              <w:t>September 2016.</w:t>
            </w:r>
            <w:r w:rsidR="009C73FF" w:rsidRPr="006D2854">
              <w:t xml:space="preserve"> </w:t>
            </w:r>
            <w:r w:rsidR="009C73FF" w:rsidRPr="006D2854">
              <w:rPr>
                <w:rFonts w:cs="Arial"/>
              </w:rPr>
              <w:t>A public health project is being designed by P</w:t>
            </w:r>
            <w:r w:rsidR="00785924">
              <w:rPr>
                <w:rFonts w:cs="Arial"/>
              </w:rPr>
              <w:t xml:space="preserve">ublic </w:t>
            </w:r>
            <w:r w:rsidR="009C73FF" w:rsidRPr="006D2854">
              <w:rPr>
                <w:rFonts w:cs="Arial"/>
              </w:rPr>
              <w:t>H</w:t>
            </w:r>
            <w:r w:rsidR="00785924">
              <w:rPr>
                <w:rFonts w:cs="Arial"/>
              </w:rPr>
              <w:t xml:space="preserve">ealth </w:t>
            </w:r>
            <w:r w:rsidR="009C73FF" w:rsidRPr="006D2854">
              <w:rPr>
                <w:rFonts w:cs="Arial"/>
              </w:rPr>
              <w:t>E</w:t>
            </w:r>
            <w:r w:rsidR="00785924">
              <w:rPr>
                <w:rFonts w:cs="Arial"/>
              </w:rPr>
              <w:t>ngland, funded by the OT Conflict, Stability and Security Fund,</w:t>
            </w:r>
            <w:r w:rsidR="009C73FF" w:rsidRPr="006D2854">
              <w:rPr>
                <w:rFonts w:cs="Arial"/>
              </w:rPr>
              <w:t xml:space="preserve"> to provide technical assistance on 1) implementation of the International Health Regulations 2) disaster preparedness and response and 3) Framework Convention on Tobacco Control compliance. </w:t>
            </w:r>
          </w:p>
        </w:tc>
      </w:tr>
      <w:tr w:rsidR="009C73FF" w:rsidRPr="00554171" w:rsidTr="004D1C29">
        <w:tc>
          <w:tcPr>
            <w:tcW w:w="5103" w:type="dxa"/>
          </w:tcPr>
          <w:p w:rsidR="009C73FF" w:rsidRPr="00554171" w:rsidRDefault="009C73FF" w:rsidP="006A287F">
            <w:pPr>
              <w:pStyle w:val="Default"/>
              <w:numPr>
                <w:ilvl w:val="0"/>
                <w:numId w:val="5"/>
              </w:numPr>
              <w:rPr>
                <w:rFonts w:asciiTheme="minorHAnsi" w:hAnsiTheme="minorHAnsi"/>
                <w:sz w:val="22"/>
                <w:szCs w:val="22"/>
              </w:rPr>
            </w:pPr>
            <w:r w:rsidRPr="00554171">
              <w:rPr>
                <w:rFonts w:asciiTheme="minorHAnsi" w:hAnsiTheme="minorHAnsi"/>
                <w:sz w:val="22"/>
                <w:szCs w:val="22"/>
              </w:rPr>
              <w:t>Joint work to promote and enable up-skilling of healthcare clinicians in the OTs to UK level qualifications through the local delivery of tertiary-level through distance learning</w:t>
            </w:r>
            <w:r w:rsidR="009D04BA">
              <w:rPr>
                <w:rFonts w:asciiTheme="minorHAnsi" w:hAnsiTheme="minorHAnsi"/>
                <w:sz w:val="22"/>
                <w:szCs w:val="22"/>
              </w:rPr>
              <w:t>,</w:t>
            </w:r>
            <w:r w:rsidRPr="00554171">
              <w:rPr>
                <w:rFonts w:asciiTheme="minorHAnsi" w:hAnsiTheme="minorHAnsi"/>
                <w:sz w:val="22"/>
                <w:szCs w:val="22"/>
              </w:rPr>
              <w:t xml:space="preserve"> supplement</w:t>
            </w:r>
            <w:r w:rsidR="009D04BA">
              <w:rPr>
                <w:rFonts w:asciiTheme="minorHAnsi" w:hAnsiTheme="minorHAnsi"/>
                <w:sz w:val="22"/>
                <w:szCs w:val="22"/>
              </w:rPr>
              <w:t>ed</w:t>
            </w:r>
            <w:r w:rsidRPr="00554171">
              <w:rPr>
                <w:rFonts w:asciiTheme="minorHAnsi" w:hAnsiTheme="minorHAnsi"/>
                <w:sz w:val="22"/>
                <w:szCs w:val="22"/>
              </w:rPr>
              <w:t xml:space="preserve"> with UK-bas</w:t>
            </w:r>
            <w:r w:rsidR="00902D85">
              <w:rPr>
                <w:rFonts w:asciiTheme="minorHAnsi" w:hAnsiTheme="minorHAnsi"/>
                <w:sz w:val="22"/>
                <w:szCs w:val="22"/>
              </w:rPr>
              <w:t>ed clinical placements.</w:t>
            </w:r>
          </w:p>
        </w:tc>
        <w:tc>
          <w:tcPr>
            <w:tcW w:w="4677" w:type="dxa"/>
            <w:tcBorders>
              <w:bottom w:val="single" w:sz="4" w:space="0" w:color="auto"/>
            </w:tcBorders>
            <w:shd w:val="clear" w:color="auto" w:fill="auto"/>
          </w:tcPr>
          <w:p w:rsidR="009C73FF" w:rsidRDefault="00785924" w:rsidP="006D2854">
            <w:pPr>
              <w:pStyle w:val="NoSpacing"/>
            </w:pPr>
            <w:r>
              <w:t xml:space="preserve">The </w:t>
            </w:r>
            <w:r w:rsidR="009C73FF" w:rsidRPr="006D2854">
              <w:t>D</w:t>
            </w:r>
            <w:r>
              <w:t xml:space="preserve">epartment of </w:t>
            </w:r>
            <w:r w:rsidR="009C73FF" w:rsidRPr="006D2854">
              <w:t>H</w:t>
            </w:r>
            <w:r>
              <w:t>ealth</w:t>
            </w:r>
            <w:r w:rsidR="009C73FF" w:rsidRPr="006D2854">
              <w:t xml:space="preserve"> has started e</w:t>
            </w:r>
            <w:r w:rsidR="00694478">
              <w:t>valuating l</w:t>
            </w:r>
            <w:r w:rsidR="009C73FF" w:rsidRPr="006D2854">
              <w:t xml:space="preserve">earning opportunities that are, or </w:t>
            </w:r>
            <w:r>
              <w:t>could</w:t>
            </w:r>
            <w:r w:rsidR="009C73FF" w:rsidRPr="006D2854">
              <w:t xml:space="preserve"> be</w:t>
            </w:r>
            <w:r>
              <w:t xml:space="preserve">, available </w:t>
            </w:r>
            <w:r w:rsidR="009C73FF" w:rsidRPr="006D2854">
              <w:t>to OT healthcare clinicians with Health Education England.</w:t>
            </w:r>
          </w:p>
          <w:p w:rsidR="000D1E2D" w:rsidRPr="006D2854" w:rsidRDefault="000D1E2D" w:rsidP="006D2854">
            <w:pPr>
              <w:pStyle w:val="NoSpacing"/>
            </w:pPr>
          </w:p>
        </w:tc>
      </w:tr>
      <w:tr w:rsidR="009C73FF" w:rsidRPr="00554171" w:rsidTr="004D1C29">
        <w:tc>
          <w:tcPr>
            <w:tcW w:w="5103" w:type="dxa"/>
          </w:tcPr>
          <w:p w:rsidR="009C73FF" w:rsidRPr="00554171" w:rsidRDefault="009C73FF" w:rsidP="00D24D08">
            <w:pPr>
              <w:pStyle w:val="Default"/>
              <w:numPr>
                <w:ilvl w:val="0"/>
                <w:numId w:val="5"/>
              </w:numPr>
              <w:rPr>
                <w:rFonts w:asciiTheme="minorHAnsi" w:hAnsiTheme="minorHAnsi"/>
                <w:sz w:val="22"/>
                <w:szCs w:val="22"/>
              </w:rPr>
            </w:pPr>
            <w:r w:rsidRPr="00554171">
              <w:rPr>
                <w:rFonts w:asciiTheme="minorHAnsi" w:hAnsiTheme="minorHAnsi"/>
                <w:sz w:val="22"/>
                <w:szCs w:val="22"/>
              </w:rPr>
              <w:t>UKG to consider OT request for inclusion in the procurement of me</w:t>
            </w:r>
            <w:r w:rsidR="00902D85">
              <w:rPr>
                <w:rFonts w:asciiTheme="minorHAnsi" w:hAnsiTheme="minorHAnsi"/>
                <w:sz w:val="22"/>
                <w:szCs w:val="22"/>
              </w:rPr>
              <w:t>dicines and vaccines.</w:t>
            </w:r>
          </w:p>
        </w:tc>
        <w:tc>
          <w:tcPr>
            <w:tcW w:w="4677" w:type="dxa"/>
            <w:tcBorders>
              <w:bottom w:val="single" w:sz="4" w:space="0" w:color="auto"/>
            </w:tcBorders>
            <w:shd w:val="clear" w:color="auto" w:fill="auto"/>
          </w:tcPr>
          <w:p w:rsidR="009C73FF" w:rsidRDefault="002B72CC" w:rsidP="006D2854">
            <w:pPr>
              <w:pStyle w:val="NoSpacing"/>
              <w:rPr>
                <w:rFonts w:cs="Arial"/>
              </w:rPr>
            </w:pPr>
            <w:r>
              <w:t xml:space="preserve">The Public Health England procurement pilot in St Helena had proven </w:t>
            </w:r>
            <w:r w:rsidR="00D24D08">
              <w:t>successful and i</w:t>
            </w:r>
            <w:r>
              <w:t>s now nearing a point where it w</w:t>
            </w:r>
            <w:r w:rsidR="006A287F">
              <w:t>ill</w:t>
            </w:r>
            <w:r>
              <w:t xml:space="preserve"> be evaluated, with the possibility of extension to other OTs.</w:t>
            </w:r>
          </w:p>
          <w:p w:rsidR="000D1E2D" w:rsidRPr="006D2854" w:rsidRDefault="000D1E2D" w:rsidP="006D2854">
            <w:pPr>
              <w:pStyle w:val="NoSpacing"/>
              <w:rPr>
                <w:rFonts w:cs="Arial"/>
              </w:rPr>
            </w:pPr>
          </w:p>
        </w:tc>
      </w:tr>
      <w:tr w:rsidR="004D1C29" w:rsidRPr="00554171" w:rsidTr="00BE2B1A">
        <w:trPr>
          <w:trHeight w:val="1084"/>
        </w:trPr>
        <w:tc>
          <w:tcPr>
            <w:tcW w:w="5103" w:type="dxa"/>
          </w:tcPr>
          <w:p w:rsidR="004D1C29" w:rsidRDefault="004D1C29" w:rsidP="00D24D08">
            <w:pPr>
              <w:pStyle w:val="NoSpacing"/>
              <w:numPr>
                <w:ilvl w:val="0"/>
                <w:numId w:val="5"/>
              </w:numPr>
            </w:pPr>
            <w:r w:rsidRPr="00554171">
              <w:t>UKG to consider OT request to up-rate pensions for UK state pension holders residing in the OTs</w:t>
            </w:r>
            <w:r>
              <w:t xml:space="preserve">. </w:t>
            </w:r>
          </w:p>
          <w:p w:rsidR="004D1C29" w:rsidRPr="00E30A03" w:rsidRDefault="004D1C29" w:rsidP="0041468E">
            <w:pPr>
              <w:pStyle w:val="NoSpacing"/>
              <w:rPr>
                <w:rFonts w:cs="Arial"/>
                <w:strike/>
              </w:rPr>
            </w:pPr>
          </w:p>
        </w:tc>
        <w:tc>
          <w:tcPr>
            <w:tcW w:w="4677" w:type="dxa"/>
            <w:shd w:val="clear" w:color="auto" w:fill="auto"/>
          </w:tcPr>
          <w:p w:rsidR="004D1C29" w:rsidRDefault="00785924" w:rsidP="00EB5A97">
            <w:pPr>
              <w:pStyle w:val="NoSpacing"/>
            </w:pPr>
            <w:r>
              <w:t xml:space="preserve">The </w:t>
            </w:r>
            <w:r w:rsidR="004D1C29" w:rsidRPr="006D2854">
              <w:t>D</w:t>
            </w:r>
            <w:r w:rsidR="004D1C29">
              <w:t xml:space="preserve">epartment for </w:t>
            </w:r>
            <w:r w:rsidR="004D1C29" w:rsidRPr="006D2854">
              <w:t>W</w:t>
            </w:r>
            <w:r w:rsidR="004D1C29">
              <w:t xml:space="preserve">ork and </w:t>
            </w:r>
            <w:r w:rsidR="004D1C29" w:rsidRPr="006D2854">
              <w:t>P</w:t>
            </w:r>
            <w:r w:rsidR="004D1C29">
              <w:t>ensions (DWP) ha</w:t>
            </w:r>
            <w:r>
              <w:t>s</w:t>
            </w:r>
            <w:r w:rsidR="004D1C29">
              <w:t xml:space="preserve"> indicated that there will be </w:t>
            </w:r>
            <w:bookmarkStart w:id="0" w:name="_GoBack"/>
            <w:bookmarkEnd w:id="0"/>
            <w:r w:rsidR="004D1C29">
              <w:t>no change to the existing policy on the up-rating of UK state pensions.</w:t>
            </w:r>
          </w:p>
          <w:p w:rsidR="004D1C29" w:rsidRPr="006D2854" w:rsidRDefault="004D1C29" w:rsidP="00EB5A97">
            <w:pPr>
              <w:pStyle w:val="NoSpacing"/>
            </w:pPr>
          </w:p>
        </w:tc>
      </w:tr>
      <w:tr w:rsidR="009C73FF" w:rsidRPr="00554171" w:rsidTr="004D1C29">
        <w:tc>
          <w:tcPr>
            <w:tcW w:w="5103" w:type="dxa"/>
          </w:tcPr>
          <w:p w:rsidR="009C73FF" w:rsidRDefault="009C73FF" w:rsidP="00D24D08">
            <w:pPr>
              <w:pStyle w:val="NoSpacing"/>
              <w:numPr>
                <w:ilvl w:val="0"/>
                <w:numId w:val="5"/>
              </w:numPr>
            </w:pPr>
            <w:r w:rsidRPr="002D133D">
              <w:t xml:space="preserve">UKG to provide advice/guidance to those OTs interested in modernising </w:t>
            </w:r>
            <w:r w:rsidR="00902D85">
              <w:t>their domestic pension systems.</w:t>
            </w:r>
          </w:p>
          <w:p w:rsidR="0041468E" w:rsidRPr="002D133D" w:rsidRDefault="0041468E" w:rsidP="0041468E">
            <w:pPr>
              <w:pStyle w:val="NoSpacing"/>
            </w:pPr>
          </w:p>
        </w:tc>
        <w:tc>
          <w:tcPr>
            <w:tcW w:w="4677" w:type="dxa"/>
            <w:tcBorders>
              <w:bottom w:val="single" w:sz="4" w:space="0" w:color="auto"/>
            </w:tcBorders>
            <w:shd w:val="clear" w:color="auto" w:fill="auto"/>
          </w:tcPr>
          <w:p w:rsidR="00785924" w:rsidRDefault="00785924" w:rsidP="00785924">
            <w:pPr>
              <w:pStyle w:val="NoSpacing"/>
            </w:pPr>
            <w:r>
              <w:t>DWP has offered advice and guidance to the OTs on modernising their pensions systems as required.</w:t>
            </w:r>
          </w:p>
          <w:p w:rsidR="009C73FF" w:rsidRPr="006D2854" w:rsidRDefault="009C73FF" w:rsidP="00EB5A97">
            <w:pPr>
              <w:pStyle w:val="NoSpacing"/>
            </w:pPr>
          </w:p>
        </w:tc>
      </w:tr>
      <w:tr w:rsidR="009C73FF" w:rsidRPr="00554171" w:rsidTr="004D1C29">
        <w:tc>
          <w:tcPr>
            <w:tcW w:w="5103" w:type="dxa"/>
          </w:tcPr>
          <w:p w:rsidR="009C73FF" w:rsidRDefault="009C73FF" w:rsidP="00D24D08">
            <w:pPr>
              <w:pStyle w:val="Default"/>
              <w:numPr>
                <w:ilvl w:val="0"/>
                <w:numId w:val="5"/>
              </w:numPr>
              <w:rPr>
                <w:rFonts w:asciiTheme="minorHAnsi" w:hAnsiTheme="minorHAnsi"/>
                <w:sz w:val="22"/>
                <w:szCs w:val="22"/>
              </w:rPr>
            </w:pPr>
            <w:r w:rsidRPr="00554171">
              <w:rPr>
                <w:rFonts w:asciiTheme="minorHAnsi" w:hAnsiTheme="minorHAnsi"/>
                <w:sz w:val="22"/>
                <w:szCs w:val="22"/>
              </w:rPr>
              <w:t>Joint work to support greater engagement with other international sporting bodies</w:t>
            </w:r>
            <w:r w:rsidR="00902D85">
              <w:rPr>
                <w:rFonts w:asciiTheme="minorHAnsi" w:hAnsiTheme="minorHAnsi"/>
                <w:sz w:val="22"/>
                <w:szCs w:val="22"/>
              </w:rPr>
              <w:t>.</w:t>
            </w:r>
          </w:p>
          <w:p w:rsidR="0041468E" w:rsidRPr="00554171" w:rsidRDefault="0041468E" w:rsidP="00554171">
            <w:pPr>
              <w:pStyle w:val="Default"/>
              <w:rPr>
                <w:rFonts w:asciiTheme="minorHAnsi" w:hAnsiTheme="minorHAnsi"/>
                <w:sz w:val="22"/>
                <w:szCs w:val="22"/>
              </w:rPr>
            </w:pPr>
          </w:p>
        </w:tc>
        <w:tc>
          <w:tcPr>
            <w:tcW w:w="4677" w:type="dxa"/>
            <w:tcBorders>
              <w:bottom w:val="single" w:sz="4" w:space="0" w:color="auto"/>
            </w:tcBorders>
            <w:shd w:val="clear" w:color="auto" w:fill="auto"/>
          </w:tcPr>
          <w:p w:rsidR="009C73FF" w:rsidRPr="000C3CB8" w:rsidRDefault="008876F3" w:rsidP="00EB5A97">
            <w:pPr>
              <w:pStyle w:val="NoSpacing"/>
            </w:pPr>
            <w:r w:rsidRPr="002B72B5">
              <w:t>This remains an ongoing commitment. DCMS will review any request for advice or support from an OT to become members of an international sporting federation.</w:t>
            </w:r>
          </w:p>
          <w:p w:rsidR="00E64381" w:rsidRPr="000C3CB8" w:rsidRDefault="00E64381" w:rsidP="000C3CB8">
            <w:pPr>
              <w:pStyle w:val="NoSpacing"/>
            </w:pPr>
          </w:p>
        </w:tc>
      </w:tr>
      <w:tr w:rsidR="00694478" w:rsidRPr="00554171" w:rsidTr="004D1C29">
        <w:tc>
          <w:tcPr>
            <w:tcW w:w="5103" w:type="dxa"/>
          </w:tcPr>
          <w:p w:rsidR="00694478" w:rsidRDefault="00694478" w:rsidP="00D24D08">
            <w:pPr>
              <w:pStyle w:val="Default"/>
              <w:numPr>
                <w:ilvl w:val="0"/>
                <w:numId w:val="5"/>
              </w:numPr>
              <w:rPr>
                <w:rFonts w:asciiTheme="minorHAnsi" w:hAnsiTheme="minorHAnsi"/>
                <w:sz w:val="22"/>
                <w:szCs w:val="22"/>
              </w:rPr>
            </w:pPr>
            <w:r w:rsidRPr="00554171">
              <w:rPr>
                <w:rFonts w:asciiTheme="minorHAnsi" w:hAnsiTheme="minorHAnsi"/>
                <w:sz w:val="22"/>
                <w:szCs w:val="22"/>
              </w:rPr>
              <w:t>Joint work to promote and facilitate renewable energy and energy efficiency, and to address the challenges of energy security</w:t>
            </w:r>
            <w:r>
              <w:rPr>
                <w:rFonts w:asciiTheme="minorHAnsi" w:hAnsiTheme="minorHAnsi"/>
                <w:sz w:val="22"/>
                <w:szCs w:val="22"/>
              </w:rPr>
              <w:t xml:space="preserve"> and climate change mitigation.</w:t>
            </w:r>
          </w:p>
          <w:p w:rsidR="00694478" w:rsidRPr="00554171" w:rsidRDefault="00694478" w:rsidP="00403DE5">
            <w:pPr>
              <w:pStyle w:val="Default"/>
              <w:rPr>
                <w:rFonts w:asciiTheme="minorHAnsi" w:hAnsiTheme="minorHAnsi"/>
                <w:sz w:val="22"/>
                <w:szCs w:val="22"/>
              </w:rPr>
            </w:pPr>
          </w:p>
        </w:tc>
        <w:tc>
          <w:tcPr>
            <w:tcW w:w="4677" w:type="dxa"/>
            <w:tcBorders>
              <w:bottom w:val="single" w:sz="4" w:space="0" w:color="auto"/>
            </w:tcBorders>
            <w:shd w:val="clear" w:color="auto" w:fill="auto"/>
          </w:tcPr>
          <w:p w:rsidR="00694478" w:rsidRPr="000C3CB8" w:rsidRDefault="00BB72D2" w:rsidP="00BE2B1A">
            <w:pPr>
              <w:pStyle w:val="NoSpacing"/>
            </w:pPr>
            <w:r>
              <w:t xml:space="preserve">Support for Territories’ economic development and prosperity is a priority for the new cross Whitehall OT Regional Board and OT </w:t>
            </w:r>
            <w:r w:rsidRPr="006D2854">
              <w:t>C</w:t>
            </w:r>
            <w:r>
              <w:t xml:space="preserve">onflict </w:t>
            </w:r>
            <w:r w:rsidRPr="006D2854">
              <w:t>S</w:t>
            </w:r>
            <w:r>
              <w:t xml:space="preserve">tability and </w:t>
            </w:r>
            <w:r w:rsidRPr="006D2854">
              <w:t>S</w:t>
            </w:r>
            <w:r>
              <w:t xml:space="preserve">ecurity </w:t>
            </w:r>
            <w:r w:rsidRPr="006D2854">
              <w:t>F</w:t>
            </w:r>
            <w:r>
              <w:t>und (CSSF) funding.  Programmes to support Territories’ environmental strategies are being developed in consultation with OT governments.</w:t>
            </w:r>
          </w:p>
          <w:p w:rsidR="00B97BC7" w:rsidRPr="00B97BC7" w:rsidRDefault="00694478" w:rsidP="00B97BC7">
            <w:r w:rsidRPr="00B97BC7">
              <w:t xml:space="preserve"> </w:t>
            </w:r>
            <w:r w:rsidR="00B97BC7">
              <w:rPr>
                <w:iCs/>
              </w:rPr>
              <w:t xml:space="preserve">BEIS (then DECC) </w:t>
            </w:r>
            <w:r w:rsidR="00B97BC7" w:rsidRPr="00B97BC7">
              <w:rPr>
                <w:iCs/>
              </w:rPr>
              <w:t xml:space="preserve">discussed the upcoming work programme of the International Renewable Energy Agency (IRENA) with OTs in early 2016 and shared feedback with IRENA.  </w:t>
            </w:r>
          </w:p>
          <w:p w:rsidR="00694478" w:rsidRPr="000C3CB8" w:rsidRDefault="00694478" w:rsidP="00BE2B1A">
            <w:pPr>
              <w:pStyle w:val="NoSpacing"/>
            </w:pPr>
          </w:p>
        </w:tc>
      </w:tr>
      <w:tr w:rsidR="00694478" w:rsidRPr="00554171" w:rsidTr="004D1C29">
        <w:tc>
          <w:tcPr>
            <w:tcW w:w="5103" w:type="dxa"/>
          </w:tcPr>
          <w:p w:rsidR="00694478" w:rsidRDefault="00694478" w:rsidP="00D24D08">
            <w:pPr>
              <w:pStyle w:val="NoSpacing"/>
              <w:numPr>
                <w:ilvl w:val="0"/>
                <w:numId w:val="5"/>
              </w:numPr>
            </w:pPr>
            <w:r w:rsidRPr="00554171">
              <w:t>Joint work with UK agencies to better understand risks posed by climate change to our environment, communities and economies</w:t>
            </w:r>
            <w:r>
              <w:t>.</w:t>
            </w:r>
            <w:r w:rsidRPr="00554171">
              <w:t xml:space="preserve"> </w:t>
            </w:r>
          </w:p>
          <w:p w:rsidR="00694478" w:rsidRPr="00554171" w:rsidRDefault="00694478" w:rsidP="00DF1688">
            <w:pPr>
              <w:pStyle w:val="NoSpacing"/>
            </w:pPr>
          </w:p>
        </w:tc>
        <w:tc>
          <w:tcPr>
            <w:tcW w:w="4677" w:type="dxa"/>
            <w:tcBorders>
              <w:bottom w:val="single" w:sz="4" w:space="0" w:color="auto"/>
            </w:tcBorders>
            <w:shd w:val="clear" w:color="auto" w:fill="auto"/>
          </w:tcPr>
          <w:p w:rsidR="00694478" w:rsidRPr="00880EBB" w:rsidRDefault="00880EBB" w:rsidP="00880EBB">
            <w:pPr>
              <w:pStyle w:val="NoSpacing"/>
              <w:rPr>
                <w:color w:val="000000" w:themeColor="text1"/>
              </w:rPr>
            </w:pPr>
            <w:r w:rsidRPr="006A287F">
              <w:rPr>
                <w:color w:val="000000" w:themeColor="text1"/>
              </w:rPr>
              <w:t>DFID commissioned a project with the UK Meteorological Office to assess climate change and its likely impact on selected UK Overseas Territories. DFID are now reflecting the recommendations of the Meteorological Office’s report in the development of future plans and projects; in particular, those relating to infrastructure development.</w:t>
            </w:r>
          </w:p>
        </w:tc>
      </w:tr>
      <w:tr w:rsidR="00694478" w:rsidRPr="00554171" w:rsidTr="004D1C29">
        <w:tc>
          <w:tcPr>
            <w:tcW w:w="5103" w:type="dxa"/>
          </w:tcPr>
          <w:p w:rsidR="00694478" w:rsidRPr="00554171" w:rsidRDefault="00694478" w:rsidP="00D24D08">
            <w:pPr>
              <w:pStyle w:val="NoSpacing"/>
              <w:numPr>
                <w:ilvl w:val="0"/>
                <w:numId w:val="5"/>
              </w:numPr>
            </w:pPr>
            <w:r w:rsidRPr="00554171">
              <w:t>Joint work to enhance the management of the marine ecosystem alongside local traditions and sustainable marine usage across the OTs</w:t>
            </w:r>
          </w:p>
          <w:p w:rsidR="00694478" w:rsidRPr="00554171" w:rsidRDefault="00694478" w:rsidP="002678A2">
            <w:pPr>
              <w:pStyle w:val="NoSpacing"/>
            </w:pPr>
          </w:p>
        </w:tc>
        <w:tc>
          <w:tcPr>
            <w:tcW w:w="4677" w:type="dxa"/>
            <w:tcBorders>
              <w:bottom w:val="single" w:sz="4" w:space="0" w:color="auto"/>
            </w:tcBorders>
            <w:shd w:val="clear" w:color="auto" w:fill="auto"/>
          </w:tcPr>
          <w:p w:rsidR="00694478" w:rsidRPr="006D2854" w:rsidRDefault="00694478" w:rsidP="00D24D08">
            <w:pPr>
              <w:pStyle w:val="NoSpacing"/>
            </w:pPr>
            <w:r>
              <w:t xml:space="preserve">A no-take Marine Protected Area (MPA) has been designated around the Pitcairn Islands and a sustainable use MPA around St Helena. Commitments have been made to designate a MPA </w:t>
            </w:r>
            <w:r w:rsidR="00D24D08">
              <w:t xml:space="preserve">around Ascension Island </w:t>
            </w:r>
            <w:r>
              <w:t xml:space="preserve">by 2019 and </w:t>
            </w:r>
            <w:r w:rsidR="00D24D08">
              <w:t xml:space="preserve">for </w:t>
            </w:r>
            <w:r>
              <w:t xml:space="preserve">Tristan da Cunha to establish a regime for protecting the waters across its entire maritime zone by 2020. This will more than double the protected ocean around the OTs to an area of around 4 million square </w:t>
            </w:r>
            <w:r w:rsidR="001464D0">
              <w:t>kilometres</w:t>
            </w:r>
            <w:r>
              <w:t xml:space="preserve"> by 2020, supported by UK funding for surveillance and enforcement. Other OTs </w:t>
            </w:r>
            <w:proofErr w:type="gramStart"/>
            <w:r>
              <w:t>are</w:t>
            </w:r>
            <w:proofErr w:type="gramEnd"/>
            <w:r>
              <w:t xml:space="preserve"> engaged in ongoing work to improve the management and protection of their marine environments, with UK support available through the CSSF Blue Belt programme.</w:t>
            </w:r>
          </w:p>
        </w:tc>
      </w:tr>
    </w:tbl>
    <w:p w:rsidR="00472122" w:rsidRPr="00472122" w:rsidRDefault="00472122" w:rsidP="00EB5A97">
      <w:pPr>
        <w:pStyle w:val="NoSpacing"/>
        <w:rPr>
          <w:b/>
        </w:rPr>
      </w:pPr>
    </w:p>
    <w:sectPr w:rsidR="00472122" w:rsidRPr="00472122" w:rsidSect="000D1E2D">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068" w:rsidRDefault="00286068" w:rsidP="0012760D">
      <w:pPr>
        <w:spacing w:after="0" w:line="240" w:lineRule="auto"/>
      </w:pPr>
      <w:r>
        <w:separator/>
      </w:r>
    </w:p>
  </w:endnote>
  <w:endnote w:type="continuationSeparator" w:id="0">
    <w:p w:rsidR="00286068" w:rsidRDefault="00286068" w:rsidP="00127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1A" w:rsidRDefault="00BE2B1A">
    <w:pPr>
      <w:pStyle w:val="Footer"/>
    </w:pPr>
  </w:p>
  <w:p w:rsidR="00BE2B1A" w:rsidRDefault="00BE2B1A" w:rsidP="0012760D">
    <w:pPr>
      <w:pStyle w:val="Footer"/>
      <w:jc w:val="center"/>
      <w:rPr>
        <w:rFonts w:ascii="Arial" w:hAnsi="Arial" w:cs="Arial"/>
        <w:b/>
        <w:sz w:val="20"/>
      </w:rPr>
    </w:pPr>
    <w:r w:rsidRPr="0012760D">
      <w:rPr>
        <w:rFonts w:ascii="Arial" w:hAnsi="Arial" w:cs="Arial"/>
        <w:b/>
        <w:sz w:val="20"/>
      </w:rPr>
      <w:t xml:space="preserve"> </w:t>
    </w:r>
  </w:p>
  <w:p w:rsidR="00BE2B1A" w:rsidRPr="0012760D" w:rsidRDefault="00A57402" w:rsidP="0012760D">
    <w:pPr>
      <w:pStyle w:val="Footer"/>
      <w:spacing w:before="120"/>
      <w:jc w:val="right"/>
      <w:rPr>
        <w:rFonts w:ascii="Arial" w:hAnsi="Arial" w:cs="Arial"/>
        <w:sz w:val="12"/>
      </w:rPr>
    </w:pPr>
    <w:fldSimple w:instr=" FILENAME \p \* MERGEFORMAT ">
      <w:r w:rsidR="00BE2B1A" w:rsidRPr="00BE2B1A">
        <w:rPr>
          <w:rFonts w:ascii="Arial" w:hAnsi="Arial" w:cs="Arial"/>
          <w:noProof/>
          <w:sz w:val="12"/>
        </w:rPr>
        <w:t>S:\OTD\Universal\Strategy and Co-ordination Section\JMC, OTCC &amp; Governors conferences\</w:t>
      </w:r>
      <w:r w:rsidR="00BE2B1A">
        <w:rPr>
          <w:noProof/>
        </w:rPr>
        <w:t>JMC 2016\2015 JMC Follow Up and Whitehall involvement\161104 JMC 2016 - Draft UKG progress grid of 2015 commitments (3).docx</w:t>
      </w:r>
    </w:fldSimple>
    <w:r w:rsidRPr="0012760D">
      <w:rPr>
        <w:rFonts w:ascii="Arial" w:hAnsi="Arial" w:cs="Arial"/>
        <w:sz w:val="12"/>
      </w:rPr>
      <w:fldChar w:fldCharType="begin"/>
    </w:r>
    <w:r w:rsidR="00BE2B1A" w:rsidRPr="0012760D">
      <w:rPr>
        <w:rFonts w:ascii="Arial" w:hAnsi="Arial" w:cs="Arial"/>
        <w:sz w:val="12"/>
      </w:rPr>
      <w:instrText xml:space="preserve"> DOCPROPERTY PRIVACY  \* MERGEFORMAT </w:instrText>
    </w:r>
    <w:r w:rsidRPr="0012760D">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1A" w:rsidRDefault="00BE2B1A">
    <w:pPr>
      <w:pStyle w:val="Footer"/>
    </w:pPr>
  </w:p>
  <w:p w:rsidR="00BE2B1A" w:rsidRDefault="00BE2B1A" w:rsidP="0012760D">
    <w:pPr>
      <w:pStyle w:val="Footer"/>
      <w:jc w:val="center"/>
      <w:rPr>
        <w:rFonts w:ascii="Arial" w:hAnsi="Arial" w:cs="Arial"/>
        <w:b/>
        <w:sz w:val="20"/>
      </w:rPr>
    </w:pPr>
    <w:r w:rsidRPr="0012760D">
      <w:rPr>
        <w:rFonts w:ascii="Arial" w:hAnsi="Arial" w:cs="Arial"/>
        <w:b/>
        <w:sz w:val="20"/>
      </w:rPr>
      <w:t xml:space="preserve"> </w:t>
    </w:r>
  </w:p>
  <w:p w:rsidR="00BE2B1A" w:rsidRPr="0012760D" w:rsidRDefault="00BE2B1A" w:rsidP="0012760D">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1A" w:rsidRDefault="00BE2B1A">
    <w:pPr>
      <w:pStyle w:val="Footer"/>
    </w:pPr>
  </w:p>
  <w:p w:rsidR="00BE2B1A" w:rsidRDefault="00BE2B1A" w:rsidP="0012760D">
    <w:pPr>
      <w:pStyle w:val="Footer"/>
      <w:jc w:val="center"/>
      <w:rPr>
        <w:rFonts w:ascii="Arial" w:hAnsi="Arial" w:cs="Arial"/>
        <w:b/>
        <w:sz w:val="20"/>
      </w:rPr>
    </w:pPr>
    <w:r w:rsidRPr="0012760D">
      <w:rPr>
        <w:rFonts w:ascii="Arial" w:hAnsi="Arial" w:cs="Arial"/>
        <w:b/>
        <w:sz w:val="20"/>
      </w:rPr>
      <w:t xml:space="preserve"> </w:t>
    </w:r>
  </w:p>
  <w:p w:rsidR="00BE2B1A" w:rsidRPr="0012760D" w:rsidRDefault="00A57402" w:rsidP="0012760D">
    <w:pPr>
      <w:pStyle w:val="Footer"/>
      <w:spacing w:before="120"/>
      <w:jc w:val="right"/>
      <w:rPr>
        <w:rFonts w:ascii="Arial" w:hAnsi="Arial" w:cs="Arial"/>
        <w:sz w:val="12"/>
      </w:rPr>
    </w:pPr>
    <w:fldSimple w:instr=" FILENAME \p \* MERGEFORMAT ">
      <w:r w:rsidR="00BE2B1A" w:rsidRPr="00BE2B1A">
        <w:rPr>
          <w:rFonts w:ascii="Arial" w:hAnsi="Arial" w:cs="Arial"/>
          <w:noProof/>
          <w:sz w:val="12"/>
        </w:rPr>
        <w:t>S:\OTD\Universal\Strategy and Co-ordination Section\JMC, OTCC &amp; Governors conferences\</w:t>
      </w:r>
      <w:r w:rsidR="00BE2B1A">
        <w:rPr>
          <w:noProof/>
        </w:rPr>
        <w:t>JMC 2016\2015 JMC Follow Up and Whitehall involvement\161104 JMC 2016 - Draft UKG progress grid of 2015 commitments (3).docx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068" w:rsidRDefault="00286068" w:rsidP="0012760D">
      <w:pPr>
        <w:spacing w:after="0" w:line="240" w:lineRule="auto"/>
      </w:pPr>
      <w:r>
        <w:separator/>
      </w:r>
    </w:p>
  </w:footnote>
  <w:footnote w:type="continuationSeparator" w:id="0">
    <w:p w:rsidR="00286068" w:rsidRDefault="00286068" w:rsidP="001276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1A" w:rsidRPr="0012760D" w:rsidRDefault="00BE2B1A" w:rsidP="0012760D">
    <w:pPr>
      <w:pStyle w:val="Header"/>
      <w:jc w:val="center"/>
      <w:rPr>
        <w:rFonts w:ascii="Arial" w:hAnsi="Arial" w:cs="Arial"/>
        <w:b/>
        <w:sz w:val="20"/>
      </w:rPr>
    </w:pPr>
    <w:r w:rsidRPr="0012760D">
      <w:rPr>
        <w:rFonts w:ascii="Arial" w:hAnsi="Arial" w:cs="Arial"/>
        <w:b/>
        <w:sz w:val="20"/>
      </w:rPr>
      <w:t xml:space="preserve"> </w:t>
    </w:r>
  </w:p>
  <w:p w:rsidR="00BE2B1A" w:rsidRDefault="00BE2B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1A" w:rsidRPr="0012760D" w:rsidRDefault="00BE2B1A" w:rsidP="0012760D">
    <w:pPr>
      <w:pStyle w:val="Header"/>
      <w:jc w:val="center"/>
      <w:rPr>
        <w:rFonts w:ascii="Arial" w:hAnsi="Arial" w:cs="Arial"/>
        <w:b/>
        <w:sz w:val="20"/>
      </w:rPr>
    </w:pPr>
    <w:r w:rsidRPr="0012760D">
      <w:rPr>
        <w:rFonts w:ascii="Arial" w:hAnsi="Arial" w:cs="Arial"/>
        <w:b/>
        <w:sz w:val="20"/>
      </w:rPr>
      <w:t xml:space="preserve"> </w:t>
    </w:r>
    <w:r w:rsidR="00A57402" w:rsidRPr="0012760D">
      <w:rPr>
        <w:rFonts w:ascii="Arial" w:hAnsi="Arial" w:cs="Arial"/>
        <w:b/>
        <w:sz w:val="20"/>
      </w:rPr>
      <w:fldChar w:fldCharType="begin"/>
    </w:r>
    <w:r w:rsidRPr="0012760D">
      <w:rPr>
        <w:rFonts w:ascii="Arial" w:hAnsi="Arial" w:cs="Arial"/>
        <w:b/>
        <w:sz w:val="20"/>
      </w:rPr>
      <w:instrText xml:space="preserve"> DOCPROPERTY PRIVACY  \* MERGEFORMAT </w:instrText>
    </w:r>
    <w:r w:rsidR="00A57402" w:rsidRPr="0012760D">
      <w:rPr>
        <w:rFonts w:ascii="Arial" w:hAnsi="Arial" w:cs="Arial"/>
        <w:b/>
        <w:sz w:val="20"/>
      </w:rPr>
      <w:fldChar w:fldCharType="end"/>
    </w:r>
  </w:p>
  <w:p w:rsidR="00BE2B1A" w:rsidRDefault="00BE2B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1A" w:rsidRPr="0012760D" w:rsidRDefault="00BE2B1A" w:rsidP="0012760D">
    <w:pPr>
      <w:pStyle w:val="Header"/>
      <w:jc w:val="center"/>
      <w:rPr>
        <w:rFonts w:ascii="Arial" w:hAnsi="Arial" w:cs="Arial"/>
        <w:b/>
        <w:sz w:val="20"/>
      </w:rPr>
    </w:pPr>
    <w:r w:rsidRPr="0012760D">
      <w:rPr>
        <w:rFonts w:ascii="Arial" w:hAnsi="Arial" w:cs="Arial"/>
        <w:b/>
        <w:sz w:val="20"/>
      </w:rPr>
      <w:t xml:space="preserve"> </w:t>
    </w:r>
  </w:p>
  <w:p w:rsidR="00BE2B1A" w:rsidRDefault="00BE2B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80252"/>
    <w:multiLevelType w:val="hybridMultilevel"/>
    <w:tmpl w:val="8D9289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876279"/>
    <w:multiLevelType w:val="hybridMultilevel"/>
    <w:tmpl w:val="B28C1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8E4A13"/>
    <w:multiLevelType w:val="hybridMultilevel"/>
    <w:tmpl w:val="A9582368"/>
    <w:lvl w:ilvl="0" w:tplc="407AF0D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5F1A2B"/>
    <w:multiLevelType w:val="hybridMultilevel"/>
    <w:tmpl w:val="7354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86784F"/>
    <w:multiLevelType w:val="hybridMultilevel"/>
    <w:tmpl w:val="19DA004A"/>
    <w:lvl w:ilvl="0" w:tplc="06FEB50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72122"/>
    <w:rsid w:val="00045C1D"/>
    <w:rsid w:val="00051F65"/>
    <w:rsid w:val="00064C56"/>
    <w:rsid w:val="0007184E"/>
    <w:rsid w:val="00083BD8"/>
    <w:rsid w:val="000C3CB8"/>
    <w:rsid w:val="000D1E2D"/>
    <w:rsid w:val="000E169D"/>
    <w:rsid w:val="000E5F38"/>
    <w:rsid w:val="000E7778"/>
    <w:rsid w:val="00103A57"/>
    <w:rsid w:val="00121FEB"/>
    <w:rsid w:val="00122756"/>
    <w:rsid w:val="0012760D"/>
    <w:rsid w:val="001362DC"/>
    <w:rsid w:val="00141C8E"/>
    <w:rsid w:val="00141FD0"/>
    <w:rsid w:val="001464D0"/>
    <w:rsid w:val="00153625"/>
    <w:rsid w:val="001610F0"/>
    <w:rsid w:val="00172D08"/>
    <w:rsid w:val="001756EE"/>
    <w:rsid w:val="001B79C9"/>
    <w:rsid w:val="002009A9"/>
    <w:rsid w:val="00254C6D"/>
    <w:rsid w:val="002678A2"/>
    <w:rsid w:val="00286068"/>
    <w:rsid w:val="002B72CC"/>
    <w:rsid w:val="002C1A40"/>
    <w:rsid w:val="002D133D"/>
    <w:rsid w:val="002D24F2"/>
    <w:rsid w:val="002D74CC"/>
    <w:rsid w:val="002F2359"/>
    <w:rsid w:val="002F4BB8"/>
    <w:rsid w:val="003262C5"/>
    <w:rsid w:val="00346FC4"/>
    <w:rsid w:val="00365FF2"/>
    <w:rsid w:val="003713C7"/>
    <w:rsid w:val="00390AF3"/>
    <w:rsid w:val="003A39EA"/>
    <w:rsid w:val="003A6A54"/>
    <w:rsid w:val="003D3AD7"/>
    <w:rsid w:val="00403DE5"/>
    <w:rsid w:val="0041468E"/>
    <w:rsid w:val="004158C9"/>
    <w:rsid w:val="00426FEC"/>
    <w:rsid w:val="0044088E"/>
    <w:rsid w:val="00455822"/>
    <w:rsid w:val="00455ADC"/>
    <w:rsid w:val="00472122"/>
    <w:rsid w:val="004910A0"/>
    <w:rsid w:val="004933E2"/>
    <w:rsid w:val="00494C26"/>
    <w:rsid w:val="00497CED"/>
    <w:rsid w:val="004D1C29"/>
    <w:rsid w:val="004F1765"/>
    <w:rsid w:val="00530755"/>
    <w:rsid w:val="005349ED"/>
    <w:rsid w:val="00546474"/>
    <w:rsid w:val="00554171"/>
    <w:rsid w:val="0055633C"/>
    <w:rsid w:val="005565EF"/>
    <w:rsid w:val="0055665B"/>
    <w:rsid w:val="0057748C"/>
    <w:rsid w:val="005779C1"/>
    <w:rsid w:val="00584769"/>
    <w:rsid w:val="005A2F4E"/>
    <w:rsid w:val="005A418E"/>
    <w:rsid w:val="005F7577"/>
    <w:rsid w:val="0061483E"/>
    <w:rsid w:val="006356C3"/>
    <w:rsid w:val="00647E45"/>
    <w:rsid w:val="00663547"/>
    <w:rsid w:val="00665E67"/>
    <w:rsid w:val="00672E8A"/>
    <w:rsid w:val="00694478"/>
    <w:rsid w:val="006969A0"/>
    <w:rsid w:val="006A287F"/>
    <w:rsid w:val="006B6631"/>
    <w:rsid w:val="006C0E2C"/>
    <w:rsid w:val="006C18AB"/>
    <w:rsid w:val="006D2854"/>
    <w:rsid w:val="006E0247"/>
    <w:rsid w:val="006E7C47"/>
    <w:rsid w:val="006F5551"/>
    <w:rsid w:val="00723176"/>
    <w:rsid w:val="00785924"/>
    <w:rsid w:val="00794AF3"/>
    <w:rsid w:val="00796021"/>
    <w:rsid w:val="007A447E"/>
    <w:rsid w:val="007A6A8E"/>
    <w:rsid w:val="007C2195"/>
    <w:rsid w:val="007E0648"/>
    <w:rsid w:val="0080059C"/>
    <w:rsid w:val="00802C27"/>
    <w:rsid w:val="008106FB"/>
    <w:rsid w:val="00820054"/>
    <w:rsid w:val="008328D0"/>
    <w:rsid w:val="008355A8"/>
    <w:rsid w:val="00846475"/>
    <w:rsid w:val="008559E9"/>
    <w:rsid w:val="00856A99"/>
    <w:rsid w:val="00880EBB"/>
    <w:rsid w:val="0088393B"/>
    <w:rsid w:val="00883B51"/>
    <w:rsid w:val="008876F3"/>
    <w:rsid w:val="0089146D"/>
    <w:rsid w:val="00893ECA"/>
    <w:rsid w:val="008A138D"/>
    <w:rsid w:val="008C4E8A"/>
    <w:rsid w:val="00902D85"/>
    <w:rsid w:val="009242AD"/>
    <w:rsid w:val="00927058"/>
    <w:rsid w:val="009527B7"/>
    <w:rsid w:val="00972E3E"/>
    <w:rsid w:val="00996658"/>
    <w:rsid w:val="009C73FF"/>
    <w:rsid w:val="009D04BA"/>
    <w:rsid w:val="009F28A3"/>
    <w:rsid w:val="00A22EBA"/>
    <w:rsid w:val="00A3040F"/>
    <w:rsid w:val="00A57402"/>
    <w:rsid w:val="00A62EBD"/>
    <w:rsid w:val="00A76D77"/>
    <w:rsid w:val="00A773F3"/>
    <w:rsid w:val="00A8017A"/>
    <w:rsid w:val="00A81BBC"/>
    <w:rsid w:val="00A91075"/>
    <w:rsid w:val="00A91F9C"/>
    <w:rsid w:val="00A94D41"/>
    <w:rsid w:val="00AA0168"/>
    <w:rsid w:val="00AB3385"/>
    <w:rsid w:val="00AC7E80"/>
    <w:rsid w:val="00AD7098"/>
    <w:rsid w:val="00AD7CE6"/>
    <w:rsid w:val="00AE1C21"/>
    <w:rsid w:val="00AE52AF"/>
    <w:rsid w:val="00AE799B"/>
    <w:rsid w:val="00B26A3C"/>
    <w:rsid w:val="00B33095"/>
    <w:rsid w:val="00B3379C"/>
    <w:rsid w:val="00B36220"/>
    <w:rsid w:val="00B70A40"/>
    <w:rsid w:val="00B70F62"/>
    <w:rsid w:val="00B830E4"/>
    <w:rsid w:val="00B97BC7"/>
    <w:rsid w:val="00BA71A7"/>
    <w:rsid w:val="00BB72D2"/>
    <w:rsid w:val="00BE2B1A"/>
    <w:rsid w:val="00BE321D"/>
    <w:rsid w:val="00C0731F"/>
    <w:rsid w:val="00C2663C"/>
    <w:rsid w:val="00C41440"/>
    <w:rsid w:val="00C447A5"/>
    <w:rsid w:val="00C53C09"/>
    <w:rsid w:val="00C62C25"/>
    <w:rsid w:val="00C77C5E"/>
    <w:rsid w:val="00C81729"/>
    <w:rsid w:val="00CB3140"/>
    <w:rsid w:val="00CD2E09"/>
    <w:rsid w:val="00CF7E77"/>
    <w:rsid w:val="00D20151"/>
    <w:rsid w:val="00D24D08"/>
    <w:rsid w:val="00D40557"/>
    <w:rsid w:val="00D51B8B"/>
    <w:rsid w:val="00D56EAA"/>
    <w:rsid w:val="00DA03C2"/>
    <w:rsid w:val="00DB03E8"/>
    <w:rsid w:val="00DD108F"/>
    <w:rsid w:val="00DF1688"/>
    <w:rsid w:val="00E30A03"/>
    <w:rsid w:val="00E62931"/>
    <w:rsid w:val="00E64381"/>
    <w:rsid w:val="00E763D9"/>
    <w:rsid w:val="00E87318"/>
    <w:rsid w:val="00E9508B"/>
    <w:rsid w:val="00E968EB"/>
    <w:rsid w:val="00EB5A97"/>
    <w:rsid w:val="00EE2312"/>
    <w:rsid w:val="00F262D3"/>
    <w:rsid w:val="00F553D5"/>
    <w:rsid w:val="00F92B5D"/>
    <w:rsid w:val="00FA05A3"/>
    <w:rsid w:val="00FB2196"/>
    <w:rsid w:val="00FC04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A54"/>
    <w:pPr>
      <w:spacing w:after="0" w:line="240" w:lineRule="auto"/>
    </w:pPr>
  </w:style>
  <w:style w:type="table" w:styleId="TableGrid">
    <w:name w:val="Table Grid"/>
    <w:basedOn w:val="TableNormal"/>
    <w:uiPriority w:val="59"/>
    <w:rsid w:val="00472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017A"/>
    <w:rPr>
      <w:color w:val="0000FF"/>
      <w:u w:val="single"/>
    </w:rPr>
  </w:style>
  <w:style w:type="character" w:styleId="CommentReference">
    <w:name w:val="annotation reference"/>
    <w:basedOn w:val="DefaultParagraphFont"/>
    <w:uiPriority w:val="99"/>
    <w:semiHidden/>
    <w:unhideWhenUsed/>
    <w:rsid w:val="00E62931"/>
    <w:rPr>
      <w:sz w:val="16"/>
      <w:szCs w:val="16"/>
    </w:rPr>
  </w:style>
  <w:style w:type="paragraph" w:styleId="CommentText">
    <w:name w:val="annotation text"/>
    <w:basedOn w:val="Normal"/>
    <w:link w:val="CommentTextChar"/>
    <w:uiPriority w:val="99"/>
    <w:semiHidden/>
    <w:unhideWhenUsed/>
    <w:rsid w:val="00E62931"/>
    <w:pPr>
      <w:spacing w:line="240" w:lineRule="auto"/>
    </w:pPr>
    <w:rPr>
      <w:sz w:val="20"/>
      <w:szCs w:val="20"/>
    </w:rPr>
  </w:style>
  <w:style w:type="character" w:customStyle="1" w:styleId="CommentTextChar">
    <w:name w:val="Comment Text Char"/>
    <w:basedOn w:val="DefaultParagraphFont"/>
    <w:link w:val="CommentText"/>
    <w:uiPriority w:val="99"/>
    <w:semiHidden/>
    <w:rsid w:val="00E62931"/>
    <w:rPr>
      <w:sz w:val="20"/>
      <w:szCs w:val="20"/>
    </w:rPr>
  </w:style>
  <w:style w:type="paragraph" w:styleId="CommentSubject">
    <w:name w:val="annotation subject"/>
    <w:basedOn w:val="CommentText"/>
    <w:next w:val="CommentText"/>
    <w:link w:val="CommentSubjectChar"/>
    <w:uiPriority w:val="99"/>
    <w:semiHidden/>
    <w:unhideWhenUsed/>
    <w:rsid w:val="00E62931"/>
    <w:rPr>
      <w:b/>
      <w:bCs/>
    </w:rPr>
  </w:style>
  <w:style w:type="character" w:customStyle="1" w:styleId="CommentSubjectChar">
    <w:name w:val="Comment Subject Char"/>
    <w:basedOn w:val="CommentTextChar"/>
    <w:link w:val="CommentSubject"/>
    <w:uiPriority w:val="99"/>
    <w:semiHidden/>
    <w:rsid w:val="00E62931"/>
    <w:rPr>
      <w:b/>
      <w:bCs/>
      <w:sz w:val="20"/>
      <w:szCs w:val="20"/>
    </w:rPr>
  </w:style>
  <w:style w:type="paragraph" w:styleId="BalloonText">
    <w:name w:val="Balloon Text"/>
    <w:basedOn w:val="Normal"/>
    <w:link w:val="BalloonTextChar"/>
    <w:uiPriority w:val="99"/>
    <w:semiHidden/>
    <w:unhideWhenUsed/>
    <w:rsid w:val="00E6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931"/>
    <w:rPr>
      <w:rFonts w:ascii="Tahoma" w:hAnsi="Tahoma" w:cs="Tahoma"/>
      <w:sz w:val="16"/>
      <w:szCs w:val="16"/>
    </w:rPr>
  </w:style>
  <w:style w:type="paragraph" w:styleId="NormalWeb">
    <w:name w:val="Normal (Web)"/>
    <w:basedOn w:val="Normal"/>
    <w:uiPriority w:val="99"/>
    <w:unhideWhenUsed/>
    <w:rsid w:val="003262C5"/>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1276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760D"/>
  </w:style>
  <w:style w:type="paragraph" w:styleId="Footer">
    <w:name w:val="footer"/>
    <w:basedOn w:val="Normal"/>
    <w:link w:val="FooterChar"/>
    <w:uiPriority w:val="99"/>
    <w:semiHidden/>
    <w:unhideWhenUsed/>
    <w:rsid w:val="001276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760D"/>
  </w:style>
  <w:style w:type="paragraph" w:customStyle="1" w:styleId="Default">
    <w:name w:val="Default"/>
    <w:rsid w:val="007A6A8E"/>
    <w:pPr>
      <w:autoSpaceDE w:val="0"/>
      <w:autoSpaceDN w:val="0"/>
      <w:adjustRightInd w:val="0"/>
      <w:spacing w:after="0" w:line="240" w:lineRule="auto"/>
    </w:pPr>
    <w:rPr>
      <w:rFonts w:ascii="Cambria" w:hAnsi="Cambria" w:cs="Cambria"/>
      <w:color w:val="000000"/>
      <w:sz w:val="24"/>
      <w:szCs w:val="24"/>
    </w:rPr>
  </w:style>
  <w:style w:type="character" w:customStyle="1" w:styleId="st1">
    <w:name w:val="st1"/>
    <w:basedOn w:val="DefaultParagraphFont"/>
    <w:rsid w:val="003D3AD7"/>
  </w:style>
  <w:style w:type="paragraph" w:styleId="ListParagraph">
    <w:name w:val="List Paragraph"/>
    <w:aliases w:val="Dot pt,F5 List Paragraph,List Paragraph1,Numbered Para 1,No Spacing1,List Paragraph Char Char Char,Indicator Text,Colorful List - Accent 11,Bullet 1,Bullet Points,Párrafo de lista,MAIN CONTENT,Recommendation,List Paragraph2,Normal numbere"/>
    <w:basedOn w:val="Normal"/>
    <w:link w:val="ListParagraphChar"/>
    <w:uiPriority w:val="34"/>
    <w:qFormat/>
    <w:rsid w:val="00665E67"/>
    <w:pPr>
      <w:ind w:left="720"/>
      <w:contextualSpacing/>
    </w:pPr>
  </w:style>
  <w:style w:type="character" w:customStyle="1" w:styleId="ListParagraphChar">
    <w:name w:val="List Paragraph Char"/>
    <w:aliases w:val="Dot pt Char,F5 List Paragraph Char,List Paragraph1 Char,Numbered Para 1 Char,No Spacing1 Char,List Paragraph Char Char Char Char,Indicator Text Char,Colorful List - Accent 11 Char,Bullet 1 Char,Bullet Points Char,MAIN CONTENT Char"/>
    <w:link w:val="ListParagraph"/>
    <w:uiPriority w:val="34"/>
    <w:qFormat/>
    <w:locked/>
    <w:rsid w:val="00665E67"/>
  </w:style>
  <w:style w:type="paragraph" w:styleId="PlainText">
    <w:name w:val="Plain Text"/>
    <w:basedOn w:val="Normal"/>
    <w:link w:val="PlainTextChar"/>
    <w:uiPriority w:val="99"/>
    <w:semiHidden/>
    <w:unhideWhenUsed/>
    <w:rsid w:val="006A287F"/>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semiHidden/>
    <w:rsid w:val="006A287F"/>
    <w:rPr>
      <w:rFonts w:ascii="Calibri" w:eastAsiaTheme="minorHAns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A54"/>
    <w:pPr>
      <w:spacing w:after="0" w:line="240" w:lineRule="auto"/>
    </w:pPr>
  </w:style>
  <w:style w:type="table" w:styleId="TableGrid">
    <w:name w:val="Table Grid"/>
    <w:basedOn w:val="TableNormal"/>
    <w:uiPriority w:val="59"/>
    <w:rsid w:val="0047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17A"/>
    <w:rPr>
      <w:color w:val="0000FF"/>
      <w:u w:val="single"/>
    </w:rPr>
  </w:style>
  <w:style w:type="character" w:styleId="CommentReference">
    <w:name w:val="annotation reference"/>
    <w:basedOn w:val="DefaultParagraphFont"/>
    <w:uiPriority w:val="99"/>
    <w:semiHidden/>
    <w:unhideWhenUsed/>
    <w:rsid w:val="00E62931"/>
    <w:rPr>
      <w:sz w:val="16"/>
      <w:szCs w:val="16"/>
    </w:rPr>
  </w:style>
  <w:style w:type="paragraph" w:styleId="CommentText">
    <w:name w:val="annotation text"/>
    <w:basedOn w:val="Normal"/>
    <w:link w:val="CommentTextChar"/>
    <w:uiPriority w:val="99"/>
    <w:semiHidden/>
    <w:unhideWhenUsed/>
    <w:rsid w:val="00E62931"/>
    <w:pPr>
      <w:spacing w:line="240" w:lineRule="auto"/>
    </w:pPr>
    <w:rPr>
      <w:sz w:val="20"/>
      <w:szCs w:val="20"/>
    </w:rPr>
  </w:style>
  <w:style w:type="character" w:customStyle="1" w:styleId="CommentTextChar">
    <w:name w:val="Comment Text Char"/>
    <w:basedOn w:val="DefaultParagraphFont"/>
    <w:link w:val="CommentText"/>
    <w:uiPriority w:val="99"/>
    <w:semiHidden/>
    <w:rsid w:val="00E62931"/>
    <w:rPr>
      <w:sz w:val="20"/>
      <w:szCs w:val="20"/>
    </w:rPr>
  </w:style>
  <w:style w:type="paragraph" w:styleId="CommentSubject">
    <w:name w:val="annotation subject"/>
    <w:basedOn w:val="CommentText"/>
    <w:next w:val="CommentText"/>
    <w:link w:val="CommentSubjectChar"/>
    <w:uiPriority w:val="99"/>
    <w:semiHidden/>
    <w:unhideWhenUsed/>
    <w:rsid w:val="00E62931"/>
    <w:rPr>
      <w:b/>
      <w:bCs/>
    </w:rPr>
  </w:style>
  <w:style w:type="character" w:customStyle="1" w:styleId="CommentSubjectChar">
    <w:name w:val="Comment Subject Char"/>
    <w:basedOn w:val="CommentTextChar"/>
    <w:link w:val="CommentSubject"/>
    <w:uiPriority w:val="99"/>
    <w:semiHidden/>
    <w:rsid w:val="00E62931"/>
    <w:rPr>
      <w:b/>
      <w:bCs/>
      <w:sz w:val="20"/>
      <w:szCs w:val="20"/>
    </w:rPr>
  </w:style>
  <w:style w:type="paragraph" w:styleId="BalloonText">
    <w:name w:val="Balloon Text"/>
    <w:basedOn w:val="Normal"/>
    <w:link w:val="BalloonTextChar"/>
    <w:uiPriority w:val="99"/>
    <w:semiHidden/>
    <w:unhideWhenUsed/>
    <w:rsid w:val="00E6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931"/>
    <w:rPr>
      <w:rFonts w:ascii="Tahoma" w:hAnsi="Tahoma" w:cs="Tahoma"/>
      <w:sz w:val="16"/>
      <w:szCs w:val="16"/>
    </w:rPr>
  </w:style>
  <w:style w:type="paragraph" w:styleId="NormalWeb">
    <w:name w:val="Normal (Web)"/>
    <w:basedOn w:val="Normal"/>
    <w:uiPriority w:val="99"/>
    <w:unhideWhenUsed/>
    <w:rsid w:val="003262C5"/>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1276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760D"/>
  </w:style>
  <w:style w:type="paragraph" w:styleId="Footer">
    <w:name w:val="footer"/>
    <w:basedOn w:val="Normal"/>
    <w:link w:val="FooterChar"/>
    <w:uiPriority w:val="99"/>
    <w:semiHidden/>
    <w:unhideWhenUsed/>
    <w:rsid w:val="001276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760D"/>
  </w:style>
  <w:style w:type="paragraph" w:customStyle="1" w:styleId="Default">
    <w:name w:val="Default"/>
    <w:rsid w:val="007A6A8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455216519">
      <w:bodyDiv w:val="1"/>
      <w:marLeft w:val="0"/>
      <w:marRight w:val="0"/>
      <w:marTop w:val="0"/>
      <w:marBottom w:val="0"/>
      <w:divBdr>
        <w:top w:val="none" w:sz="0" w:space="0" w:color="auto"/>
        <w:left w:val="none" w:sz="0" w:space="0" w:color="auto"/>
        <w:bottom w:val="none" w:sz="0" w:space="0" w:color="auto"/>
        <w:right w:val="none" w:sz="0" w:space="0" w:color="auto"/>
      </w:divBdr>
    </w:div>
    <w:div w:id="698697869">
      <w:bodyDiv w:val="1"/>
      <w:marLeft w:val="0"/>
      <w:marRight w:val="0"/>
      <w:marTop w:val="0"/>
      <w:marBottom w:val="0"/>
      <w:divBdr>
        <w:top w:val="none" w:sz="0" w:space="0" w:color="auto"/>
        <w:left w:val="none" w:sz="0" w:space="0" w:color="auto"/>
        <w:bottom w:val="none" w:sz="0" w:space="0" w:color="auto"/>
        <w:right w:val="none" w:sz="0" w:space="0" w:color="auto"/>
      </w:divBdr>
    </w:div>
    <w:div w:id="976227135">
      <w:bodyDiv w:val="1"/>
      <w:marLeft w:val="0"/>
      <w:marRight w:val="0"/>
      <w:marTop w:val="0"/>
      <w:marBottom w:val="0"/>
      <w:divBdr>
        <w:top w:val="none" w:sz="0" w:space="0" w:color="auto"/>
        <w:left w:val="none" w:sz="0" w:space="0" w:color="auto"/>
        <w:bottom w:val="none" w:sz="0" w:space="0" w:color="auto"/>
        <w:right w:val="none" w:sz="0" w:space="0" w:color="auto"/>
      </w:divBdr>
    </w:div>
    <w:div w:id="1118380236">
      <w:bodyDiv w:val="1"/>
      <w:marLeft w:val="0"/>
      <w:marRight w:val="0"/>
      <w:marTop w:val="0"/>
      <w:marBottom w:val="0"/>
      <w:divBdr>
        <w:top w:val="none" w:sz="0" w:space="0" w:color="auto"/>
        <w:left w:val="none" w:sz="0" w:space="0" w:color="auto"/>
        <w:bottom w:val="none" w:sz="0" w:space="0" w:color="auto"/>
        <w:right w:val="none" w:sz="0" w:space="0" w:color="auto"/>
      </w:divBdr>
    </w:div>
    <w:div w:id="15261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C29C2-2A16-49CC-BE18-64BFF8DA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JMC follow up grid - July 2016</vt:lpstr>
    </vt:vector>
  </TitlesOfParts>
  <Company>Hewlett-Packard Company</Company>
  <LinksUpToDate>false</LinksUpToDate>
  <CharactersWithSpaces>12620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JMC follow up grid - July 2016</dc:title>
  <dc:creator>cbridgeman</dc:creator>
  <cp:lastModifiedBy>jrodemark</cp:lastModifiedBy>
  <cp:revision>2</cp:revision>
  <cp:lastPrinted>2016-11-04T15:21:00Z</cp:lastPrinted>
  <dcterms:created xsi:type="dcterms:W3CDTF">2016-11-15T12:40:00Z</dcterms:created>
  <dcterms:modified xsi:type="dcterms:W3CDTF">2016-11-15T12:40:00Z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OFFICIAL</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2016-07-17T23:00:00Z</vt:filetime>
  </property>
  <property fmtid="{D5CDD505-2E9C-101B-9397-08002B2CF9AE}" pid="14" name="_NewReviewCycle">
    <vt:lpwstr/>
  </property>
</Properties>
</file>