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CC" w:rsidRDefault="00F97237" w:rsidP="00E56ACC">
      <w:pPr>
        <w:pStyle w:val="Title"/>
        <w:spacing w:before="0" w:after="0" w:line="240" w:lineRule="auto"/>
        <w:ind w:left="2160" w:right="-4105" w:firstLine="720"/>
        <w:rPr>
          <w:rFonts w:ascii="Calibri" w:hAnsi="Calibri"/>
          <w:sz w:val="32"/>
        </w:rPr>
      </w:pPr>
      <w:bookmarkStart w:id="0" w:name="_GoBack"/>
      <w:bookmarkEnd w:id="0"/>
      <w:r>
        <w:rPr>
          <w:rFonts w:ascii="Calibri" w:hAnsi="Calibri"/>
          <w:noProof/>
          <w:sz w:val="32"/>
          <w:lang w:eastAsia="en-GB"/>
        </w:rPr>
        <w:t xml:space="preserve">  </w:t>
      </w:r>
      <w:r w:rsidR="00416DA6">
        <w:rPr>
          <w:rFonts w:ascii="Calibri" w:hAnsi="Calibri"/>
          <w:noProof/>
          <w:sz w:val="32"/>
          <w:lang w:eastAsia="en-GB"/>
        </w:rPr>
        <w:t xml:space="preserve"> </w:t>
      </w:r>
      <w:r w:rsidR="00E56ACC">
        <w:rPr>
          <w:rFonts w:ascii="Calibri" w:hAnsi="Calibri"/>
          <w:noProof/>
          <w:sz w:val="32"/>
          <w:lang w:eastAsia="en-GB"/>
        </w:rPr>
        <w:t xml:space="preserve">        </w:t>
      </w:r>
      <w:r w:rsidR="0078041B">
        <w:rPr>
          <w:rFonts w:ascii="Calibri" w:hAnsi="Calibri"/>
          <w:noProof/>
          <w:sz w:val="32"/>
          <w:lang w:eastAsia="en-GB"/>
        </w:rPr>
        <w:t xml:space="preserve">       </w:t>
      </w:r>
      <w:r w:rsidR="00E56ACC">
        <w:rPr>
          <w:rFonts w:ascii="Calibri" w:hAnsi="Calibri"/>
          <w:noProof/>
          <w:sz w:val="32"/>
          <w:lang w:eastAsia="en-GB"/>
        </w:rPr>
        <w:t xml:space="preserve"> </w:t>
      </w:r>
      <w:r w:rsidR="00F434F0">
        <w:rPr>
          <w:rFonts w:ascii="Calibri" w:hAnsi="Calibri"/>
          <w:noProof/>
          <w:sz w:val="32"/>
          <w:lang w:eastAsia="en-GB"/>
        </w:rPr>
        <w:drawing>
          <wp:inline distT="0" distB="0" distL="0" distR="0">
            <wp:extent cx="1299387" cy="1063927"/>
            <wp:effectExtent l="19050" t="0" r="0" b="0"/>
            <wp:docPr id="1" name="Picture 0" descr="British_Embassy_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_Embassy_crest.jpg"/>
                    <pic:cNvPicPr/>
                  </pic:nvPicPr>
                  <pic:blipFill>
                    <a:blip r:embed="rId8" cstate="print"/>
                    <a:stretch>
                      <a:fillRect/>
                    </a:stretch>
                  </pic:blipFill>
                  <pic:spPr>
                    <a:xfrm>
                      <a:off x="0" y="0"/>
                      <a:ext cx="1307955" cy="1070942"/>
                    </a:xfrm>
                    <a:prstGeom prst="rect">
                      <a:avLst/>
                    </a:prstGeom>
                    <a:solidFill>
                      <a:schemeClr val="accent2"/>
                    </a:solidFill>
                  </pic:spPr>
                </pic:pic>
              </a:graphicData>
            </a:graphic>
          </wp:inline>
        </w:drawing>
      </w:r>
    </w:p>
    <w:p w:rsidR="00482B1D" w:rsidRPr="00482B1D" w:rsidRDefault="00482B1D" w:rsidP="00482B1D">
      <w:pPr>
        <w:pStyle w:val="Title"/>
        <w:spacing w:before="0" w:after="0" w:line="240" w:lineRule="auto"/>
        <w:ind w:right="0"/>
        <w:jc w:val="center"/>
        <w:rPr>
          <w:rFonts w:ascii="Calibri" w:hAnsi="Calibri"/>
          <w:color w:val="17365D" w:themeColor="text2" w:themeShade="BF"/>
          <w:sz w:val="24"/>
        </w:rPr>
      </w:pPr>
      <w:r w:rsidRPr="00482B1D">
        <w:rPr>
          <w:rFonts w:ascii="Calibri" w:hAnsi="Calibri"/>
          <w:color w:val="17365D" w:themeColor="text2" w:themeShade="BF"/>
          <w:sz w:val="24"/>
        </w:rPr>
        <w:t>British Embassy</w:t>
      </w:r>
    </w:p>
    <w:p w:rsidR="00482B1D" w:rsidRPr="00482B1D" w:rsidRDefault="00482B1D" w:rsidP="00482B1D">
      <w:pPr>
        <w:pStyle w:val="Title"/>
        <w:spacing w:before="0" w:after="0" w:line="240" w:lineRule="auto"/>
        <w:ind w:right="0"/>
        <w:jc w:val="center"/>
        <w:rPr>
          <w:rFonts w:ascii="Calibri" w:hAnsi="Calibri"/>
          <w:color w:val="17365D" w:themeColor="text2" w:themeShade="BF"/>
          <w:sz w:val="24"/>
        </w:rPr>
      </w:pPr>
      <w:r w:rsidRPr="00482B1D">
        <w:rPr>
          <w:rFonts w:ascii="Calibri" w:hAnsi="Calibri"/>
          <w:color w:val="17365D" w:themeColor="text2" w:themeShade="BF"/>
          <w:sz w:val="24"/>
        </w:rPr>
        <w:t>Mexico City</w:t>
      </w:r>
    </w:p>
    <w:p w:rsidR="00F434F0" w:rsidRDefault="00BC2932" w:rsidP="00F434F0">
      <w:pPr>
        <w:pStyle w:val="Title"/>
        <w:spacing w:before="0" w:after="0" w:line="240" w:lineRule="auto"/>
        <w:ind w:right="0"/>
        <w:rPr>
          <w:rFonts w:ascii="Calibri" w:hAnsi="Calibri"/>
          <w:color w:val="17365D" w:themeColor="text2" w:themeShade="BF"/>
          <w:sz w:val="32"/>
        </w:rPr>
      </w:pPr>
      <w:r>
        <w:rPr>
          <w:rFonts w:ascii="Calibri" w:hAnsi="Calibri"/>
          <w:color w:val="17365D" w:themeColor="text2" w:themeShade="BF"/>
          <w:sz w:val="32"/>
        </w:rPr>
        <w:t>Economic Overview</w:t>
      </w:r>
      <w:r w:rsidR="0063431D">
        <w:rPr>
          <w:rFonts w:ascii="Calibri" w:hAnsi="Calibri"/>
          <w:color w:val="17365D" w:themeColor="text2" w:themeShade="BF"/>
          <w:sz w:val="32"/>
        </w:rPr>
        <w:t>: December</w:t>
      </w:r>
      <w:r w:rsidR="00A54589">
        <w:rPr>
          <w:rFonts w:ascii="Calibri" w:hAnsi="Calibri"/>
          <w:color w:val="17365D" w:themeColor="text2" w:themeShade="BF"/>
          <w:sz w:val="32"/>
        </w:rPr>
        <w:t xml:space="preserve"> </w:t>
      </w:r>
      <w:r w:rsidR="00F434F0" w:rsidRPr="00DA46B0">
        <w:rPr>
          <w:rFonts w:ascii="Calibri" w:hAnsi="Calibri"/>
          <w:color w:val="17365D" w:themeColor="text2" w:themeShade="BF"/>
          <w:sz w:val="32"/>
        </w:rPr>
        <w:t>201</w:t>
      </w:r>
      <w:r w:rsidR="006C716F">
        <w:rPr>
          <w:rFonts w:ascii="Calibri" w:hAnsi="Calibri"/>
          <w:color w:val="17365D" w:themeColor="text2" w:themeShade="BF"/>
          <w:sz w:val="32"/>
        </w:rPr>
        <w:t>4</w:t>
      </w:r>
    </w:p>
    <w:p w:rsidR="00F434F0" w:rsidRPr="00DF20FD" w:rsidRDefault="008F7CB2" w:rsidP="00F434F0">
      <w:pPr>
        <w:pStyle w:val="Title"/>
        <w:spacing w:before="0" w:after="0" w:line="240" w:lineRule="auto"/>
        <w:ind w:right="-4105"/>
        <w:rPr>
          <w:rFonts w:ascii="Calibri" w:hAnsi="Calibri"/>
          <w:b w:val="0"/>
          <w:sz w:val="32"/>
          <w:u w:val="single"/>
        </w:rPr>
      </w:pPr>
      <w:r>
        <w:rPr>
          <w:rFonts w:ascii="Calibri" w:hAnsi="Calibri"/>
          <w:b w:val="0"/>
          <w:noProof/>
          <w:sz w:val="32"/>
          <w:u w:val="single"/>
          <w:lang w:eastAsia="en-GB"/>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48895</wp:posOffset>
                </wp:positionV>
                <wp:extent cx="6488430" cy="76200"/>
                <wp:effectExtent l="635" t="127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620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3F5CE" id="Rectangle 2" o:spid="_x0000_s1026" style="position:absolute;margin-left:-.7pt;margin-top:3.85pt;width:510.9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F2mgIAADQFAAAOAAAAZHJzL2Uyb0RvYy54bWysVNuO0zAQfUfiHyy/d3MhvSRqutptKUJa&#10;YMXCB0wdp7Fw7GC7TRfEvzN22tLCC0K8JB7PeObMmWPPbw+tJHturNCqpMlNTAlXTFdCbUv6+dN6&#10;NKPEOlAVSK14SZ+5pbeLly/mfVfwVDdaVtwQTKJs0XclbZzriiiyrOEt2BvdcYXOWpsWHJpmG1UG&#10;eszeyiiN40nUa1N1RjNuLe6uBiddhPx1zZn7UNeWOyJLithc+Jrw3fhvtJhDsTXQNYIdYcA/oGhB&#10;KCx6TrUCB2RnxB+pWsGMtrp2N0y3ka5rwXjoAbtJ4t+6eWqg46EXJMd2Z5rs/0vL3u8fDRFVSSeU&#10;KGhxRB+RNFBbyUnq6ek7W2DUU/dofIO2e9DsiyVKLxuM4nfG6L7hUCGoxMdHVwe8YfEo2fTvdIXZ&#10;Yed0YOpQm9YnRA7IIQzk+TwQfnCE4eYkm82yVzg3hr7pBAceKkBxOtwZ695w3RK/KKlB6CE57B+s&#10;82CgOIUE8FqKai2kDIbXGF9KQ/aA6gDGuHJJOC53LaId9qfjeCgLBW6jmobtE5KgVJ8lFLOXBaTy&#10;ZZT2BQcsww52h+i8z/cZVPI9T9Isvk/z0Xoym46ydTYe5dN4NoqT/D6fxFmerdY/PLYkKxpRVVw9&#10;CMVPik2yv1PE8e4MWguaJX1J83E6Dm1fobdmuzmTgxQcWUBGr8Ja4fACS9GWdHYOgsIr4rWqsG0o&#10;HAg5rKNr+IEy5OD0D6wE/XjJDNLb6OoZ5WM0jheFgE8NLhptvlHS47Utqf26A8MpkW8VSjBPsszf&#10;82Bk42mKhrn0bC49oBimKqmjZFgu3fA27Dojtg1WGvSg9B3KthZBUl7SAyrE7Q28mqGD4zPi7/6l&#10;HaJ+PXaLnwAAAP//AwBQSwMEFAAGAAgAAAAhALjuvQ3eAAAACAEAAA8AAABkcnMvZG93bnJldi54&#10;bWxMj8FOwzAQRO9I/IO1SNxauxElJMSpEBK0Ej1A6Qe4yTaJsNdR7LTp37M9wW13ZzT7plhNzooT&#10;DqHzpGExVyCQKl931GjYf7/NnkCEaKg21hNquGCAVXl7U5i89mf6wtMuNoJDKORGQxtjn0sZqhad&#10;CXPfI7F29IMzkdehkfVgzhzurEyUepTOdMQfWtPja4vVz250Gj7W7nOdHS/JaLP3JS3tpt9vN1rf&#10;300vzyAiTvHPDFd8RoeSmQ5+pDoIq2G2eGCnhjQFcZVVovhw4ClLQZaF/F+g/AUAAP//AwBQSwEC&#10;LQAUAAYACAAAACEAtoM4kv4AAADhAQAAEwAAAAAAAAAAAAAAAAAAAAAAW0NvbnRlbnRfVHlwZXNd&#10;LnhtbFBLAQItABQABgAIAAAAIQA4/SH/1gAAAJQBAAALAAAAAAAAAAAAAAAAAC8BAABfcmVscy8u&#10;cmVsc1BLAQItABQABgAIAAAAIQB2BNF2mgIAADQFAAAOAAAAAAAAAAAAAAAAAC4CAABkcnMvZTJv&#10;RG9jLnhtbFBLAQItABQABgAIAAAAIQC47r0N3gAAAAgBAAAPAAAAAAAAAAAAAAAAAPQEAABkcnMv&#10;ZG93bnJldi54bWxQSwUGAAAAAAQABADzAAAA/wUAAAAA&#10;" fillcolor="#365f91 [2404]" stroked="f"/>
            </w:pict>
          </mc:Fallback>
        </mc:AlternateContent>
      </w:r>
    </w:p>
    <w:p w:rsidR="00F434F0" w:rsidRDefault="00F434F0" w:rsidP="00F434F0">
      <w:pPr>
        <w:pStyle w:val="Title"/>
        <w:spacing w:before="0" w:after="0" w:line="240" w:lineRule="auto"/>
        <w:ind w:right="0"/>
        <w:rPr>
          <w:rFonts w:ascii="Calibri" w:hAnsi="Calibri"/>
          <w:sz w:val="28"/>
        </w:rPr>
      </w:pPr>
      <w:r w:rsidRPr="007D5679">
        <w:rPr>
          <w:rFonts w:ascii="Calibri" w:hAnsi="Calibri"/>
          <w:sz w:val="28"/>
        </w:rPr>
        <w:t>Summary</w:t>
      </w:r>
    </w:p>
    <w:p w:rsidR="00D068CD" w:rsidRPr="000A5975" w:rsidRDefault="00AF79CE" w:rsidP="000A5975">
      <w:pPr>
        <w:pStyle w:val="NormalWeb"/>
        <w:numPr>
          <w:ilvl w:val="0"/>
          <w:numId w:val="15"/>
        </w:numPr>
        <w:autoSpaceDE w:val="0"/>
        <w:autoSpaceDN w:val="0"/>
        <w:adjustRightInd w:val="0"/>
        <w:spacing w:before="120" w:beforeAutospacing="0" w:after="120" w:afterAutospacing="0"/>
        <w:ind w:left="142" w:hanging="142"/>
        <w:jc w:val="both"/>
        <w:rPr>
          <w:rFonts w:ascii="Calibri" w:hAnsi="Calibri"/>
          <w:sz w:val="20"/>
          <w:szCs w:val="22"/>
        </w:rPr>
      </w:pPr>
      <w:r>
        <w:rPr>
          <w:rFonts w:ascii="Calibri" w:hAnsi="Calibri"/>
          <w:sz w:val="20"/>
          <w:szCs w:val="22"/>
        </w:rPr>
        <w:t xml:space="preserve">Economic activity in 4Q2014 closes with stronger signs of recovery. The construction sector has started to grow, with significant </w:t>
      </w:r>
      <w:r w:rsidR="009634E0">
        <w:rPr>
          <w:rFonts w:ascii="Calibri" w:hAnsi="Calibri"/>
          <w:sz w:val="20"/>
          <w:szCs w:val="22"/>
        </w:rPr>
        <w:t xml:space="preserve">positive </w:t>
      </w:r>
      <w:r>
        <w:rPr>
          <w:rFonts w:ascii="Calibri" w:hAnsi="Calibri"/>
          <w:sz w:val="20"/>
          <w:szCs w:val="22"/>
        </w:rPr>
        <w:t xml:space="preserve">impacts on employment. 2014 growth forecast from </w:t>
      </w:r>
      <w:r w:rsidR="009634E0">
        <w:rPr>
          <w:rFonts w:ascii="Calibri" w:hAnsi="Calibri"/>
          <w:sz w:val="20"/>
          <w:szCs w:val="22"/>
        </w:rPr>
        <w:t xml:space="preserve">Finance </w:t>
      </w:r>
      <w:r>
        <w:rPr>
          <w:rFonts w:ascii="Calibri" w:hAnsi="Calibri"/>
          <w:sz w:val="20"/>
          <w:szCs w:val="22"/>
        </w:rPr>
        <w:t xml:space="preserve">Ministry between 2.2% and 2.5%, but independent analysts and the Bank of Mexico expect a slightly lower figure around 2%. </w:t>
      </w:r>
      <w:r w:rsidR="008F7764">
        <w:rPr>
          <w:rFonts w:ascii="Calibri" w:hAnsi="Calibri"/>
          <w:sz w:val="20"/>
          <w:szCs w:val="22"/>
        </w:rPr>
        <w:t>E</w:t>
      </w:r>
      <w:r w:rsidR="009634E0">
        <w:rPr>
          <w:rFonts w:ascii="Calibri" w:hAnsi="Calibri"/>
          <w:sz w:val="20"/>
          <w:szCs w:val="22"/>
        </w:rPr>
        <w:t>xpected growth rate for 2015 remains high at 3.5%, e</w:t>
      </w:r>
      <w:r>
        <w:rPr>
          <w:rFonts w:ascii="Calibri" w:hAnsi="Calibri"/>
          <w:sz w:val="20"/>
          <w:szCs w:val="22"/>
        </w:rPr>
        <w:t xml:space="preserve">ven </w:t>
      </w:r>
      <w:r w:rsidR="009634E0">
        <w:rPr>
          <w:rFonts w:ascii="Calibri" w:hAnsi="Calibri"/>
          <w:sz w:val="20"/>
          <w:szCs w:val="22"/>
        </w:rPr>
        <w:t xml:space="preserve">allowing for </w:t>
      </w:r>
      <w:r>
        <w:rPr>
          <w:rFonts w:ascii="Calibri" w:hAnsi="Calibri"/>
          <w:sz w:val="20"/>
          <w:szCs w:val="22"/>
        </w:rPr>
        <w:t>energy sector suffering from fall</w:t>
      </w:r>
      <w:r w:rsidR="009634E0">
        <w:rPr>
          <w:rFonts w:ascii="Calibri" w:hAnsi="Calibri"/>
          <w:sz w:val="20"/>
          <w:szCs w:val="22"/>
        </w:rPr>
        <w:t>ing</w:t>
      </w:r>
      <w:r>
        <w:rPr>
          <w:rFonts w:ascii="Calibri" w:hAnsi="Calibri"/>
          <w:sz w:val="20"/>
          <w:szCs w:val="22"/>
        </w:rPr>
        <w:t xml:space="preserve"> oil prices. </w:t>
      </w:r>
      <w:r w:rsidR="009634E0">
        <w:rPr>
          <w:rFonts w:ascii="Calibri" w:hAnsi="Calibri"/>
          <w:sz w:val="20"/>
          <w:szCs w:val="22"/>
        </w:rPr>
        <w:t>T</w:t>
      </w:r>
      <w:r w:rsidR="00D068CD" w:rsidRPr="000A5975">
        <w:rPr>
          <w:rFonts w:ascii="Calibri" w:hAnsi="Calibri"/>
          <w:sz w:val="20"/>
          <w:szCs w:val="22"/>
        </w:rPr>
        <w:t xml:space="preserve">he </w:t>
      </w:r>
      <w:r w:rsidR="00732586" w:rsidRPr="000A5975">
        <w:rPr>
          <w:rFonts w:ascii="Calibri" w:hAnsi="Calibri"/>
          <w:sz w:val="20"/>
          <w:szCs w:val="22"/>
        </w:rPr>
        <w:t xml:space="preserve">Government faces a complex scenario for </w:t>
      </w:r>
      <w:r w:rsidR="00D068CD" w:rsidRPr="000A5975">
        <w:rPr>
          <w:rFonts w:ascii="Calibri" w:hAnsi="Calibri"/>
          <w:sz w:val="20"/>
          <w:szCs w:val="22"/>
        </w:rPr>
        <w:t xml:space="preserve">2015, after ending 2014 </w:t>
      </w:r>
      <w:r w:rsidR="00732586" w:rsidRPr="000A5975">
        <w:rPr>
          <w:rFonts w:ascii="Calibri" w:hAnsi="Calibri"/>
          <w:sz w:val="20"/>
          <w:szCs w:val="22"/>
        </w:rPr>
        <w:t xml:space="preserve">with three </w:t>
      </w:r>
      <w:r w:rsidR="00D068CD" w:rsidRPr="000A5975">
        <w:rPr>
          <w:rFonts w:ascii="Calibri" w:hAnsi="Calibri"/>
          <w:sz w:val="20"/>
          <w:szCs w:val="22"/>
        </w:rPr>
        <w:t>outstanding economic concerns</w:t>
      </w:r>
      <w:r w:rsidR="00732586" w:rsidRPr="000A5975">
        <w:rPr>
          <w:rFonts w:ascii="Calibri" w:hAnsi="Calibri"/>
          <w:sz w:val="20"/>
          <w:szCs w:val="22"/>
        </w:rPr>
        <w:t>: the ongoing fall in oil prices and its effects on</w:t>
      </w:r>
      <w:r w:rsidR="00D068CD" w:rsidRPr="000A5975">
        <w:rPr>
          <w:rFonts w:ascii="Calibri" w:hAnsi="Calibri"/>
          <w:sz w:val="20"/>
          <w:szCs w:val="22"/>
        </w:rPr>
        <w:t xml:space="preserve"> economic performance, pressure</w:t>
      </w:r>
      <w:r w:rsidR="00732586" w:rsidRPr="000A5975">
        <w:rPr>
          <w:rFonts w:ascii="Calibri" w:hAnsi="Calibri"/>
          <w:sz w:val="20"/>
          <w:szCs w:val="22"/>
        </w:rPr>
        <w:t xml:space="preserve"> on the </w:t>
      </w:r>
      <w:r w:rsidR="00D068CD" w:rsidRPr="000A5975">
        <w:rPr>
          <w:rFonts w:ascii="Calibri" w:hAnsi="Calibri"/>
          <w:sz w:val="20"/>
          <w:szCs w:val="22"/>
        </w:rPr>
        <w:t>Central Bank</w:t>
      </w:r>
      <w:r w:rsidR="00732586" w:rsidRPr="000A5975">
        <w:rPr>
          <w:rFonts w:ascii="Calibri" w:hAnsi="Calibri"/>
          <w:sz w:val="20"/>
          <w:szCs w:val="22"/>
        </w:rPr>
        <w:t xml:space="preserve"> to adjust its monetary policy in the near future, and a weak recovery during 3Q2014.</w:t>
      </w:r>
      <w:r w:rsidR="009634E0">
        <w:rPr>
          <w:rFonts w:ascii="Calibri" w:hAnsi="Calibri"/>
          <w:sz w:val="20"/>
          <w:szCs w:val="22"/>
        </w:rPr>
        <w:t xml:space="preserve"> However, if it manages these well, Mexico should perform better than the majority of emerging markets in Latin America.</w:t>
      </w:r>
    </w:p>
    <w:p w:rsidR="00732586" w:rsidRPr="00CD76D4" w:rsidRDefault="00D068CD" w:rsidP="00CD76D4">
      <w:pPr>
        <w:pStyle w:val="NormalWeb"/>
        <w:numPr>
          <w:ilvl w:val="0"/>
          <w:numId w:val="15"/>
        </w:numPr>
        <w:autoSpaceDE w:val="0"/>
        <w:autoSpaceDN w:val="0"/>
        <w:adjustRightInd w:val="0"/>
        <w:spacing w:before="120" w:beforeAutospacing="0" w:after="120" w:afterAutospacing="0"/>
        <w:ind w:left="142" w:hanging="142"/>
        <w:jc w:val="both"/>
        <w:rPr>
          <w:rFonts w:ascii="Calibri" w:hAnsi="Calibri"/>
          <w:sz w:val="20"/>
          <w:szCs w:val="22"/>
        </w:rPr>
      </w:pPr>
      <w:r w:rsidRPr="00CD76D4">
        <w:rPr>
          <w:rFonts w:ascii="Calibri" w:hAnsi="Calibri" w:cs="Arial"/>
          <w:color w:val="000000" w:themeColor="text1"/>
          <w:sz w:val="20"/>
          <w:szCs w:val="22"/>
        </w:rPr>
        <w:t>T</w:t>
      </w:r>
      <w:r w:rsidR="00732586" w:rsidRPr="00CD76D4">
        <w:rPr>
          <w:rFonts w:ascii="Calibri" w:hAnsi="Calibri" w:cs="Arial"/>
          <w:color w:val="000000" w:themeColor="text1"/>
          <w:sz w:val="20"/>
          <w:szCs w:val="22"/>
        </w:rPr>
        <w:t xml:space="preserve">he price of </w:t>
      </w:r>
      <w:r w:rsidRPr="00CD76D4">
        <w:rPr>
          <w:rFonts w:ascii="Calibri" w:hAnsi="Calibri" w:cs="Arial"/>
          <w:color w:val="000000" w:themeColor="text1"/>
          <w:sz w:val="20"/>
          <w:szCs w:val="22"/>
        </w:rPr>
        <w:t xml:space="preserve">the </w:t>
      </w:r>
      <w:r w:rsidR="00732586" w:rsidRPr="00CD76D4">
        <w:rPr>
          <w:rFonts w:ascii="Calibri" w:hAnsi="Calibri" w:cs="Arial"/>
          <w:color w:val="000000" w:themeColor="text1"/>
          <w:sz w:val="20"/>
          <w:szCs w:val="22"/>
        </w:rPr>
        <w:t xml:space="preserve">Mexican oil barrel has been decreasing </w:t>
      </w:r>
      <w:r w:rsidRPr="00CD76D4">
        <w:rPr>
          <w:rFonts w:ascii="Calibri" w:hAnsi="Calibri" w:cs="Arial"/>
          <w:color w:val="000000" w:themeColor="text1"/>
          <w:sz w:val="20"/>
          <w:szCs w:val="22"/>
        </w:rPr>
        <w:t>daily since October 2014</w:t>
      </w:r>
      <w:r w:rsidR="00732586" w:rsidRPr="00CD76D4">
        <w:rPr>
          <w:rFonts w:ascii="Calibri" w:hAnsi="Calibri" w:cs="Arial"/>
          <w:color w:val="000000" w:themeColor="text1"/>
          <w:sz w:val="20"/>
          <w:szCs w:val="22"/>
        </w:rPr>
        <w:t xml:space="preserve">. Government revenues have been affected by this fall. Not all the effects of this depreciation will be negative: the depreciation of the exchange rate, paired with good economic performance of the American economy </w:t>
      </w:r>
      <w:r w:rsidRPr="00CD76D4">
        <w:rPr>
          <w:rFonts w:ascii="Calibri" w:hAnsi="Calibri" w:cs="Arial"/>
          <w:color w:val="000000" w:themeColor="text1"/>
          <w:sz w:val="20"/>
          <w:szCs w:val="22"/>
        </w:rPr>
        <w:t>in</w:t>
      </w:r>
      <w:r w:rsidR="00732586" w:rsidRPr="00CD76D4">
        <w:rPr>
          <w:rFonts w:ascii="Calibri" w:hAnsi="Calibri" w:cs="Arial"/>
          <w:color w:val="000000" w:themeColor="text1"/>
          <w:sz w:val="20"/>
          <w:szCs w:val="22"/>
        </w:rPr>
        <w:t xml:space="preserve"> </w:t>
      </w:r>
      <w:r w:rsidRPr="00CD76D4">
        <w:rPr>
          <w:rFonts w:ascii="Calibri" w:hAnsi="Calibri" w:cs="Arial"/>
          <w:color w:val="000000" w:themeColor="text1"/>
          <w:sz w:val="20"/>
          <w:szCs w:val="22"/>
        </w:rPr>
        <w:t>Q4</w:t>
      </w:r>
      <w:r w:rsidR="00732586" w:rsidRPr="00CD76D4">
        <w:rPr>
          <w:rFonts w:ascii="Calibri" w:hAnsi="Calibri" w:cs="Arial"/>
          <w:color w:val="000000" w:themeColor="text1"/>
          <w:sz w:val="20"/>
          <w:szCs w:val="22"/>
        </w:rPr>
        <w:t xml:space="preserve"> 2014, could boost exports in the short term.</w:t>
      </w:r>
      <w:r w:rsidRPr="00CD76D4">
        <w:rPr>
          <w:rFonts w:ascii="Calibri" w:hAnsi="Calibri" w:cs="Arial"/>
          <w:color w:val="000000" w:themeColor="text1"/>
          <w:sz w:val="20"/>
          <w:szCs w:val="22"/>
        </w:rPr>
        <w:t xml:space="preserve"> However there are potential significant long term effects for the Mexican energy reform.</w:t>
      </w:r>
    </w:p>
    <w:p w:rsidR="001F597A" w:rsidRPr="00CD76D4" w:rsidRDefault="001F597A" w:rsidP="00CD76D4">
      <w:pPr>
        <w:pStyle w:val="NormalWeb"/>
        <w:numPr>
          <w:ilvl w:val="0"/>
          <w:numId w:val="15"/>
        </w:numPr>
        <w:autoSpaceDE w:val="0"/>
        <w:autoSpaceDN w:val="0"/>
        <w:adjustRightInd w:val="0"/>
        <w:spacing w:before="120" w:beforeAutospacing="0" w:after="120" w:afterAutospacing="0"/>
        <w:ind w:left="142" w:hanging="142"/>
        <w:jc w:val="both"/>
        <w:rPr>
          <w:rFonts w:ascii="Calibri" w:hAnsi="Calibri"/>
          <w:sz w:val="20"/>
          <w:szCs w:val="22"/>
        </w:rPr>
      </w:pPr>
      <w:r w:rsidRPr="00CD76D4">
        <w:rPr>
          <w:rFonts w:ascii="Calibri" w:hAnsi="Calibri" w:cs="Arial"/>
          <w:color w:val="000000" w:themeColor="text1"/>
          <w:sz w:val="20"/>
          <w:szCs w:val="22"/>
        </w:rPr>
        <w:t xml:space="preserve">On January 4, President Peña Nieto </w:t>
      </w:r>
      <w:r w:rsidR="00D068CD" w:rsidRPr="00CD76D4">
        <w:rPr>
          <w:rFonts w:ascii="Calibri" w:hAnsi="Calibri" w:cs="Arial"/>
          <w:color w:val="000000" w:themeColor="text1"/>
          <w:sz w:val="20"/>
          <w:szCs w:val="22"/>
        </w:rPr>
        <w:t>released a Forward Look for 2015 via his</w:t>
      </w:r>
      <w:r w:rsidRPr="00CD76D4">
        <w:rPr>
          <w:rFonts w:ascii="Calibri" w:hAnsi="Calibri" w:cs="Arial"/>
          <w:color w:val="000000" w:themeColor="text1"/>
          <w:sz w:val="20"/>
          <w:szCs w:val="22"/>
        </w:rPr>
        <w:t xml:space="preserve"> </w:t>
      </w:r>
      <w:r w:rsidR="00D068CD" w:rsidRPr="00CD76D4">
        <w:rPr>
          <w:rFonts w:ascii="Calibri" w:hAnsi="Calibri" w:cs="Arial"/>
          <w:color w:val="000000" w:themeColor="text1"/>
          <w:sz w:val="20"/>
          <w:szCs w:val="22"/>
        </w:rPr>
        <w:t>website</w:t>
      </w:r>
      <w:r w:rsidRPr="00CD76D4">
        <w:rPr>
          <w:rFonts w:ascii="Calibri" w:hAnsi="Calibri" w:cs="Arial"/>
          <w:color w:val="000000" w:themeColor="text1"/>
          <w:sz w:val="20"/>
          <w:szCs w:val="22"/>
        </w:rPr>
        <w:t xml:space="preserve">. He used the message to </w:t>
      </w:r>
      <w:r w:rsidR="00D068CD" w:rsidRPr="00CD76D4">
        <w:rPr>
          <w:rFonts w:ascii="Calibri" w:hAnsi="Calibri" w:cs="Arial"/>
          <w:color w:val="000000" w:themeColor="text1"/>
          <w:sz w:val="20"/>
          <w:szCs w:val="22"/>
        </w:rPr>
        <w:t xml:space="preserve">announce </w:t>
      </w:r>
      <w:r w:rsidRPr="00CD76D4">
        <w:rPr>
          <w:rFonts w:ascii="Calibri" w:hAnsi="Calibri" w:cs="Arial"/>
          <w:color w:val="000000" w:themeColor="text1"/>
          <w:sz w:val="20"/>
          <w:szCs w:val="22"/>
        </w:rPr>
        <w:t xml:space="preserve">seven </w:t>
      </w:r>
      <w:r w:rsidR="00D068CD" w:rsidRPr="00CD76D4">
        <w:rPr>
          <w:rFonts w:ascii="Calibri" w:hAnsi="Calibri" w:cs="Arial"/>
          <w:color w:val="000000" w:themeColor="text1"/>
          <w:sz w:val="20"/>
          <w:szCs w:val="22"/>
        </w:rPr>
        <w:t xml:space="preserve">policy </w:t>
      </w:r>
      <w:r w:rsidRPr="00CD76D4">
        <w:rPr>
          <w:rFonts w:ascii="Calibri" w:hAnsi="Calibri" w:cs="Arial"/>
          <w:color w:val="000000" w:themeColor="text1"/>
          <w:sz w:val="20"/>
          <w:szCs w:val="22"/>
        </w:rPr>
        <w:t xml:space="preserve">actions to improve the welfare of Mexican households. The purpose of these measures is to deliver concrete results in order to compensate for the underperformance of the economy. Overall, these actions could bring some gains in </w:t>
      </w:r>
      <w:r w:rsidR="00D068CD" w:rsidRPr="00CD76D4">
        <w:rPr>
          <w:rFonts w:ascii="Calibri" w:hAnsi="Calibri" w:cs="Arial"/>
          <w:color w:val="000000" w:themeColor="text1"/>
          <w:sz w:val="20"/>
          <w:szCs w:val="22"/>
        </w:rPr>
        <w:t xml:space="preserve">certain </w:t>
      </w:r>
      <w:r w:rsidRPr="00CD76D4">
        <w:rPr>
          <w:rFonts w:ascii="Calibri" w:hAnsi="Calibri" w:cs="Arial"/>
          <w:color w:val="000000" w:themeColor="text1"/>
          <w:sz w:val="20"/>
          <w:szCs w:val="22"/>
        </w:rPr>
        <w:t xml:space="preserve">specific sectors such as manufacturing and telecoms, but they won’t compensate for the lack of sustained growth in </w:t>
      </w:r>
      <w:r w:rsidR="00D068CD" w:rsidRPr="00CD76D4">
        <w:rPr>
          <w:rFonts w:ascii="Calibri" w:hAnsi="Calibri" w:cs="Arial"/>
          <w:color w:val="000000" w:themeColor="text1"/>
          <w:sz w:val="20"/>
          <w:szCs w:val="22"/>
        </w:rPr>
        <w:t xml:space="preserve">overall </w:t>
      </w:r>
      <w:r w:rsidRPr="00CD76D4">
        <w:rPr>
          <w:rFonts w:ascii="Calibri" w:hAnsi="Calibri" w:cs="Arial"/>
          <w:color w:val="000000" w:themeColor="text1"/>
          <w:sz w:val="20"/>
          <w:szCs w:val="22"/>
        </w:rPr>
        <w:t>income per capita.</w:t>
      </w:r>
    </w:p>
    <w:p w:rsidR="00F434F0" w:rsidRPr="00D51ED9" w:rsidRDefault="000A5975" w:rsidP="00D51ED9">
      <w:pPr>
        <w:pStyle w:val="Title"/>
        <w:spacing w:before="0" w:after="0" w:line="240" w:lineRule="auto"/>
        <w:ind w:left="714" w:right="0"/>
        <w:jc w:val="both"/>
        <w:rPr>
          <w:rFonts w:ascii="Calibri" w:hAnsi="Calibri" w:cs="Arial"/>
          <w:b w:val="0"/>
          <w:color w:val="000000" w:themeColor="text1"/>
          <w:sz w:val="22"/>
          <w:szCs w:val="22"/>
        </w:rPr>
      </w:pPr>
      <w:r>
        <w:rPr>
          <w:rFonts w:ascii="Calibri" w:hAnsi="Calibri" w:cs="Arial"/>
          <w:b w:val="0"/>
          <w:noProof/>
          <w:color w:val="000000" w:themeColor="text1"/>
          <w:sz w:val="22"/>
          <w:szCs w:val="22"/>
          <w:lang w:eastAsia="en-GB"/>
        </w:rPr>
        <w:drawing>
          <wp:anchor distT="0" distB="0" distL="114300" distR="114300" simplePos="0" relativeHeight="251667456" behindDoc="1" locked="0" layoutInCell="1" allowOverlap="1">
            <wp:simplePos x="0" y="0"/>
            <wp:positionH relativeFrom="column">
              <wp:posOffset>3634740</wp:posOffset>
            </wp:positionH>
            <wp:positionV relativeFrom="paragraph">
              <wp:posOffset>118110</wp:posOffset>
            </wp:positionV>
            <wp:extent cx="2872105" cy="4036695"/>
            <wp:effectExtent l="19050" t="0" r="4445" b="0"/>
            <wp:wrapTight wrapText="bothSides">
              <wp:wrapPolygon edited="0">
                <wp:start x="2579" y="408"/>
                <wp:lineTo x="0" y="1325"/>
                <wp:lineTo x="-143" y="20999"/>
                <wp:lineTo x="1146" y="21101"/>
                <wp:lineTo x="12751" y="21101"/>
                <wp:lineTo x="13467" y="21101"/>
                <wp:lineTo x="16906" y="21101"/>
                <wp:lineTo x="21633" y="20489"/>
                <wp:lineTo x="21633" y="1427"/>
                <wp:lineTo x="19484" y="612"/>
                <wp:lineTo x="17479" y="408"/>
                <wp:lineTo x="2579" y="408"/>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2105" cy="4036695"/>
                    </a:xfrm>
                    <a:prstGeom prst="rect">
                      <a:avLst/>
                    </a:prstGeom>
                    <a:noFill/>
                    <a:ln w="9525">
                      <a:noFill/>
                      <a:miter lim="800000"/>
                      <a:headEnd/>
                      <a:tailEnd/>
                    </a:ln>
                  </pic:spPr>
                </pic:pic>
              </a:graphicData>
            </a:graphic>
          </wp:anchor>
        </w:drawing>
      </w:r>
      <w:r w:rsidR="008F7CB2">
        <w:rPr>
          <w:rFonts w:ascii="Calibri" w:hAnsi="Calibri" w:cs="Arial"/>
          <w:b w:val="0"/>
          <w:noProof/>
          <w:color w:val="000000" w:themeColor="text1"/>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2540</wp:posOffset>
                </wp:positionV>
                <wp:extent cx="6488430" cy="102870"/>
                <wp:effectExtent l="635" t="254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0287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AEAE3" id="Rectangle 3" o:spid="_x0000_s1026" style="position:absolute;margin-left:-.7pt;margin-top:.2pt;width:510.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aangIAADkFAAAOAAAAZHJzL2Uyb0RvYy54bWysVG1v0zAQ/o7Ef7D8vcvL0jaJmk5bRxHS&#10;gInBD3Adp7FwbGO7TTfEf+dsr6WDLwjRD6nvfL57nrvHXlwdBoH2zFiuZIOzixQjJqlqudw2+Mvn&#10;9aTEyDoiWyKUZA1+ZBZfLV+/Woy6ZrnqlWiZQZBE2nrUDe6d03WSWNqzgdgLpZmEzU6ZgTgwzTZp&#10;DRkh+yCSPE1nyahMq42izFrw3sZNvAz5u45R97HrLHNINBiwufA14bvx32S5IPXWEN1z+gyD/AOK&#10;gXAJRU+pbokjaGf4H6kGTo2yqnMXVA2J6jpOWeAAbLL0NzYPPdEscIHmWH1qk/1/aemH/b1BvG3w&#10;FCNJBhjRJ2gakVvB0KVvz6htDVEP+t54glbfKfrVIqlWPUSxa2PU2DPSAqjMxycvDnjDwlG0Gd+r&#10;FrKTnVOhU4fODD4h9AAdwkAeTwNhB4coOGdFWRaXMDcKe1mal/MwsYTUx9PaWPeWqQH5RYMNYA/Z&#10;yf7OOo+G1MeQgF4J3q65EMHwImMrYdCegDwIpUy6LBwXuwHgRv8shV8UCrhBTtFdHN1QIsjVZwoF&#10;7XkRIX0pqXzRiCd6gCIg9HuebJDK9yrLi/QmrybrWTmfFOtiOqnmaTlJs+qmmqVFVdyuf3h8WVH3&#10;vG2ZvOOSHWWbFX8ni+cLFAUXhIvGBlfTfBqov0BvzXZzapAnHDvhKZ+THLiDWyz40ODyFERqL4s3&#10;sgXapHaEi7hOXsIPLYMeHP9DV4KIvG6i/jaqfQQNGQUjBjXAewOLXpknjEa4uw2233bEMIzEOwk6&#10;rLKi8Jc9GMV0noNhznc25ztEUkjVYIdRXK5cfCB22vBtD5WiJqS6Bu12PMjK6zqiAtzegPsZGDy/&#10;Jf4BOLdD1K8Xb/kTAAD//wMAUEsDBBQABgAIAAAAIQB3wV7o2QAAAAcBAAAPAAAAZHJzL2Rvd25y&#10;ZXYueG1sTI7BTsMwEETvSPyDtUhcUGs3QhEKcSqExI1LSz9gGy9JRLwOsdMkfD3bE1xWs5rRzCv3&#10;i+/VhcbYBbaw2xpQxHVwHTcWTh9vmydQMSE77AOThZUi7KvbmxILF2Y+0OWYGiUlHAu00KY0FFrH&#10;uiWPcRsGYvE+w+gxyTs22o04S7nvdWZMrj12LAstDvTaUv11nLwFXusDnvC9nfT68DPMXWa+dWbt&#10;/d3y8gwq0ZL+wnDFF3SohOkcJnZR9RY2u0dJWpB7dU1mRJ1F5TnoqtT/+atfAAAA//8DAFBLAQIt&#10;ABQABgAIAAAAIQC2gziS/gAAAOEBAAATAAAAAAAAAAAAAAAAAAAAAABbQ29udGVudF9UeXBlc10u&#10;eG1sUEsBAi0AFAAGAAgAAAAhADj9If/WAAAAlAEAAAsAAAAAAAAAAAAAAAAALwEAAF9yZWxzLy5y&#10;ZWxzUEsBAi0AFAAGAAgAAAAhALuCVpqeAgAAOQUAAA4AAAAAAAAAAAAAAAAALgIAAGRycy9lMm9E&#10;b2MueG1sUEsBAi0AFAAGAAgAAAAhAHfBXujZAAAABwEAAA8AAAAAAAAAAAAAAAAA+AQAAGRycy9k&#10;b3ducmV2LnhtbFBLBQYAAAAABAAEAPMAAAD+BQAAAAA=&#10;" fillcolor="#95b3d7 [1940]" stroked="f"/>
            </w:pict>
          </mc:Fallback>
        </mc:AlternateContent>
      </w:r>
    </w:p>
    <w:p w:rsidR="00971994" w:rsidRPr="00CD76D4" w:rsidRDefault="00EB6840" w:rsidP="00971994">
      <w:pPr>
        <w:pStyle w:val="Title"/>
        <w:spacing w:before="0" w:after="0" w:line="240" w:lineRule="auto"/>
        <w:ind w:right="0"/>
        <w:rPr>
          <w:rFonts w:ascii="Calibri" w:hAnsi="Calibri"/>
          <w:sz w:val="24"/>
          <w:u w:val="single"/>
        </w:rPr>
      </w:pPr>
      <w:r w:rsidRPr="00CD76D4">
        <w:rPr>
          <w:rFonts w:ascii="Calibri" w:hAnsi="Calibri"/>
          <w:noProof/>
          <w:sz w:val="24"/>
          <w:u w:val="single"/>
          <w:lang w:eastAsia="en-GB"/>
        </w:rPr>
        <w:t xml:space="preserve">Macroeconomic Overview: </w:t>
      </w:r>
      <w:r w:rsidR="0063431D" w:rsidRPr="00CD76D4">
        <w:rPr>
          <w:rFonts w:ascii="Calibri" w:hAnsi="Calibri"/>
          <w:noProof/>
          <w:sz w:val="24"/>
          <w:u w:val="single"/>
          <w:lang w:eastAsia="en-GB"/>
        </w:rPr>
        <w:t>the year ends with some challenges</w:t>
      </w:r>
    </w:p>
    <w:p w:rsidR="00C24A70" w:rsidRPr="00C24A70" w:rsidRDefault="00D068CD" w:rsidP="005409E6">
      <w:pPr>
        <w:pStyle w:val="NormalWeb"/>
        <w:numPr>
          <w:ilvl w:val="0"/>
          <w:numId w:val="2"/>
        </w:numPr>
        <w:autoSpaceDE w:val="0"/>
        <w:autoSpaceDN w:val="0"/>
        <w:adjustRightInd w:val="0"/>
        <w:spacing w:before="120" w:beforeAutospacing="0" w:after="120" w:afterAutospacing="0"/>
        <w:ind w:left="0" w:hanging="284"/>
        <w:jc w:val="both"/>
        <w:rPr>
          <w:rFonts w:ascii="Calibri" w:hAnsi="Calibri"/>
          <w:sz w:val="22"/>
          <w:szCs w:val="22"/>
        </w:rPr>
      </w:pPr>
      <w:r>
        <w:rPr>
          <w:rFonts w:ascii="Calibri" w:hAnsi="Calibri"/>
          <w:sz w:val="22"/>
          <w:szCs w:val="22"/>
        </w:rPr>
        <w:t xml:space="preserve">The Mexican Government faces a complex scenario for 2015, including dealing with three outstanding economic concerns from 2014; </w:t>
      </w:r>
      <w:r w:rsidR="00C24A70">
        <w:rPr>
          <w:rFonts w:ascii="Calibri" w:hAnsi="Calibri"/>
          <w:sz w:val="22"/>
          <w:szCs w:val="22"/>
        </w:rPr>
        <w:t>the ongoing fall</w:t>
      </w:r>
      <w:r w:rsidR="00DB01F6">
        <w:rPr>
          <w:rFonts w:ascii="Calibri" w:hAnsi="Calibri"/>
          <w:sz w:val="22"/>
          <w:szCs w:val="22"/>
        </w:rPr>
        <w:t xml:space="preserve"> in oil prices and its effects o</w:t>
      </w:r>
      <w:r w:rsidR="00C24A70">
        <w:rPr>
          <w:rFonts w:ascii="Calibri" w:hAnsi="Calibri"/>
          <w:sz w:val="22"/>
          <w:szCs w:val="22"/>
        </w:rPr>
        <w:t xml:space="preserve">n </w:t>
      </w:r>
      <w:r w:rsidR="00DB01F6">
        <w:rPr>
          <w:rFonts w:ascii="Calibri" w:hAnsi="Calibri"/>
          <w:sz w:val="22"/>
          <w:szCs w:val="22"/>
        </w:rPr>
        <w:t>economic performance</w:t>
      </w:r>
      <w:r w:rsidR="005409E6">
        <w:rPr>
          <w:rFonts w:ascii="Calibri" w:hAnsi="Calibri"/>
          <w:sz w:val="22"/>
          <w:szCs w:val="22"/>
        </w:rPr>
        <w:t>, pressures on</w:t>
      </w:r>
      <w:r w:rsidR="00732586">
        <w:rPr>
          <w:rFonts w:ascii="Calibri" w:hAnsi="Calibri"/>
          <w:sz w:val="22"/>
          <w:szCs w:val="22"/>
        </w:rPr>
        <w:t xml:space="preserve"> the</w:t>
      </w:r>
      <w:r w:rsidR="005409E6">
        <w:rPr>
          <w:rFonts w:ascii="Calibri" w:hAnsi="Calibri"/>
          <w:sz w:val="22"/>
          <w:szCs w:val="22"/>
        </w:rPr>
        <w:t xml:space="preserve"> Bank of Mexico </w:t>
      </w:r>
      <w:r w:rsidR="00C24A70">
        <w:rPr>
          <w:rFonts w:ascii="Calibri" w:hAnsi="Calibri"/>
          <w:sz w:val="22"/>
          <w:szCs w:val="22"/>
        </w:rPr>
        <w:t xml:space="preserve">to </w:t>
      </w:r>
      <w:r w:rsidR="00C24A70">
        <w:rPr>
          <w:rFonts w:ascii="Calibri" w:hAnsi="Calibri"/>
          <w:sz w:val="22"/>
          <w:szCs w:val="22"/>
        </w:rPr>
        <w:lastRenderedPageBreak/>
        <w:t xml:space="preserve">adjust its monetary policy in the near future, and a weak recovery during 3Q2014. </w:t>
      </w:r>
    </w:p>
    <w:p w:rsidR="00F800F1" w:rsidRPr="00C24A70" w:rsidRDefault="0063431D" w:rsidP="005409E6">
      <w:pPr>
        <w:pStyle w:val="NormalWeb"/>
        <w:numPr>
          <w:ilvl w:val="0"/>
          <w:numId w:val="2"/>
        </w:numPr>
        <w:autoSpaceDE w:val="0"/>
        <w:autoSpaceDN w:val="0"/>
        <w:adjustRightInd w:val="0"/>
        <w:spacing w:before="120" w:beforeAutospacing="0" w:after="120" w:afterAutospacing="0"/>
        <w:ind w:left="0" w:hanging="284"/>
        <w:jc w:val="both"/>
        <w:rPr>
          <w:rFonts w:ascii="Calibri" w:hAnsi="Calibri"/>
          <w:sz w:val="22"/>
          <w:szCs w:val="22"/>
        </w:rPr>
      </w:pPr>
      <w:r>
        <w:rPr>
          <w:rFonts w:ascii="Calibri" w:hAnsi="Calibri" w:cs="Arial"/>
          <w:color w:val="000000" w:themeColor="text1"/>
          <w:sz w:val="22"/>
          <w:szCs w:val="22"/>
        </w:rPr>
        <w:t xml:space="preserve">The current fall in commodity prices has changed the economic outlook for </w:t>
      </w:r>
      <w:r w:rsidR="00D068CD">
        <w:rPr>
          <w:rFonts w:ascii="Calibri" w:hAnsi="Calibri" w:cs="Arial"/>
          <w:color w:val="000000" w:themeColor="text1"/>
          <w:sz w:val="22"/>
          <w:szCs w:val="22"/>
        </w:rPr>
        <w:t xml:space="preserve">all </w:t>
      </w:r>
      <w:r>
        <w:rPr>
          <w:rFonts w:ascii="Calibri" w:hAnsi="Calibri" w:cs="Arial"/>
          <w:color w:val="000000" w:themeColor="text1"/>
          <w:sz w:val="22"/>
          <w:szCs w:val="22"/>
        </w:rPr>
        <w:t xml:space="preserve">emerging markets; Mexico </w:t>
      </w:r>
      <w:r w:rsidR="00D068CD">
        <w:rPr>
          <w:rFonts w:ascii="Calibri" w:hAnsi="Calibri" w:cs="Arial"/>
          <w:color w:val="000000" w:themeColor="text1"/>
          <w:sz w:val="22"/>
          <w:szCs w:val="22"/>
        </w:rPr>
        <w:t xml:space="preserve">has not been </w:t>
      </w:r>
      <w:r>
        <w:rPr>
          <w:rFonts w:ascii="Calibri" w:hAnsi="Calibri" w:cs="Arial"/>
          <w:color w:val="000000" w:themeColor="text1"/>
          <w:sz w:val="22"/>
          <w:szCs w:val="22"/>
        </w:rPr>
        <w:t>excluded</w:t>
      </w:r>
      <w:r w:rsidR="000C7323">
        <w:rPr>
          <w:rFonts w:ascii="Calibri" w:hAnsi="Calibri" w:cs="Arial"/>
          <w:color w:val="000000" w:themeColor="text1"/>
          <w:sz w:val="22"/>
          <w:szCs w:val="22"/>
        </w:rPr>
        <w:t>.</w:t>
      </w:r>
      <w:r>
        <w:rPr>
          <w:rFonts w:ascii="Calibri" w:hAnsi="Calibri" w:cs="Arial"/>
          <w:color w:val="000000" w:themeColor="text1"/>
          <w:sz w:val="22"/>
          <w:szCs w:val="22"/>
        </w:rPr>
        <w:t xml:space="preserve"> Since October, the price of Mexican oil barrel has been decreasing day by day</w:t>
      </w:r>
      <w:r w:rsidR="00AF79CE">
        <w:rPr>
          <w:rFonts w:ascii="Calibri" w:hAnsi="Calibri" w:cs="Arial"/>
          <w:color w:val="000000" w:themeColor="text1"/>
          <w:sz w:val="22"/>
          <w:szCs w:val="22"/>
        </w:rPr>
        <w:t xml:space="preserve">. The monthly average price of the mix fell 20% from October to December. </w:t>
      </w:r>
      <w:r>
        <w:rPr>
          <w:rFonts w:ascii="Calibri" w:hAnsi="Calibri" w:cs="Arial"/>
          <w:color w:val="000000" w:themeColor="text1"/>
          <w:sz w:val="22"/>
          <w:szCs w:val="22"/>
        </w:rPr>
        <w:t xml:space="preserve">The consequences of </w:t>
      </w:r>
      <w:r w:rsidR="00C24A70">
        <w:rPr>
          <w:rFonts w:ascii="Calibri" w:hAnsi="Calibri" w:cs="Arial"/>
          <w:color w:val="000000" w:themeColor="text1"/>
          <w:sz w:val="22"/>
          <w:szCs w:val="22"/>
        </w:rPr>
        <w:t>cheaper oil prices can be seen already in the Mexican exchange rate and in Government revenues</w:t>
      </w:r>
      <w:r w:rsidR="00AF79CE">
        <w:rPr>
          <w:rFonts w:ascii="Calibri" w:hAnsi="Calibri" w:cs="Arial"/>
          <w:color w:val="000000" w:themeColor="text1"/>
          <w:sz w:val="22"/>
          <w:szCs w:val="22"/>
        </w:rPr>
        <w:t xml:space="preserve">. </w:t>
      </w:r>
      <w:r w:rsidR="009634E0">
        <w:rPr>
          <w:rFonts w:ascii="Calibri" w:hAnsi="Calibri" w:cs="Arial"/>
          <w:color w:val="000000" w:themeColor="text1"/>
          <w:sz w:val="22"/>
          <w:szCs w:val="22"/>
        </w:rPr>
        <w:t>However, the impact of these has been much reduced by the Government’s foresight due to its policy of ‘</w:t>
      </w:r>
      <w:r w:rsidR="00AF79CE">
        <w:rPr>
          <w:rFonts w:ascii="Calibri" w:hAnsi="Calibri" w:cs="Arial"/>
          <w:color w:val="000000" w:themeColor="text1"/>
          <w:sz w:val="22"/>
          <w:szCs w:val="22"/>
        </w:rPr>
        <w:t>hedg</w:t>
      </w:r>
      <w:r w:rsidR="009634E0">
        <w:rPr>
          <w:rFonts w:ascii="Calibri" w:hAnsi="Calibri" w:cs="Arial"/>
          <w:color w:val="000000" w:themeColor="text1"/>
          <w:sz w:val="22"/>
          <w:szCs w:val="22"/>
        </w:rPr>
        <w:t>ing’</w:t>
      </w:r>
      <w:r w:rsidR="00AF79CE">
        <w:rPr>
          <w:rFonts w:ascii="Calibri" w:hAnsi="Calibri" w:cs="Arial"/>
          <w:color w:val="000000" w:themeColor="text1"/>
          <w:sz w:val="22"/>
          <w:szCs w:val="22"/>
        </w:rPr>
        <w:t xml:space="preserve"> the </w:t>
      </w:r>
      <w:r w:rsidR="009634E0">
        <w:rPr>
          <w:rFonts w:ascii="Calibri" w:hAnsi="Calibri" w:cs="Arial"/>
          <w:color w:val="000000" w:themeColor="text1"/>
          <w:sz w:val="22"/>
          <w:szCs w:val="22"/>
        </w:rPr>
        <w:t xml:space="preserve">price it buys/sells </w:t>
      </w:r>
      <w:r w:rsidR="000A5975">
        <w:rPr>
          <w:rFonts w:ascii="Calibri" w:hAnsi="Calibri" w:cs="Arial"/>
          <w:color w:val="000000" w:themeColor="text1"/>
          <w:sz w:val="22"/>
          <w:szCs w:val="22"/>
        </w:rPr>
        <w:t>oil</w:t>
      </w:r>
      <w:r w:rsidR="009634E0">
        <w:rPr>
          <w:rFonts w:ascii="Calibri" w:hAnsi="Calibri" w:cs="Arial"/>
          <w:color w:val="000000" w:themeColor="text1"/>
          <w:sz w:val="22"/>
          <w:szCs w:val="22"/>
        </w:rPr>
        <w:t>.  It has ha</w:t>
      </w:r>
      <w:r w:rsidR="008F7764">
        <w:rPr>
          <w:rFonts w:ascii="Calibri" w:hAnsi="Calibri" w:cs="Arial"/>
          <w:color w:val="000000" w:themeColor="text1"/>
          <w:sz w:val="22"/>
          <w:szCs w:val="22"/>
        </w:rPr>
        <w:t xml:space="preserve">d this policy in place in 2011 </w:t>
      </w:r>
      <w:r w:rsidR="009634E0">
        <w:rPr>
          <w:rFonts w:ascii="Calibri" w:hAnsi="Calibri" w:cs="Arial"/>
          <w:color w:val="000000" w:themeColor="text1"/>
          <w:sz w:val="22"/>
          <w:szCs w:val="22"/>
        </w:rPr>
        <w:t>and hedged the price from the second half of 2014</w:t>
      </w:r>
      <w:r w:rsidR="000A5975">
        <w:rPr>
          <w:rFonts w:ascii="Calibri" w:hAnsi="Calibri" w:cs="Arial"/>
          <w:color w:val="000000" w:themeColor="text1"/>
          <w:sz w:val="22"/>
          <w:szCs w:val="22"/>
        </w:rPr>
        <w:t xml:space="preserve"> at USD$79, </w:t>
      </w:r>
      <w:r w:rsidR="009634E0">
        <w:rPr>
          <w:rFonts w:ascii="Calibri" w:hAnsi="Calibri" w:cs="Arial"/>
          <w:color w:val="000000" w:themeColor="text1"/>
          <w:sz w:val="22"/>
          <w:szCs w:val="22"/>
        </w:rPr>
        <w:t xml:space="preserve">protecting Government from the biggest shocks, but meaning that </w:t>
      </w:r>
      <w:r w:rsidR="000A5975">
        <w:rPr>
          <w:rFonts w:ascii="Calibri" w:hAnsi="Calibri" w:cs="Arial"/>
          <w:color w:val="000000" w:themeColor="text1"/>
          <w:sz w:val="22"/>
          <w:szCs w:val="22"/>
        </w:rPr>
        <w:t>the Government will not receive any revenue surpluses from high oil prices</w:t>
      </w:r>
      <w:r w:rsidR="009634E0">
        <w:rPr>
          <w:rFonts w:ascii="Calibri" w:hAnsi="Calibri" w:cs="Arial"/>
          <w:color w:val="000000" w:themeColor="text1"/>
          <w:sz w:val="22"/>
          <w:szCs w:val="22"/>
        </w:rPr>
        <w:t xml:space="preserve"> for the </w:t>
      </w:r>
      <w:r w:rsidR="008F7764">
        <w:rPr>
          <w:rFonts w:ascii="Calibri" w:hAnsi="Calibri" w:cs="Arial"/>
          <w:color w:val="000000" w:themeColor="text1"/>
          <w:sz w:val="22"/>
          <w:szCs w:val="22"/>
        </w:rPr>
        <w:t>foreseeable</w:t>
      </w:r>
      <w:r w:rsidR="009634E0">
        <w:rPr>
          <w:rFonts w:ascii="Calibri" w:hAnsi="Calibri" w:cs="Arial"/>
          <w:color w:val="000000" w:themeColor="text1"/>
          <w:sz w:val="22"/>
          <w:szCs w:val="22"/>
        </w:rPr>
        <w:t xml:space="preserve"> future</w:t>
      </w:r>
      <w:r w:rsidR="000A5975">
        <w:rPr>
          <w:rFonts w:ascii="Calibri" w:hAnsi="Calibri" w:cs="Arial"/>
          <w:color w:val="000000" w:themeColor="text1"/>
          <w:sz w:val="22"/>
          <w:szCs w:val="22"/>
        </w:rPr>
        <w:t>.</w:t>
      </w:r>
    </w:p>
    <w:p w:rsidR="00C24A70" w:rsidRPr="00197979" w:rsidRDefault="008F7764" w:rsidP="005409E6">
      <w:pPr>
        <w:pStyle w:val="NormalWeb"/>
        <w:numPr>
          <w:ilvl w:val="0"/>
          <w:numId w:val="2"/>
        </w:numPr>
        <w:autoSpaceDE w:val="0"/>
        <w:autoSpaceDN w:val="0"/>
        <w:adjustRightInd w:val="0"/>
        <w:spacing w:before="120" w:beforeAutospacing="0" w:after="120" w:afterAutospacing="0"/>
        <w:ind w:left="0" w:hanging="284"/>
        <w:jc w:val="both"/>
        <w:rPr>
          <w:rFonts w:ascii="Calibri" w:hAnsi="Calibri"/>
          <w:sz w:val="22"/>
          <w:szCs w:val="22"/>
        </w:rPr>
      </w:pPr>
      <w:r>
        <w:rPr>
          <w:rFonts w:ascii="Calibri" w:hAnsi="Calibri" w:cs="Arial"/>
          <w:noProof/>
          <w:color w:val="000000" w:themeColor="text1"/>
          <w:sz w:val="22"/>
          <w:szCs w:val="22"/>
        </w:rPr>
        <w:drawing>
          <wp:anchor distT="0" distB="0" distL="114300" distR="114300" simplePos="0" relativeHeight="251666432" behindDoc="1" locked="0" layoutInCell="1" allowOverlap="1">
            <wp:simplePos x="0" y="0"/>
            <wp:positionH relativeFrom="column">
              <wp:posOffset>3500120</wp:posOffset>
            </wp:positionH>
            <wp:positionV relativeFrom="paragraph">
              <wp:posOffset>992505</wp:posOffset>
            </wp:positionV>
            <wp:extent cx="2974975" cy="41592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974975" cy="4159250"/>
                    </a:xfrm>
                    <a:prstGeom prst="rect">
                      <a:avLst/>
                    </a:prstGeom>
                    <a:noFill/>
                    <a:ln w="9525">
                      <a:noFill/>
                      <a:miter lim="800000"/>
                      <a:headEnd/>
                      <a:tailEnd/>
                    </a:ln>
                  </pic:spPr>
                </pic:pic>
              </a:graphicData>
            </a:graphic>
          </wp:anchor>
        </w:drawing>
      </w:r>
      <w:r w:rsidR="00C24A70">
        <w:rPr>
          <w:rFonts w:ascii="Calibri" w:hAnsi="Calibri" w:cs="Arial"/>
          <w:color w:val="000000" w:themeColor="text1"/>
          <w:sz w:val="22"/>
          <w:szCs w:val="22"/>
        </w:rPr>
        <w:t>The capital outflow from emerging markets is not arbitrary: it is focused mainly on oil producers</w:t>
      </w:r>
      <w:r w:rsidR="00A652AE">
        <w:rPr>
          <w:rFonts w:ascii="Calibri" w:hAnsi="Calibri" w:cs="Arial"/>
          <w:color w:val="000000" w:themeColor="text1"/>
          <w:sz w:val="22"/>
          <w:szCs w:val="22"/>
        </w:rPr>
        <w:t>, and it is closely related with the fall in oil prices</w:t>
      </w:r>
      <w:r w:rsidR="00C24A70">
        <w:rPr>
          <w:rFonts w:ascii="Calibri" w:hAnsi="Calibri" w:cs="Arial"/>
          <w:color w:val="000000" w:themeColor="text1"/>
          <w:sz w:val="22"/>
          <w:szCs w:val="22"/>
        </w:rPr>
        <w:t xml:space="preserve">. </w:t>
      </w:r>
      <w:r w:rsidR="00A652AE">
        <w:rPr>
          <w:rFonts w:ascii="Calibri" w:hAnsi="Calibri" w:cs="Arial"/>
          <w:color w:val="000000" w:themeColor="text1"/>
          <w:sz w:val="22"/>
          <w:szCs w:val="22"/>
        </w:rPr>
        <w:t xml:space="preserve">From the beginning of September to the end of 2014, in comparison with the US dollar, the Mexican peso depreciated 11.1%, the Brazilian real 15.2%, the Norwegian </w:t>
      </w:r>
      <w:r w:rsidR="00D068CD">
        <w:rPr>
          <w:rFonts w:ascii="Calibri" w:hAnsi="Calibri" w:cs="Arial"/>
          <w:color w:val="000000" w:themeColor="text1"/>
          <w:sz w:val="22"/>
          <w:szCs w:val="22"/>
        </w:rPr>
        <w:t>kroner</w:t>
      </w:r>
      <w:r w:rsidR="00A652AE">
        <w:rPr>
          <w:rFonts w:ascii="Calibri" w:hAnsi="Calibri" w:cs="Arial"/>
          <w:color w:val="000000" w:themeColor="text1"/>
          <w:sz w:val="22"/>
          <w:szCs w:val="22"/>
        </w:rPr>
        <w:t xml:space="preserve"> 16.9%, and the Russian </w:t>
      </w:r>
      <w:r w:rsidR="00D068CD">
        <w:rPr>
          <w:rFonts w:ascii="Calibri" w:hAnsi="Calibri" w:cs="Arial"/>
          <w:color w:val="000000" w:themeColor="text1"/>
          <w:sz w:val="22"/>
          <w:szCs w:val="22"/>
        </w:rPr>
        <w:t>rouble</w:t>
      </w:r>
      <w:r w:rsidR="00A652AE">
        <w:rPr>
          <w:rFonts w:ascii="Calibri" w:hAnsi="Calibri" w:cs="Arial"/>
          <w:color w:val="000000" w:themeColor="text1"/>
          <w:sz w:val="22"/>
          <w:szCs w:val="22"/>
        </w:rPr>
        <w:t xml:space="preserve"> 35.5%. As Graph 1 shows, there is a close relationship between both variables</w:t>
      </w:r>
      <w:r w:rsidR="00D068CD">
        <w:rPr>
          <w:rFonts w:ascii="Calibri" w:hAnsi="Calibri" w:cs="Arial"/>
          <w:color w:val="000000" w:themeColor="text1"/>
          <w:sz w:val="22"/>
          <w:szCs w:val="22"/>
        </w:rPr>
        <w:t>,</w:t>
      </w:r>
      <w:r w:rsidR="00A652AE">
        <w:rPr>
          <w:rFonts w:ascii="Calibri" w:hAnsi="Calibri" w:cs="Arial"/>
          <w:color w:val="000000" w:themeColor="text1"/>
          <w:sz w:val="22"/>
          <w:szCs w:val="22"/>
        </w:rPr>
        <w:t xml:space="preserve"> and only the intervention of the Mexican Central Bank to auction USD200m on 12 December smoothed the depreciation rate of the currency. Agustin </w:t>
      </w:r>
      <w:proofErr w:type="spellStart"/>
      <w:r w:rsidR="00A652AE">
        <w:rPr>
          <w:rFonts w:ascii="Calibri" w:hAnsi="Calibri" w:cs="Arial"/>
          <w:color w:val="000000" w:themeColor="text1"/>
          <w:sz w:val="22"/>
          <w:szCs w:val="22"/>
        </w:rPr>
        <w:t>Carstens</w:t>
      </w:r>
      <w:proofErr w:type="spellEnd"/>
      <w:r w:rsidR="00A652AE">
        <w:rPr>
          <w:rFonts w:ascii="Calibri" w:hAnsi="Calibri" w:cs="Arial"/>
          <w:color w:val="000000" w:themeColor="text1"/>
          <w:sz w:val="22"/>
          <w:szCs w:val="22"/>
        </w:rPr>
        <w:t xml:space="preserve">, Governor of the </w:t>
      </w:r>
      <w:r w:rsidR="005409E6">
        <w:rPr>
          <w:rFonts w:ascii="Calibri" w:hAnsi="Calibri" w:cs="Arial"/>
          <w:color w:val="000000" w:themeColor="text1"/>
          <w:sz w:val="22"/>
          <w:szCs w:val="22"/>
        </w:rPr>
        <w:t>Bank of Mexico</w:t>
      </w:r>
      <w:r w:rsidR="00A652AE">
        <w:rPr>
          <w:rFonts w:ascii="Calibri" w:hAnsi="Calibri" w:cs="Arial"/>
          <w:color w:val="000000" w:themeColor="text1"/>
          <w:sz w:val="22"/>
          <w:szCs w:val="22"/>
        </w:rPr>
        <w:t>, justified this intervention by stating that this volatility in capital markets could cause exchange rate overshooting and therefore could affect price stability. The correlation between daily exchange rate and the price Mexican oil barrel</w:t>
      </w:r>
      <w:r w:rsidR="00732586">
        <w:rPr>
          <w:rFonts w:ascii="Calibri" w:hAnsi="Calibri" w:cs="Arial"/>
          <w:color w:val="000000" w:themeColor="text1"/>
          <w:sz w:val="22"/>
          <w:szCs w:val="22"/>
        </w:rPr>
        <w:t xml:space="preserve"> for the 4Q2014</w:t>
      </w:r>
      <w:r w:rsidR="00A652AE">
        <w:rPr>
          <w:rFonts w:ascii="Calibri" w:hAnsi="Calibri" w:cs="Arial"/>
          <w:color w:val="000000" w:themeColor="text1"/>
          <w:sz w:val="22"/>
          <w:szCs w:val="22"/>
        </w:rPr>
        <w:t xml:space="preserve"> is -0.98 and statistically significant. </w:t>
      </w:r>
    </w:p>
    <w:p w:rsidR="00DB01F6" w:rsidRPr="00DB01F6" w:rsidRDefault="00DB01F6" w:rsidP="005409E6">
      <w:pPr>
        <w:pStyle w:val="NormalWeb"/>
        <w:numPr>
          <w:ilvl w:val="0"/>
          <w:numId w:val="2"/>
        </w:numPr>
        <w:autoSpaceDE w:val="0"/>
        <w:autoSpaceDN w:val="0"/>
        <w:adjustRightInd w:val="0"/>
        <w:spacing w:before="120" w:beforeAutospacing="0" w:after="120" w:afterAutospacing="0"/>
        <w:ind w:left="0" w:hanging="284"/>
        <w:jc w:val="both"/>
        <w:rPr>
          <w:rFonts w:ascii="Calibri" w:hAnsi="Calibri"/>
          <w:sz w:val="22"/>
          <w:szCs w:val="22"/>
        </w:rPr>
      </w:pPr>
      <w:r>
        <w:rPr>
          <w:rFonts w:ascii="Calibri" w:hAnsi="Calibri" w:cs="Arial"/>
          <w:color w:val="000000" w:themeColor="text1"/>
          <w:sz w:val="22"/>
          <w:szCs w:val="22"/>
        </w:rPr>
        <w:t>In addition, g</w:t>
      </w:r>
      <w:r w:rsidR="00197979">
        <w:rPr>
          <w:rFonts w:ascii="Calibri" w:hAnsi="Calibri" w:cs="Arial"/>
          <w:color w:val="000000" w:themeColor="text1"/>
          <w:sz w:val="22"/>
          <w:szCs w:val="22"/>
        </w:rPr>
        <w:t xml:space="preserve">overnment revenues have been affected by the fall in prices. As Graph 2 shows, </w:t>
      </w:r>
      <w:r>
        <w:rPr>
          <w:rFonts w:ascii="Calibri" w:hAnsi="Calibri" w:cs="Arial"/>
          <w:color w:val="000000" w:themeColor="text1"/>
          <w:sz w:val="22"/>
          <w:szCs w:val="22"/>
        </w:rPr>
        <w:t xml:space="preserve">some of </w:t>
      </w:r>
      <w:r w:rsidR="00197979">
        <w:rPr>
          <w:rFonts w:ascii="Calibri" w:hAnsi="Calibri" w:cs="Arial"/>
          <w:color w:val="000000" w:themeColor="text1"/>
          <w:sz w:val="22"/>
          <w:szCs w:val="22"/>
        </w:rPr>
        <w:t xml:space="preserve">the </w:t>
      </w:r>
      <w:r w:rsidR="000A5975">
        <w:rPr>
          <w:rFonts w:ascii="Calibri" w:hAnsi="Calibri" w:cs="Arial"/>
          <w:color w:val="000000" w:themeColor="text1"/>
          <w:sz w:val="22"/>
          <w:szCs w:val="22"/>
        </w:rPr>
        <w:t xml:space="preserve">impact of the fall in oil revenues has been offset by two policies: the hedging of the oil prices (which prevented a larger decrease in revenues in 2H2014) and new tax </w:t>
      </w:r>
      <w:r>
        <w:rPr>
          <w:rFonts w:ascii="Calibri" w:hAnsi="Calibri" w:cs="Arial"/>
          <w:color w:val="000000" w:themeColor="text1"/>
          <w:sz w:val="22"/>
          <w:szCs w:val="22"/>
        </w:rPr>
        <w:t>revenues brought by the fiscal reform</w:t>
      </w:r>
      <w:r w:rsidR="000A5975">
        <w:rPr>
          <w:rFonts w:ascii="Calibri" w:hAnsi="Calibri" w:cs="Arial"/>
          <w:color w:val="000000" w:themeColor="text1"/>
          <w:sz w:val="22"/>
          <w:szCs w:val="22"/>
        </w:rPr>
        <w:t>. Hedging oil revenues has been a sensible decision</w:t>
      </w:r>
      <w:r>
        <w:rPr>
          <w:rFonts w:ascii="Calibri" w:hAnsi="Calibri" w:cs="Arial"/>
          <w:color w:val="000000" w:themeColor="text1"/>
          <w:sz w:val="22"/>
          <w:szCs w:val="22"/>
        </w:rPr>
        <w:t>,</w:t>
      </w:r>
      <w:r w:rsidR="000A5975">
        <w:rPr>
          <w:rFonts w:ascii="Calibri" w:hAnsi="Calibri" w:cs="Arial"/>
          <w:color w:val="000000" w:themeColor="text1"/>
          <w:sz w:val="22"/>
          <w:szCs w:val="22"/>
        </w:rPr>
        <w:t xml:space="preserve"> however</w:t>
      </w:r>
      <w:r>
        <w:rPr>
          <w:rFonts w:ascii="Calibri" w:hAnsi="Calibri" w:cs="Arial"/>
          <w:color w:val="000000" w:themeColor="text1"/>
          <w:sz w:val="22"/>
          <w:szCs w:val="22"/>
        </w:rPr>
        <w:t xml:space="preserve"> if this trend in prices remains in 2016, </w:t>
      </w:r>
      <w:r w:rsidR="00732586">
        <w:rPr>
          <w:rFonts w:ascii="Calibri" w:hAnsi="Calibri" w:cs="Arial"/>
          <w:color w:val="000000" w:themeColor="text1"/>
          <w:sz w:val="22"/>
          <w:szCs w:val="22"/>
        </w:rPr>
        <w:t>public debt could increase significantly</w:t>
      </w:r>
      <w:r>
        <w:rPr>
          <w:rFonts w:ascii="Calibri" w:hAnsi="Calibri" w:cs="Arial"/>
          <w:color w:val="000000" w:themeColor="text1"/>
          <w:sz w:val="22"/>
          <w:szCs w:val="22"/>
        </w:rPr>
        <w:t>. Moreover, if oil companies perceive this negative trend as something that will b</w:t>
      </w:r>
      <w:r w:rsidR="00732586">
        <w:rPr>
          <w:rFonts w:ascii="Calibri" w:hAnsi="Calibri" w:cs="Arial"/>
          <w:color w:val="000000" w:themeColor="text1"/>
          <w:sz w:val="22"/>
          <w:szCs w:val="22"/>
        </w:rPr>
        <w:t>e</w:t>
      </w:r>
      <w:r>
        <w:rPr>
          <w:rFonts w:ascii="Calibri" w:hAnsi="Calibri" w:cs="Arial"/>
          <w:color w:val="000000" w:themeColor="text1"/>
          <w:sz w:val="22"/>
          <w:szCs w:val="22"/>
        </w:rPr>
        <w:t xml:space="preserve"> maintained in the long term, the energy reform could attract less investment than expected, since the expected profit margin would decrease and projects for deep water and shale require a significant amount of initial investment.</w:t>
      </w:r>
      <w:r w:rsidR="00732586">
        <w:rPr>
          <w:rFonts w:ascii="Calibri" w:hAnsi="Calibri" w:cs="Arial"/>
          <w:color w:val="000000" w:themeColor="text1"/>
          <w:sz w:val="22"/>
          <w:szCs w:val="22"/>
        </w:rPr>
        <w:t xml:space="preserve"> In order to remain as an attractive destination for foreign investors, the Mexican authorities would need to check its tax scheme for profit sharing contracts in order to offer better conditions to maintain the interest. However, this will mean less government revenues, which was the original purpose of the reform.</w:t>
      </w:r>
    </w:p>
    <w:p w:rsidR="00197979" w:rsidRPr="005A6802" w:rsidRDefault="00DB01F6" w:rsidP="005409E6">
      <w:pPr>
        <w:pStyle w:val="NormalWeb"/>
        <w:numPr>
          <w:ilvl w:val="0"/>
          <w:numId w:val="2"/>
        </w:numPr>
        <w:autoSpaceDE w:val="0"/>
        <w:autoSpaceDN w:val="0"/>
        <w:adjustRightInd w:val="0"/>
        <w:spacing w:before="120" w:beforeAutospacing="0" w:after="120" w:afterAutospacing="0"/>
        <w:ind w:left="0" w:hanging="284"/>
        <w:jc w:val="both"/>
        <w:rPr>
          <w:rFonts w:ascii="Calibri" w:hAnsi="Calibri"/>
          <w:sz w:val="22"/>
          <w:szCs w:val="22"/>
        </w:rPr>
      </w:pPr>
      <w:r>
        <w:rPr>
          <w:rFonts w:ascii="Calibri" w:hAnsi="Calibri" w:cs="Arial"/>
          <w:color w:val="000000" w:themeColor="text1"/>
          <w:sz w:val="22"/>
          <w:szCs w:val="22"/>
        </w:rPr>
        <w:t>The Bank</w:t>
      </w:r>
      <w:r w:rsidR="005409E6">
        <w:rPr>
          <w:rFonts w:ascii="Calibri" w:hAnsi="Calibri" w:cs="Arial"/>
          <w:color w:val="000000" w:themeColor="text1"/>
          <w:sz w:val="22"/>
          <w:szCs w:val="22"/>
        </w:rPr>
        <w:t xml:space="preserve"> of Mexico</w:t>
      </w:r>
      <w:r>
        <w:rPr>
          <w:rFonts w:ascii="Calibri" w:hAnsi="Calibri" w:cs="Arial"/>
          <w:color w:val="000000" w:themeColor="text1"/>
          <w:sz w:val="22"/>
          <w:szCs w:val="22"/>
        </w:rPr>
        <w:t xml:space="preserve"> has also t</w:t>
      </w:r>
      <w:r w:rsidR="005A6802">
        <w:rPr>
          <w:rFonts w:ascii="Calibri" w:hAnsi="Calibri" w:cs="Arial"/>
          <w:color w:val="000000" w:themeColor="text1"/>
          <w:sz w:val="22"/>
          <w:szCs w:val="22"/>
        </w:rPr>
        <w:t>ake</w:t>
      </w:r>
      <w:r>
        <w:rPr>
          <w:rFonts w:ascii="Calibri" w:hAnsi="Calibri" w:cs="Arial"/>
          <w:color w:val="000000" w:themeColor="text1"/>
          <w:sz w:val="22"/>
          <w:szCs w:val="22"/>
        </w:rPr>
        <w:t xml:space="preserve"> into account short term depreciation into its inflation targets. </w:t>
      </w:r>
      <w:r w:rsidR="005409E6">
        <w:rPr>
          <w:rFonts w:ascii="Calibri" w:hAnsi="Calibri" w:cs="Arial"/>
          <w:color w:val="000000" w:themeColor="text1"/>
          <w:sz w:val="22"/>
          <w:szCs w:val="22"/>
        </w:rPr>
        <w:t>Even when evidence suggests that the exchange rate pass-through is low for the general price level, yearly inflation is already over the benchmark established by</w:t>
      </w:r>
      <w:r w:rsidR="004E07E7">
        <w:rPr>
          <w:rFonts w:ascii="Calibri" w:hAnsi="Calibri" w:cs="Arial"/>
          <w:color w:val="000000" w:themeColor="text1"/>
          <w:sz w:val="22"/>
          <w:szCs w:val="22"/>
        </w:rPr>
        <w:t xml:space="preserve"> </w:t>
      </w:r>
      <w:r w:rsidR="005409E6">
        <w:rPr>
          <w:rFonts w:ascii="Calibri" w:hAnsi="Calibri" w:cs="Arial"/>
          <w:color w:val="000000" w:themeColor="text1"/>
          <w:sz w:val="22"/>
          <w:szCs w:val="22"/>
        </w:rPr>
        <w:t>the</w:t>
      </w:r>
      <w:r w:rsidR="00D068CD">
        <w:rPr>
          <w:rFonts w:ascii="Calibri" w:hAnsi="Calibri" w:cs="Arial"/>
          <w:color w:val="000000" w:themeColor="text1"/>
          <w:sz w:val="22"/>
          <w:szCs w:val="22"/>
        </w:rPr>
        <w:t xml:space="preserve"> Bank (3 </w:t>
      </w:r>
      <w:r w:rsidR="004E07E7">
        <w:rPr>
          <w:rFonts w:ascii="Calibri" w:hAnsi="Calibri" w:cs="Arial"/>
          <w:color w:val="000000" w:themeColor="text1"/>
          <w:sz w:val="22"/>
          <w:szCs w:val="22"/>
        </w:rPr>
        <w:t>+/-</w:t>
      </w:r>
      <w:r w:rsidR="00D068CD">
        <w:rPr>
          <w:rFonts w:ascii="Calibri" w:hAnsi="Calibri" w:cs="Arial"/>
          <w:color w:val="000000" w:themeColor="text1"/>
          <w:sz w:val="22"/>
          <w:szCs w:val="22"/>
        </w:rPr>
        <w:t>1%</w:t>
      </w:r>
      <w:r w:rsidR="004E07E7">
        <w:rPr>
          <w:rFonts w:ascii="Calibri" w:hAnsi="Calibri" w:cs="Arial"/>
          <w:color w:val="000000" w:themeColor="text1"/>
          <w:sz w:val="22"/>
          <w:szCs w:val="22"/>
        </w:rPr>
        <w:t>) as it</w:t>
      </w:r>
      <w:r w:rsidR="005409E6">
        <w:rPr>
          <w:rFonts w:ascii="Calibri" w:hAnsi="Calibri" w:cs="Arial"/>
          <w:color w:val="000000" w:themeColor="text1"/>
          <w:sz w:val="22"/>
          <w:szCs w:val="22"/>
        </w:rPr>
        <w:t xml:space="preserve"> could reach 4.</w:t>
      </w:r>
      <w:r w:rsidR="004E07E7">
        <w:rPr>
          <w:rFonts w:ascii="Calibri" w:hAnsi="Calibri" w:cs="Arial"/>
          <w:color w:val="000000" w:themeColor="text1"/>
          <w:sz w:val="22"/>
          <w:szCs w:val="22"/>
        </w:rPr>
        <w:t>07</w:t>
      </w:r>
      <w:r w:rsidR="005409E6">
        <w:rPr>
          <w:rFonts w:ascii="Calibri" w:hAnsi="Calibri" w:cs="Arial"/>
          <w:color w:val="000000" w:themeColor="text1"/>
          <w:sz w:val="22"/>
          <w:szCs w:val="22"/>
        </w:rPr>
        <w:t xml:space="preserve">%. Most of the increase is due to </w:t>
      </w:r>
      <w:proofErr w:type="spellStart"/>
      <w:r w:rsidR="005409E6">
        <w:rPr>
          <w:rFonts w:ascii="Calibri" w:hAnsi="Calibri" w:cs="Arial"/>
          <w:color w:val="000000" w:themeColor="text1"/>
          <w:sz w:val="22"/>
          <w:szCs w:val="22"/>
        </w:rPr>
        <w:t>non core</w:t>
      </w:r>
      <w:proofErr w:type="spellEnd"/>
      <w:r w:rsidR="005409E6">
        <w:rPr>
          <w:rFonts w:ascii="Calibri" w:hAnsi="Calibri" w:cs="Arial"/>
          <w:color w:val="000000" w:themeColor="text1"/>
          <w:sz w:val="22"/>
          <w:szCs w:val="22"/>
        </w:rPr>
        <w:t xml:space="preserve"> inflation caused by recent increases in petrol and </w:t>
      </w:r>
      <w:r w:rsidR="005A6802">
        <w:rPr>
          <w:rFonts w:ascii="Calibri" w:hAnsi="Calibri" w:cs="Arial"/>
          <w:color w:val="000000" w:themeColor="text1"/>
          <w:sz w:val="22"/>
          <w:szCs w:val="22"/>
        </w:rPr>
        <w:t>livestock</w:t>
      </w:r>
      <w:r w:rsidR="005409E6">
        <w:rPr>
          <w:rFonts w:ascii="Calibri" w:hAnsi="Calibri" w:cs="Arial"/>
          <w:color w:val="000000" w:themeColor="text1"/>
          <w:sz w:val="22"/>
          <w:szCs w:val="22"/>
        </w:rPr>
        <w:t xml:space="preserve"> prices</w:t>
      </w:r>
      <w:r w:rsidR="005A6802">
        <w:rPr>
          <w:rFonts w:ascii="Calibri" w:hAnsi="Calibri" w:cs="Arial"/>
          <w:color w:val="000000" w:themeColor="text1"/>
          <w:sz w:val="22"/>
          <w:szCs w:val="22"/>
        </w:rPr>
        <w:t>. Paired with an imminent increase in interest rates in the US for 1Q2015, the Bank will have to discuss its interest rate target, set in 3%.</w:t>
      </w:r>
    </w:p>
    <w:p w:rsidR="005A6802" w:rsidRPr="000C7323" w:rsidRDefault="005A6802" w:rsidP="005409E6">
      <w:pPr>
        <w:pStyle w:val="NormalWeb"/>
        <w:numPr>
          <w:ilvl w:val="0"/>
          <w:numId w:val="2"/>
        </w:numPr>
        <w:autoSpaceDE w:val="0"/>
        <w:autoSpaceDN w:val="0"/>
        <w:adjustRightInd w:val="0"/>
        <w:spacing w:before="120" w:beforeAutospacing="0" w:after="120" w:afterAutospacing="0"/>
        <w:ind w:left="0" w:hanging="284"/>
        <w:jc w:val="both"/>
        <w:rPr>
          <w:rFonts w:ascii="Calibri" w:hAnsi="Calibri"/>
          <w:sz w:val="22"/>
          <w:szCs w:val="22"/>
        </w:rPr>
      </w:pPr>
      <w:r>
        <w:rPr>
          <w:rFonts w:ascii="Calibri" w:hAnsi="Calibri" w:cs="Arial"/>
          <w:color w:val="000000" w:themeColor="text1"/>
          <w:sz w:val="22"/>
          <w:szCs w:val="22"/>
        </w:rPr>
        <w:t xml:space="preserve">Not all the effects of this depreciation will be negative: the depreciation of the exchange rate, paired with good economic performance of the American economy for the last quarter of 2014, could boost exports in the short term. This will </w:t>
      </w:r>
      <w:r w:rsidR="004E07E7">
        <w:rPr>
          <w:rFonts w:ascii="Calibri" w:hAnsi="Calibri" w:cs="Arial"/>
          <w:color w:val="000000" w:themeColor="text1"/>
          <w:sz w:val="22"/>
          <w:szCs w:val="22"/>
        </w:rPr>
        <w:t xml:space="preserve">help the weak recovery of the economy. </w:t>
      </w:r>
      <w:r w:rsidR="0057590C">
        <w:rPr>
          <w:rFonts w:ascii="Calibri" w:hAnsi="Calibri" w:cs="Arial"/>
          <w:color w:val="000000" w:themeColor="text1"/>
          <w:sz w:val="22"/>
          <w:szCs w:val="22"/>
        </w:rPr>
        <w:t>The</w:t>
      </w:r>
      <w:r w:rsidR="004E07E7">
        <w:rPr>
          <w:rFonts w:ascii="Calibri" w:hAnsi="Calibri" w:cs="Arial"/>
          <w:color w:val="000000" w:themeColor="text1"/>
          <w:sz w:val="22"/>
          <w:szCs w:val="22"/>
        </w:rPr>
        <w:t xml:space="preserve"> recovery started back in April </w:t>
      </w:r>
      <w:r w:rsidR="0057590C">
        <w:rPr>
          <w:rFonts w:ascii="Calibri" w:hAnsi="Calibri" w:cs="Arial"/>
          <w:color w:val="000000" w:themeColor="text1"/>
          <w:sz w:val="22"/>
          <w:szCs w:val="22"/>
        </w:rPr>
        <w:t xml:space="preserve">2014, </w:t>
      </w:r>
      <w:r w:rsidR="004E07E7">
        <w:rPr>
          <w:rFonts w:ascii="Calibri" w:hAnsi="Calibri" w:cs="Arial"/>
          <w:color w:val="000000" w:themeColor="text1"/>
          <w:sz w:val="22"/>
          <w:szCs w:val="22"/>
        </w:rPr>
        <w:t>but it hasn’t been strong enough to drive the economy to its potential. According to the latest survey from Bank of Mexico, the expected GDP growth rate is 2.2%.</w:t>
      </w:r>
      <w:r w:rsidR="00493359" w:rsidRPr="00493359">
        <w:rPr>
          <w:rFonts w:ascii="Calibri" w:hAnsi="Calibri" w:cs="Arial"/>
          <w:color w:val="000000" w:themeColor="text1"/>
          <w:sz w:val="22"/>
          <w:szCs w:val="22"/>
        </w:rPr>
        <w:t xml:space="preserve"> </w:t>
      </w:r>
    </w:p>
    <w:p w:rsidR="007D2732" w:rsidRPr="00C442EC" w:rsidRDefault="008F7CB2" w:rsidP="007D2732">
      <w:pPr>
        <w:pStyle w:val="NormalWeb"/>
        <w:autoSpaceDE w:val="0"/>
        <w:autoSpaceDN w:val="0"/>
        <w:adjustRightInd w:val="0"/>
        <w:spacing w:before="0" w:beforeAutospacing="0" w:after="0" w:afterAutospacing="0"/>
        <w:jc w:val="both"/>
        <w:rPr>
          <w:rFonts w:ascii="Calibri" w:hAnsi="Calibri" w:cs="Arial"/>
          <w:color w:val="000000" w:themeColor="text1"/>
          <w:sz w:val="22"/>
          <w:szCs w:val="22"/>
        </w:rPr>
      </w:pPr>
      <w:r>
        <w:rPr>
          <w:rFonts w:ascii="Calibri" w:hAnsi="Calibri" w:cs="Arial"/>
          <w:noProof/>
          <w:color w:val="000000" w:themeColor="text1"/>
          <w:sz w:val="22"/>
          <w:szCs w:val="22"/>
        </w:rPr>
        <w:lastRenderedPageBreak/>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94615</wp:posOffset>
                </wp:positionV>
                <wp:extent cx="6494780" cy="113030"/>
                <wp:effectExtent l="127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780" cy="11303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193FD" id="Rectangle 4" o:spid="_x0000_s1026" style="position:absolute;margin-left:.85pt;margin-top:7.45pt;width:511.4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5nngIAADkFAAAOAAAAZHJzL2Uyb0RvYy54bWysVG1v2yAQ/j5p/wHxPbWdkhdbcao2XaZJ&#10;3Vat2w8ggGM0DB6QOO20/74DmizdvkzT8sHhjuPuee4eWFwdOoX2wjppdI2LixwjoZnhUm9r/OXz&#10;ejTHyHmqOVVGixo/Coevlq9fLYa+EmPTGsWFRZBEu2roa9x631dZ5lgrOuouTC80bDbGdtSDabcZ&#10;t3SA7J3Kxnk+zQZjeW8NE86B9zZt4mXM3zSC+Y9N44RHqsaAzcevjd9N+GbLBa22lvatZM8w6D+g&#10;6KjUUPSU6pZ6inZW/pGqk8waZxp/wUyXmaaRTEQOwKbIf2Pz0NJeRC7QHNef2uT+X1r2YX9vkeQ1&#10;Jhhp2sGIPkHTqN4qgUhoz9C7CqIe+nsbCLr+zrCvDmmzaiFKXFtrhlZQDqCKEJ+9OBAMB0fRZnhv&#10;OGSnO29ipw6N7UJC6AE6xIE8ngYiDh4xcE5JSWZzmBuDvaK4zC/jxDJaHU/31vm3wnQoLGpsAXvM&#10;Tvd3zgc0tDqGRPRGSb6WSkUjiEyslEV7CvKgjAnti3hc7TqAm/zTHH5JKOAGOSU3ObqhRJRryBQL&#10;uvMiSodS2oSiCU/yAEVAGPYC2SiV72UxJvnNuBytp/PZiKzJZFTO8vkoL8qbcppDM27XPwK+glSt&#10;5FzoO6nFUbYF+TtZPF+gJLgoXDTUuJyMJ5H6C/TObjenBgXCqROB8jnJTnq4xUp2NZ6fgmgVZPFG&#10;c6BNK0+lSuvsJfzYMujB8T92JYoo6Cbpb2P4I2jIGhgxqAHeG1i0xj5hNMDdrbH7tqNWYKTeadBh&#10;WRASLns0yGQ2BsOe72zOd6hmkKrGHqO0XPn0QOx6K7ctVEqa0OYatNvIKKug64QKcAcD7mdk8PyW&#10;hAfg3I5Rv1685U8AAAD//wMAUEsDBBQABgAIAAAAIQAQpwTl3AAAAAgBAAAPAAAAZHJzL2Rvd25y&#10;ZXYueG1sTI/BTsMwEETvSPyDtUhcEHUwhZYQp0JI3Li09AO28TaOiNchdpqEr8c90dNqNKPZN8Vm&#10;cq04UR8azxoeFhkI4sqbhmsN+6+P+zWIEJENtp5Jw0wBNuX1VYG58SNv6bSLtUglHHLUYGPscilD&#10;ZclhWPiOOHlH3zuMSfa1ND2Oqdy1UmXZs3TYcPpgsaN3S9X3bnAaeK62uMdPO8j57rcbG5X9SKX1&#10;7c309goi0hT/w3DGT+hQJqaDH9gE0Sa9SsF0li8gznamlk8gDhoe1QpkWcjLAeUfAAAA//8DAFBL&#10;AQItABQABgAIAAAAIQC2gziS/gAAAOEBAAATAAAAAAAAAAAAAAAAAAAAAABbQ29udGVudF9UeXBl&#10;c10ueG1sUEsBAi0AFAAGAAgAAAAhADj9If/WAAAAlAEAAAsAAAAAAAAAAAAAAAAALwEAAF9yZWxz&#10;Ly5yZWxzUEsBAi0AFAAGAAgAAAAhAKuqnmeeAgAAOQUAAA4AAAAAAAAAAAAAAAAALgIAAGRycy9l&#10;Mm9Eb2MueG1sUEsBAi0AFAAGAAgAAAAhABCnBOXcAAAACAEAAA8AAAAAAAAAAAAAAAAA+AQAAGRy&#10;cy9kb3ducmV2LnhtbFBLBQYAAAAABAAEAPMAAAABBgAAAAA=&#10;" fillcolor="#95b3d7 [1940]" stroked="f"/>
            </w:pict>
          </mc:Fallback>
        </mc:AlternateContent>
      </w:r>
    </w:p>
    <w:p w:rsidR="007D2732" w:rsidRPr="007D5679" w:rsidRDefault="007D2732" w:rsidP="00CD76D4">
      <w:pPr>
        <w:pStyle w:val="Title"/>
        <w:spacing w:after="0" w:line="240" w:lineRule="auto"/>
        <w:ind w:right="0"/>
        <w:rPr>
          <w:rFonts w:ascii="Calibri" w:hAnsi="Calibri"/>
          <w:color w:val="C00000"/>
          <w:sz w:val="28"/>
          <w:u w:val="single"/>
        </w:rPr>
      </w:pPr>
      <w:r w:rsidRPr="00CD76D4">
        <w:rPr>
          <w:rFonts w:ascii="Calibri" w:hAnsi="Calibri"/>
          <w:color w:val="C00000"/>
          <w:sz w:val="24"/>
          <w:u w:val="single"/>
        </w:rPr>
        <w:t xml:space="preserve">Policy in Focus 1: </w:t>
      </w:r>
      <w:r w:rsidR="00AB291D" w:rsidRPr="00CD76D4">
        <w:rPr>
          <w:rFonts w:ascii="Calibri" w:hAnsi="Calibri"/>
          <w:color w:val="C00000"/>
          <w:sz w:val="24"/>
          <w:u w:val="single"/>
        </w:rPr>
        <w:t>Peña Nieto announces seven actions to improve household’s welfare</w:t>
      </w:r>
    </w:p>
    <w:p w:rsidR="007D2732" w:rsidRDefault="007D2732" w:rsidP="007D2732">
      <w:pPr>
        <w:pStyle w:val="NormalWeb"/>
        <w:tabs>
          <w:tab w:val="left" w:pos="4380"/>
        </w:tabs>
        <w:autoSpaceDE w:val="0"/>
        <w:autoSpaceDN w:val="0"/>
        <w:adjustRightInd w:val="0"/>
        <w:spacing w:before="0" w:beforeAutospacing="0" w:after="0" w:afterAutospacing="0"/>
        <w:jc w:val="both"/>
        <w:rPr>
          <w:rFonts w:asciiTheme="minorHAnsi" w:hAnsiTheme="minorHAnsi"/>
          <w:color w:val="000000" w:themeColor="text1"/>
          <w:sz w:val="22"/>
          <w:szCs w:val="22"/>
        </w:rPr>
      </w:pPr>
      <w:r>
        <w:rPr>
          <w:rFonts w:asciiTheme="minorHAnsi" w:hAnsiTheme="minorHAnsi"/>
          <w:color w:val="000000" w:themeColor="text1"/>
          <w:sz w:val="22"/>
          <w:szCs w:val="22"/>
        </w:rPr>
        <w:tab/>
      </w:r>
    </w:p>
    <w:p w:rsidR="0027172E" w:rsidRDefault="00C51A47" w:rsidP="00CD76D4">
      <w:pPr>
        <w:pStyle w:val="NormalWeb"/>
        <w:numPr>
          <w:ilvl w:val="0"/>
          <w:numId w:val="2"/>
        </w:numPr>
        <w:autoSpaceDE w:val="0"/>
        <w:autoSpaceDN w:val="0"/>
        <w:adjustRightInd w:val="0"/>
        <w:spacing w:before="0" w:beforeAutospacing="0" w:after="120" w:afterAutospacing="0"/>
        <w:ind w:left="0" w:hanging="284"/>
        <w:jc w:val="both"/>
        <w:rPr>
          <w:rFonts w:ascii="Calibri" w:hAnsi="Calibri" w:cs="Arial"/>
          <w:color w:val="000000" w:themeColor="text1"/>
          <w:sz w:val="22"/>
          <w:szCs w:val="22"/>
        </w:rPr>
      </w:pPr>
      <w:r w:rsidRPr="00C51A47">
        <w:rPr>
          <w:rFonts w:ascii="Calibri" w:hAnsi="Calibri" w:cs="Arial"/>
          <w:color w:val="000000" w:themeColor="text1"/>
          <w:sz w:val="22"/>
          <w:szCs w:val="22"/>
        </w:rPr>
        <w:t xml:space="preserve">On </w:t>
      </w:r>
      <w:r>
        <w:rPr>
          <w:rFonts w:ascii="Calibri" w:hAnsi="Calibri" w:cs="Arial"/>
          <w:color w:val="000000" w:themeColor="text1"/>
          <w:sz w:val="22"/>
          <w:szCs w:val="22"/>
        </w:rPr>
        <w:t xml:space="preserve">January 4, President Peña Nieto published a message for the end of the year and the challenges for 2015. He also used the message to launch seven </w:t>
      </w:r>
      <w:r w:rsidR="00317FE6">
        <w:rPr>
          <w:rFonts w:ascii="Calibri" w:hAnsi="Calibri" w:cs="Arial"/>
          <w:color w:val="000000" w:themeColor="text1"/>
          <w:sz w:val="22"/>
          <w:szCs w:val="22"/>
        </w:rPr>
        <w:t>initiatives</w:t>
      </w:r>
      <w:r>
        <w:rPr>
          <w:rFonts w:ascii="Calibri" w:hAnsi="Calibri" w:cs="Arial"/>
          <w:color w:val="000000" w:themeColor="text1"/>
          <w:sz w:val="22"/>
          <w:szCs w:val="22"/>
        </w:rPr>
        <w:t xml:space="preserve"> to “improve the welfare of Mexican households”: </w:t>
      </w:r>
    </w:p>
    <w:p w:rsidR="005C5107" w:rsidRPr="00CD76D4" w:rsidRDefault="00CD76D4" w:rsidP="00CD76D4">
      <w:pPr>
        <w:pStyle w:val="NormalWeb"/>
        <w:autoSpaceDE w:val="0"/>
        <w:autoSpaceDN w:val="0"/>
        <w:adjustRightInd w:val="0"/>
        <w:spacing w:before="0" w:beforeAutospacing="0" w:after="0" w:afterAutospacing="0"/>
        <w:jc w:val="both"/>
        <w:rPr>
          <w:rFonts w:ascii="Calibri" w:hAnsi="Calibri" w:cs="Arial"/>
          <w:color w:val="000000" w:themeColor="text1"/>
          <w:sz w:val="20"/>
          <w:szCs w:val="22"/>
        </w:rPr>
      </w:pPr>
      <w:r>
        <w:rPr>
          <w:rFonts w:ascii="Calibri" w:hAnsi="Calibri" w:cs="Arial"/>
          <w:color w:val="000000" w:themeColor="text1"/>
          <w:sz w:val="20"/>
          <w:szCs w:val="22"/>
        </w:rPr>
        <w:t xml:space="preserve">1) </w:t>
      </w:r>
      <w:r w:rsidR="005C5107" w:rsidRPr="00CD76D4">
        <w:rPr>
          <w:rFonts w:ascii="Calibri" w:hAnsi="Calibri" w:cs="Arial"/>
          <w:color w:val="000000" w:themeColor="text1"/>
          <w:sz w:val="20"/>
          <w:szCs w:val="22"/>
        </w:rPr>
        <w:t xml:space="preserve">As a result of the energy reforms, government will </w:t>
      </w:r>
      <w:r w:rsidR="00C51A47" w:rsidRPr="00CD76D4">
        <w:rPr>
          <w:rFonts w:ascii="Calibri" w:hAnsi="Calibri" w:cs="Arial"/>
          <w:color w:val="000000" w:themeColor="text1"/>
          <w:sz w:val="20"/>
          <w:szCs w:val="22"/>
        </w:rPr>
        <w:t>lower the cost of electricity prices for 2015 for both firms and households</w:t>
      </w:r>
      <w:r w:rsidR="00317FE6" w:rsidRPr="00CD76D4">
        <w:rPr>
          <w:rFonts w:ascii="Calibri" w:hAnsi="Calibri" w:cs="Arial"/>
          <w:color w:val="000000" w:themeColor="text1"/>
          <w:sz w:val="20"/>
          <w:szCs w:val="22"/>
        </w:rPr>
        <w:t xml:space="preserve"> (likely through the payment of additional subsidies, although this hasn’t been formally confirmed)</w:t>
      </w:r>
      <w:r w:rsidR="00C51A47" w:rsidRPr="00CD76D4">
        <w:rPr>
          <w:rFonts w:ascii="Calibri" w:hAnsi="Calibri" w:cs="Arial"/>
          <w:color w:val="000000" w:themeColor="text1"/>
          <w:sz w:val="20"/>
          <w:szCs w:val="22"/>
        </w:rPr>
        <w:t xml:space="preserve">; </w:t>
      </w:r>
      <w:r>
        <w:rPr>
          <w:rFonts w:ascii="Calibri" w:hAnsi="Calibri" w:cs="Arial"/>
          <w:color w:val="000000" w:themeColor="text1"/>
          <w:sz w:val="20"/>
          <w:szCs w:val="22"/>
        </w:rPr>
        <w:t>2)</w:t>
      </w:r>
      <w:r w:rsidR="005C5107" w:rsidRPr="00CD76D4">
        <w:rPr>
          <w:rFonts w:ascii="Calibri" w:hAnsi="Calibri" w:cs="Arial"/>
          <w:color w:val="000000" w:themeColor="text1"/>
          <w:sz w:val="20"/>
          <w:szCs w:val="22"/>
        </w:rPr>
        <w:t xml:space="preserve">There will be </w:t>
      </w:r>
      <w:r w:rsidR="00C51A47" w:rsidRPr="00CD76D4">
        <w:rPr>
          <w:rFonts w:ascii="Calibri" w:hAnsi="Calibri" w:cs="Arial"/>
          <w:color w:val="000000" w:themeColor="text1"/>
          <w:sz w:val="20"/>
          <w:szCs w:val="22"/>
        </w:rPr>
        <w:t xml:space="preserve">no further increases </w:t>
      </w:r>
      <w:r w:rsidR="0027172E" w:rsidRPr="00CD76D4">
        <w:rPr>
          <w:rFonts w:ascii="Calibri" w:hAnsi="Calibri" w:cs="Arial"/>
          <w:color w:val="000000" w:themeColor="text1"/>
          <w:sz w:val="20"/>
          <w:szCs w:val="22"/>
        </w:rPr>
        <w:t>in petrol prices;</w:t>
      </w:r>
      <w:r w:rsidR="00C51A47" w:rsidRPr="00CD76D4">
        <w:rPr>
          <w:rFonts w:ascii="Calibri" w:hAnsi="Calibri" w:cs="Arial"/>
          <w:color w:val="000000" w:themeColor="text1"/>
          <w:sz w:val="20"/>
          <w:szCs w:val="22"/>
        </w:rPr>
        <w:t xml:space="preserve"> </w:t>
      </w:r>
      <w:r>
        <w:rPr>
          <w:rFonts w:ascii="Calibri" w:hAnsi="Calibri" w:cs="Arial"/>
          <w:color w:val="000000" w:themeColor="text1"/>
          <w:sz w:val="20"/>
          <w:szCs w:val="22"/>
        </w:rPr>
        <w:t xml:space="preserve">3) </w:t>
      </w:r>
      <w:r w:rsidR="005C5107" w:rsidRPr="00CD76D4">
        <w:rPr>
          <w:rFonts w:ascii="Calibri" w:hAnsi="Calibri" w:cs="Arial"/>
          <w:color w:val="000000" w:themeColor="text1"/>
          <w:sz w:val="20"/>
          <w:szCs w:val="22"/>
        </w:rPr>
        <w:t>T</w:t>
      </w:r>
      <w:r w:rsidR="0027172E" w:rsidRPr="00CD76D4">
        <w:rPr>
          <w:rFonts w:ascii="Calibri" w:hAnsi="Calibri" w:cs="Arial"/>
          <w:color w:val="000000" w:themeColor="text1"/>
          <w:sz w:val="20"/>
          <w:szCs w:val="22"/>
        </w:rPr>
        <w:t>elephone fees</w:t>
      </w:r>
      <w:r w:rsidR="005C5107" w:rsidRPr="00CD76D4">
        <w:rPr>
          <w:rFonts w:ascii="Calibri" w:hAnsi="Calibri" w:cs="Arial"/>
          <w:color w:val="000000" w:themeColor="text1"/>
          <w:sz w:val="20"/>
          <w:szCs w:val="22"/>
        </w:rPr>
        <w:t xml:space="preserve"> in the country</w:t>
      </w:r>
      <w:r w:rsidR="0027172E" w:rsidRPr="00CD76D4">
        <w:rPr>
          <w:rFonts w:ascii="Calibri" w:hAnsi="Calibri" w:cs="Arial"/>
          <w:color w:val="000000" w:themeColor="text1"/>
          <w:sz w:val="20"/>
          <w:szCs w:val="22"/>
        </w:rPr>
        <w:t xml:space="preserve"> will be lower as a result of the telecoms reform; </w:t>
      </w:r>
      <w:r>
        <w:rPr>
          <w:rFonts w:ascii="Calibri" w:hAnsi="Calibri" w:cs="Arial"/>
          <w:color w:val="000000" w:themeColor="text1"/>
          <w:sz w:val="20"/>
          <w:szCs w:val="22"/>
        </w:rPr>
        <w:t xml:space="preserve">4) </w:t>
      </w:r>
      <w:r w:rsidR="005C5107" w:rsidRPr="00CD76D4">
        <w:rPr>
          <w:rFonts w:ascii="Calibri" w:hAnsi="Calibri" w:cs="Arial"/>
          <w:color w:val="000000" w:themeColor="text1"/>
          <w:sz w:val="20"/>
          <w:szCs w:val="22"/>
        </w:rPr>
        <w:t>I</w:t>
      </w:r>
      <w:r w:rsidR="0027172E" w:rsidRPr="00CD76D4">
        <w:rPr>
          <w:rFonts w:ascii="Calibri" w:hAnsi="Calibri" w:cs="Arial"/>
          <w:color w:val="000000" w:themeColor="text1"/>
          <w:sz w:val="20"/>
          <w:szCs w:val="22"/>
        </w:rPr>
        <w:t xml:space="preserve">n order to provide access to digital TV, the government will provide digital TVs to </w:t>
      </w:r>
      <w:r w:rsidR="005C5107" w:rsidRPr="00CD76D4">
        <w:rPr>
          <w:rFonts w:ascii="Calibri" w:hAnsi="Calibri" w:cs="Arial"/>
          <w:color w:val="000000" w:themeColor="text1"/>
          <w:sz w:val="20"/>
          <w:szCs w:val="22"/>
        </w:rPr>
        <w:t xml:space="preserve">10 million </w:t>
      </w:r>
      <w:r w:rsidR="0027172E" w:rsidRPr="00CD76D4">
        <w:rPr>
          <w:rFonts w:ascii="Calibri" w:hAnsi="Calibri" w:cs="Arial"/>
          <w:color w:val="000000" w:themeColor="text1"/>
          <w:sz w:val="20"/>
          <w:szCs w:val="22"/>
        </w:rPr>
        <w:t xml:space="preserve">poor households; </w:t>
      </w:r>
      <w:r>
        <w:rPr>
          <w:rFonts w:ascii="Calibri" w:hAnsi="Calibri" w:cs="Arial"/>
          <w:color w:val="000000" w:themeColor="text1"/>
          <w:sz w:val="20"/>
          <w:szCs w:val="22"/>
        </w:rPr>
        <w:t xml:space="preserve">5) </w:t>
      </w:r>
      <w:r w:rsidR="005C5107" w:rsidRPr="00CD76D4">
        <w:rPr>
          <w:rFonts w:ascii="Calibri" w:hAnsi="Calibri" w:cs="Arial"/>
          <w:color w:val="000000" w:themeColor="text1"/>
          <w:sz w:val="20"/>
          <w:szCs w:val="22"/>
        </w:rPr>
        <w:t>As a result of the financial reform, y</w:t>
      </w:r>
      <w:r w:rsidR="0027172E" w:rsidRPr="00CD76D4">
        <w:rPr>
          <w:rFonts w:ascii="Calibri" w:hAnsi="Calibri" w:cs="Arial"/>
          <w:color w:val="000000" w:themeColor="text1"/>
          <w:sz w:val="20"/>
          <w:szCs w:val="22"/>
        </w:rPr>
        <w:t>oung entrepreneurs between 18 and 30 years will receive credits to open their own businesses</w:t>
      </w:r>
      <w:r>
        <w:rPr>
          <w:rFonts w:ascii="Calibri" w:hAnsi="Calibri" w:cs="Arial"/>
          <w:color w:val="000000" w:themeColor="text1"/>
          <w:sz w:val="20"/>
          <w:szCs w:val="22"/>
        </w:rPr>
        <w:t xml:space="preserve">; 6) </w:t>
      </w:r>
      <w:r w:rsidR="005C5107" w:rsidRPr="00CD76D4">
        <w:rPr>
          <w:rFonts w:ascii="Calibri" w:hAnsi="Calibri" w:cs="Arial"/>
          <w:color w:val="000000" w:themeColor="text1"/>
          <w:sz w:val="20"/>
          <w:szCs w:val="22"/>
        </w:rPr>
        <w:t>The government plans to launch a fiscal package to foster the housing sector In order to promote economic recovery and access to housing services</w:t>
      </w:r>
      <w:r>
        <w:rPr>
          <w:rFonts w:ascii="Calibri" w:hAnsi="Calibri" w:cs="Arial"/>
          <w:color w:val="000000" w:themeColor="text1"/>
          <w:sz w:val="20"/>
          <w:szCs w:val="22"/>
        </w:rPr>
        <w:t>. 7) A</w:t>
      </w:r>
      <w:r w:rsidR="005C5107" w:rsidRPr="00CD76D4">
        <w:rPr>
          <w:rFonts w:ascii="Calibri" w:hAnsi="Calibri" w:cs="Arial"/>
          <w:color w:val="000000" w:themeColor="text1"/>
          <w:sz w:val="20"/>
          <w:szCs w:val="22"/>
        </w:rPr>
        <w:t xml:space="preserve"> special fiscal regime for Chiapas, Guerrero and Oaxaca</w:t>
      </w:r>
      <w:r>
        <w:rPr>
          <w:rFonts w:ascii="Calibri" w:hAnsi="Calibri" w:cs="Arial"/>
          <w:color w:val="000000" w:themeColor="text1"/>
          <w:sz w:val="20"/>
          <w:szCs w:val="22"/>
        </w:rPr>
        <w:t>.</w:t>
      </w:r>
    </w:p>
    <w:p w:rsidR="002F4DE4" w:rsidRPr="002F4DE4" w:rsidRDefault="00CD76D4" w:rsidP="005C5107">
      <w:pPr>
        <w:pStyle w:val="NormalWeb"/>
        <w:numPr>
          <w:ilvl w:val="0"/>
          <w:numId w:val="2"/>
        </w:numPr>
        <w:autoSpaceDE w:val="0"/>
        <w:autoSpaceDN w:val="0"/>
        <w:adjustRightInd w:val="0"/>
        <w:spacing w:before="120" w:beforeAutospacing="0" w:after="120" w:afterAutospacing="0"/>
        <w:ind w:left="0" w:hanging="284"/>
        <w:jc w:val="both"/>
        <w:rPr>
          <w:rFonts w:ascii="Calibri" w:hAnsi="Calibri" w:cs="Arial"/>
          <w:sz w:val="22"/>
          <w:szCs w:val="22"/>
        </w:rPr>
      </w:pPr>
      <w:r w:rsidRPr="002F4DE4">
        <w:rPr>
          <w:rFonts w:ascii="Calibri" w:hAnsi="Calibri" w:cs="Arial"/>
          <w:color w:val="000000" w:themeColor="text1"/>
          <w:sz w:val="22"/>
          <w:szCs w:val="22"/>
        </w:rPr>
        <w:t>The</w:t>
      </w:r>
      <w:r w:rsidR="00317FE6" w:rsidRPr="002F4DE4">
        <w:rPr>
          <w:rFonts w:ascii="Calibri" w:hAnsi="Calibri" w:cs="Arial"/>
          <w:color w:val="000000" w:themeColor="text1"/>
          <w:sz w:val="22"/>
          <w:szCs w:val="22"/>
        </w:rPr>
        <w:t xml:space="preserve"> Government has been slowly increasing the prices</w:t>
      </w:r>
      <w:r w:rsidR="005C5107" w:rsidRPr="002F4DE4">
        <w:rPr>
          <w:rFonts w:ascii="Calibri" w:hAnsi="Calibri" w:cs="Arial"/>
          <w:color w:val="000000" w:themeColor="text1"/>
          <w:sz w:val="22"/>
          <w:szCs w:val="22"/>
        </w:rPr>
        <w:t xml:space="preserve"> of petrol and gas </w:t>
      </w:r>
      <w:r w:rsidR="00317FE6" w:rsidRPr="002F4DE4">
        <w:rPr>
          <w:rFonts w:ascii="Calibri" w:hAnsi="Calibri" w:cs="Arial"/>
          <w:color w:val="000000" w:themeColor="text1"/>
          <w:sz w:val="22"/>
          <w:szCs w:val="22"/>
        </w:rPr>
        <w:t>over the last five years by gradually removing huge, regressive, subsidies</w:t>
      </w:r>
      <w:r w:rsidR="005C5107" w:rsidRPr="002F4DE4">
        <w:rPr>
          <w:rFonts w:ascii="Calibri" w:hAnsi="Calibri" w:cs="Arial"/>
          <w:color w:val="000000" w:themeColor="text1"/>
          <w:sz w:val="22"/>
          <w:szCs w:val="22"/>
        </w:rPr>
        <w:t xml:space="preserve">. Fixing (or even lowering) the </w:t>
      </w:r>
      <w:r w:rsidR="00317FE6" w:rsidRPr="002F4DE4">
        <w:rPr>
          <w:rFonts w:ascii="Calibri" w:hAnsi="Calibri" w:cs="Arial"/>
          <w:color w:val="000000" w:themeColor="text1"/>
          <w:sz w:val="22"/>
          <w:szCs w:val="22"/>
        </w:rPr>
        <w:t xml:space="preserve">petrol </w:t>
      </w:r>
      <w:r w:rsidR="005C5107" w:rsidRPr="002F4DE4">
        <w:rPr>
          <w:rFonts w:ascii="Calibri" w:hAnsi="Calibri" w:cs="Arial"/>
          <w:color w:val="000000" w:themeColor="text1"/>
          <w:sz w:val="22"/>
          <w:szCs w:val="22"/>
        </w:rPr>
        <w:t xml:space="preserve">price </w:t>
      </w:r>
      <w:r w:rsidR="00317FE6" w:rsidRPr="002F4DE4">
        <w:rPr>
          <w:rFonts w:ascii="Calibri" w:hAnsi="Calibri" w:cs="Arial"/>
          <w:color w:val="000000" w:themeColor="text1"/>
          <w:sz w:val="22"/>
          <w:szCs w:val="22"/>
        </w:rPr>
        <w:t xml:space="preserve">as announced as the second ‘initiative’ </w:t>
      </w:r>
      <w:r w:rsidR="005C5107" w:rsidRPr="002F4DE4">
        <w:rPr>
          <w:rFonts w:ascii="Calibri" w:hAnsi="Calibri" w:cs="Arial"/>
          <w:color w:val="000000" w:themeColor="text1"/>
          <w:sz w:val="22"/>
          <w:szCs w:val="22"/>
        </w:rPr>
        <w:t xml:space="preserve">is </w:t>
      </w:r>
      <w:r w:rsidR="00317FE6" w:rsidRPr="002F4DE4">
        <w:rPr>
          <w:rFonts w:ascii="Calibri" w:hAnsi="Calibri" w:cs="Arial"/>
          <w:color w:val="000000" w:themeColor="text1"/>
          <w:sz w:val="22"/>
          <w:szCs w:val="22"/>
        </w:rPr>
        <w:t xml:space="preserve">actually </w:t>
      </w:r>
      <w:r w:rsidR="000A5975" w:rsidRPr="002F4DE4">
        <w:rPr>
          <w:rFonts w:ascii="Calibri" w:hAnsi="Calibri" w:cs="Arial"/>
          <w:color w:val="000000" w:themeColor="text1"/>
          <w:sz w:val="22"/>
          <w:szCs w:val="22"/>
        </w:rPr>
        <w:t>feasible;</w:t>
      </w:r>
      <w:r w:rsidR="005C5107" w:rsidRPr="002F4DE4">
        <w:rPr>
          <w:rFonts w:ascii="Calibri" w:hAnsi="Calibri" w:cs="Arial"/>
          <w:color w:val="000000" w:themeColor="text1"/>
          <w:sz w:val="22"/>
          <w:szCs w:val="22"/>
        </w:rPr>
        <w:t xml:space="preserve"> </w:t>
      </w:r>
      <w:r w:rsidR="00317FE6" w:rsidRPr="002F4DE4">
        <w:rPr>
          <w:rFonts w:ascii="Calibri" w:hAnsi="Calibri" w:cs="Arial"/>
          <w:color w:val="000000" w:themeColor="text1"/>
          <w:sz w:val="22"/>
          <w:szCs w:val="22"/>
        </w:rPr>
        <w:t xml:space="preserve">however, this would actually be thanks to </w:t>
      </w:r>
      <w:r w:rsidR="005C5107" w:rsidRPr="002F4DE4">
        <w:rPr>
          <w:rFonts w:ascii="Calibri" w:hAnsi="Calibri" w:cs="Arial"/>
          <w:color w:val="000000" w:themeColor="text1"/>
          <w:sz w:val="22"/>
          <w:szCs w:val="22"/>
        </w:rPr>
        <w:t xml:space="preserve">the drop in international oil </w:t>
      </w:r>
      <w:r w:rsidR="00317FE6" w:rsidRPr="002F4DE4">
        <w:rPr>
          <w:rFonts w:ascii="Calibri" w:hAnsi="Calibri" w:cs="Arial"/>
          <w:color w:val="000000" w:themeColor="text1"/>
          <w:sz w:val="22"/>
          <w:szCs w:val="22"/>
        </w:rPr>
        <w:t>prices, rather than</w:t>
      </w:r>
      <w:r w:rsidR="000A5975" w:rsidRPr="002F4DE4">
        <w:rPr>
          <w:rFonts w:ascii="Calibri" w:hAnsi="Calibri" w:cs="Arial"/>
          <w:color w:val="000000" w:themeColor="text1"/>
          <w:sz w:val="22"/>
          <w:szCs w:val="22"/>
        </w:rPr>
        <w:t xml:space="preserve"> the result of the energy reform</w:t>
      </w:r>
      <w:r w:rsidR="002F4DE4" w:rsidRPr="002F4DE4">
        <w:rPr>
          <w:rFonts w:ascii="Calibri" w:hAnsi="Calibri" w:cs="Arial"/>
          <w:color w:val="000000" w:themeColor="text1"/>
          <w:sz w:val="22"/>
          <w:szCs w:val="22"/>
        </w:rPr>
        <w:t>, since implementation will take some time</w:t>
      </w:r>
      <w:r w:rsidR="005C5107" w:rsidRPr="002F4DE4">
        <w:rPr>
          <w:rFonts w:ascii="Calibri" w:hAnsi="Calibri" w:cs="Arial"/>
          <w:color w:val="000000" w:themeColor="text1"/>
          <w:sz w:val="22"/>
          <w:szCs w:val="22"/>
        </w:rPr>
        <w:t xml:space="preserve">. </w:t>
      </w:r>
    </w:p>
    <w:p w:rsidR="005C5107" w:rsidRPr="002F4DE4" w:rsidRDefault="00317FE6" w:rsidP="005C5107">
      <w:pPr>
        <w:pStyle w:val="NormalWeb"/>
        <w:numPr>
          <w:ilvl w:val="0"/>
          <w:numId w:val="2"/>
        </w:numPr>
        <w:autoSpaceDE w:val="0"/>
        <w:autoSpaceDN w:val="0"/>
        <w:adjustRightInd w:val="0"/>
        <w:spacing w:before="120" w:beforeAutospacing="0" w:after="120" w:afterAutospacing="0"/>
        <w:ind w:left="0" w:hanging="284"/>
        <w:jc w:val="both"/>
        <w:rPr>
          <w:rFonts w:ascii="Calibri" w:hAnsi="Calibri" w:cs="Arial"/>
          <w:sz w:val="22"/>
          <w:szCs w:val="22"/>
        </w:rPr>
      </w:pPr>
      <w:r w:rsidRPr="002F4DE4">
        <w:rPr>
          <w:rFonts w:ascii="Calibri" w:hAnsi="Calibri" w:cs="Arial"/>
          <w:sz w:val="22"/>
          <w:szCs w:val="22"/>
        </w:rPr>
        <w:t>T</w:t>
      </w:r>
      <w:r w:rsidR="005C5107" w:rsidRPr="002F4DE4">
        <w:rPr>
          <w:rFonts w:ascii="Calibri" w:hAnsi="Calibri" w:cs="Arial"/>
          <w:sz w:val="22"/>
          <w:szCs w:val="22"/>
        </w:rPr>
        <w:t xml:space="preserve">he </w:t>
      </w:r>
      <w:r w:rsidRPr="002F4DE4">
        <w:rPr>
          <w:rFonts w:ascii="Calibri" w:hAnsi="Calibri" w:cs="Arial"/>
          <w:sz w:val="22"/>
          <w:szCs w:val="22"/>
        </w:rPr>
        <w:t xml:space="preserve">initiative </w:t>
      </w:r>
      <w:r w:rsidR="005C5107" w:rsidRPr="002F4DE4">
        <w:rPr>
          <w:rFonts w:ascii="Calibri" w:hAnsi="Calibri" w:cs="Arial"/>
          <w:sz w:val="22"/>
          <w:szCs w:val="22"/>
        </w:rPr>
        <w:t xml:space="preserve">to give TVs </w:t>
      </w:r>
      <w:r w:rsidR="000A5975" w:rsidRPr="002F4DE4">
        <w:rPr>
          <w:rFonts w:ascii="Calibri" w:hAnsi="Calibri" w:cs="Arial"/>
          <w:sz w:val="22"/>
          <w:szCs w:val="22"/>
        </w:rPr>
        <w:t>represents a significant opportunity cost for the Government</w:t>
      </w:r>
      <w:r w:rsidRPr="002F4DE4">
        <w:rPr>
          <w:rFonts w:ascii="Calibri" w:hAnsi="Calibri" w:cs="Arial"/>
          <w:sz w:val="22"/>
          <w:szCs w:val="22"/>
        </w:rPr>
        <w:t>.</w:t>
      </w:r>
      <w:r w:rsidR="00136CD6" w:rsidRPr="002F4DE4">
        <w:rPr>
          <w:rFonts w:ascii="Calibri" w:hAnsi="Calibri" w:cs="Arial"/>
          <w:sz w:val="22"/>
          <w:szCs w:val="22"/>
        </w:rPr>
        <w:t xml:space="preserve"> The total cost of the programme is MXN$19b, which could be </w:t>
      </w:r>
      <w:proofErr w:type="spellStart"/>
      <w:r w:rsidR="00136CD6" w:rsidRPr="002F4DE4">
        <w:rPr>
          <w:rFonts w:ascii="Calibri" w:hAnsi="Calibri" w:cs="Arial"/>
          <w:sz w:val="22"/>
          <w:szCs w:val="22"/>
        </w:rPr>
        <w:t>use</w:t>
      </w:r>
      <w:proofErr w:type="spellEnd"/>
      <w:r w:rsidR="00136CD6" w:rsidRPr="002F4DE4">
        <w:rPr>
          <w:rFonts w:ascii="Calibri" w:hAnsi="Calibri" w:cs="Arial"/>
          <w:sz w:val="22"/>
          <w:szCs w:val="22"/>
        </w:rPr>
        <w:t xml:space="preserve"> to invest in public infrastructure or social programmes. I</w:t>
      </w:r>
      <w:r w:rsidR="009634E0" w:rsidRPr="002F4DE4">
        <w:rPr>
          <w:rFonts w:ascii="Calibri" w:hAnsi="Calibri" w:cs="Arial"/>
          <w:sz w:val="22"/>
          <w:szCs w:val="22"/>
        </w:rPr>
        <w:t>n</w:t>
      </w:r>
      <w:r w:rsidR="00136CD6" w:rsidRPr="002F4DE4">
        <w:rPr>
          <w:rFonts w:ascii="Calibri" w:hAnsi="Calibri" w:cs="Arial"/>
          <w:sz w:val="22"/>
          <w:szCs w:val="22"/>
        </w:rPr>
        <w:t xml:space="preserve"> addition, i</w:t>
      </w:r>
      <w:r w:rsidR="00BA7AAC" w:rsidRPr="002F4DE4">
        <w:rPr>
          <w:rFonts w:ascii="Calibri" w:hAnsi="Calibri" w:cs="Arial"/>
          <w:sz w:val="22"/>
          <w:szCs w:val="22"/>
        </w:rPr>
        <w:t xml:space="preserve">n </w:t>
      </w:r>
      <w:r w:rsidR="00136CD6" w:rsidRPr="002F4DE4">
        <w:rPr>
          <w:rFonts w:ascii="Calibri" w:hAnsi="Calibri" w:cs="Arial"/>
          <w:sz w:val="22"/>
          <w:szCs w:val="22"/>
        </w:rPr>
        <w:t xml:space="preserve">2013, </w:t>
      </w:r>
      <w:r w:rsidR="009634E0" w:rsidRPr="002F4DE4">
        <w:rPr>
          <w:rFonts w:ascii="Calibri" w:hAnsi="Calibri" w:cs="Arial"/>
          <w:sz w:val="22"/>
          <w:szCs w:val="22"/>
        </w:rPr>
        <w:t xml:space="preserve">only </w:t>
      </w:r>
      <w:r w:rsidR="00136CD6" w:rsidRPr="002F4DE4">
        <w:rPr>
          <w:rFonts w:ascii="Calibri" w:hAnsi="Calibri" w:cs="Arial"/>
          <w:sz w:val="22"/>
          <w:szCs w:val="22"/>
        </w:rPr>
        <w:t xml:space="preserve">25.8% of the population had access to digital TVs, </w:t>
      </w:r>
      <w:r w:rsidR="009634E0" w:rsidRPr="002F4DE4">
        <w:rPr>
          <w:rFonts w:ascii="Calibri" w:hAnsi="Calibri" w:cs="Arial"/>
          <w:sz w:val="22"/>
          <w:szCs w:val="22"/>
        </w:rPr>
        <w:t xml:space="preserve">and </w:t>
      </w:r>
      <w:r w:rsidR="00136CD6" w:rsidRPr="002F4DE4">
        <w:rPr>
          <w:rFonts w:ascii="Calibri" w:hAnsi="Calibri" w:cs="Arial"/>
          <w:sz w:val="22"/>
          <w:szCs w:val="22"/>
        </w:rPr>
        <w:t xml:space="preserve">only 30.7% of the households had </w:t>
      </w:r>
      <w:r w:rsidR="009634E0" w:rsidRPr="002F4DE4">
        <w:rPr>
          <w:rFonts w:ascii="Calibri" w:hAnsi="Calibri" w:cs="Arial"/>
          <w:sz w:val="22"/>
          <w:szCs w:val="22"/>
        </w:rPr>
        <w:t xml:space="preserve">home internet </w:t>
      </w:r>
      <w:r w:rsidR="00136CD6" w:rsidRPr="002F4DE4">
        <w:rPr>
          <w:rFonts w:ascii="Calibri" w:hAnsi="Calibri" w:cs="Arial"/>
          <w:sz w:val="22"/>
          <w:szCs w:val="22"/>
        </w:rPr>
        <w:t>a</w:t>
      </w:r>
      <w:r w:rsidR="00B25053" w:rsidRPr="002F4DE4">
        <w:rPr>
          <w:rFonts w:ascii="Calibri" w:hAnsi="Calibri" w:cs="Arial"/>
          <w:sz w:val="22"/>
          <w:szCs w:val="22"/>
        </w:rPr>
        <w:t>ccess</w:t>
      </w:r>
      <w:r w:rsidR="00136CD6" w:rsidRPr="002F4DE4">
        <w:rPr>
          <w:rFonts w:ascii="Calibri" w:hAnsi="Calibri" w:cs="Arial"/>
          <w:sz w:val="22"/>
          <w:szCs w:val="22"/>
        </w:rPr>
        <w:t xml:space="preserve">. This means that most of the families </w:t>
      </w:r>
      <w:r w:rsidR="009634E0" w:rsidRPr="002F4DE4">
        <w:rPr>
          <w:rFonts w:ascii="Calibri" w:hAnsi="Calibri" w:cs="Arial"/>
          <w:sz w:val="22"/>
          <w:szCs w:val="22"/>
        </w:rPr>
        <w:t xml:space="preserve">benefitting from this initiative </w:t>
      </w:r>
      <w:r w:rsidR="00136CD6" w:rsidRPr="002F4DE4">
        <w:rPr>
          <w:rFonts w:ascii="Calibri" w:hAnsi="Calibri" w:cs="Arial"/>
          <w:sz w:val="22"/>
          <w:szCs w:val="22"/>
        </w:rPr>
        <w:t>will not be able to fully use the functions of the TVs.</w:t>
      </w:r>
      <w:r w:rsidR="00B25053" w:rsidRPr="002F4DE4">
        <w:rPr>
          <w:rFonts w:ascii="Calibri" w:hAnsi="Calibri" w:cs="Arial"/>
          <w:sz w:val="22"/>
          <w:szCs w:val="22"/>
        </w:rPr>
        <w:t xml:space="preserve"> </w:t>
      </w:r>
      <w:r w:rsidR="00587D53" w:rsidRPr="002F4DE4">
        <w:rPr>
          <w:rFonts w:ascii="Calibri" w:hAnsi="Calibri" w:cs="Arial"/>
          <w:sz w:val="22"/>
          <w:szCs w:val="22"/>
        </w:rPr>
        <w:t>T</w:t>
      </w:r>
      <w:r w:rsidR="005C5107" w:rsidRPr="002F4DE4">
        <w:rPr>
          <w:rFonts w:ascii="Calibri" w:hAnsi="Calibri" w:cs="Arial"/>
          <w:sz w:val="22"/>
          <w:szCs w:val="22"/>
        </w:rPr>
        <w:t xml:space="preserve">he majority of poor households have </w:t>
      </w:r>
      <w:r w:rsidR="00587D53" w:rsidRPr="002F4DE4">
        <w:rPr>
          <w:rFonts w:ascii="Calibri" w:hAnsi="Calibri" w:cs="Arial"/>
          <w:sz w:val="22"/>
          <w:szCs w:val="22"/>
        </w:rPr>
        <w:t xml:space="preserve">far </w:t>
      </w:r>
      <w:r w:rsidR="005C5107" w:rsidRPr="002F4DE4">
        <w:rPr>
          <w:rFonts w:ascii="Calibri" w:hAnsi="Calibri" w:cs="Arial"/>
          <w:sz w:val="22"/>
          <w:szCs w:val="22"/>
        </w:rPr>
        <w:t>more pressing issues</w:t>
      </w:r>
      <w:r w:rsidR="00587D53" w:rsidRPr="002F4DE4">
        <w:rPr>
          <w:rFonts w:ascii="Calibri" w:hAnsi="Calibri" w:cs="Arial"/>
          <w:sz w:val="22"/>
          <w:szCs w:val="22"/>
        </w:rPr>
        <w:t>,</w:t>
      </w:r>
      <w:r w:rsidR="005C5107" w:rsidRPr="002F4DE4">
        <w:rPr>
          <w:rFonts w:ascii="Calibri" w:hAnsi="Calibri" w:cs="Arial"/>
          <w:sz w:val="22"/>
          <w:szCs w:val="22"/>
        </w:rPr>
        <w:t xml:space="preserve"> such as low wages, lack of access to healthcare and social security, </w:t>
      </w:r>
      <w:proofErr w:type="spellStart"/>
      <w:r w:rsidR="005C5107" w:rsidRPr="002F4DE4">
        <w:rPr>
          <w:rFonts w:ascii="Calibri" w:hAnsi="Calibri" w:cs="Arial"/>
          <w:sz w:val="22"/>
          <w:szCs w:val="22"/>
        </w:rPr>
        <w:t>etc</w:t>
      </w:r>
      <w:proofErr w:type="spellEnd"/>
      <w:r w:rsidR="00587D53" w:rsidRPr="002F4DE4">
        <w:rPr>
          <w:rFonts w:ascii="Calibri" w:hAnsi="Calibri" w:cs="Arial"/>
          <w:sz w:val="22"/>
          <w:szCs w:val="22"/>
        </w:rPr>
        <w:t>, and</w:t>
      </w:r>
      <w:r w:rsidR="00136CD6" w:rsidRPr="002F4DE4">
        <w:rPr>
          <w:rFonts w:ascii="Calibri" w:hAnsi="Calibri" w:cs="Arial"/>
          <w:sz w:val="22"/>
          <w:szCs w:val="22"/>
        </w:rPr>
        <w:t xml:space="preserve"> approximately</w:t>
      </w:r>
      <w:r w:rsidR="00587D53" w:rsidRPr="002F4DE4">
        <w:rPr>
          <w:rFonts w:ascii="Calibri" w:hAnsi="Calibri" w:cs="Arial"/>
          <w:sz w:val="22"/>
          <w:szCs w:val="22"/>
        </w:rPr>
        <w:t xml:space="preserve"> </w:t>
      </w:r>
      <w:r w:rsidR="00136CD6" w:rsidRPr="002F4DE4">
        <w:rPr>
          <w:rFonts w:ascii="Calibri" w:hAnsi="Calibri" w:cs="Arial"/>
          <w:sz w:val="22"/>
          <w:szCs w:val="22"/>
        </w:rPr>
        <w:t>21.2</w:t>
      </w:r>
      <w:r w:rsidR="00587D53" w:rsidRPr="002F4DE4">
        <w:rPr>
          <w:rFonts w:ascii="Calibri" w:hAnsi="Calibri" w:cs="Arial"/>
          <w:sz w:val="22"/>
          <w:szCs w:val="22"/>
        </w:rPr>
        <w:t>% of</w:t>
      </w:r>
      <w:r w:rsidR="00136CD6" w:rsidRPr="002F4DE4">
        <w:rPr>
          <w:rFonts w:ascii="Calibri" w:hAnsi="Calibri" w:cs="Arial"/>
          <w:sz w:val="22"/>
          <w:szCs w:val="22"/>
        </w:rPr>
        <w:t xml:space="preserve"> the total</w:t>
      </w:r>
      <w:r w:rsidR="00587D53" w:rsidRPr="002F4DE4">
        <w:rPr>
          <w:rFonts w:ascii="Calibri" w:hAnsi="Calibri" w:cs="Arial"/>
          <w:sz w:val="22"/>
          <w:szCs w:val="22"/>
        </w:rPr>
        <w:t xml:space="preserve"> pop</w:t>
      </w:r>
      <w:r w:rsidR="00136CD6" w:rsidRPr="002F4DE4">
        <w:rPr>
          <w:rFonts w:ascii="Calibri" w:hAnsi="Calibri" w:cs="Arial"/>
          <w:sz w:val="22"/>
          <w:szCs w:val="22"/>
        </w:rPr>
        <w:t xml:space="preserve">ulation of the country </w:t>
      </w:r>
      <w:r w:rsidR="00587D53" w:rsidRPr="002F4DE4">
        <w:rPr>
          <w:rFonts w:ascii="Calibri" w:hAnsi="Calibri" w:cs="Arial"/>
          <w:sz w:val="22"/>
          <w:szCs w:val="22"/>
        </w:rPr>
        <w:t xml:space="preserve">has </w:t>
      </w:r>
      <w:r w:rsidR="00136CD6" w:rsidRPr="002F4DE4">
        <w:rPr>
          <w:rFonts w:ascii="Calibri" w:hAnsi="Calibri" w:cs="Arial"/>
          <w:sz w:val="22"/>
          <w:szCs w:val="22"/>
        </w:rPr>
        <w:t xml:space="preserve">no </w:t>
      </w:r>
      <w:r w:rsidR="00587D53" w:rsidRPr="002F4DE4">
        <w:rPr>
          <w:rFonts w:ascii="Calibri" w:hAnsi="Calibri" w:cs="Arial"/>
          <w:sz w:val="22"/>
          <w:szCs w:val="22"/>
        </w:rPr>
        <w:t xml:space="preserve">access to basic </w:t>
      </w:r>
      <w:r w:rsidR="00CD76D4" w:rsidRPr="002F4DE4">
        <w:rPr>
          <w:rFonts w:ascii="Calibri" w:hAnsi="Calibri" w:cs="Arial"/>
          <w:sz w:val="22"/>
          <w:szCs w:val="22"/>
        </w:rPr>
        <w:t>domestic white goods and assets.</w:t>
      </w:r>
      <w:r w:rsidR="005C5107" w:rsidRPr="002F4DE4">
        <w:rPr>
          <w:rFonts w:ascii="Calibri" w:hAnsi="Calibri" w:cs="Arial"/>
          <w:sz w:val="22"/>
          <w:szCs w:val="22"/>
        </w:rPr>
        <w:t xml:space="preserve"> </w:t>
      </w:r>
    </w:p>
    <w:p w:rsidR="005C5107" w:rsidRDefault="005C5107" w:rsidP="005C5107">
      <w:pPr>
        <w:pStyle w:val="NormalWeb"/>
        <w:numPr>
          <w:ilvl w:val="0"/>
          <w:numId w:val="2"/>
        </w:numPr>
        <w:autoSpaceDE w:val="0"/>
        <w:autoSpaceDN w:val="0"/>
        <w:adjustRightInd w:val="0"/>
        <w:spacing w:before="120" w:beforeAutospacing="0" w:after="120" w:afterAutospacing="0"/>
        <w:ind w:left="0" w:hanging="284"/>
        <w:jc w:val="both"/>
        <w:rPr>
          <w:rFonts w:ascii="Calibri" w:hAnsi="Calibri" w:cs="Arial"/>
          <w:color w:val="000000" w:themeColor="text1"/>
          <w:sz w:val="22"/>
          <w:szCs w:val="22"/>
        </w:rPr>
      </w:pPr>
      <w:r w:rsidRPr="005C5107">
        <w:rPr>
          <w:rFonts w:ascii="Calibri" w:hAnsi="Calibri" w:cs="Arial"/>
          <w:color w:val="000000" w:themeColor="text1"/>
          <w:sz w:val="22"/>
          <w:szCs w:val="22"/>
        </w:rPr>
        <w:t xml:space="preserve">The housing policy has been one of the major problems </w:t>
      </w:r>
      <w:r w:rsidR="002F4DE4">
        <w:rPr>
          <w:rFonts w:ascii="Calibri" w:hAnsi="Calibri" w:cs="Arial"/>
          <w:color w:val="000000" w:themeColor="text1"/>
          <w:sz w:val="22"/>
          <w:szCs w:val="22"/>
        </w:rPr>
        <w:t>behind the economic slowdown</w:t>
      </w:r>
      <w:r w:rsidRPr="005C5107">
        <w:rPr>
          <w:rFonts w:ascii="Calibri" w:hAnsi="Calibri" w:cs="Arial"/>
          <w:color w:val="000000" w:themeColor="text1"/>
          <w:sz w:val="22"/>
          <w:szCs w:val="22"/>
        </w:rPr>
        <w:t>: the crisis in the construction sector in 2013 was triggered by an excess of supply of houses that no one wanted because there were constructed in zones far away from the main cities and industrial centres without basic infrastructure (</w:t>
      </w:r>
      <w:r w:rsidR="00587D53">
        <w:rPr>
          <w:rFonts w:ascii="Calibri" w:hAnsi="Calibri" w:cs="Arial"/>
          <w:color w:val="000000" w:themeColor="text1"/>
          <w:sz w:val="22"/>
          <w:szCs w:val="22"/>
        </w:rPr>
        <w:t xml:space="preserve">the reason behind </w:t>
      </w:r>
      <w:r w:rsidRPr="005C5107">
        <w:rPr>
          <w:rFonts w:ascii="Calibri" w:hAnsi="Calibri" w:cs="Arial"/>
          <w:color w:val="000000" w:themeColor="text1"/>
          <w:sz w:val="22"/>
          <w:szCs w:val="22"/>
        </w:rPr>
        <w:t>Mexico</w:t>
      </w:r>
      <w:r w:rsidR="000A5975">
        <w:rPr>
          <w:rFonts w:ascii="Calibri" w:hAnsi="Calibri" w:cs="Arial"/>
          <w:color w:val="000000" w:themeColor="text1"/>
          <w:sz w:val="22"/>
          <w:szCs w:val="22"/>
        </w:rPr>
        <w:t>’s</w:t>
      </w:r>
      <w:r w:rsidRPr="005C5107">
        <w:rPr>
          <w:rFonts w:ascii="Calibri" w:hAnsi="Calibri" w:cs="Arial"/>
          <w:color w:val="000000" w:themeColor="text1"/>
          <w:sz w:val="22"/>
          <w:szCs w:val="22"/>
        </w:rPr>
        <w:t xml:space="preserve"> problem of abandoned houses). In addition, </w:t>
      </w:r>
      <w:r w:rsidR="00587D53">
        <w:rPr>
          <w:rFonts w:ascii="Calibri" w:hAnsi="Calibri" w:cs="Arial"/>
          <w:color w:val="000000" w:themeColor="text1"/>
          <w:sz w:val="22"/>
          <w:szCs w:val="22"/>
        </w:rPr>
        <w:t xml:space="preserve">only workers in the formal sector can access Government support to </w:t>
      </w:r>
      <w:r w:rsidRPr="005C5107">
        <w:rPr>
          <w:rFonts w:ascii="Calibri" w:hAnsi="Calibri" w:cs="Arial"/>
          <w:color w:val="000000" w:themeColor="text1"/>
          <w:sz w:val="22"/>
          <w:szCs w:val="22"/>
        </w:rPr>
        <w:t>buy a house</w:t>
      </w:r>
      <w:r w:rsidR="00587D53">
        <w:rPr>
          <w:rFonts w:ascii="Calibri" w:hAnsi="Calibri" w:cs="Arial"/>
          <w:color w:val="000000" w:themeColor="text1"/>
          <w:sz w:val="22"/>
          <w:szCs w:val="22"/>
        </w:rPr>
        <w:t xml:space="preserve">.  Only </w:t>
      </w:r>
      <w:r w:rsidRPr="005C5107">
        <w:rPr>
          <w:rFonts w:ascii="Calibri" w:hAnsi="Calibri" w:cs="Arial"/>
          <w:color w:val="000000" w:themeColor="text1"/>
          <w:sz w:val="22"/>
          <w:szCs w:val="22"/>
        </w:rPr>
        <w:t xml:space="preserve">40% of the labour force </w:t>
      </w:r>
      <w:r w:rsidR="00587D53">
        <w:rPr>
          <w:rFonts w:ascii="Calibri" w:hAnsi="Calibri" w:cs="Arial"/>
          <w:color w:val="000000" w:themeColor="text1"/>
          <w:sz w:val="22"/>
          <w:szCs w:val="22"/>
        </w:rPr>
        <w:t xml:space="preserve">will therefore be able to benefit from this initiative, not those who most need it </w:t>
      </w:r>
      <w:r w:rsidRPr="005C5107">
        <w:rPr>
          <w:rFonts w:ascii="Calibri" w:hAnsi="Calibri" w:cs="Arial"/>
          <w:color w:val="000000" w:themeColor="text1"/>
          <w:sz w:val="22"/>
          <w:szCs w:val="22"/>
        </w:rPr>
        <w:t>(</w:t>
      </w:r>
      <w:r w:rsidR="001F597A">
        <w:rPr>
          <w:rFonts w:ascii="Calibri" w:hAnsi="Calibri" w:cs="Arial"/>
          <w:color w:val="000000" w:themeColor="text1"/>
          <w:sz w:val="22"/>
          <w:szCs w:val="22"/>
        </w:rPr>
        <w:t>see July economic report</w:t>
      </w:r>
      <w:r w:rsidRPr="005C5107">
        <w:rPr>
          <w:rFonts w:ascii="Calibri" w:hAnsi="Calibri" w:cs="Arial"/>
          <w:color w:val="000000" w:themeColor="text1"/>
          <w:sz w:val="22"/>
          <w:szCs w:val="22"/>
        </w:rPr>
        <w:t>).</w:t>
      </w:r>
    </w:p>
    <w:p w:rsidR="001F597A" w:rsidRDefault="002F4DE4" w:rsidP="005C5107">
      <w:pPr>
        <w:pStyle w:val="NormalWeb"/>
        <w:numPr>
          <w:ilvl w:val="0"/>
          <w:numId w:val="2"/>
        </w:numPr>
        <w:autoSpaceDE w:val="0"/>
        <w:autoSpaceDN w:val="0"/>
        <w:adjustRightInd w:val="0"/>
        <w:spacing w:before="120" w:beforeAutospacing="0" w:after="120" w:afterAutospacing="0"/>
        <w:ind w:left="0" w:hanging="284"/>
        <w:jc w:val="both"/>
        <w:rPr>
          <w:rFonts w:ascii="Calibri" w:hAnsi="Calibri" w:cs="Arial"/>
          <w:color w:val="000000" w:themeColor="text1"/>
          <w:sz w:val="22"/>
          <w:szCs w:val="22"/>
        </w:rPr>
      </w:pPr>
      <w:r>
        <w:rPr>
          <w:rFonts w:ascii="Calibri" w:hAnsi="Calibri" w:cs="Arial"/>
          <w:color w:val="000000" w:themeColor="text1"/>
          <w:sz w:val="22"/>
          <w:szCs w:val="22"/>
        </w:rPr>
        <w:t>Finally, the fiscal regime</w:t>
      </w:r>
      <w:r w:rsidR="001F597A">
        <w:rPr>
          <w:rFonts w:ascii="Calibri" w:hAnsi="Calibri" w:cs="Arial"/>
          <w:color w:val="000000" w:themeColor="text1"/>
          <w:sz w:val="22"/>
          <w:szCs w:val="22"/>
        </w:rPr>
        <w:t xml:space="preserve"> for the south will need a set of complementary policies to be successful: larger investments in social infrastructure, transparency in the allocation of budget for the states, and policy coordination between the Ministry of Trade and Ministry of Social Development.</w:t>
      </w:r>
    </w:p>
    <w:p w:rsidR="001F597A" w:rsidRPr="00587D53" w:rsidRDefault="001F597A" w:rsidP="00CD76D4">
      <w:pPr>
        <w:pStyle w:val="NormalWeb"/>
        <w:numPr>
          <w:ilvl w:val="0"/>
          <w:numId w:val="2"/>
        </w:numPr>
        <w:autoSpaceDE w:val="0"/>
        <w:autoSpaceDN w:val="0"/>
        <w:adjustRightInd w:val="0"/>
        <w:spacing w:before="120" w:beforeAutospacing="0" w:after="0" w:afterAutospacing="0"/>
        <w:ind w:left="0" w:hanging="284"/>
        <w:jc w:val="both"/>
        <w:rPr>
          <w:rFonts w:ascii="Calibri" w:hAnsi="Calibri" w:cs="Arial"/>
          <w:color w:val="000000" w:themeColor="text1"/>
          <w:sz w:val="22"/>
          <w:szCs w:val="22"/>
        </w:rPr>
      </w:pPr>
      <w:r>
        <w:rPr>
          <w:rFonts w:ascii="Calibri" w:hAnsi="Calibri" w:cs="Arial"/>
          <w:color w:val="000000" w:themeColor="text1"/>
          <w:sz w:val="22"/>
          <w:szCs w:val="22"/>
        </w:rPr>
        <w:t>Overall, these</w:t>
      </w:r>
      <w:r w:rsidR="00587D53">
        <w:rPr>
          <w:rFonts w:ascii="Calibri" w:hAnsi="Calibri" w:cs="Arial"/>
          <w:color w:val="000000" w:themeColor="text1"/>
          <w:sz w:val="22"/>
          <w:szCs w:val="22"/>
        </w:rPr>
        <w:t xml:space="preserve"> initiatives could foster growth </w:t>
      </w:r>
      <w:r>
        <w:rPr>
          <w:rFonts w:ascii="Calibri" w:hAnsi="Calibri" w:cs="Arial"/>
          <w:color w:val="000000" w:themeColor="text1"/>
          <w:sz w:val="22"/>
          <w:szCs w:val="22"/>
        </w:rPr>
        <w:t xml:space="preserve">in </w:t>
      </w:r>
      <w:r w:rsidR="00587D53">
        <w:rPr>
          <w:rFonts w:ascii="Calibri" w:hAnsi="Calibri" w:cs="Arial"/>
          <w:color w:val="000000" w:themeColor="text1"/>
          <w:sz w:val="22"/>
          <w:szCs w:val="22"/>
        </w:rPr>
        <w:t xml:space="preserve">certain </w:t>
      </w:r>
      <w:r>
        <w:rPr>
          <w:rFonts w:ascii="Calibri" w:hAnsi="Calibri" w:cs="Arial"/>
          <w:color w:val="000000" w:themeColor="text1"/>
          <w:sz w:val="22"/>
          <w:szCs w:val="22"/>
        </w:rPr>
        <w:t>sectors such as manufacturing and telecoms, but they won’t compensate for the lack of sustained growth in income per capita</w:t>
      </w:r>
      <w:r w:rsidR="00587D53">
        <w:rPr>
          <w:rFonts w:ascii="Calibri" w:hAnsi="Calibri" w:cs="Arial"/>
          <w:color w:val="000000" w:themeColor="text1"/>
          <w:sz w:val="22"/>
          <w:szCs w:val="22"/>
        </w:rPr>
        <w:t xml:space="preserve">, nor really </w:t>
      </w:r>
      <w:r w:rsidR="000A5975">
        <w:rPr>
          <w:rFonts w:ascii="Calibri" w:hAnsi="Calibri" w:cs="Arial"/>
          <w:color w:val="000000" w:themeColor="text1"/>
          <w:sz w:val="22"/>
          <w:szCs w:val="22"/>
        </w:rPr>
        <w:t>having a permanent effect on</w:t>
      </w:r>
      <w:r w:rsidR="00587D53">
        <w:rPr>
          <w:rFonts w:ascii="Calibri" w:hAnsi="Calibri" w:cs="Arial"/>
          <w:color w:val="000000" w:themeColor="text1"/>
          <w:sz w:val="22"/>
          <w:szCs w:val="22"/>
        </w:rPr>
        <w:t xml:space="preserve"> individuals’ or households’ </w:t>
      </w:r>
      <w:r w:rsidR="000A5975">
        <w:rPr>
          <w:rFonts w:ascii="Calibri" w:hAnsi="Calibri" w:cs="Arial"/>
          <w:color w:val="000000" w:themeColor="text1"/>
          <w:sz w:val="22"/>
          <w:szCs w:val="22"/>
        </w:rPr>
        <w:t>income</w:t>
      </w:r>
      <w:r>
        <w:rPr>
          <w:rFonts w:ascii="Calibri" w:hAnsi="Calibri" w:cs="Arial"/>
          <w:color w:val="000000" w:themeColor="text1"/>
          <w:sz w:val="22"/>
          <w:szCs w:val="22"/>
        </w:rPr>
        <w:t>.</w:t>
      </w:r>
      <w:r w:rsidRPr="00587D53">
        <w:rPr>
          <w:rFonts w:ascii="Calibri" w:hAnsi="Calibri" w:cs="Arial"/>
          <w:color w:val="000000" w:themeColor="text1"/>
          <w:sz w:val="22"/>
          <w:szCs w:val="22"/>
        </w:rPr>
        <w:t xml:space="preserve"> GDP per capita actually decrease</w:t>
      </w:r>
      <w:r w:rsidR="00587D53" w:rsidRPr="00587D53">
        <w:rPr>
          <w:rFonts w:ascii="Calibri" w:hAnsi="Calibri" w:cs="Arial"/>
          <w:color w:val="000000" w:themeColor="text1"/>
          <w:sz w:val="22"/>
          <w:szCs w:val="22"/>
        </w:rPr>
        <w:t>d</w:t>
      </w:r>
      <w:r w:rsidR="00587D53">
        <w:rPr>
          <w:rFonts w:ascii="Calibri" w:hAnsi="Calibri" w:cs="Arial"/>
          <w:color w:val="000000" w:themeColor="text1"/>
          <w:sz w:val="22"/>
          <w:szCs w:val="22"/>
        </w:rPr>
        <w:t xml:space="preserve"> in 2013</w:t>
      </w:r>
      <w:r w:rsidRPr="00587D53">
        <w:rPr>
          <w:rFonts w:ascii="Calibri" w:hAnsi="Calibri" w:cs="Arial"/>
          <w:color w:val="000000" w:themeColor="text1"/>
          <w:sz w:val="22"/>
          <w:szCs w:val="22"/>
        </w:rPr>
        <w:t xml:space="preserve">, since the economy grew </w:t>
      </w:r>
      <w:r w:rsidR="00587D53">
        <w:rPr>
          <w:rFonts w:ascii="Calibri" w:hAnsi="Calibri" w:cs="Arial"/>
          <w:color w:val="000000" w:themeColor="text1"/>
          <w:sz w:val="22"/>
          <w:szCs w:val="22"/>
        </w:rPr>
        <w:t xml:space="preserve">around 1.09%.  Preliminary figures show that </w:t>
      </w:r>
      <w:r w:rsidRPr="00587D53">
        <w:rPr>
          <w:rFonts w:ascii="Calibri" w:hAnsi="Calibri" w:cs="Arial"/>
          <w:color w:val="000000" w:themeColor="text1"/>
          <w:sz w:val="22"/>
          <w:szCs w:val="22"/>
        </w:rPr>
        <w:t xml:space="preserve">economy </w:t>
      </w:r>
      <w:r w:rsidR="00587D53">
        <w:rPr>
          <w:rFonts w:ascii="Calibri" w:hAnsi="Calibri" w:cs="Arial"/>
          <w:color w:val="000000" w:themeColor="text1"/>
          <w:sz w:val="22"/>
          <w:szCs w:val="22"/>
        </w:rPr>
        <w:t xml:space="preserve">grew </w:t>
      </w:r>
      <w:r w:rsidRPr="00587D53">
        <w:rPr>
          <w:rFonts w:ascii="Calibri" w:hAnsi="Calibri" w:cs="Arial"/>
          <w:color w:val="000000" w:themeColor="text1"/>
          <w:sz w:val="22"/>
          <w:szCs w:val="22"/>
        </w:rPr>
        <w:t xml:space="preserve">2.1% in 2014, </w:t>
      </w:r>
      <w:r w:rsidR="00587D53">
        <w:rPr>
          <w:rFonts w:ascii="Calibri" w:hAnsi="Calibri" w:cs="Arial"/>
          <w:color w:val="000000" w:themeColor="text1"/>
          <w:sz w:val="22"/>
          <w:szCs w:val="22"/>
        </w:rPr>
        <w:t xml:space="preserve">meaning that </w:t>
      </w:r>
      <w:r w:rsidRPr="00587D53">
        <w:rPr>
          <w:rFonts w:ascii="Calibri" w:hAnsi="Calibri" w:cs="Arial"/>
          <w:color w:val="000000" w:themeColor="text1"/>
          <w:sz w:val="22"/>
          <w:szCs w:val="22"/>
        </w:rPr>
        <w:t xml:space="preserve">GDP per capita </w:t>
      </w:r>
      <w:r w:rsidR="00587D53">
        <w:rPr>
          <w:rFonts w:ascii="Calibri" w:hAnsi="Calibri" w:cs="Arial"/>
          <w:color w:val="000000" w:themeColor="text1"/>
          <w:sz w:val="22"/>
          <w:szCs w:val="22"/>
        </w:rPr>
        <w:t xml:space="preserve">for 2014 remains at levels similar to </w:t>
      </w:r>
      <w:r w:rsidRPr="00587D53">
        <w:rPr>
          <w:rFonts w:ascii="Calibri" w:hAnsi="Calibri" w:cs="Arial"/>
          <w:color w:val="000000" w:themeColor="text1"/>
          <w:sz w:val="22"/>
          <w:szCs w:val="22"/>
        </w:rPr>
        <w:t>2012.</w:t>
      </w:r>
    </w:p>
    <w:p w:rsidR="0078041B" w:rsidRPr="006E0B45" w:rsidRDefault="00B67E25" w:rsidP="00CD76D4">
      <w:pPr>
        <w:pStyle w:val="NormalWeb"/>
        <w:autoSpaceDE w:val="0"/>
        <w:autoSpaceDN w:val="0"/>
        <w:adjustRightInd w:val="0"/>
        <w:spacing w:before="120" w:beforeAutospacing="0" w:after="0" w:afterAutospacing="0"/>
        <w:jc w:val="both"/>
        <w:rPr>
          <w:rFonts w:ascii="Calibri" w:hAnsi="Calibri"/>
          <w:sz w:val="28"/>
          <w:u w:val="single"/>
        </w:rPr>
      </w:pPr>
      <w:r w:rsidRPr="00CD76D4">
        <w:rPr>
          <w:rFonts w:ascii="Calibri" w:hAnsi="Calibri"/>
          <w:u w:val="single"/>
        </w:rPr>
        <w:t>M</w:t>
      </w:r>
      <w:r w:rsidR="0078041B" w:rsidRPr="00CD76D4">
        <w:rPr>
          <w:rFonts w:ascii="Calibri" w:hAnsi="Calibri"/>
          <w:u w:val="single"/>
        </w:rPr>
        <w:t>onthly Economic Monitor</w:t>
      </w:r>
    </w:p>
    <w:p w:rsidR="00AB5FB5" w:rsidRPr="006E0B45" w:rsidRDefault="00D65EAD" w:rsidP="00AF2DF5">
      <w:pPr>
        <w:pStyle w:val="NormalWeb"/>
        <w:numPr>
          <w:ilvl w:val="0"/>
          <w:numId w:val="2"/>
        </w:numPr>
        <w:autoSpaceDE w:val="0"/>
        <w:autoSpaceDN w:val="0"/>
        <w:adjustRightInd w:val="0"/>
        <w:spacing w:before="0" w:beforeAutospacing="0" w:after="0" w:afterAutospacing="0"/>
        <w:ind w:left="0" w:hanging="284"/>
        <w:jc w:val="both"/>
        <w:rPr>
          <w:rFonts w:asciiTheme="minorHAnsi" w:hAnsiTheme="minorHAnsi"/>
          <w:color w:val="000000" w:themeColor="text1"/>
          <w:sz w:val="22"/>
          <w:szCs w:val="22"/>
        </w:rPr>
      </w:pPr>
      <w:r w:rsidRPr="006E0B45">
        <w:rPr>
          <w:rFonts w:asciiTheme="minorHAnsi" w:hAnsiTheme="minorHAnsi"/>
          <w:color w:val="000000" w:themeColor="text1"/>
          <w:sz w:val="22"/>
          <w:szCs w:val="22"/>
        </w:rPr>
        <w:t xml:space="preserve"> </w:t>
      </w:r>
      <w:proofErr w:type="spellStart"/>
      <w:r w:rsidR="00A255C0" w:rsidRPr="006E0B45">
        <w:rPr>
          <w:rFonts w:asciiTheme="minorHAnsi" w:hAnsiTheme="minorHAnsi"/>
          <w:color w:val="000000" w:themeColor="text1"/>
          <w:sz w:val="22"/>
          <w:szCs w:val="22"/>
        </w:rPr>
        <w:t>Banxico’s</w:t>
      </w:r>
      <w:proofErr w:type="spellEnd"/>
      <w:r w:rsidR="00DF66F3">
        <w:rPr>
          <w:rFonts w:asciiTheme="minorHAnsi" w:hAnsiTheme="minorHAnsi"/>
          <w:color w:val="000000" w:themeColor="text1"/>
          <w:sz w:val="22"/>
          <w:szCs w:val="22"/>
        </w:rPr>
        <w:t xml:space="preserve"> </w:t>
      </w:r>
      <w:r w:rsidR="00A05210">
        <w:rPr>
          <w:rFonts w:asciiTheme="minorHAnsi" w:hAnsiTheme="minorHAnsi"/>
          <w:color w:val="000000" w:themeColor="text1"/>
          <w:sz w:val="22"/>
          <w:szCs w:val="22"/>
        </w:rPr>
        <w:t>Dec</w:t>
      </w:r>
      <w:r w:rsidR="00DF66F3">
        <w:rPr>
          <w:rFonts w:asciiTheme="minorHAnsi" w:hAnsiTheme="minorHAnsi"/>
          <w:color w:val="000000" w:themeColor="text1"/>
          <w:sz w:val="22"/>
          <w:szCs w:val="22"/>
        </w:rPr>
        <w:t>ember</w:t>
      </w:r>
      <w:r w:rsidR="00AB5FB5" w:rsidRPr="006E0B45">
        <w:rPr>
          <w:rFonts w:asciiTheme="minorHAnsi" w:hAnsiTheme="minorHAnsi"/>
          <w:color w:val="000000" w:themeColor="text1"/>
          <w:sz w:val="22"/>
          <w:szCs w:val="22"/>
        </w:rPr>
        <w:t xml:space="preserve"> survey </w:t>
      </w:r>
      <w:r w:rsidR="00A05210">
        <w:rPr>
          <w:rFonts w:asciiTheme="minorHAnsi" w:hAnsiTheme="minorHAnsi"/>
          <w:color w:val="000000" w:themeColor="text1"/>
          <w:sz w:val="22"/>
          <w:szCs w:val="22"/>
        </w:rPr>
        <w:t>maintained</w:t>
      </w:r>
      <w:r w:rsidR="00987350" w:rsidRPr="006E0B45">
        <w:rPr>
          <w:rFonts w:asciiTheme="minorHAnsi" w:hAnsiTheme="minorHAnsi"/>
          <w:color w:val="000000" w:themeColor="text1"/>
          <w:sz w:val="22"/>
          <w:szCs w:val="22"/>
        </w:rPr>
        <w:t xml:space="preserve"> its 2014</w:t>
      </w:r>
      <w:r w:rsidRPr="006E0B45">
        <w:rPr>
          <w:rFonts w:asciiTheme="minorHAnsi" w:hAnsiTheme="minorHAnsi"/>
          <w:color w:val="000000" w:themeColor="text1"/>
          <w:sz w:val="22"/>
          <w:szCs w:val="22"/>
        </w:rPr>
        <w:t xml:space="preserve"> GDP growth</w:t>
      </w:r>
      <w:r w:rsidR="0051298D" w:rsidRPr="006E0B45">
        <w:rPr>
          <w:rFonts w:asciiTheme="minorHAnsi" w:hAnsiTheme="minorHAnsi"/>
          <w:color w:val="000000" w:themeColor="text1"/>
          <w:sz w:val="22"/>
          <w:szCs w:val="22"/>
        </w:rPr>
        <w:t xml:space="preserve"> </w:t>
      </w:r>
      <w:r w:rsidR="00F55585" w:rsidRPr="006E0B45">
        <w:rPr>
          <w:rFonts w:asciiTheme="minorHAnsi" w:hAnsiTheme="minorHAnsi"/>
          <w:color w:val="000000" w:themeColor="text1"/>
          <w:sz w:val="22"/>
          <w:szCs w:val="22"/>
        </w:rPr>
        <w:t>expectations</w:t>
      </w:r>
      <w:r w:rsidR="00987350" w:rsidRPr="006E0B45">
        <w:rPr>
          <w:rFonts w:asciiTheme="minorHAnsi" w:hAnsiTheme="minorHAnsi"/>
          <w:color w:val="000000" w:themeColor="text1"/>
          <w:sz w:val="22"/>
          <w:szCs w:val="22"/>
        </w:rPr>
        <w:t xml:space="preserve"> in</w:t>
      </w:r>
      <w:r w:rsidRPr="006E0B45">
        <w:rPr>
          <w:rFonts w:asciiTheme="minorHAnsi" w:hAnsiTheme="minorHAnsi"/>
          <w:color w:val="000000" w:themeColor="text1"/>
          <w:sz w:val="22"/>
          <w:szCs w:val="22"/>
        </w:rPr>
        <w:t xml:space="preserve"> 2.</w:t>
      </w:r>
      <w:r w:rsidR="00DF66F3">
        <w:rPr>
          <w:rFonts w:asciiTheme="minorHAnsi" w:hAnsiTheme="minorHAnsi"/>
          <w:color w:val="000000" w:themeColor="text1"/>
          <w:sz w:val="22"/>
          <w:szCs w:val="22"/>
        </w:rPr>
        <w:t>19</w:t>
      </w:r>
      <w:r w:rsidRPr="006E0B45">
        <w:rPr>
          <w:rFonts w:asciiTheme="minorHAnsi" w:hAnsiTheme="minorHAnsi"/>
          <w:color w:val="000000" w:themeColor="text1"/>
          <w:sz w:val="22"/>
          <w:szCs w:val="22"/>
        </w:rPr>
        <w:t>%</w:t>
      </w:r>
      <w:r w:rsidR="00A05210">
        <w:rPr>
          <w:rFonts w:asciiTheme="minorHAnsi" w:hAnsiTheme="minorHAnsi"/>
          <w:color w:val="000000" w:themeColor="text1"/>
          <w:sz w:val="22"/>
          <w:szCs w:val="22"/>
        </w:rPr>
        <w:t xml:space="preserve"> compared to last month’s</w:t>
      </w:r>
      <w:r w:rsidRPr="006E0B45">
        <w:rPr>
          <w:rFonts w:asciiTheme="minorHAnsi" w:hAnsiTheme="minorHAnsi"/>
          <w:color w:val="000000" w:themeColor="text1"/>
          <w:sz w:val="22"/>
          <w:szCs w:val="22"/>
        </w:rPr>
        <w:t>.</w:t>
      </w:r>
      <w:r w:rsidR="00A05210">
        <w:rPr>
          <w:rFonts w:asciiTheme="minorHAnsi" w:hAnsiTheme="minorHAnsi"/>
          <w:color w:val="000000" w:themeColor="text1"/>
          <w:sz w:val="22"/>
          <w:szCs w:val="22"/>
        </w:rPr>
        <w:t xml:space="preserve"> The new forecast of the Ministry of Finance is consistent with this figure.</w:t>
      </w:r>
      <w:r w:rsidRPr="006E0B45">
        <w:rPr>
          <w:rFonts w:asciiTheme="minorHAnsi" w:hAnsiTheme="minorHAnsi"/>
          <w:color w:val="000000" w:themeColor="text1"/>
          <w:sz w:val="22"/>
          <w:szCs w:val="22"/>
        </w:rPr>
        <w:t xml:space="preserve"> </w:t>
      </w:r>
      <w:r w:rsidR="00B342D2" w:rsidRPr="006E0B45">
        <w:rPr>
          <w:rFonts w:asciiTheme="minorHAnsi" w:hAnsiTheme="minorHAnsi"/>
          <w:color w:val="000000" w:themeColor="text1"/>
          <w:sz w:val="22"/>
          <w:szCs w:val="22"/>
        </w:rPr>
        <w:t>Whilst the</w:t>
      </w:r>
      <w:r w:rsidR="00066197" w:rsidRPr="006E0B45">
        <w:rPr>
          <w:rFonts w:asciiTheme="minorHAnsi" w:hAnsiTheme="minorHAnsi"/>
          <w:color w:val="000000" w:themeColor="text1"/>
          <w:sz w:val="22"/>
          <w:szCs w:val="22"/>
        </w:rPr>
        <w:t xml:space="preserve"> </w:t>
      </w:r>
      <w:r w:rsidR="00A05210">
        <w:rPr>
          <w:rFonts w:asciiTheme="minorHAnsi" w:hAnsiTheme="minorHAnsi"/>
          <w:color w:val="000000" w:themeColor="text1"/>
          <w:sz w:val="22"/>
          <w:szCs w:val="22"/>
        </w:rPr>
        <w:t>Novem</w:t>
      </w:r>
      <w:r w:rsidR="00DF66F3">
        <w:rPr>
          <w:rFonts w:asciiTheme="minorHAnsi" w:hAnsiTheme="minorHAnsi"/>
          <w:color w:val="000000" w:themeColor="text1"/>
          <w:sz w:val="22"/>
          <w:szCs w:val="22"/>
        </w:rPr>
        <w:t>ber</w:t>
      </w:r>
      <w:r w:rsidR="00A255C0" w:rsidRPr="006E0B45">
        <w:rPr>
          <w:rFonts w:asciiTheme="minorHAnsi" w:hAnsiTheme="minorHAnsi"/>
          <w:color w:val="000000" w:themeColor="text1"/>
          <w:sz w:val="22"/>
          <w:szCs w:val="22"/>
        </w:rPr>
        <w:t xml:space="preserve"> survey had </w:t>
      </w:r>
      <w:r w:rsidR="00DF66F3">
        <w:rPr>
          <w:rFonts w:asciiTheme="minorHAnsi" w:hAnsiTheme="minorHAnsi"/>
          <w:color w:val="000000" w:themeColor="text1"/>
          <w:sz w:val="22"/>
          <w:szCs w:val="22"/>
        </w:rPr>
        <w:t>a 3</w:t>
      </w:r>
      <w:r w:rsidR="00B342D2" w:rsidRPr="006E0B45">
        <w:rPr>
          <w:rFonts w:asciiTheme="minorHAnsi" w:hAnsiTheme="minorHAnsi"/>
          <w:color w:val="000000" w:themeColor="text1"/>
          <w:sz w:val="22"/>
          <w:szCs w:val="22"/>
        </w:rPr>
        <w:t>.</w:t>
      </w:r>
      <w:r w:rsidR="00A05210">
        <w:rPr>
          <w:rFonts w:asciiTheme="minorHAnsi" w:hAnsiTheme="minorHAnsi"/>
          <w:color w:val="000000" w:themeColor="text1"/>
          <w:sz w:val="22"/>
          <w:szCs w:val="22"/>
        </w:rPr>
        <w:t>51</w:t>
      </w:r>
      <w:r w:rsidR="00B342D2" w:rsidRPr="006E0B45">
        <w:rPr>
          <w:rFonts w:asciiTheme="minorHAnsi" w:hAnsiTheme="minorHAnsi"/>
          <w:color w:val="000000" w:themeColor="text1"/>
          <w:sz w:val="22"/>
          <w:szCs w:val="22"/>
        </w:rPr>
        <w:t xml:space="preserve">% forecast for 2015, in </w:t>
      </w:r>
      <w:r w:rsidR="00A05210">
        <w:rPr>
          <w:rFonts w:asciiTheme="minorHAnsi" w:hAnsiTheme="minorHAnsi"/>
          <w:color w:val="000000" w:themeColor="text1"/>
          <w:sz w:val="22"/>
          <w:szCs w:val="22"/>
        </w:rPr>
        <w:t>Dec</w:t>
      </w:r>
      <w:r w:rsidR="00DF66F3">
        <w:rPr>
          <w:rFonts w:asciiTheme="minorHAnsi" w:hAnsiTheme="minorHAnsi"/>
          <w:color w:val="000000" w:themeColor="text1"/>
          <w:sz w:val="22"/>
          <w:szCs w:val="22"/>
        </w:rPr>
        <w:t>ember</w:t>
      </w:r>
      <w:r w:rsidR="00987350" w:rsidRPr="006E0B45">
        <w:rPr>
          <w:rFonts w:asciiTheme="minorHAnsi" w:hAnsiTheme="minorHAnsi"/>
          <w:color w:val="000000" w:themeColor="text1"/>
          <w:sz w:val="22"/>
          <w:szCs w:val="22"/>
        </w:rPr>
        <w:t xml:space="preserve"> </w:t>
      </w:r>
      <w:r w:rsidR="00B342D2" w:rsidRPr="006E0B45">
        <w:rPr>
          <w:rFonts w:asciiTheme="minorHAnsi" w:hAnsiTheme="minorHAnsi"/>
          <w:color w:val="000000" w:themeColor="text1"/>
          <w:sz w:val="22"/>
          <w:szCs w:val="22"/>
        </w:rPr>
        <w:t>t</w:t>
      </w:r>
      <w:r w:rsidR="00590696" w:rsidRPr="006E0B45">
        <w:rPr>
          <w:rFonts w:asciiTheme="minorHAnsi" w:hAnsiTheme="minorHAnsi"/>
          <w:color w:val="000000" w:themeColor="text1"/>
          <w:sz w:val="22"/>
          <w:szCs w:val="22"/>
        </w:rPr>
        <w:t>h</w:t>
      </w:r>
      <w:r w:rsidR="00987350" w:rsidRPr="006E0B45">
        <w:rPr>
          <w:rFonts w:asciiTheme="minorHAnsi" w:hAnsiTheme="minorHAnsi"/>
          <w:color w:val="000000" w:themeColor="text1"/>
          <w:sz w:val="22"/>
          <w:szCs w:val="22"/>
        </w:rPr>
        <w:t>is</w:t>
      </w:r>
      <w:r w:rsidR="00AB5FB5" w:rsidRPr="006E0B45">
        <w:rPr>
          <w:rFonts w:asciiTheme="minorHAnsi" w:hAnsiTheme="minorHAnsi"/>
          <w:color w:val="000000" w:themeColor="text1"/>
          <w:sz w:val="22"/>
          <w:szCs w:val="22"/>
        </w:rPr>
        <w:t xml:space="preserve"> forecast</w:t>
      </w:r>
      <w:r w:rsidR="00A05210">
        <w:rPr>
          <w:rFonts w:asciiTheme="minorHAnsi" w:hAnsiTheme="minorHAnsi"/>
          <w:color w:val="000000" w:themeColor="text1"/>
          <w:sz w:val="22"/>
          <w:szCs w:val="22"/>
        </w:rPr>
        <w:t xml:space="preserve"> slightly</w:t>
      </w:r>
      <w:r w:rsidR="00AB5FB5" w:rsidRPr="006E0B45">
        <w:rPr>
          <w:rFonts w:asciiTheme="minorHAnsi" w:hAnsiTheme="minorHAnsi"/>
          <w:color w:val="000000" w:themeColor="text1"/>
          <w:sz w:val="22"/>
          <w:szCs w:val="22"/>
        </w:rPr>
        <w:t xml:space="preserve"> </w:t>
      </w:r>
      <w:r w:rsidR="00987350" w:rsidRPr="006E0B45">
        <w:rPr>
          <w:rFonts w:asciiTheme="minorHAnsi" w:hAnsiTheme="minorHAnsi"/>
          <w:color w:val="000000" w:themeColor="text1"/>
          <w:sz w:val="22"/>
          <w:szCs w:val="22"/>
        </w:rPr>
        <w:t>decreased to</w:t>
      </w:r>
      <w:r w:rsidRPr="006E0B45">
        <w:rPr>
          <w:rFonts w:asciiTheme="minorHAnsi" w:hAnsiTheme="minorHAnsi"/>
          <w:color w:val="000000" w:themeColor="text1"/>
          <w:sz w:val="22"/>
          <w:szCs w:val="22"/>
        </w:rPr>
        <w:t xml:space="preserve"> </w:t>
      </w:r>
      <w:r w:rsidR="00A255C0" w:rsidRPr="006E0B45">
        <w:rPr>
          <w:rFonts w:asciiTheme="minorHAnsi" w:hAnsiTheme="minorHAnsi"/>
          <w:color w:val="000000" w:themeColor="text1"/>
          <w:sz w:val="22"/>
          <w:szCs w:val="22"/>
        </w:rPr>
        <w:t>3</w:t>
      </w:r>
      <w:r w:rsidR="00B342D2" w:rsidRPr="006E0B45">
        <w:rPr>
          <w:rFonts w:asciiTheme="minorHAnsi" w:hAnsiTheme="minorHAnsi"/>
          <w:color w:val="000000" w:themeColor="text1"/>
          <w:sz w:val="22"/>
          <w:szCs w:val="22"/>
        </w:rPr>
        <w:t>.</w:t>
      </w:r>
      <w:r w:rsidR="00A05210">
        <w:rPr>
          <w:rFonts w:asciiTheme="minorHAnsi" w:hAnsiTheme="minorHAnsi"/>
          <w:color w:val="000000" w:themeColor="text1"/>
          <w:sz w:val="22"/>
          <w:szCs w:val="22"/>
        </w:rPr>
        <w:t>50</w:t>
      </w:r>
      <w:r w:rsidR="00AB5FB5" w:rsidRPr="006E0B45">
        <w:rPr>
          <w:rFonts w:asciiTheme="minorHAnsi" w:hAnsiTheme="minorHAnsi"/>
          <w:color w:val="000000" w:themeColor="text1"/>
          <w:sz w:val="22"/>
          <w:szCs w:val="22"/>
        </w:rPr>
        <w:t>%</w:t>
      </w:r>
      <w:r w:rsidR="00AF2DF5" w:rsidRPr="006E0B45">
        <w:rPr>
          <w:rFonts w:asciiTheme="minorHAnsi" w:hAnsiTheme="minorHAnsi"/>
          <w:color w:val="000000" w:themeColor="text1"/>
          <w:sz w:val="22"/>
          <w:szCs w:val="22"/>
        </w:rPr>
        <w:t>.</w:t>
      </w:r>
      <w:r w:rsidR="006B3249" w:rsidRPr="006E0B45">
        <w:rPr>
          <w:rFonts w:asciiTheme="minorHAnsi" w:hAnsiTheme="minorHAnsi"/>
          <w:color w:val="000000" w:themeColor="text1"/>
          <w:sz w:val="22"/>
          <w:szCs w:val="22"/>
        </w:rPr>
        <w:t xml:space="preserve"> </w:t>
      </w:r>
      <w:r w:rsidR="00A05210">
        <w:rPr>
          <w:rFonts w:asciiTheme="minorHAnsi" w:hAnsiTheme="minorHAnsi"/>
          <w:color w:val="000000" w:themeColor="text1"/>
          <w:sz w:val="22"/>
          <w:szCs w:val="22"/>
        </w:rPr>
        <w:t>In order to deliver growth rates above 3%, the domestic demand must recover from 2013 slowdown</w:t>
      </w:r>
      <w:r w:rsidR="006B3249" w:rsidRPr="006E0B45">
        <w:rPr>
          <w:rFonts w:asciiTheme="minorHAnsi" w:hAnsiTheme="minorHAnsi"/>
          <w:color w:val="000000" w:themeColor="text1"/>
          <w:sz w:val="22"/>
          <w:szCs w:val="22"/>
        </w:rPr>
        <w:t>.</w:t>
      </w:r>
      <w:r w:rsidR="00A05210">
        <w:rPr>
          <w:rFonts w:asciiTheme="minorHAnsi" w:hAnsiTheme="minorHAnsi"/>
          <w:color w:val="000000" w:themeColor="text1"/>
          <w:sz w:val="22"/>
          <w:szCs w:val="22"/>
        </w:rPr>
        <w:t xml:space="preserve"> The latest data for the US economy for 4Q2014 suggests that exports could help the economy to grow for the 1Q2015.</w:t>
      </w:r>
    </w:p>
    <w:p w:rsidR="00AB5FB5" w:rsidRPr="006E0B45" w:rsidRDefault="00AB5FB5" w:rsidP="00AB5FB5">
      <w:pPr>
        <w:pStyle w:val="NormalWeb"/>
        <w:autoSpaceDE w:val="0"/>
        <w:autoSpaceDN w:val="0"/>
        <w:adjustRightInd w:val="0"/>
        <w:spacing w:before="0" w:beforeAutospacing="0" w:after="0" w:afterAutospacing="0"/>
        <w:jc w:val="both"/>
        <w:rPr>
          <w:rFonts w:asciiTheme="minorHAnsi" w:hAnsiTheme="minorHAnsi"/>
          <w:color w:val="000000" w:themeColor="text1"/>
          <w:sz w:val="22"/>
          <w:szCs w:val="22"/>
        </w:rPr>
      </w:pPr>
    </w:p>
    <w:p w:rsidR="0078134F" w:rsidRPr="006E0B45" w:rsidRDefault="00183491" w:rsidP="0078134F">
      <w:pPr>
        <w:pStyle w:val="NormalWeb"/>
        <w:numPr>
          <w:ilvl w:val="0"/>
          <w:numId w:val="2"/>
        </w:numPr>
        <w:autoSpaceDE w:val="0"/>
        <w:autoSpaceDN w:val="0"/>
        <w:adjustRightInd w:val="0"/>
        <w:spacing w:before="0" w:beforeAutospacing="0" w:after="0" w:afterAutospacing="0"/>
        <w:ind w:left="0" w:hanging="284"/>
        <w:jc w:val="both"/>
        <w:rPr>
          <w:rFonts w:asciiTheme="minorHAnsi" w:hAnsiTheme="minorHAnsi"/>
          <w:color w:val="000000" w:themeColor="text1"/>
          <w:sz w:val="22"/>
          <w:szCs w:val="22"/>
        </w:rPr>
      </w:pPr>
      <w:r w:rsidRPr="006E0B45">
        <w:rPr>
          <w:rFonts w:asciiTheme="minorHAnsi" w:hAnsiTheme="minorHAnsi"/>
          <w:color w:val="000000" w:themeColor="text1"/>
          <w:sz w:val="22"/>
          <w:szCs w:val="22"/>
        </w:rPr>
        <w:t>T</w:t>
      </w:r>
      <w:r w:rsidR="005F565C" w:rsidRPr="006E0B45">
        <w:rPr>
          <w:rFonts w:asciiTheme="minorHAnsi" w:hAnsiTheme="minorHAnsi"/>
          <w:color w:val="000000" w:themeColor="text1"/>
          <w:sz w:val="22"/>
          <w:szCs w:val="22"/>
        </w:rPr>
        <w:t xml:space="preserve">he </w:t>
      </w:r>
      <w:r w:rsidR="006B3249" w:rsidRPr="006E0B45">
        <w:rPr>
          <w:rFonts w:asciiTheme="minorHAnsi" w:hAnsiTheme="minorHAnsi"/>
          <w:color w:val="000000" w:themeColor="text1"/>
          <w:sz w:val="22"/>
          <w:szCs w:val="22"/>
        </w:rPr>
        <w:t>end year general</w:t>
      </w:r>
      <w:r w:rsidR="00A255C0" w:rsidRPr="006E0B45">
        <w:rPr>
          <w:rFonts w:asciiTheme="minorHAnsi" w:hAnsiTheme="minorHAnsi"/>
          <w:color w:val="000000" w:themeColor="text1"/>
          <w:sz w:val="22"/>
          <w:szCs w:val="22"/>
        </w:rPr>
        <w:t xml:space="preserve"> </w:t>
      </w:r>
      <w:r w:rsidR="005F565C" w:rsidRPr="006E0B45">
        <w:rPr>
          <w:rFonts w:asciiTheme="minorHAnsi" w:hAnsiTheme="minorHAnsi"/>
          <w:color w:val="000000" w:themeColor="text1"/>
          <w:sz w:val="22"/>
          <w:szCs w:val="22"/>
        </w:rPr>
        <w:t>inflation forecast for 201</w:t>
      </w:r>
      <w:r w:rsidR="0078134F" w:rsidRPr="006E0B45">
        <w:rPr>
          <w:rFonts w:asciiTheme="minorHAnsi" w:hAnsiTheme="minorHAnsi"/>
          <w:color w:val="000000" w:themeColor="text1"/>
          <w:sz w:val="22"/>
          <w:szCs w:val="22"/>
        </w:rPr>
        <w:t>4</w:t>
      </w:r>
      <w:r w:rsidR="00987350" w:rsidRPr="006E0B45">
        <w:rPr>
          <w:rFonts w:asciiTheme="minorHAnsi" w:hAnsiTheme="minorHAnsi"/>
          <w:color w:val="000000" w:themeColor="text1"/>
          <w:sz w:val="22"/>
          <w:szCs w:val="22"/>
        </w:rPr>
        <w:t xml:space="preserve"> </w:t>
      </w:r>
      <w:r w:rsidR="00A05210">
        <w:rPr>
          <w:rFonts w:asciiTheme="minorHAnsi" w:hAnsiTheme="minorHAnsi"/>
          <w:color w:val="000000" w:themeColor="text1"/>
          <w:sz w:val="22"/>
          <w:szCs w:val="22"/>
        </w:rPr>
        <w:t xml:space="preserve">decrease to 4.06% </w:t>
      </w:r>
      <w:r w:rsidR="00987350" w:rsidRPr="006E0B45">
        <w:rPr>
          <w:rFonts w:asciiTheme="minorHAnsi" w:hAnsiTheme="minorHAnsi"/>
          <w:color w:val="000000" w:themeColor="text1"/>
          <w:sz w:val="22"/>
          <w:szCs w:val="22"/>
        </w:rPr>
        <w:t>and</w:t>
      </w:r>
      <w:r w:rsidR="00A05210">
        <w:rPr>
          <w:rFonts w:asciiTheme="minorHAnsi" w:hAnsiTheme="minorHAnsi"/>
          <w:color w:val="000000" w:themeColor="text1"/>
          <w:sz w:val="22"/>
          <w:szCs w:val="22"/>
        </w:rPr>
        <w:t xml:space="preserve"> for</w:t>
      </w:r>
      <w:r w:rsidR="00987350" w:rsidRPr="006E0B45">
        <w:rPr>
          <w:rFonts w:asciiTheme="minorHAnsi" w:hAnsiTheme="minorHAnsi"/>
          <w:color w:val="000000" w:themeColor="text1"/>
          <w:sz w:val="22"/>
          <w:szCs w:val="22"/>
        </w:rPr>
        <w:t xml:space="preserve"> 2015</w:t>
      </w:r>
      <w:r w:rsidR="00A05210">
        <w:rPr>
          <w:rFonts w:asciiTheme="minorHAnsi" w:hAnsiTheme="minorHAnsi"/>
          <w:color w:val="000000" w:themeColor="text1"/>
          <w:sz w:val="22"/>
          <w:szCs w:val="22"/>
        </w:rPr>
        <w:t xml:space="preserve"> it</w:t>
      </w:r>
      <w:r w:rsidR="00A255C0" w:rsidRPr="006E0B45">
        <w:rPr>
          <w:rFonts w:asciiTheme="minorHAnsi" w:hAnsiTheme="minorHAnsi"/>
          <w:color w:val="000000" w:themeColor="text1"/>
          <w:sz w:val="22"/>
          <w:szCs w:val="22"/>
        </w:rPr>
        <w:t xml:space="preserve"> </w:t>
      </w:r>
      <w:r w:rsidR="006B3249" w:rsidRPr="006E0B45">
        <w:rPr>
          <w:rFonts w:asciiTheme="minorHAnsi" w:hAnsiTheme="minorHAnsi"/>
          <w:color w:val="000000" w:themeColor="text1"/>
          <w:sz w:val="22"/>
          <w:szCs w:val="22"/>
        </w:rPr>
        <w:t>in</w:t>
      </w:r>
      <w:r w:rsidR="00F54072" w:rsidRPr="006E0B45">
        <w:rPr>
          <w:rFonts w:asciiTheme="minorHAnsi" w:hAnsiTheme="minorHAnsi"/>
          <w:color w:val="000000" w:themeColor="text1"/>
          <w:sz w:val="22"/>
          <w:szCs w:val="22"/>
        </w:rPr>
        <w:t xml:space="preserve">creased to </w:t>
      </w:r>
      <w:r w:rsidR="00DF66F3">
        <w:rPr>
          <w:rFonts w:asciiTheme="minorHAnsi" w:hAnsiTheme="minorHAnsi"/>
          <w:color w:val="000000" w:themeColor="text1"/>
          <w:sz w:val="22"/>
          <w:szCs w:val="22"/>
        </w:rPr>
        <w:t>3.5</w:t>
      </w:r>
      <w:r w:rsidR="00A05210">
        <w:rPr>
          <w:rFonts w:asciiTheme="minorHAnsi" w:hAnsiTheme="minorHAnsi"/>
          <w:color w:val="000000" w:themeColor="text1"/>
          <w:sz w:val="22"/>
          <w:szCs w:val="22"/>
        </w:rPr>
        <w:t>4</w:t>
      </w:r>
      <w:r w:rsidR="00DF66F3">
        <w:rPr>
          <w:rFonts w:asciiTheme="minorHAnsi" w:hAnsiTheme="minorHAnsi"/>
          <w:color w:val="000000" w:themeColor="text1"/>
          <w:sz w:val="22"/>
          <w:szCs w:val="22"/>
        </w:rPr>
        <w:t>%</w:t>
      </w:r>
      <w:r w:rsidR="00A05210">
        <w:rPr>
          <w:rFonts w:asciiTheme="minorHAnsi" w:hAnsiTheme="minorHAnsi"/>
          <w:color w:val="000000" w:themeColor="text1"/>
          <w:sz w:val="22"/>
          <w:szCs w:val="22"/>
        </w:rPr>
        <w:t xml:space="preserve">. The inflation for 2014 is still </w:t>
      </w:r>
      <w:r w:rsidR="00DF66F3">
        <w:rPr>
          <w:rFonts w:asciiTheme="minorHAnsi" w:hAnsiTheme="minorHAnsi"/>
          <w:color w:val="000000" w:themeColor="text1"/>
          <w:sz w:val="22"/>
          <w:szCs w:val="22"/>
        </w:rPr>
        <w:t>slightly</w:t>
      </w:r>
      <w:r w:rsidR="00AB5FB5" w:rsidRPr="006E0B45">
        <w:rPr>
          <w:rFonts w:asciiTheme="minorHAnsi" w:hAnsiTheme="minorHAnsi"/>
          <w:color w:val="000000" w:themeColor="text1"/>
          <w:sz w:val="22"/>
          <w:szCs w:val="22"/>
        </w:rPr>
        <w:t xml:space="preserve"> </w:t>
      </w:r>
      <w:r w:rsidR="00DF66F3">
        <w:rPr>
          <w:rFonts w:asciiTheme="minorHAnsi" w:hAnsiTheme="minorHAnsi"/>
          <w:color w:val="000000" w:themeColor="text1"/>
          <w:sz w:val="22"/>
          <w:szCs w:val="22"/>
        </w:rPr>
        <w:t xml:space="preserve">over </w:t>
      </w:r>
      <w:proofErr w:type="spellStart"/>
      <w:r w:rsidR="00B342D2" w:rsidRPr="006E0B45">
        <w:rPr>
          <w:rFonts w:asciiTheme="minorHAnsi" w:hAnsiTheme="minorHAnsi"/>
          <w:color w:val="000000" w:themeColor="text1"/>
          <w:sz w:val="22"/>
          <w:szCs w:val="22"/>
        </w:rPr>
        <w:t>Banxico’s</w:t>
      </w:r>
      <w:proofErr w:type="spellEnd"/>
      <w:r w:rsidR="00B342D2" w:rsidRPr="006E0B45">
        <w:rPr>
          <w:rFonts w:asciiTheme="minorHAnsi" w:hAnsiTheme="minorHAnsi"/>
          <w:color w:val="000000" w:themeColor="text1"/>
          <w:sz w:val="22"/>
          <w:szCs w:val="22"/>
        </w:rPr>
        <w:t xml:space="preserve"> benchmark</w:t>
      </w:r>
      <w:r w:rsidR="0021403F" w:rsidRPr="006E0B45">
        <w:rPr>
          <w:rFonts w:asciiTheme="minorHAnsi" w:hAnsiTheme="minorHAnsi"/>
          <w:color w:val="000000" w:themeColor="text1"/>
          <w:sz w:val="22"/>
          <w:szCs w:val="22"/>
        </w:rPr>
        <w:t xml:space="preserve"> (3%+/-1)</w:t>
      </w:r>
      <w:r w:rsidR="005F565C" w:rsidRPr="006E0B45">
        <w:rPr>
          <w:rFonts w:asciiTheme="minorHAnsi" w:hAnsiTheme="minorHAnsi"/>
          <w:color w:val="000000" w:themeColor="text1"/>
          <w:sz w:val="22"/>
          <w:szCs w:val="22"/>
        </w:rPr>
        <w:t>.</w:t>
      </w:r>
      <w:r w:rsidR="00A255C0" w:rsidRPr="006E0B45">
        <w:rPr>
          <w:rFonts w:asciiTheme="minorHAnsi" w:hAnsiTheme="minorHAnsi"/>
          <w:color w:val="000000" w:themeColor="text1"/>
          <w:sz w:val="22"/>
          <w:szCs w:val="22"/>
        </w:rPr>
        <w:t xml:space="preserve"> </w:t>
      </w:r>
      <w:r w:rsidR="00A05210">
        <w:rPr>
          <w:rFonts w:asciiTheme="minorHAnsi" w:hAnsiTheme="minorHAnsi"/>
          <w:color w:val="000000" w:themeColor="text1"/>
          <w:sz w:val="22"/>
          <w:szCs w:val="22"/>
        </w:rPr>
        <w:t xml:space="preserve">Some of the increase in general inflation is explained by </w:t>
      </w:r>
      <w:proofErr w:type="spellStart"/>
      <w:r w:rsidR="00A05210">
        <w:rPr>
          <w:rFonts w:asciiTheme="minorHAnsi" w:hAnsiTheme="minorHAnsi"/>
          <w:color w:val="000000" w:themeColor="text1"/>
          <w:sz w:val="22"/>
          <w:szCs w:val="22"/>
        </w:rPr>
        <w:t>non core</w:t>
      </w:r>
      <w:proofErr w:type="spellEnd"/>
      <w:r w:rsidR="00A05210">
        <w:rPr>
          <w:rFonts w:asciiTheme="minorHAnsi" w:hAnsiTheme="minorHAnsi"/>
          <w:color w:val="000000" w:themeColor="text1"/>
          <w:sz w:val="22"/>
          <w:szCs w:val="22"/>
        </w:rPr>
        <w:t xml:space="preserve"> inflation from energy and commodity prices. </w:t>
      </w:r>
      <w:r w:rsidR="001777A0">
        <w:rPr>
          <w:rFonts w:asciiTheme="minorHAnsi" w:hAnsiTheme="minorHAnsi"/>
          <w:color w:val="000000" w:themeColor="text1"/>
          <w:sz w:val="22"/>
          <w:szCs w:val="22"/>
        </w:rPr>
        <w:t>The current depreciation of the Mexican peso</w:t>
      </w:r>
      <w:r w:rsidR="00987350" w:rsidRPr="006E0B45">
        <w:rPr>
          <w:rFonts w:asciiTheme="minorHAnsi" w:hAnsiTheme="minorHAnsi"/>
          <w:color w:val="000000" w:themeColor="text1"/>
          <w:sz w:val="22"/>
          <w:szCs w:val="22"/>
        </w:rPr>
        <w:t xml:space="preserve"> </w:t>
      </w:r>
      <w:r w:rsidR="001777A0">
        <w:rPr>
          <w:rFonts w:asciiTheme="minorHAnsi" w:hAnsiTheme="minorHAnsi"/>
          <w:color w:val="000000" w:themeColor="text1"/>
          <w:sz w:val="22"/>
          <w:szCs w:val="22"/>
        </w:rPr>
        <w:t xml:space="preserve">means that the </w:t>
      </w:r>
      <w:r w:rsidR="00987350" w:rsidRPr="006E0B45">
        <w:rPr>
          <w:rFonts w:asciiTheme="minorHAnsi" w:hAnsiTheme="minorHAnsi"/>
          <w:color w:val="000000" w:themeColor="text1"/>
          <w:sz w:val="22"/>
          <w:szCs w:val="22"/>
        </w:rPr>
        <w:t xml:space="preserve">Central Bank </w:t>
      </w:r>
      <w:r w:rsidR="001777A0">
        <w:rPr>
          <w:rFonts w:asciiTheme="minorHAnsi" w:hAnsiTheme="minorHAnsi"/>
          <w:color w:val="000000" w:themeColor="text1"/>
          <w:sz w:val="22"/>
          <w:szCs w:val="22"/>
        </w:rPr>
        <w:t>will have to keep stabilising the currency to avoid overshooting and pass-through</w:t>
      </w:r>
      <w:r w:rsidR="006B3249" w:rsidRPr="006E0B45">
        <w:rPr>
          <w:rFonts w:asciiTheme="minorHAnsi" w:hAnsiTheme="minorHAnsi"/>
          <w:color w:val="000000" w:themeColor="text1"/>
          <w:sz w:val="22"/>
          <w:szCs w:val="22"/>
        </w:rPr>
        <w:t>.</w:t>
      </w:r>
    </w:p>
    <w:p w:rsidR="00001041" w:rsidRPr="006E0B45" w:rsidRDefault="00001041" w:rsidP="00001041">
      <w:pPr>
        <w:pStyle w:val="NormalWeb"/>
        <w:autoSpaceDE w:val="0"/>
        <w:autoSpaceDN w:val="0"/>
        <w:adjustRightInd w:val="0"/>
        <w:spacing w:before="0" w:beforeAutospacing="0" w:after="0" w:afterAutospacing="0"/>
        <w:jc w:val="both"/>
        <w:rPr>
          <w:rFonts w:asciiTheme="minorHAnsi" w:hAnsiTheme="minorHAnsi"/>
          <w:color w:val="000000" w:themeColor="text1"/>
          <w:sz w:val="22"/>
          <w:szCs w:val="22"/>
        </w:rPr>
      </w:pPr>
    </w:p>
    <w:p w:rsidR="00AF2DF5" w:rsidRPr="006E0B45" w:rsidRDefault="00AF2DF5" w:rsidP="00861959">
      <w:pPr>
        <w:pStyle w:val="NormalWeb"/>
        <w:numPr>
          <w:ilvl w:val="0"/>
          <w:numId w:val="2"/>
        </w:numPr>
        <w:autoSpaceDE w:val="0"/>
        <w:autoSpaceDN w:val="0"/>
        <w:adjustRightInd w:val="0"/>
        <w:spacing w:before="0" w:beforeAutospacing="0" w:after="0" w:afterAutospacing="0"/>
        <w:ind w:left="0" w:hanging="284"/>
        <w:jc w:val="both"/>
        <w:rPr>
          <w:rFonts w:asciiTheme="minorHAnsi" w:hAnsiTheme="minorHAnsi"/>
          <w:color w:val="000000" w:themeColor="text1"/>
          <w:sz w:val="22"/>
          <w:szCs w:val="22"/>
        </w:rPr>
      </w:pPr>
      <w:r w:rsidRPr="006E0B45">
        <w:rPr>
          <w:rFonts w:asciiTheme="minorHAnsi" w:hAnsiTheme="minorHAnsi"/>
          <w:color w:val="000000" w:themeColor="text1"/>
          <w:sz w:val="22"/>
          <w:szCs w:val="22"/>
        </w:rPr>
        <w:lastRenderedPageBreak/>
        <w:t xml:space="preserve"> </w:t>
      </w:r>
      <w:r w:rsidR="00001041" w:rsidRPr="006E0B45">
        <w:rPr>
          <w:rFonts w:asciiTheme="minorHAnsi" w:hAnsiTheme="minorHAnsi"/>
          <w:color w:val="000000" w:themeColor="text1"/>
          <w:sz w:val="22"/>
          <w:szCs w:val="22"/>
        </w:rPr>
        <w:t>Forecasts</w:t>
      </w:r>
      <w:r w:rsidRPr="006E0B45">
        <w:rPr>
          <w:rFonts w:asciiTheme="minorHAnsi" w:hAnsiTheme="minorHAnsi"/>
          <w:color w:val="000000" w:themeColor="text1"/>
          <w:sz w:val="22"/>
          <w:szCs w:val="22"/>
        </w:rPr>
        <w:t xml:space="preserve"> for</w:t>
      </w:r>
      <w:r w:rsidR="0051298D" w:rsidRPr="006E0B45">
        <w:rPr>
          <w:rFonts w:asciiTheme="minorHAnsi" w:hAnsiTheme="minorHAnsi"/>
          <w:color w:val="000000" w:themeColor="text1"/>
          <w:sz w:val="22"/>
          <w:szCs w:val="22"/>
        </w:rPr>
        <w:t xml:space="preserve"> the</w:t>
      </w:r>
      <w:r w:rsidRPr="006E0B45">
        <w:rPr>
          <w:rFonts w:asciiTheme="minorHAnsi" w:hAnsiTheme="minorHAnsi"/>
          <w:color w:val="000000" w:themeColor="text1"/>
          <w:sz w:val="22"/>
          <w:szCs w:val="22"/>
        </w:rPr>
        <w:t xml:space="preserve"> </w:t>
      </w:r>
      <w:r w:rsidR="00590696" w:rsidRPr="006E0B45">
        <w:rPr>
          <w:rFonts w:asciiTheme="minorHAnsi" w:hAnsiTheme="minorHAnsi"/>
          <w:color w:val="000000" w:themeColor="text1"/>
          <w:sz w:val="22"/>
          <w:szCs w:val="22"/>
        </w:rPr>
        <w:t>Mexican peso (MXN)</w:t>
      </w:r>
      <w:r w:rsidR="00E0594A" w:rsidRPr="006E0B45">
        <w:rPr>
          <w:rFonts w:asciiTheme="minorHAnsi" w:hAnsiTheme="minorHAnsi"/>
          <w:color w:val="000000" w:themeColor="text1"/>
          <w:sz w:val="22"/>
          <w:szCs w:val="22"/>
        </w:rPr>
        <w:t xml:space="preserve"> </w:t>
      </w:r>
      <w:r w:rsidR="0013629D" w:rsidRPr="006E0B45">
        <w:rPr>
          <w:rFonts w:asciiTheme="minorHAnsi" w:hAnsiTheme="minorHAnsi"/>
          <w:color w:val="000000" w:themeColor="text1"/>
          <w:sz w:val="22"/>
          <w:szCs w:val="22"/>
        </w:rPr>
        <w:t>reflect</w:t>
      </w:r>
      <w:r w:rsidR="00DF66F3">
        <w:rPr>
          <w:rFonts w:asciiTheme="minorHAnsi" w:hAnsiTheme="minorHAnsi"/>
          <w:color w:val="000000" w:themeColor="text1"/>
          <w:sz w:val="22"/>
          <w:szCs w:val="22"/>
        </w:rPr>
        <w:t xml:space="preserve"> the </w:t>
      </w:r>
      <w:r w:rsidR="001777A0">
        <w:rPr>
          <w:rFonts w:asciiTheme="minorHAnsi" w:hAnsiTheme="minorHAnsi"/>
          <w:color w:val="000000" w:themeColor="text1"/>
          <w:sz w:val="22"/>
          <w:szCs w:val="22"/>
        </w:rPr>
        <w:t>effects of oil prices explained above</w:t>
      </w:r>
      <w:r w:rsidR="00DF66F3">
        <w:rPr>
          <w:rFonts w:asciiTheme="minorHAnsi" w:hAnsiTheme="minorHAnsi"/>
          <w:color w:val="000000" w:themeColor="text1"/>
          <w:sz w:val="22"/>
          <w:szCs w:val="22"/>
        </w:rPr>
        <w:t xml:space="preserve">. </w:t>
      </w:r>
      <w:r w:rsidR="001777A0">
        <w:rPr>
          <w:rFonts w:asciiTheme="minorHAnsi" w:hAnsiTheme="minorHAnsi"/>
          <w:color w:val="000000" w:themeColor="text1"/>
          <w:sz w:val="22"/>
          <w:szCs w:val="22"/>
        </w:rPr>
        <w:t>The Central Bank has a sufficient amount of foreign reserves to deal with current volatility in financial markets</w:t>
      </w:r>
      <w:r w:rsidR="00C95EDE" w:rsidRPr="006E0B45">
        <w:rPr>
          <w:rFonts w:asciiTheme="minorHAnsi" w:hAnsiTheme="minorHAnsi"/>
          <w:color w:val="000000" w:themeColor="text1"/>
          <w:sz w:val="22"/>
          <w:szCs w:val="22"/>
        </w:rPr>
        <w:t>. The USD/MXN year-</w:t>
      </w:r>
      <w:r w:rsidR="00F54072" w:rsidRPr="006E0B45">
        <w:rPr>
          <w:rFonts w:asciiTheme="minorHAnsi" w:hAnsiTheme="minorHAnsi"/>
          <w:color w:val="000000" w:themeColor="text1"/>
          <w:sz w:val="22"/>
          <w:szCs w:val="22"/>
        </w:rPr>
        <w:t>end expected</w:t>
      </w:r>
      <w:r w:rsidR="001777A0">
        <w:rPr>
          <w:rFonts w:asciiTheme="minorHAnsi" w:hAnsiTheme="minorHAnsi"/>
          <w:color w:val="000000" w:themeColor="text1"/>
          <w:sz w:val="22"/>
          <w:szCs w:val="22"/>
        </w:rPr>
        <w:t xml:space="preserve"> exchange rate for 2014 is 14</w:t>
      </w:r>
      <w:r w:rsidR="00DF66F3">
        <w:rPr>
          <w:rFonts w:asciiTheme="minorHAnsi" w:hAnsiTheme="minorHAnsi"/>
          <w:color w:val="000000" w:themeColor="text1"/>
          <w:sz w:val="22"/>
          <w:szCs w:val="22"/>
        </w:rPr>
        <w:t>.</w:t>
      </w:r>
      <w:r w:rsidR="001777A0">
        <w:rPr>
          <w:rFonts w:asciiTheme="minorHAnsi" w:hAnsiTheme="minorHAnsi"/>
          <w:color w:val="000000" w:themeColor="text1"/>
          <w:sz w:val="22"/>
          <w:szCs w:val="22"/>
        </w:rPr>
        <w:t>23</w:t>
      </w:r>
      <w:r w:rsidRPr="006E0B45">
        <w:rPr>
          <w:rFonts w:asciiTheme="minorHAnsi" w:hAnsiTheme="minorHAnsi"/>
          <w:color w:val="000000" w:themeColor="text1"/>
          <w:sz w:val="22"/>
          <w:szCs w:val="22"/>
        </w:rPr>
        <w:t>.</w:t>
      </w:r>
      <w:r w:rsidR="00B301B1" w:rsidRPr="006E0B45">
        <w:rPr>
          <w:rFonts w:asciiTheme="minorHAnsi" w:hAnsiTheme="minorHAnsi"/>
          <w:color w:val="000000" w:themeColor="text1"/>
          <w:sz w:val="22"/>
          <w:szCs w:val="22"/>
        </w:rPr>
        <w:t xml:space="preserve"> </w:t>
      </w:r>
    </w:p>
    <w:p w:rsidR="007D5679" w:rsidRPr="006E0B45" w:rsidRDefault="007D5679" w:rsidP="00F434F0">
      <w:pPr>
        <w:pStyle w:val="NormalWeb"/>
        <w:autoSpaceDE w:val="0"/>
        <w:autoSpaceDN w:val="0"/>
        <w:adjustRightInd w:val="0"/>
        <w:spacing w:before="0" w:beforeAutospacing="0" w:after="0" w:afterAutospacing="0"/>
        <w:jc w:val="both"/>
        <w:rPr>
          <w:rFonts w:asciiTheme="minorHAnsi" w:hAnsiTheme="minorHAnsi"/>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1323"/>
        <w:gridCol w:w="1069"/>
        <w:gridCol w:w="1418"/>
        <w:gridCol w:w="1069"/>
      </w:tblGrid>
      <w:tr w:rsidR="00F434F0" w:rsidRPr="006E0B45" w:rsidTr="0093163A">
        <w:trPr>
          <w:tblHeader/>
          <w:jc w:val="center"/>
        </w:trPr>
        <w:tc>
          <w:tcPr>
            <w:tcW w:w="27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3F49AC" w:rsidRPr="00CD76D4" w:rsidRDefault="00F434F0" w:rsidP="007D5679">
            <w:pPr>
              <w:rPr>
                <w:rFonts w:ascii="Calibri" w:hAnsi="Calibri" w:cs="Arial"/>
                <w:b/>
                <w:sz w:val="16"/>
                <w:szCs w:val="22"/>
              </w:rPr>
            </w:pPr>
            <w:r w:rsidRPr="00CD76D4">
              <w:rPr>
                <w:rFonts w:ascii="Calibri" w:hAnsi="Calibri" w:cs="Arial"/>
                <w:b/>
                <w:sz w:val="16"/>
                <w:szCs w:val="22"/>
                <w:u w:val="single"/>
              </w:rPr>
              <w:br w:type="page"/>
            </w:r>
            <w:r w:rsidRPr="00CD76D4">
              <w:rPr>
                <w:rFonts w:ascii="Calibri" w:hAnsi="Calibri" w:cs="Arial"/>
                <w:b/>
                <w:sz w:val="16"/>
                <w:szCs w:val="22"/>
              </w:rPr>
              <w:t>Consensus Forecast</w:t>
            </w:r>
            <w:r w:rsidR="003F49AC" w:rsidRPr="00CD76D4">
              <w:rPr>
                <w:rFonts w:ascii="Calibri" w:hAnsi="Calibri" w:cs="Arial"/>
                <w:b/>
                <w:sz w:val="16"/>
                <w:szCs w:val="22"/>
              </w:rPr>
              <w:t xml:space="preserve"> </w:t>
            </w:r>
          </w:p>
          <w:p w:rsidR="00F434F0" w:rsidRPr="00CD76D4" w:rsidRDefault="003F49AC" w:rsidP="00DF66F3">
            <w:pPr>
              <w:rPr>
                <w:rFonts w:ascii="Calibri" w:hAnsi="Calibri" w:cs="Arial"/>
                <w:b/>
                <w:sz w:val="16"/>
                <w:szCs w:val="22"/>
                <w:u w:val="single"/>
              </w:rPr>
            </w:pPr>
            <w:r w:rsidRPr="00CD76D4">
              <w:rPr>
                <w:rFonts w:ascii="Calibri" w:hAnsi="Calibri" w:cs="Arial"/>
                <w:b/>
                <w:sz w:val="16"/>
                <w:szCs w:val="22"/>
              </w:rPr>
              <w:t>(</w:t>
            </w:r>
            <w:r w:rsidR="00DF66F3" w:rsidRPr="00CD76D4">
              <w:rPr>
                <w:rFonts w:ascii="Calibri" w:hAnsi="Calibri" w:cs="Arial"/>
                <w:b/>
                <w:sz w:val="16"/>
                <w:szCs w:val="22"/>
              </w:rPr>
              <w:t>November</w:t>
            </w:r>
            <w:r w:rsidRPr="00CD76D4">
              <w:rPr>
                <w:rFonts w:ascii="Calibri" w:hAnsi="Calibri" w:cs="Arial"/>
                <w:b/>
                <w:sz w:val="16"/>
                <w:szCs w:val="22"/>
              </w:rPr>
              <w:t xml:space="preserve"> 2014)</w:t>
            </w:r>
          </w:p>
        </w:tc>
        <w:tc>
          <w:tcPr>
            <w:tcW w:w="132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F434F0" w:rsidRPr="00CD76D4" w:rsidRDefault="00F434F0" w:rsidP="007D5679">
            <w:pPr>
              <w:jc w:val="center"/>
              <w:rPr>
                <w:rFonts w:ascii="Calibri" w:hAnsi="Calibri" w:cs="Arial"/>
                <w:b/>
                <w:sz w:val="16"/>
                <w:szCs w:val="22"/>
              </w:rPr>
            </w:pPr>
            <w:r w:rsidRPr="00CD76D4">
              <w:rPr>
                <w:rFonts w:ascii="Calibri" w:hAnsi="Calibri" w:cs="Arial"/>
                <w:b/>
                <w:sz w:val="16"/>
                <w:szCs w:val="22"/>
              </w:rPr>
              <w:t>201</w:t>
            </w:r>
            <w:r w:rsidR="003F49AC" w:rsidRPr="00CD76D4">
              <w:rPr>
                <w:rFonts w:ascii="Calibri" w:hAnsi="Calibri" w:cs="Arial"/>
                <w:b/>
                <w:sz w:val="16"/>
                <w:szCs w:val="22"/>
              </w:rPr>
              <w:t>4</w:t>
            </w:r>
          </w:p>
        </w:tc>
        <w:tc>
          <w:tcPr>
            <w:tcW w:w="106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F434F0" w:rsidRPr="00CD76D4" w:rsidRDefault="00F434F0" w:rsidP="00DF66F3">
            <w:pPr>
              <w:jc w:val="center"/>
              <w:rPr>
                <w:rFonts w:ascii="Calibri" w:hAnsi="Calibri" w:cs="Arial"/>
                <w:b/>
                <w:sz w:val="16"/>
                <w:szCs w:val="22"/>
              </w:rPr>
            </w:pPr>
            <w:r w:rsidRPr="00CD76D4">
              <w:rPr>
                <w:rFonts w:ascii="Calibri" w:hAnsi="Calibri" w:cs="Arial"/>
                <w:b/>
                <w:sz w:val="16"/>
                <w:szCs w:val="22"/>
              </w:rPr>
              <w:t xml:space="preserve">Vs. </w:t>
            </w:r>
            <w:r w:rsidR="00DF66F3" w:rsidRPr="00CD76D4">
              <w:rPr>
                <w:rFonts w:ascii="Calibri" w:hAnsi="Calibri" w:cs="Arial"/>
                <w:b/>
                <w:sz w:val="16"/>
                <w:szCs w:val="22"/>
              </w:rPr>
              <w:t>October</w:t>
            </w:r>
            <w:r w:rsidR="006B3249" w:rsidRPr="00CD76D4">
              <w:rPr>
                <w:rFonts w:ascii="Calibri" w:hAnsi="Calibri" w:cs="Arial"/>
                <w:b/>
                <w:sz w:val="16"/>
                <w:szCs w:val="22"/>
              </w:rPr>
              <w:t xml:space="preserve"> </w:t>
            </w:r>
            <w:r w:rsidR="003F49AC" w:rsidRPr="00CD76D4">
              <w:rPr>
                <w:rFonts w:ascii="Calibri" w:hAnsi="Calibri" w:cs="Arial"/>
                <w:b/>
                <w:sz w:val="16"/>
                <w:szCs w:val="22"/>
              </w:rPr>
              <w:t>201</w:t>
            </w:r>
            <w:r w:rsidR="00A255C0" w:rsidRPr="00CD76D4">
              <w:rPr>
                <w:rFonts w:ascii="Calibri" w:hAnsi="Calibri" w:cs="Arial"/>
                <w:b/>
                <w:sz w:val="16"/>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F434F0" w:rsidRPr="00CD76D4" w:rsidRDefault="00F434F0" w:rsidP="007D5679">
            <w:pPr>
              <w:jc w:val="center"/>
              <w:rPr>
                <w:rFonts w:ascii="Calibri" w:hAnsi="Calibri" w:cs="Arial"/>
                <w:b/>
                <w:sz w:val="16"/>
                <w:szCs w:val="22"/>
              </w:rPr>
            </w:pPr>
            <w:r w:rsidRPr="00CD76D4">
              <w:rPr>
                <w:rFonts w:ascii="Calibri" w:hAnsi="Calibri" w:cs="Arial"/>
                <w:b/>
                <w:sz w:val="16"/>
                <w:szCs w:val="22"/>
              </w:rPr>
              <w:t>201</w:t>
            </w:r>
            <w:r w:rsidR="003F49AC" w:rsidRPr="00CD76D4">
              <w:rPr>
                <w:rFonts w:ascii="Calibri" w:hAnsi="Calibri" w:cs="Arial"/>
                <w:b/>
                <w:sz w:val="16"/>
                <w:szCs w:val="22"/>
              </w:rPr>
              <w:t>5</w:t>
            </w:r>
          </w:p>
        </w:tc>
        <w:tc>
          <w:tcPr>
            <w:tcW w:w="106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F434F0" w:rsidRPr="00CD76D4" w:rsidRDefault="00F434F0" w:rsidP="00DF66F3">
            <w:pPr>
              <w:jc w:val="center"/>
              <w:rPr>
                <w:rFonts w:ascii="Calibri" w:hAnsi="Calibri" w:cs="Arial"/>
                <w:b/>
                <w:sz w:val="16"/>
                <w:szCs w:val="22"/>
              </w:rPr>
            </w:pPr>
            <w:r w:rsidRPr="00CD76D4">
              <w:rPr>
                <w:rFonts w:ascii="Calibri" w:hAnsi="Calibri" w:cs="Arial"/>
                <w:b/>
                <w:sz w:val="16"/>
                <w:szCs w:val="22"/>
              </w:rPr>
              <w:t xml:space="preserve">Vs. </w:t>
            </w:r>
            <w:r w:rsidR="00DF66F3" w:rsidRPr="00CD76D4">
              <w:rPr>
                <w:rFonts w:ascii="Calibri" w:hAnsi="Calibri" w:cs="Arial"/>
                <w:b/>
                <w:sz w:val="16"/>
                <w:szCs w:val="22"/>
              </w:rPr>
              <w:t xml:space="preserve">October </w:t>
            </w:r>
            <w:r w:rsidR="003F49AC" w:rsidRPr="00CD76D4">
              <w:rPr>
                <w:rFonts w:ascii="Calibri" w:hAnsi="Calibri" w:cs="Arial"/>
                <w:b/>
                <w:sz w:val="16"/>
                <w:szCs w:val="22"/>
              </w:rPr>
              <w:t>201</w:t>
            </w:r>
            <w:r w:rsidR="00A255C0" w:rsidRPr="00CD76D4">
              <w:rPr>
                <w:rFonts w:ascii="Calibri" w:hAnsi="Calibri" w:cs="Arial"/>
                <w:b/>
                <w:sz w:val="16"/>
                <w:szCs w:val="22"/>
              </w:rPr>
              <w:t>4</w:t>
            </w:r>
          </w:p>
        </w:tc>
      </w:tr>
      <w:tr w:rsidR="00F434F0" w:rsidRPr="006E0B45" w:rsidTr="00D8625E">
        <w:trPr>
          <w:jc w:val="center"/>
        </w:trPr>
        <w:tc>
          <w:tcPr>
            <w:tcW w:w="2761" w:type="dxa"/>
            <w:tcBorders>
              <w:top w:val="single" w:sz="4" w:space="0" w:color="auto"/>
              <w:left w:val="single" w:sz="4" w:space="0" w:color="auto"/>
              <w:bottom w:val="single" w:sz="4" w:space="0" w:color="auto"/>
              <w:right w:val="single" w:sz="4" w:space="0" w:color="auto"/>
            </w:tcBorders>
          </w:tcPr>
          <w:p w:rsidR="00F434F0" w:rsidRPr="00CD76D4" w:rsidRDefault="00F434F0" w:rsidP="00D8625E">
            <w:pPr>
              <w:jc w:val="both"/>
              <w:rPr>
                <w:rFonts w:ascii="Calibri" w:hAnsi="Calibri" w:cs="Arial"/>
                <w:sz w:val="16"/>
                <w:szCs w:val="22"/>
              </w:rPr>
            </w:pPr>
            <w:r w:rsidRPr="00CD76D4">
              <w:rPr>
                <w:rFonts w:ascii="Calibri" w:hAnsi="Calibri" w:cs="Arial"/>
                <w:sz w:val="16"/>
                <w:szCs w:val="22"/>
              </w:rPr>
              <w:t>GDP (growth)</w:t>
            </w:r>
          </w:p>
        </w:tc>
        <w:tc>
          <w:tcPr>
            <w:tcW w:w="1323" w:type="dxa"/>
            <w:tcBorders>
              <w:top w:val="single" w:sz="4" w:space="0" w:color="auto"/>
              <w:left w:val="single" w:sz="4" w:space="0" w:color="auto"/>
              <w:bottom w:val="single" w:sz="4" w:space="0" w:color="auto"/>
              <w:right w:val="single" w:sz="4" w:space="0" w:color="auto"/>
            </w:tcBorders>
          </w:tcPr>
          <w:p w:rsidR="00F434F0" w:rsidRPr="00CD76D4" w:rsidRDefault="00A255C0" w:rsidP="00DF66F3">
            <w:pPr>
              <w:jc w:val="center"/>
              <w:rPr>
                <w:rFonts w:ascii="Calibri" w:hAnsi="Calibri" w:cs="Arial"/>
                <w:sz w:val="16"/>
                <w:szCs w:val="22"/>
              </w:rPr>
            </w:pPr>
            <w:r w:rsidRPr="00CD76D4">
              <w:rPr>
                <w:rFonts w:ascii="Calibri" w:hAnsi="Calibri" w:cs="Arial"/>
                <w:sz w:val="16"/>
                <w:szCs w:val="22"/>
              </w:rPr>
              <w:t>2</w:t>
            </w:r>
            <w:r w:rsidR="003B06C2" w:rsidRPr="00CD76D4">
              <w:rPr>
                <w:rFonts w:ascii="Calibri" w:hAnsi="Calibri" w:cs="Arial"/>
                <w:sz w:val="16"/>
                <w:szCs w:val="22"/>
              </w:rPr>
              <w:t>.</w:t>
            </w:r>
            <w:r w:rsidR="00DF66F3" w:rsidRPr="00CD76D4">
              <w:rPr>
                <w:rFonts w:ascii="Calibri" w:hAnsi="Calibri" w:cs="Arial"/>
                <w:sz w:val="16"/>
                <w:szCs w:val="22"/>
              </w:rPr>
              <w:t>19</w:t>
            </w:r>
            <w:r w:rsidR="00F434F0" w:rsidRPr="00CD76D4">
              <w:rPr>
                <w:rFonts w:ascii="Calibri" w:hAnsi="Calibri" w:cs="Arial"/>
                <w:sz w:val="16"/>
                <w:szCs w:val="22"/>
              </w:rPr>
              <w:t>%</w:t>
            </w:r>
          </w:p>
        </w:tc>
        <w:tc>
          <w:tcPr>
            <w:tcW w:w="1069" w:type="dxa"/>
            <w:tcBorders>
              <w:top w:val="single" w:sz="4" w:space="0" w:color="auto"/>
              <w:left w:val="single" w:sz="4" w:space="0" w:color="auto"/>
              <w:bottom w:val="single" w:sz="4" w:space="0" w:color="auto"/>
              <w:right w:val="single" w:sz="4" w:space="0" w:color="auto"/>
            </w:tcBorders>
          </w:tcPr>
          <w:p w:rsidR="00F434F0" w:rsidRPr="00CD76D4" w:rsidRDefault="002E7D3F" w:rsidP="00D8625E">
            <w:pPr>
              <w:jc w:val="center"/>
              <w:rPr>
                <w:rFonts w:ascii="Calibri" w:hAnsi="Calibri" w:cs="Arial"/>
                <w:sz w:val="16"/>
                <w:szCs w:val="22"/>
              </w:rPr>
            </w:pPr>
            <w:r w:rsidRPr="00CD76D4">
              <w:rPr>
                <w:rFonts w:ascii="Calibri" w:hAnsi="Calibri" w:cs="Arial"/>
                <w:sz w:val="16"/>
                <w:szCs w:val="22"/>
              </w:rPr>
              <w:t>=</w:t>
            </w:r>
          </w:p>
        </w:tc>
        <w:tc>
          <w:tcPr>
            <w:tcW w:w="1418" w:type="dxa"/>
            <w:tcBorders>
              <w:top w:val="single" w:sz="4" w:space="0" w:color="auto"/>
              <w:left w:val="single" w:sz="4" w:space="0" w:color="auto"/>
              <w:bottom w:val="single" w:sz="4" w:space="0" w:color="auto"/>
              <w:right w:val="single" w:sz="4" w:space="0" w:color="auto"/>
            </w:tcBorders>
          </w:tcPr>
          <w:p w:rsidR="00F434F0" w:rsidRPr="00CD76D4" w:rsidRDefault="00243E07" w:rsidP="00DF66F3">
            <w:pPr>
              <w:jc w:val="center"/>
              <w:rPr>
                <w:rFonts w:ascii="Calibri" w:hAnsi="Calibri" w:cs="Arial"/>
                <w:sz w:val="16"/>
                <w:szCs w:val="22"/>
              </w:rPr>
            </w:pPr>
            <w:r w:rsidRPr="00CD76D4">
              <w:rPr>
                <w:rFonts w:ascii="Calibri" w:hAnsi="Calibri" w:cs="Arial"/>
                <w:sz w:val="16"/>
                <w:szCs w:val="22"/>
              </w:rPr>
              <w:t>3.</w:t>
            </w:r>
            <w:r w:rsidR="002E7D3F" w:rsidRPr="00CD76D4">
              <w:rPr>
                <w:rFonts w:ascii="Calibri" w:hAnsi="Calibri" w:cs="Arial"/>
                <w:sz w:val="16"/>
                <w:szCs w:val="22"/>
              </w:rPr>
              <w:t>50</w:t>
            </w:r>
            <w:r w:rsidR="00F434F0" w:rsidRPr="00CD76D4">
              <w:rPr>
                <w:rFonts w:ascii="Calibri" w:hAnsi="Calibri" w:cs="Arial"/>
                <w:sz w:val="16"/>
                <w:szCs w:val="22"/>
              </w:rPr>
              <w:t>%</w:t>
            </w:r>
          </w:p>
        </w:tc>
        <w:tc>
          <w:tcPr>
            <w:tcW w:w="1069" w:type="dxa"/>
            <w:tcBorders>
              <w:top w:val="single" w:sz="4" w:space="0" w:color="auto"/>
              <w:left w:val="single" w:sz="4" w:space="0" w:color="auto"/>
              <w:bottom w:val="single" w:sz="4" w:space="0" w:color="auto"/>
              <w:right w:val="single" w:sz="4" w:space="0" w:color="auto"/>
            </w:tcBorders>
          </w:tcPr>
          <w:p w:rsidR="00F434F0" w:rsidRPr="00CD76D4" w:rsidRDefault="00987350" w:rsidP="00D8625E">
            <w:pPr>
              <w:jc w:val="center"/>
              <w:rPr>
                <w:rFonts w:ascii="Calibri" w:hAnsi="Calibri" w:cs="Arial"/>
                <w:sz w:val="16"/>
                <w:szCs w:val="22"/>
              </w:rPr>
            </w:pPr>
            <w:r w:rsidRPr="00CD76D4">
              <w:rPr>
                <w:rFonts w:ascii="Calibri" w:hAnsi="Calibri" w:cs="Arial"/>
                <w:sz w:val="16"/>
                <w:szCs w:val="22"/>
              </w:rPr>
              <w:sym w:font="Wingdings" w:char="F0F2"/>
            </w:r>
          </w:p>
        </w:tc>
      </w:tr>
      <w:tr w:rsidR="00F434F0" w:rsidRPr="006E0B45" w:rsidTr="00D8625E">
        <w:trPr>
          <w:jc w:val="center"/>
        </w:trPr>
        <w:tc>
          <w:tcPr>
            <w:tcW w:w="2761" w:type="dxa"/>
            <w:tcBorders>
              <w:top w:val="single" w:sz="4" w:space="0" w:color="auto"/>
              <w:left w:val="single" w:sz="4" w:space="0" w:color="auto"/>
              <w:bottom w:val="single" w:sz="4" w:space="0" w:color="auto"/>
              <w:right w:val="single" w:sz="4" w:space="0" w:color="auto"/>
            </w:tcBorders>
          </w:tcPr>
          <w:p w:rsidR="00F434F0" w:rsidRPr="00CD76D4" w:rsidRDefault="00F434F0" w:rsidP="00D8625E">
            <w:pPr>
              <w:jc w:val="both"/>
              <w:rPr>
                <w:rFonts w:ascii="Calibri" w:hAnsi="Calibri" w:cs="Arial"/>
                <w:sz w:val="16"/>
                <w:szCs w:val="22"/>
              </w:rPr>
            </w:pPr>
            <w:r w:rsidRPr="00CD76D4">
              <w:rPr>
                <w:rFonts w:ascii="Calibri" w:hAnsi="Calibri" w:cs="Arial"/>
                <w:sz w:val="16"/>
                <w:szCs w:val="22"/>
              </w:rPr>
              <w:t xml:space="preserve">Inflation </w:t>
            </w:r>
          </w:p>
        </w:tc>
        <w:tc>
          <w:tcPr>
            <w:tcW w:w="1323" w:type="dxa"/>
            <w:tcBorders>
              <w:top w:val="single" w:sz="4" w:space="0" w:color="auto"/>
              <w:left w:val="single" w:sz="4" w:space="0" w:color="auto"/>
              <w:bottom w:val="single" w:sz="4" w:space="0" w:color="auto"/>
              <w:right w:val="single" w:sz="4" w:space="0" w:color="auto"/>
            </w:tcBorders>
          </w:tcPr>
          <w:p w:rsidR="00F434F0" w:rsidRPr="00CD76D4" w:rsidRDefault="00DF66F3" w:rsidP="00DF66F3">
            <w:pPr>
              <w:jc w:val="center"/>
              <w:rPr>
                <w:rFonts w:ascii="Calibri" w:hAnsi="Calibri" w:cs="Arial"/>
                <w:sz w:val="16"/>
                <w:szCs w:val="22"/>
              </w:rPr>
            </w:pPr>
            <w:r w:rsidRPr="00CD76D4">
              <w:rPr>
                <w:rFonts w:ascii="Calibri" w:hAnsi="Calibri" w:cs="Arial"/>
                <w:sz w:val="16"/>
                <w:szCs w:val="22"/>
              </w:rPr>
              <w:t>4</w:t>
            </w:r>
            <w:r w:rsidR="003F49AC" w:rsidRPr="00CD76D4">
              <w:rPr>
                <w:rFonts w:ascii="Calibri" w:hAnsi="Calibri" w:cs="Arial"/>
                <w:sz w:val="16"/>
                <w:szCs w:val="22"/>
              </w:rPr>
              <w:t>.</w:t>
            </w:r>
            <w:r w:rsidR="002E7D3F" w:rsidRPr="00CD76D4">
              <w:rPr>
                <w:rFonts w:ascii="Calibri" w:hAnsi="Calibri" w:cs="Arial"/>
                <w:sz w:val="16"/>
                <w:szCs w:val="22"/>
              </w:rPr>
              <w:t>06</w:t>
            </w:r>
            <w:r w:rsidR="00F434F0" w:rsidRPr="00CD76D4">
              <w:rPr>
                <w:rFonts w:ascii="Calibri" w:hAnsi="Calibri" w:cs="Arial"/>
                <w:sz w:val="16"/>
                <w:szCs w:val="22"/>
              </w:rPr>
              <w:t>%</w:t>
            </w:r>
          </w:p>
        </w:tc>
        <w:tc>
          <w:tcPr>
            <w:tcW w:w="1069" w:type="dxa"/>
            <w:tcBorders>
              <w:top w:val="single" w:sz="4" w:space="0" w:color="auto"/>
              <w:left w:val="single" w:sz="4" w:space="0" w:color="auto"/>
              <w:bottom w:val="single" w:sz="4" w:space="0" w:color="auto"/>
              <w:right w:val="single" w:sz="4" w:space="0" w:color="auto"/>
            </w:tcBorders>
          </w:tcPr>
          <w:p w:rsidR="00F434F0" w:rsidRPr="00CD76D4" w:rsidRDefault="002E7D3F" w:rsidP="00D8625E">
            <w:pPr>
              <w:jc w:val="center"/>
              <w:rPr>
                <w:rFonts w:ascii="Calibri" w:hAnsi="Calibri" w:cs="Arial"/>
                <w:sz w:val="16"/>
                <w:szCs w:val="22"/>
              </w:rPr>
            </w:pPr>
            <w:r w:rsidRPr="00CD76D4">
              <w:rPr>
                <w:rFonts w:ascii="Calibri" w:hAnsi="Calibri" w:cs="Arial"/>
                <w:sz w:val="16"/>
                <w:szCs w:val="22"/>
              </w:rPr>
              <w:sym w:font="Wingdings" w:char="F0F2"/>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34F0" w:rsidRPr="00CD76D4" w:rsidRDefault="00243E07" w:rsidP="00DF66F3">
            <w:pPr>
              <w:jc w:val="center"/>
              <w:rPr>
                <w:rFonts w:ascii="Calibri" w:hAnsi="Calibri" w:cs="Arial"/>
                <w:sz w:val="16"/>
                <w:szCs w:val="22"/>
              </w:rPr>
            </w:pPr>
            <w:r w:rsidRPr="00CD76D4">
              <w:rPr>
                <w:rFonts w:ascii="Calibri" w:hAnsi="Calibri" w:cs="Arial"/>
                <w:sz w:val="16"/>
                <w:szCs w:val="22"/>
              </w:rPr>
              <w:t>3.</w:t>
            </w:r>
            <w:r w:rsidR="002E7D3F" w:rsidRPr="00CD76D4">
              <w:rPr>
                <w:rFonts w:ascii="Calibri" w:hAnsi="Calibri" w:cs="Arial"/>
                <w:sz w:val="16"/>
                <w:szCs w:val="22"/>
              </w:rPr>
              <w:t>54</w:t>
            </w:r>
            <w:r w:rsidR="00F434F0" w:rsidRPr="00CD76D4">
              <w:rPr>
                <w:rFonts w:ascii="Calibri" w:hAnsi="Calibri" w:cs="Arial"/>
                <w:sz w:val="16"/>
                <w:szCs w:val="22"/>
              </w:rPr>
              <w:t>%</w:t>
            </w:r>
          </w:p>
        </w:tc>
        <w:tc>
          <w:tcPr>
            <w:tcW w:w="1069" w:type="dxa"/>
            <w:tcBorders>
              <w:top w:val="single" w:sz="4" w:space="0" w:color="auto"/>
              <w:left w:val="single" w:sz="4" w:space="0" w:color="auto"/>
              <w:bottom w:val="single" w:sz="4" w:space="0" w:color="auto"/>
              <w:right w:val="single" w:sz="4" w:space="0" w:color="auto"/>
            </w:tcBorders>
          </w:tcPr>
          <w:p w:rsidR="00F434F0" w:rsidRPr="00CD76D4" w:rsidRDefault="00987350" w:rsidP="00D8625E">
            <w:pPr>
              <w:jc w:val="center"/>
              <w:rPr>
                <w:rFonts w:ascii="Calibri" w:hAnsi="Calibri" w:cs="Arial"/>
                <w:sz w:val="16"/>
                <w:szCs w:val="22"/>
              </w:rPr>
            </w:pPr>
            <w:r w:rsidRPr="00CD76D4">
              <w:rPr>
                <w:rFonts w:ascii="Calibri" w:hAnsi="Calibri" w:cs="Arial"/>
                <w:sz w:val="16"/>
                <w:szCs w:val="22"/>
              </w:rPr>
              <w:sym w:font="Wingdings" w:char="F0F1"/>
            </w:r>
          </w:p>
        </w:tc>
      </w:tr>
      <w:tr w:rsidR="00F434F0" w:rsidRPr="006E0B45" w:rsidTr="00D8625E">
        <w:trPr>
          <w:jc w:val="center"/>
        </w:trPr>
        <w:tc>
          <w:tcPr>
            <w:tcW w:w="2761" w:type="dxa"/>
            <w:tcBorders>
              <w:top w:val="single" w:sz="4" w:space="0" w:color="auto"/>
              <w:left w:val="single" w:sz="4" w:space="0" w:color="auto"/>
              <w:bottom w:val="single" w:sz="4" w:space="0" w:color="auto"/>
              <w:right w:val="single" w:sz="4" w:space="0" w:color="auto"/>
            </w:tcBorders>
          </w:tcPr>
          <w:p w:rsidR="00F434F0" w:rsidRPr="00CD76D4" w:rsidRDefault="00F434F0" w:rsidP="00D8625E">
            <w:pPr>
              <w:jc w:val="both"/>
              <w:rPr>
                <w:rFonts w:ascii="Calibri" w:hAnsi="Calibri" w:cs="Arial"/>
                <w:sz w:val="16"/>
                <w:szCs w:val="22"/>
              </w:rPr>
            </w:pPr>
            <w:r w:rsidRPr="00CD76D4">
              <w:rPr>
                <w:rFonts w:ascii="Calibri" w:hAnsi="Calibri" w:cs="Arial"/>
                <w:sz w:val="16"/>
                <w:szCs w:val="22"/>
              </w:rPr>
              <w:t xml:space="preserve">Exchange Rate (year-end)  </w:t>
            </w:r>
          </w:p>
        </w:tc>
        <w:tc>
          <w:tcPr>
            <w:tcW w:w="1323" w:type="dxa"/>
            <w:tcBorders>
              <w:top w:val="single" w:sz="4" w:space="0" w:color="auto"/>
              <w:left w:val="single" w:sz="4" w:space="0" w:color="auto"/>
              <w:bottom w:val="single" w:sz="4" w:space="0" w:color="auto"/>
              <w:right w:val="single" w:sz="4" w:space="0" w:color="auto"/>
            </w:tcBorders>
          </w:tcPr>
          <w:p w:rsidR="00F434F0" w:rsidRPr="00CD76D4" w:rsidRDefault="00DF66F3" w:rsidP="00DF66F3">
            <w:pPr>
              <w:jc w:val="center"/>
              <w:rPr>
                <w:rFonts w:ascii="Calibri" w:hAnsi="Calibri" w:cs="Arial"/>
                <w:sz w:val="16"/>
                <w:szCs w:val="22"/>
              </w:rPr>
            </w:pPr>
            <w:r w:rsidRPr="00CD76D4">
              <w:rPr>
                <w:rFonts w:ascii="Calibri" w:hAnsi="Calibri" w:cs="Arial"/>
                <w:sz w:val="16"/>
                <w:szCs w:val="22"/>
              </w:rPr>
              <w:t>1</w:t>
            </w:r>
            <w:r w:rsidR="002E7D3F" w:rsidRPr="00CD76D4">
              <w:rPr>
                <w:rFonts w:ascii="Calibri" w:hAnsi="Calibri" w:cs="Arial"/>
                <w:sz w:val="16"/>
                <w:szCs w:val="22"/>
              </w:rPr>
              <w:t>4.23</w:t>
            </w:r>
          </w:p>
        </w:tc>
        <w:tc>
          <w:tcPr>
            <w:tcW w:w="1069" w:type="dxa"/>
            <w:tcBorders>
              <w:top w:val="single" w:sz="4" w:space="0" w:color="auto"/>
              <w:left w:val="single" w:sz="4" w:space="0" w:color="auto"/>
              <w:bottom w:val="single" w:sz="4" w:space="0" w:color="auto"/>
              <w:right w:val="single" w:sz="4" w:space="0" w:color="auto"/>
            </w:tcBorders>
          </w:tcPr>
          <w:p w:rsidR="00F434F0" w:rsidRPr="00CD76D4" w:rsidRDefault="00987350" w:rsidP="00D8625E">
            <w:pPr>
              <w:jc w:val="center"/>
              <w:rPr>
                <w:rFonts w:ascii="Calibri" w:hAnsi="Calibri" w:cs="Arial"/>
                <w:sz w:val="16"/>
                <w:szCs w:val="22"/>
              </w:rPr>
            </w:pPr>
            <w:r w:rsidRPr="00CD76D4">
              <w:rPr>
                <w:rFonts w:ascii="Calibri" w:hAnsi="Calibri" w:cs="Arial"/>
                <w:sz w:val="16"/>
                <w:szCs w:val="22"/>
              </w:rPr>
              <w:sym w:font="Wingdings" w:char="F0F1"/>
            </w:r>
          </w:p>
        </w:tc>
        <w:tc>
          <w:tcPr>
            <w:tcW w:w="1418" w:type="dxa"/>
            <w:tcBorders>
              <w:top w:val="single" w:sz="4" w:space="0" w:color="auto"/>
              <w:left w:val="single" w:sz="4" w:space="0" w:color="auto"/>
              <w:bottom w:val="single" w:sz="4" w:space="0" w:color="auto"/>
              <w:right w:val="single" w:sz="4" w:space="0" w:color="auto"/>
            </w:tcBorders>
          </w:tcPr>
          <w:p w:rsidR="00F434F0" w:rsidRPr="00CD76D4" w:rsidRDefault="00DF66F3" w:rsidP="00DF66F3">
            <w:pPr>
              <w:jc w:val="center"/>
              <w:rPr>
                <w:rFonts w:ascii="Calibri" w:hAnsi="Calibri" w:cs="Arial"/>
                <w:sz w:val="16"/>
                <w:szCs w:val="22"/>
              </w:rPr>
            </w:pPr>
            <w:r w:rsidRPr="00CD76D4">
              <w:rPr>
                <w:rFonts w:ascii="Calibri" w:hAnsi="Calibri" w:cs="Arial"/>
                <w:sz w:val="16"/>
                <w:szCs w:val="22"/>
              </w:rPr>
              <w:t>13</w:t>
            </w:r>
            <w:r w:rsidR="00F434F0" w:rsidRPr="00CD76D4">
              <w:rPr>
                <w:rFonts w:ascii="Calibri" w:hAnsi="Calibri" w:cs="Arial"/>
                <w:sz w:val="16"/>
                <w:szCs w:val="22"/>
              </w:rPr>
              <w:t>.</w:t>
            </w:r>
            <w:r w:rsidRPr="00CD76D4">
              <w:rPr>
                <w:rFonts w:ascii="Calibri" w:hAnsi="Calibri" w:cs="Arial"/>
                <w:sz w:val="16"/>
                <w:szCs w:val="22"/>
              </w:rPr>
              <w:t>7</w:t>
            </w:r>
            <w:r w:rsidR="002E7D3F" w:rsidRPr="00CD76D4">
              <w:rPr>
                <w:rFonts w:ascii="Calibri" w:hAnsi="Calibri" w:cs="Arial"/>
                <w:sz w:val="16"/>
                <w:szCs w:val="22"/>
              </w:rPr>
              <w:t>4</w:t>
            </w:r>
          </w:p>
        </w:tc>
        <w:tc>
          <w:tcPr>
            <w:tcW w:w="1069" w:type="dxa"/>
            <w:tcBorders>
              <w:top w:val="single" w:sz="4" w:space="0" w:color="auto"/>
              <w:left w:val="single" w:sz="4" w:space="0" w:color="auto"/>
              <w:bottom w:val="single" w:sz="4" w:space="0" w:color="auto"/>
              <w:right w:val="single" w:sz="4" w:space="0" w:color="auto"/>
            </w:tcBorders>
          </w:tcPr>
          <w:p w:rsidR="00F434F0" w:rsidRPr="00CD76D4" w:rsidRDefault="00987350" w:rsidP="00D8625E">
            <w:pPr>
              <w:jc w:val="center"/>
              <w:rPr>
                <w:rFonts w:ascii="Calibri" w:hAnsi="Calibri" w:cs="Arial"/>
                <w:sz w:val="16"/>
                <w:szCs w:val="22"/>
              </w:rPr>
            </w:pPr>
            <w:r w:rsidRPr="00CD76D4">
              <w:rPr>
                <w:rFonts w:ascii="Calibri" w:hAnsi="Calibri" w:cs="Arial"/>
                <w:sz w:val="16"/>
                <w:szCs w:val="22"/>
              </w:rPr>
              <w:sym w:font="Wingdings" w:char="F0F1"/>
            </w:r>
          </w:p>
        </w:tc>
      </w:tr>
      <w:tr w:rsidR="00F434F0" w:rsidRPr="00175A8B" w:rsidTr="00D8625E">
        <w:trPr>
          <w:jc w:val="center"/>
        </w:trPr>
        <w:tc>
          <w:tcPr>
            <w:tcW w:w="7640" w:type="dxa"/>
            <w:gridSpan w:val="5"/>
            <w:tcBorders>
              <w:top w:val="single" w:sz="4" w:space="0" w:color="auto"/>
              <w:left w:val="single" w:sz="4" w:space="0" w:color="auto"/>
              <w:bottom w:val="single" w:sz="4" w:space="0" w:color="auto"/>
              <w:right w:val="single" w:sz="4" w:space="0" w:color="auto"/>
            </w:tcBorders>
          </w:tcPr>
          <w:p w:rsidR="00F434F0" w:rsidRPr="00CD76D4" w:rsidRDefault="00F434F0" w:rsidP="00D8625E">
            <w:pPr>
              <w:rPr>
                <w:rFonts w:ascii="Calibri" w:hAnsi="Calibri" w:cs="Arial"/>
                <w:sz w:val="16"/>
                <w:szCs w:val="22"/>
              </w:rPr>
            </w:pPr>
            <w:r w:rsidRPr="00CD76D4">
              <w:rPr>
                <w:rFonts w:ascii="Calibri" w:hAnsi="Calibri" w:cs="Arial"/>
                <w:sz w:val="16"/>
                <w:szCs w:val="22"/>
              </w:rPr>
              <w:t>Source: Bank of Mexico survey on private sector expectations</w:t>
            </w:r>
          </w:p>
        </w:tc>
      </w:tr>
    </w:tbl>
    <w:p w:rsidR="007D5679" w:rsidRPr="00175A8B" w:rsidRDefault="007D5679" w:rsidP="005B6792">
      <w:pPr>
        <w:jc w:val="both"/>
        <w:rPr>
          <w:rFonts w:ascii="Calibri" w:hAnsi="Calibri" w:cs="Arial"/>
          <w:sz w:val="22"/>
          <w:szCs w:val="22"/>
        </w:rPr>
      </w:pPr>
    </w:p>
    <w:sectPr w:rsidR="007D5679" w:rsidRPr="00175A8B" w:rsidSect="00CD76D4">
      <w:headerReference w:type="even" r:id="rId11"/>
      <w:headerReference w:type="default" r:id="rId12"/>
      <w:footerReference w:type="even" r:id="rId13"/>
      <w:footerReference w:type="default" r:id="rId14"/>
      <w:headerReference w:type="first" r:id="rId15"/>
      <w:footerReference w:type="first" r:id="rId16"/>
      <w:pgSz w:w="11906" w:h="16838"/>
      <w:pgMar w:top="567" w:right="851" w:bottom="156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CEC" w:rsidRDefault="00FD3CEC" w:rsidP="00944361">
      <w:r>
        <w:separator/>
      </w:r>
    </w:p>
  </w:endnote>
  <w:endnote w:type="continuationSeparator" w:id="0">
    <w:p w:rsidR="00FD3CEC" w:rsidRDefault="00FD3CEC" w:rsidP="0094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2D" w:rsidRDefault="0059582D">
    <w:pPr>
      <w:pStyle w:val="Footer"/>
    </w:pPr>
  </w:p>
  <w:p w:rsidR="0059582D" w:rsidRDefault="00FD3CEC" w:rsidP="00944361">
    <w:pPr>
      <w:pStyle w:val="Footer"/>
      <w:jc w:val="center"/>
      <w:rPr>
        <w:rFonts w:cs="Arial"/>
        <w:b/>
        <w:sz w:val="20"/>
      </w:rPr>
    </w:pPr>
    <w:r>
      <w:fldChar w:fldCharType="begin"/>
    </w:r>
    <w:r>
      <w:instrText xml:space="preserve"> DOCPROPERTY CLASSIFICATION \* MERGEFORMAT </w:instrText>
    </w:r>
    <w:r>
      <w:fldChar w:fldCharType="separate"/>
    </w:r>
    <w:r w:rsidR="0059582D" w:rsidRPr="0046577E">
      <w:rPr>
        <w:rFonts w:cs="Arial"/>
        <w:b/>
        <w:sz w:val="20"/>
      </w:rPr>
      <w:t>UNCLASSIFIED</w:t>
    </w:r>
    <w:r>
      <w:rPr>
        <w:rFonts w:cs="Arial"/>
        <w:b/>
        <w:sz w:val="20"/>
      </w:rPr>
      <w:fldChar w:fldCharType="end"/>
    </w:r>
    <w:r w:rsidR="0059582D" w:rsidRPr="00944361">
      <w:rPr>
        <w:rFonts w:cs="Arial"/>
        <w:b/>
        <w:sz w:val="20"/>
      </w:rPr>
      <w:t xml:space="preserve"> </w:t>
    </w:r>
  </w:p>
  <w:p w:rsidR="0059582D" w:rsidRPr="00944361" w:rsidRDefault="00FD3CEC" w:rsidP="00944361">
    <w:pPr>
      <w:pStyle w:val="Footer"/>
      <w:spacing w:before="120"/>
      <w:jc w:val="right"/>
      <w:rPr>
        <w:rFonts w:cs="Arial"/>
        <w:sz w:val="12"/>
      </w:rPr>
    </w:pPr>
    <w:r>
      <w:fldChar w:fldCharType="begin"/>
    </w:r>
    <w:r>
      <w:instrText xml:space="preserve"> FILENAME \p \* MERGEFORMAT </w:instrText>
    </w:r>
    <w:r>
      <w:fldChar w:fldCharType="separate"/>
    </w:r>
    <w:r w:rsidR="0059582D" w:rsidRPr="0046577E">
      <w:rPr>
        <w:rFonts w:cs="Arial"/>
        <w:noProof/>
        <w:sz w:val="12"/>
      </w:rPr>
      <w:t>S</w:t>
    </w:r>
    <w:r w:rsidR="0059582D">
      <w:rPr>
        <w:noProof/>
      </w:rPr>
      <w:t>:\Chancery\Economic\General Briefing and Reporting\Monthly Reports\2014\Reports\for editing (word version)\OFFICIAL 150112 Mexico Economic Report December final.docx</w:t>
    </w:r>
    <w:r>
      <w:rPr>
        <w:noProof/>
      </w:rPr>
      <w:fldChar w:fldCharType="end"/>
    </w:r>
    <w:r w:rsidR="0059582D">
      <w:fldChar w:fldCharType="begin"/>
    </w:r>
    <w:r w:rsidR="0059582D">
      <w:instrText xml:space="preserve"> DOCPROPERTY PRIVACY  \* MERGEFORMAT </w:instrText>
    </w:r>
    <w:r w:rsidR="0059582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2D" w:rsidRDefault="0059582D" w:rsidP="00591360">
    <w:pPr>
      <w:pStyle w:val="Footer"/>
      <w:spacing w:before="120"/>
      <w:jc w:val="right"/>
      <w:rPr>
        <w:rFonts w:cs="Arial"/>
        <w:sz w:val="12"/>
      </w:rPr>
    </w:pPr>
  </w:p>
  <w:p w:rsidR="0059582D" w:rsidRDefault="0059582D" w:rsidP="0083482B">
    <w:pPr>
      <w:pStyle w:val="Footer"/>
      <w:spacing w:before="120"/>
      <w:jc w:val="right"/>
      <w:rPr>
        <w:rFonts w:cs="Arial"/>
        <w:sz w:val="12"/>
      </w:rPr>
    </w:pPr>
  </w:p>
  <w:p w:rsidR="0059582D" w:rsidRDefault="0059582D" w:rsidP="00283A34">
    <w:pPr>
      <w:pStyle w:val="Footer"/>
      <w:spacing w:before="120"/>
      <w:jc w:val="right"/>
      <w:rPr>
        <w:rFonts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2D" w:rsidRPr="00F72FB7" w:rsidRDefault="0059582D" w:rsidP="00781CF7">
    <w:pPr>
      <w:pStyle w:val="Footer"/>
      <w:rPr>
        <w:b/>
        <w:sz w:val="20"/>
      </w:rPr>
    </w:pPr>
  </w:p>
  <w:p w:rsidR="0059582D" w:rsidRDefault="008F7CB2" w:rsidP="00CD76D4">
    <w:pPr>
      <w:pStyle w:val="Footer"/>
    </w:pPr>
    <w:r>
      <w:rPr>
        <w:b/>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-593725</wp:posOffset>
              </wp:positionH>
              <wp:positionV relativeFrom="paragraph">
                <wp:posOffset>49530</wp:posOffset>
              </wp:positionV>
              <wp:extent cx="7981950" cy="744220"/>
              <wp:effectExtent l="0" t="1905" r="317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1950" cy="744220"/>
                      </a:xfrm>
                      <a:prstGeom prst="rect">
                        <a:avLst/>
                      </a:prstGeom>
                      <a:solidFill>
                        <a:schemeClr val="accent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82D" w:rsidRPr="00BC2797" w:rsidRDefault="0059582D" w:rsidP="00591360">
                          <w:pPr>
                            <w:ind w:left="720" w:hanging="11"/>
                            <w:jc w:val="center"/>
                            <w:rPr>
                              <w:b/>
                              <w:sz w:val="18"/>
                            </w:rPr>
                          </w:pPr>
                          <w:r w:rsidRPr="00BC2797">
                            <w:rPr>
                              <w:b/>
                              <w:sz w:val="18"/>
                            </w:rPr>
                            <w:t>Political and Economic Team</w:t>
                          </w:r>
                        </w:p>
                        <w:p w:rsidR="0059582D" w:rsidRDefault="0059582D" w:rsidP="00591360">
                          <w:pPr>
                            <w:ind w:left="720" w:hanging="11"/>
                            <w:jc w:val="center"/>
                            <w:rPr>
                              <w:b/>
                              <w:sz w:val="18"/>
                            </w:rPr>
                          </w:pPr>
                          <w:r w:rsidRPr="00BC2797">
                            <w:rPr>
                              <w:b/>
                              <w:sz w:val="18"/>
                            </w:rPr>
                            <w:t>For further information please contact:</w:t>
                          </w:r>
                          <w:r>
                            <w:rPr>
                              <w:b/>
                              <w:sz w:val="18"/>
                            </w:rPr>
                            <w:t xml:space="preserve"> </w:t>
                          </w:r>
                        </w:p>
                        <w:p w:rsidR="0059582D" w:rsidRDefault="0059582D" w:rsidP="00591360">
                          <w:pPr>
                            <w:ind w:left="720" w:hanging="11"/>
                            <w:jc w:val="center"/>
                            <w:rPr>
                              <w:b/>
                              <w:sz w:val="18"/>
                            </w:rPr>
                          </w:pPr>
                          <w:r w:rsidRPr="00591360">
                            <w:rPr>
                              <w:b/>
                              <w:sz w:val="18"/>
                            </w:rPr>
                            <w:t>Samantha.Dunger@fco.gov.uk</w:t>
                          </w:r>
                        </w:p>
                        <w:p w:rsidR="0059582D" w:rsidRPr="001B1237" w:rsidRDefault="0059582D" w:rsidP="00591360">
                          <w:pPr>
                            <w:ind w:left="720" w:hanging="11"/>
                            <w:jc w:val="center"/>
                            <w:rPr>
                              <w:b/>
                              <w:sz w:val="18"/>
                            </w:rPr>
                          </w:pPr>
                          <w:r>
                            <w:rPr>
                              <w:b/>
                              <w:sz w:val="18"/>
                            </w:rPr>
                            <w:t>Diego.Vazquez@fco.gov.uk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6.75pt;margin-top:3.9pt;width:628.5pt;height:5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xunwIAAEAFAAAOAAAAZHJzL2Uyb0RvYy54bWysVNuO0zAQfUfiHyy/d3Mh3TbRpqu9UIS0&#10;wIqFD3Btp7FwbGO7TRfEvzO229LCC0L0IfWMxzNnjs/46no3SLTl1gmtWlxc5BhxRTUTat3iz5+W&#10;kzlGzhPFiNSKt/iZO3y9ePniajQNL3WvJeMWQRLlmtG0uPfeNFnmaM8H4i604Qo2O20H4sG064xZ&#10;MkL2QWZlnl9mo7bMWE25c+C9T5t4EfN3Haf+Q9c57pFsMWDz8WvjdxW+2eKKNGtLTC/oHgb5BxQD&#10;EQqKHlPdE0/Qxoo/Ug2CWu105y+oHjLddYLy2AN0U+S/dfPUE8NjL0COM0ea3P9LS99vHy0SrMWv&#10;MFJkgCv6CKQRtZYcFYGe0bgGop7Mow0NOvOg6ReHlL7rIYrfWKvHnhMGoGJ8dnYgGA6OotX4TjPI&#10;TjZeR6Z2nR1CQuAA7eKFPB8vhO88ouCc1fOinsK9UdibVVVZxhvLSHM4bazzb7geUFi02AL2mJ1s&#10;H5wH9BB6CInotRRsKaSMRhAZv5MWbQnIg1DKlS/icbkZAG7yT3P4JaGAG+SU3AckUaohSyzmTgtI&#10;FcooHQomLMkD7QG6sBcajTL5Xhdlld+W9WR5OZ9NqmU1ndSzfD7Ji/q2vsyrurpf/gjYiqrpBWNc&#10;PQjFD5Itqr+TxH54ktiiaNHY4npaTmPbZ+idXa+O5AQOEgvA6FnYIDxMsBRDi+fHINIESbxWLM6X&#10;J0KmdXYOP1IGHBz+IytRQEEzSXt+t9rtZbjS7BmkZDXcNIgCnh1Y9Np+w2iEEW6x+7ohlmMk3yqQ&#10;Y11UVZj5aFTTGYgH2dOd1ekOURRStdhjlJZ3Pr0TG2PFuodKSRpK34CEOxHVFeSdUEELwYAxjc3s&#10;n5TwDpzaMerXw7f4CQAA//8DAFBLAwQUAAYACAAAACEAzfH2u98AAAAKAQAADwAAAGRycy9kb3du&#10;cmV2LnhtbEyPQU/DMAyF70j8h8hI3LZ0hXVQmk5oAokDOzCQuGataSoap23SLfx73BPcbL+n5+8V&#10;22g7ccLRt44UrJYJCKTK1S01Cj7enxd3IHzQVOvOESr4QQ/b8vKi0HntzvSGp0NoBIeQz7UCE0Kf&#10;S+krg1b7peuRWPtyo9WB17GR9ajPHG47mSZJJq1uiT8Y3ePOYPV9mKyC/e7zVr5sUlcNw/Bqsqcp&#10;YpyUur6Kjw8gAsbwZ4YZn9GhZKajm6j2olOwuL9Zs1XBhhvM+iqbD0ee0nUCsizk/wrlLwAAAP//&#10;AwBQSwECLQAUAAYACAAAACEAtoM4kv4AAADhAQAAEwAAAAAAAAAAAAAAAAAAAAAAW0NvbnRlbnRf&#10;VHlwZXNdLnhtbFBLAQItABQABgAIAAAAIQA4/SH/1gAAAJQBAAALAAAAAAAAAAAAAAAAAC8BAABf&#10;cmVscy8ucmVsc1BLAQItABQABgAIAAAAIQAH4txunwIAAEAFAAAOAAAAAAAAAAAAAAAAAC4CAABk&#10;cnMvZTJvRG9jLnhtbFBLAQItABQABgAIAAAAIQDN8fa73wAAAAoBAAAPAAAAAAAAAAAAAAAAAPkE&#10;AABkcnMvZG93bnJldi54bWxQSwUGAAAAAAQABADzAAAABQYAAAAA&#10;" fillcolor="#243f60 [1604]" stroked="f">
              <v:textbox>
                <w:txbxContent>
                  <w:p w:rsidR="0059582D" w:rsidRPr="00BC2797" w:rsidRDefault="0059582D" w:rsidP="00591360">
                    <w:pPr>
                      <w:ind w:left="720" w:hanging="11"/>
                      <w:jc w:val="center"/>
                      <w:rPr>
                        <w:b/>
                        <w:sz w:val="18"/>
                      </w:rPr>
                    </w:pPr>
                    <w:r w:rsidRPr="00BC2797">
                      <w:rPr>
                        <w:b/>
                        <w:sz w:val="18"/>
                      </w:rPr>
                      <w:t>Political and Economic Team</w:t>
                    </w:r>
                  </w:p>
                  <w:p w:rsidR="0059582D" w:rsidRDefault="0059582D" w:rsidP="00591360">
                    <w:pPr>
                      <w:ind w:left="720" w:hanging="11"/>
                      <w:jc w:val="center"/>
                      <w:rPr>
                        <w:b/>
                        <w:sz w:val="18"/>
                      </w:rPr>
                    </w:pPr>
                    <w:r w:rsidRPr="00BC2797">
                      <w:rPr>
                        <w:b/>
                        <w:sz w:val="18"/>
                      </w:rPr>
                      <w:t>For further information please contact:</w:t>
                    </w:r>
                    <w:r>
                      <w:rPr>
                        <w:b/>
                        <w:sz w:val="18"/>
                      </w:rPr>
                      <w:t xml:space="preserve"> </w:t>
                    </w:r>
                  </w:p>
                  <w:p w:rsidR="0059582D" w:rsidRDefault="0059582D" w:rsidP="00591360">
                    <w:pPr>
                      <w:ind w:left="720" w:hanging="11"/>
                      <w:jc w:val="center"/>
                      <w:rPr>
                        <w:b/>
                        <w:sz w:val="18"/>
                      </w:rPr>
                    </w:pPr>
                    <w:r w:rsidRPr="00591360">
                      <w:rPr>
                        <w:b/>
                        <w:sz w:val="18"/>
                      </w:rPr>
                      <w:t>Samantha.Dunger@fco.gov.uk</w:t>
                    </w:r>
                  </w:p>
                  <w:p w:rsidR="0059582D" w:rsidRPr="001B1237" w:rsidRDefault="0059582D" w:rsidP="00591360">
                    <w:pPr>
                      <w:ind w:left="720" w:hanging="11"/>
                      <w:jc w:val="center"/>
                      <w:rPr>
                        <w:b/>
                        <w:sz w:val="18"/>
                      </w:rPr>
                    </w:pPr>
                    <w:r>
                      <w:rPr>
                        <w:b/>
                        <w:sz w:val="18"/>
                      </w:rPr>
                      <w:t>Diego.Vazquez@fco.gov.uk</w:t>
                    </w:r>
                  </w:p>
                </w:txbxContent>
              </v:textbox>
            </v:rect>
          </w:pict>
        </mc:Fallback>
      </mc:AlternateContent>
    </w:r>
    <w:r w:rsidR="0059582D" w:rsidRPr="00781CF7">
      <w:rPr>
        <w:b/>
        <w:noProof/>
        <w:sz w:val="20"/>
        <w:lang w:val="es-ES" w:eastAsia="en-GB"/>
      </w:rPr>
      <w:t xml:space="preserve"> </w:t>
    </w:r>
  </w:p>
  <w:p w:rsidR="0059582D" w:rsidRPr="00591360" w:rsidRDefault="0059582D" w:rsidP="00591360">
    <w:pPr>
      <w:pStyle w:val="Footer"/>
      <w:spacing w:before="120"/>
      <w:jc w:val="right"/>
      <w:rPr>
        <w:rFonts w:cs="Arial"/>
        <w:sz w:val="12"/>
      </w:rPr>
    </w:pPr>
    <w:r>
      <w:fldChar w:fldCharType="begin"/>
    </w:r>
    <w:r>
      <w:instrText xml:space="preserve"> DOCPROPERTY PRIVACY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CEC" w:rsidRDefault="00FD3CEC" w:rsidP="00944361">
      <w:r>
        <w:separator/>
      </w:r>
    </w:p>
  </w:footnote>
  <w:footnote w:type="continuationSeparator" w:id="0">
    <w:p w:rsidR="00FD3CEC" w:rsidRDefault="00FD3CEC" w:rsidP="00944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2D" w:rsidRPr="00944361" w:rsidRDefault="00FD3CEC" w:rsidP="00944361">
    <w:pPr>
      <w:pStyle w:val="Header"/>
      <w:jc w:val="center"/>
      <w:rPr>
        <w:rFonts w:cs="Arial"/>
        <w:b/>
        <w:sz w:val="20"/>
      </w:rPr>
    </w:pPr>
    <w:r>
      <w:fldChar w:fldCharType="begin"/>
    </w:r>
    <w:r>
      <w:instrText xml:space="preserve"> DOCPROPERTY CLASSIFICATION \* MERGEFORMAT </w:instrText>
    </w:r>
    <w:r>
      <w:fldChar w:fldCharType="separate"/>
    </w:r>
    <w:r w:rsidR="0059582D" w:rsidRPr="0046577E">
      <w:rPr>
        <w:rFonts w:cs="Arial"/>
        <w:b/>
        <w:sz w:val="20"/>
      </w:rPr>
      <w:t>UNCLASSIFIED</w:t>
    </w:r>
    <w:r>
      <w:rPr>
        <w:rFonts w:cs="Arial"/>
        <w:b/>
        <w:sz w:val="20"/>
      </w:rPr>
      <w:fldChar w:fldCharType="end"/>
    </w:r>
    <w:r w:rsidR="0059582D" w:rsidRPr="00944361">
      <w:rPr>
        <w:rFonts w:cs="Arial"/>
        <w:b/>
        <w:sz w:val="20"/>
      </w:rPr>
      <w:t xml:space="preserve"> </w:t>
    </w:r>
    <w:r w:rsidR="0059582D">
      <w:fldChar w:fldCharType="begin"/>
    </w:r>
    <w:r w:rsidR="0059582D">
      <w:instrText xml:space="preserve"> DOCPROPERTY PRIVACY  \* MERGEFORMAT </w:instrText>
    </w:r>
    <w:r w:rsidR="0059582D">
      <w:fldChar w:fldCharType="end"/>
    </w:r>
  </w:p>
  <w:p w:rsidR="0059582D" w:rsidRDefault="00595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82D" w:rsidRPr="00944361" w:rsidRDefault="0059582D" w:rsidP="00F434F0">
    <w:pPr>
      <w:pStyle w:val="Header"/>
      <w:rPr>
        <w:rFonts w:cs="Arial"/>
        <w:b/>
        <w:sz w:val="20"/>
      </w:rPr>
    </w:pPr>
    <w:r>
      <w:tab/>
    </w:r>
    <w:r>
      <w:fldChar w:fldCharType="begin"/>
    </w:r>
    <w:r>
      <w:instrText xml:space="preserve"> DOCPROPERTY PRIVACY  \* MERGEFORMAT </w:instrText>
    </w:r>
    <w:r>
      <w:fldChar w:fldCharType="end"/>
    </w:r>
  </w:p>
  <w:p w:rsidR="0059582D" w:rsidRDefault="005958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28" w:rsidRDefault="005F5728" w:rsidP="005F5728">
    <w:pPr>
      <w:shd w:val="clear" w:color="auto" w:fill="FFFFFF"/>
      <w:textAlignment w:val="baseline"/>
      <w:outlineLvl w:val="1"/>
      <w:rPr>
        <w:rFonts w:cs="Arial"/>
        <w:b/>
        <w:bCs/>
        <w:color w:val="0B0C0C"/>
        <w:sz w:val="54"/>
        <w:szCs w:val="54"/>
        <w:lang w:eastAsia="en-GB"/>
      </w:rPr>
    </w:pPr>
    <w:r w:rsidRPr="001668A6">
      <w:rPr>
        <w:rFonts w:cs="Arial"/>
        <w:b/>
        <w:bCs/>
        <w:color w:val="0B0C0C"/>
        <w:sz w:val="54"/>
        <w:szCs w:val="54"/>
        <w:lang w:eastAsia="en-GB"/>
      </w:rPr>
      <w:t xml:space="preserve">This publication was </w:t>
    </w:r>
    <w:r>
      <w:rPr>
        <w:rFonts w:cs="Arial"/>
        <w:b/>
        <w:bCs/>
        <w:color w:val="0B0C0C"/>
        <w:sz w:val="54"/>
        <w:szCs w:val="54"/>
        <w:lang w:eastAsia="en-GB"/>
      </w:rPr>
      <w:t>archived</w:t>
    </w:r>
    <w:r w:rsidRPr="001668A6">
      <w:rPr>
        <w:rFonts w:cs="Arial"/>
        <w:b/>
        <w:bCs/>
        <w:color w:val="0B0C0C"/>
        <w:sz w:val="54"/>
        <w:szCs w:val="54"/>
        <w:lang w:eastAsia="en-GB"/>
      </w:rPr>
      <w:t xml:space="preserve"> on </w:t>
    </w:r>
    <w:r>
      <w:rPr>
        <w:rFonts w:cs="Arial"/>
        <w:b/>
        <w:bCs/>
        <w:color w:val="0B0C0C"/>
        <w:sz w:val="54"/>
        <w:szCs w:val="54"/>
        <w:lang w:eastAsia="en-GB"/>
      </w:rPr>
      <w:t>4 July 2016</w:t>
    </w:r>
  </w:p>
  <w:p w:rsidR="005F5728" w:rsidRPr="001668A6" w:rsidRDefault="005F5728" w:rsidP="005F5728">
    <w:pPr>
      <w:shd w:val="clear" w:color="auto" w:fill="FFFFFF"/>
      <w:textAlignment w:val="baseline"/>
      <w:outlineLvl w:val="1"/>
      <w:rPr>
        <w:rFonts w:cs="Arial"/>
        <w:b/>
        <w:bCs/>
        <w:color w:val="0B0C0C"/>
        <w:sz w:val="54"/>
        <w:szCs w:val="54"/>
        <w:lang w:eastAsia="en-GB"/>
      </w:rPr>
    </w:pPr>
  </w:p>
  <w:p w:rsidR="005F5728" w:rsidRDefault="005F5728" w:rsidP="005F5728">
    <w:pPr>
      <w:shd w:val="clear" w:color="auto" w:fill="FFFFFF"/>
      <w:spacing w:after="150"/>
      <w:textAlignment w:val="baseline"/>
      <w:rPr>
        <w:rFonts w:cs="Arial"/>
        <w:color w:val="0B0C0C"/>
        <w:sz w:val="29"/>
        <w:szCs w:val="29"/>
        <w:lang w:eastAsia="en-GB"/>
      </w:rPr>
    </w:pPr>
    <w:r w:rsidRPr="001668A6">
      <w:rPr>
        <w:rFonts w:cs="Arial"/>
        <w:color w:val="0B0C0C"/>
        <w:sz w:val="29"/>
        <w:szCs w:val="29"/>
        <w:lang w:eastAsia="en-GB"/>
      </w:rPr>
      <w:t>This article is no longer current.</w:t>
    </w:r>
    <w:r>
      <w:rPr>
        <w:rFonts w:cs="Arial"/>
        <w:color w:val="0B0C0C"/>
        <w:sz w:val="29"/>
        <w:szCs w:val="29"/>
        <w:lang w:eastAsia="en-GB"/>
      </w:rPr>
      <w:t xml:space="preserve"> Please refer to </w:t>
    </w:r>
    <w:hyperlink r:id="rId1" w:history="1">
      <w:r w:rsidRPr="00702114">
        <w:rPr>
          <w:rStyle w:val="Hyperlink"/>
          <w:rFonts w:cs="Arial"/>
          <w:sz w:val="29"/>
          <w:szCs w:val="29"/>
          <w:lang w:eastAsia="en-GB"/>
        </w:rPr>
        <w:t>Overseas Business Risk – Mexico</w:t>
      </w:r>
    </w:hyperlink>
  </w:p>
  <w:p w:rsidR="0059582D" w:rsidRPr="005F5728" w:rsidRDefault="0059582D" w:rsidP="005F5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54FD"/>
    <w:multiLevelType w:val="hybridMultilevel"/>
    <w:tmpl w:val="7730F8E6"/>
    <w:lvl w:ilvl="0" w:tplc="08090001">
      <w:start w:val="1"/>
      <w:numFmt w:val="bullet"/>
      <w:lvlText w:val=""/>
      <w:lvlJc w:val="left"/>
      <w:pPr>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1FC18B4"/>
    <w:multiLevelType w:val="hybridMultilevel"/>
    <w:tmpl w:val="CB5E6C20"/>
    <w:lvl w:ilvl="0" w:tplc="B172E796">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8E3130"/>
    <w:multiLevelType w:val="hybridMultilevel"/>
    <w:tmpl w:val="CD164E12"/>
    <w:lvl w:ilvl="0" w:tplc="85C200EE">
      <w:start w:val="1"/>
      <w:numFmt w:val="decimal"/>
      <w:lvlText w:val="%1."/>
      <w:lvlJc w:val="left"/>
      <w:pPr>
        <w:ind w:left="360" w:hanging="360"/>
      </w:pPr>
      <w:rPr>
        <w:rFonts w:ascii="Calibri" w:hAnsi="Calibri" w:hint="default"/>
        <w:b w:val="0"/>
        <w:color w:val="auto"/>
        <w:sz w:val="22"/>
        <w:szCs w:val="22"/>
      </w:rPr>
    </w:lvl>
    <w:lvl w:ilvl="1" w:tplc="0409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31AE142F"/>
    <w:multiLevelType w:val="hybridMultilevel"/>
    <w:tmpl w:val="5E984624"/>
    <w:lvl w:ilvl="0" w:tplc="0809000F">
      <w:start w:val="1"/>
      <w:numFmt w:val="decimal"/>
      <w:lvlText w:val="%1."/>
      <w:lvlJc w:val="left"/>
      <w:pPr>
        <w:ind w:left="360" w:hanging="360"/>
      </w:pPr>
      <w:rPr>
        <w:rFonts w:hint="default"/>
        <w:b w:val="0"/>
        <w:color w:val="auto"/>
        <w:sz w:val="22"/>
        <w:szCs w:val="22"/>
      </w:rPr>
    </w:lvl>
    <w:lvl w:ilvl="1" w:tplc="0409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31EB38C6"/>
    <w:multiLevelType w:val="hybridMultilevel"/>
    <w:tmpl w:val="8CDA1D76"/>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3FEC78DC"/>
    <w:multiLevelType w:val="hybridMultilevel"/>
    <w:tmpl w:val="9E802C38"/>
    <w:lvl w:ilvl="0" w:tplc="08090001">
      <w:start w:val="1"/>
      <w:numFmt w:val="bullet"/>
      <w:lvlText w:val=""/>
      <w:lvlJc w:val="left"/>
      <w:pPr>
        <w:ind w:left="360" w:hanging="360"/>
      </w:pPr>
      <w:rPr>
        <w:rFonts w:ascii="Symbol" w:hAnsi="Symbol" w:hint="default"/>
        <w:b w:val="0"/>
        <w:color w:val="auto"/>
        <w:sz w:val="22"/>
        <w:szCs w:val="22"/>
      </w:rPr>
    </w:lvl>
    <w:lvl w:ilvl="1" w:tplc="0409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5102707C"/>
    <w:multiLevelType w:val="hybridMultilevel"/>
    <w:tmpl w:val="2940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1442F"/>
    <w:multiLevelType w:val="hybridMultilevel"/>
    <w:tmpl w:val="2FFA0FF2"/>
    <w:lvl w:ilvl="0" w:tplc="11D8EFD4">
      <w:start w:val="1"/>
      <w:numFmt w:val="decimal"/>
      <w:lvlText w:val="%1."/>
      <w:lvlJc w:val="left"/>
      <w:pPr>
        <w:ind w:left="644"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59EA2E7B"/>
    <w:multiLevelType w:val="hybridMultilevel"/>
    <w:tmpl w:val="778A4F66"/>
    <w:lvl w:ilvl="0" w:tplc="19D8DAEE">
      <w:start w:val="16"/>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0F9040B"/>
    <w:multiLevelType w:val="hybridMultilevel"/>
    <w:tmpl w:val="822E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118BE"/>
    <w:multiLevelType w:val="hybridMultilevel"/>
    <w:tmpl w:val="BE08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1E1C61"/>
    <w:multiLevelType w:val="hybridMultilevel"/>
    <w:tmpl w:val="20DE3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7E7B1B46"/>
    <w:multiLevelType w:val="hybridMultilevel"/>
    <w:tmpl w:val="212638B0"/>
    <w:lvl w:ilvl="0" w:tplc="08090001">
      <w:start w:val="1"/>
      <w:numFmt w:val="bullet"/>
      <w:lvlText w:val=""/>
      <w:lvlJc w:val="left"/>
      <w:pPr>
        <w:ind w:left="360" w:hanging="360"/>
      </w:pPr>
      <w:rPr>
        <w:rFonts w:ascii="Symbol" w:hAnsi="Symbol" w:hint="default"/>
        <w:b w:val="0"/>
        <w:color w:val="auto"/>
        <w:sz w:val="22"/>
        <w:szCs w:val="22"/>
      </w:rPr>
    </w:lvl>
    <w:lvl w:ilvl="1" w:tplc="0409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7"/>
  </w:num>
  <w:num w:numId="10">
    <w:abstractNumId w:val="12"/>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944361"/>
    <w:rsid w:val="00001041"/>
    <w:rsid w:val="000010DA"/>
    <w:rsid w:val="00005A5B"/>
    <w:rsid w:val="00005E13"/>
    <w:rsid w:val="000063C0"/>
    <w:rsid w:val="00007549"/>
    <w:rsid w:val="00012967"/>
    <w:rsid w:val="00014070"/>
    <w:rsid w:val="00014415"/>
    <w:rsid w:val="000144FB"/>
    <w:rsid w:val="00014708"/>
    <w:rsid w:val="00014A36"/>
    <w:rsid w:val="000154AA"/>
    <w:rsid w:val="000212F7"/>
    <w:rsid w:val="000218D5"/>
    <w:rsid w:val="000314F7"/>
    <w:rsid w:val="00031D58"/>
    <w:rsid w:val="0003640B"/>
    <w:rsid w:val="00036875"/>
    <w:rsid w:val="000379C8"/>
    <w:rsid w:val="00040E20"/>
    <w:rsid w:val="000419B5"/>
    <w:rsid w:val="00044231"/>
    <w:rsid w:val="000446F0"/>
    <w:rsid w:val="00045C0B"/>
    <w:rsid w:val="00045C62"/>
    <w:rsid w:val="00045F52"/>
    <w:rsid w:val="00050F70"/>
    <w:rsid w:val="0005760C"/>
    <w:rsid w:val="00060DC3"/>
    <w:rsid w:val="00060EEC"/>
    <w:rsid w:val="0006197A"/>
    <w:rsid w:val="00063E08"/>
    <w:rsid w:val="00064F40"/>
    <w:rsid w:val="00066197"/>
    <w:rsid w:val="0006707E"/>
    <w:rsid w:val="00072202"/>
    <w:rsid w:val="0007471B"/>
    <w:rsid w:val="000749E2"/>
    <w:rsid w:val="00076100"/>
    <w:rsid w:val="00076E3F"/>
    <w:rsid w:val="00082D6D"/>
    <w:rsid w:val="000864C3"/>
    <w:rsid w:val="00087772"/>
    <w:rsid w:val="00090654"/>
    <w:rsid w:val="000933A0"/>
    <w:rsid w:val="00093B86"/>
    <w:rsid w:val="000A2B9B"/>
    <w:rsid w:val="000A2C45"/>
    <w:rsid w:val="000A3417"/>
    <w:rsid w:val="000A3661"/>
    <w:rsid w:val="000A4306"/>
    <w:rsid w:val="000A5975"/>
    <w:rsid w:val="000A6496"/>
    <w:rsid w:val="000B01B3"/>
    <w:rsid w:val="000B357A"/>
    <w:rsid w:val="000B6B11"/>
    <w:rsid w:val="000C2B73"/>
    <w:rsid w:val="000C30A1"/>
    <w:rsid w:val="000C5F9F"/>
    <w:rsid w:val="000C7323"/>
    <w:rsid w:val="000D1273"/>
    <w:rsid w:val="000D31AD"/>
    <w:rsid w:val="000D4A33"/>
    <w:rsid w:val="000D5693"/>
    <w:rsid w:val="000E1AAD"/>
    <w:rsid w:val="000E4504"/>
    <w:rsid w:val="000E475A"/>
    <w:rsid w:val="000F399F"/>
    <w:rsid w:val="000F4183"/>
    <w:rsid w:val="000F5290"/>
    <w:rsid w:val="000F5AF8"/>
    <w:rsid w:val="00100416"/>
    <w:rsid w:val="00103FFD"/>
    <w:rsid w:val="00105D68"/>
    <w:rsid w:val="00106D34"/>
    <w:rsid w:val="001072A5"/>
    <w:rsid w:val="001077EF"/>
    <w:rsid w:val="00110A0B"/>
    <w:rsid w:val="00116E03"/>
    <w:rsid w:val="00121BFA"/>
    <w:rsid w:val="00123142"/>
    <w:rsid w:val="00123276"/>
    <w:rsid w:val="00123420"/>
    <w:rsid w:val="00123EFB"/>
    <w:rsid w:val="0012561D"/>
    <w:rsid w:val="00127B0C"/>
    <w:rsid w:val="00127D11"/>
    <w:rsid w:val="00131AD9"/>
    <w:rsid w:val="001326AF"/>
    <w:rsid w:val="00134FE0"/>
    <w:rsid w:val="0013629D"/>
    <w:rsid w:val="00136CD6"/>
    <w:rsid w:val="00137179"/>
    <w:rsid w:val="00142795"/>
    <w:rsid w:val="0014309C"/>
    <w:rsid w:val="00143F8B"/>
    <w:rsid w:val="00144BB1"/>
    <w:rsid w:val="00144D6F"/>
    <w:rsid w:val="001467AB"/>
    <w:rsid w:val="00146A8E"/>
    <w:rsid w:val="00151855"/>
    <w:rsid w:val="00152919"/>
    <w:rsid w:val="00153BA3"/>
    <w:rsid w:val="0015471C"/>
    <w:rsid w:val="001549D4"/>
    <w:rsid w:val="00154AC2"/>
    <w:rsid w:val="001553B0"/>
    <w:rsid w:val="00160098"/>
    <w:rsid w:val="00160D61"/>
    <w:rsid w:val="0016214B"/>
    <w:rsid w:val="00164060"/>
    <w:rsid w:val="00175A8B"/>
    <w:rsid w:val="00177296"/>
    <w:rsid w:val="001777A0"/>
    <w:rsid w:val="00181B57"/>
    <w:rsid w:val="00182086"/>
    <w:rsid w:val="00183491"/>
    <w:rsid w:val="001835AF"/>
    <w:rsid w:val="00183B55"/>
    <w:rsid w:val="00183D9D"/>
    <w:rsid w:val="00187188"/>
    <w:rsid w:val="00190AD3"/>
    <w:rsid w:val="00191A7F"/>
    <w:rsid w:val="00197979"/>
    <w:rsid w:val="001A0B89"/>
    <w:rsid w:val="001A3CCF"/>
    <w:rsid w:val="001A5C49"/>
    <w:rsid w:val="001A6492"/>
    <w:rsid w:val="001B003F"/>
    <w:rsid w:val="001B1237"/>
    <w:rsid w:val="001B2C66"/>
    <w:rsid w:val="001B4650"/>
    <w:rsid w:val="001B6892"/>
    <w:rsid w:val="001B6B44"/>
    <w:rsid w:val="001B6BBD"/>
    <w:rsid w:val="001B75AB"/>
    <w:rsid w:val="001B78D0"/>
    <w:rsid w:val="001C2DA6"/>
    <w:rsid w:val="001C57DF"/>
    <w:rsid w:val="001C5D95"/>
    <w:rsid w:val="001C61D6"/>
    <w:rsid w:val="001D3533"/>
    <w:rsid w:val="001D3EA6"/>
    <w:rsid w:val="001D4374"/>
    <w:rsid w:val="001D62B0"/>
    <w:rsid w:val="001D6A01"/>
    <w:rsid w:val="001E03DC"/>
    <w:rsid w:val="001E152E"/>
    <w:rsid w:val="001E3654"/>
    <w:rsid w:val="001E5C37"/>
    <w:rsid w:val="001E7265"/>
    <w:rsid w:val="001E785E"/>
    <w:rsid w:val="001F0B4F"/>
    <w:rsid w:val="001F2312"/>
    <w:rsid w:val="001F2FB2"/>
    <w:rsid w:val="001F50E8"/>
    <w:rsid w:val="001F597A"/>
    <w:rsid w:val="001F6424"/>
    <w:rsid w:val="0020013B"/>
    <w:rsid w:val="00210522"/>
    <w:rsid w:val="002114A4"/>
    <w:rsid w:val="002135D4"/>
    <w:rsid w:val="00213648"/>
    <w:rsid w:val="0021403F"/>
    <w:rsid w:val="00214BC9"/>
    <w:rsid w:val="00216E6D"/>
    <w:rsid w:val="00217003"/>
    <w:rsid w:val="0022121A"/>
    <w:rsid w:val="00221789"/>
    <w:rsid w:val="002232B0"/>
    <w:rsid w:val="002254DA"/>
    <w:rsid w:val="00227978"/>
    <w:rsid w:val="0023307A"/>
    <w:rsid w:val="00237466"/>
    <w:rsid w:val="0024147A"/>
    <w:rsid w:val="002415C8"/>
    <w:rsid w:val="0024250A"/>
    <w:rsid w:val="00243E07"/>
    <w:rsid w:val="00247476"/>
    <w:rsid w:val="00247F4E"/>
    <w:rsid w:val="00252051"/>
    <w:rsid w:val="002527EA"/>
    <w:rsid w:val="00253EC9"/>
    <w:rsid w:val="00255C12"/>
    <w:rsid w:val="0026091E"/>
    <w:rsid w:val="00263919"/>
    <w:rsid w:val="00264552"/>
    <w:rsid w:val="0027172E"/>
    <w:rsid w:val="00271D9A"/>
    <w:rsid w:val="00272F65"/>
    <w:rsid w:val="002738A2"/>
    <w:rsid w:val="00273BC6"/>
    <w:rsid w:val="00274618"/>
    <w:rsid w:val="00274D92"/>
    <w:rsid w:val="002758EB"/>
    <w:rsid w:val="00283A34"/>
    <w:rsid w:val="002854B8"/>
    <w:rsid w:val="00290545"/>
    <w:rsid w:val="002913FB"/>
    <w:rsid w:val="00292C92"/>
    <w:rsid w:val="00293160"/>
    <w:rsid w:val="002963B3"/>
    <w:rsid w:val="00296812"/>
    <w:rsid w:val="002A0BE2"/>
    <w:rsid w:val="002A0D0E"/>
    <w:rsid w:val="002A21DE"/>
    <w:rsid w:val="002A4317"/>
    <w:rsid w:val="002A4BFF"/>
    <w:rsid w:val="002A764B"/>
    <w:rsid w:val="002B014A"/>
    <w:rsid w:val="002B1CEF"/>
    <w:rsid w:val="002B3A51"/>
    <w:rsid w:val="002B713B"/>
    <w:rsid w:val="002B78E3"/>
    <w:rsid w:val="002C0331"/>
    <w:rsid w:val="002C203B"/>
    <w:rsid w:val="002C6320"/>
    <w:rsid w:val="002D4114"/>
    <w:rsid w:val="002D47B4"/>
    <w:rsid w:val="002D6D2E"/>
    <w:rsid w:val="002D6D4E"/>
    <w:rsid w:val="002D7AE5"/>
    <w:rsid w:val="002E154B"/>
    <w:rsid w:val="002E397F"/>
    <w:rsid w:val="002E3CAA"/>
    <w:rsid w:val="002E6EEC"/>
    <w:rsid w:val="002E763E"/>
    <w:rsid w:val="002E7D3F"/>
    <w:rsid w:val="002F1AD9"/>
    <w:rsid w:val="002F4DE4"/>
    <w:rsid w:val="00300A11"/>
    <w:rsid w:val="00301F13"/>
    <w:rsid w:val="0030323B"/>
    <w:rsid w:val="00304AB1"/>
    <w:rsid w:val="00304EBE"/>
    <w:rsid w:val="00306401"/>
    <w:rsid w:val="0031160F"/>
    <w:rsid w:val="003132AA"/>
    <w:rsid w:val="00313F4F"/>
    <w:rsid w:val="00314B91"/>
    <w:rsid w:val="0031667B"/>
    <w:rsid w:val="00317FE6"/>
    <w:rsid w:val="003204F3"/>
    <w:rsid w:val="00321BFC"/>
    <w:rsid w:val="00322FCD"/>
    <w:rsid w:val="00323CFB"/>
    <w:rsid w:val="003249FA"/>
    <w:rsid w:val="003252C6"/>
    <w:rsid w:val="00326567"/>
    <w:rsid w:val="0033053E"/>
    <w:rsid w:val="00333F5E"/>
    <w:rsid w:val="0033442A"/>
    <w:rsid w:val="00334F1C"/>
    <w:rsid w:val="0033546B"/>
    <w:rsid w:val="00341C71"/>
    <w:rsid w:val="003424E6"/>
    <w:rsid w:val="003424F6"/>
    <w:rsid w:val="00343B70"/>
    <w:rsid w:val="00345DA6"/>
    <w:rsid w:val="00347211"/>
    <w:rsid w:val="003508CE"/>
    <w:rsid w:val="00350A58"/>
    <w:rsid w:val="00350B00"/>
    <w:rsid w:val="00351BC7"/>
    <w:rsid w:val="003548DC"/>
    <w:rsid w:val="00354D9D"/>
    <w:rsid w:val="003556D8"/>
    <w:rsid w:val="00355BD5"/>
    <w:rsid w:val="00356048"/>
    <w:rsid w:val="00356978"/>
    <w:rsid w:val="00360C36"/>
    <w:rsid w:val="00361ABA"/>
    <w:rsid w:val="0036552F"/>
    <w:rsid w:val="003656A3"/>
    <w:rsid w:val="0036633F"/>
    <w:rsid w:val="00370382"/>
    <w:rsid w:val="00370A87"/>
    <w:rsid w:val="00371E3F"/>
    <w:rsid w:val="00372025"/>
    <w:rsid w:val="00373CC6"/>
    <w:rsid w:val="00375C14"/>
    <w:rsid w:val="003778AE"/>
    <w:rsid w:val="00380425"/>
    <w:rsid w:val="003844D7"/>
    <w:rsid w:val="003846EA"/>
    <w:rsid w:val="00384F7F"/>
    <w:rsid w:val="00387D39"/>
    <w:rsid w:val="00390BC0"/>
    <w:rsid w:val="003914A8"/>
    <w:rsid w:val="003916D5"/>
    <w:rsid w:val="003970FD"/>
    <w:rsid w:val="003A2EE8"/>
    <w:rsid w:val="003A4B69"/>
    <w:rsid w:val="003A6376"/>
    <w:rsid w:val="003A6B79"/>
    <w:rsid w:val="003A71D6"/>
    <w:rsid w:val="003A75BE"/>
    <w:rsid w:val="003B01B5"/>
    <w:rsid w:val="003B06C2"/>
    <w:rsid w:val="003B0DCC"/>
    <w:rsid w:val="003B0E0C"/>
    <w:rsid w:val="003B0FF3"/>
    <w:rsid w:val="003B20EF"/>
    <w:rsid w:val="003B278C"/>
    <w:rsid w:val="003B337E"/>
    <w:rsid w:val="003B57BE"/>
    <w:rsid w:val="003B6F41"/>
    <w:rsid w:val="003B7236"/>
    <w:rsid w:val="003B77C8"/>
    <w:rsid w:val="003C0A62"/>
    <w:rsid w:val="003C731B"/>
    <w:rsid w:val="003D10FC"/>
    <w:rsid w:val="003D138C"/>
    <w:rsid w:val="003D3EC6"/>
    <w:rsid w:val="003D4570"/>
    <w:rsid w:val="003D4799"/>
    <w:rsid w:val="003D5581"/>
    <w:rsid w:val="003D5F18"/>
    <w:rsid w:val="003E01A6"/>
    <w:rsid w:val="003E14F9"/>
    <w:rsid w:val="003E3629"/>
    <w:rsid w:val="003E6A3E"/>
    <w:rsid w:val="003E6D69"/>
    <w:rsid w:val="003F49AC"/>
    <w:rsid w:val="003F4A4E"/>
    <w:rsid w:val="003F5BDA"/>
    <w:rsid w:val="003F79FD"/>
    <w:rsid w:val="003F7BF3"/>
    <w:rsid w:val="00400777"/>
    <w:rsid w:val="004024AA"/>
    <w:rsid w:val="004040DB"/>
    <w:rsid w:val="004041CC"/>
    <w:rsid w:val="00405A14"/>
    <w:rsid w:val="004112B7"/>
    <w:rsid w:val="00411C4A"/>
    <w:rsid w:val="0041247C"/>
    <w:rsid w:val="00412533"/>
    <w:rsid w:val="00412FF8"/>
    <w:rsid w:val="004132EF"/>
    <w:rsid w:val="00415ED3"/>
    <w:rsid w:val="00416DA6"/>
    <w:rsid w:val="004216D0"/>
    <w:rsid w:val="00422186"/>
    <w:rsid w:val="004237CE"/>
    <w:rsid w:val="00424552"/>
    <w:rsid w:val="004305A9"/>
    <w:rsid w:val="00431E20"/>
    <w:rsid w:val="00436069"/>
    <w:rsid w:val="00441F05"/>
    <w:rsid w:val="00442C4B"/>
    <w:rsid w:val="004457D6"/>
    <w:rsid w:val="00445CC2"/>
    <w:rsid w:val="004504D5"/>
    <w:rsid w:val="00451685"/>
    <w:rsid w:val="00455A58"/>
    <w:rsid w:val="00456FEA"/>
    <w:rsid w:val="0046577E"/>
    <w:rsid w:val="00466399"/>
    <w:rsid w:val="00470CB3"/>
    <w:rsid w:val="0047151E"/>
    <w:rsid w:val="00473785"/>
    <w:rsid w:val="00474F85"/>
    <w:rsid w:val="00475E40"/>
    <w:rsid w:val="0048035C"/>
    <w:rsid w:val="00482353"/>
    <w:rsid w:val="00482B1D"/>
    <w:rsid w:val="00485A79"/>
    <w:rsid w:val="0048690D"/>
    <w:rsid w:val="0049018A"/>
    <w:rsid w:val="00490A90"/>
    <w:rsid w:val="00493359"/>
    <w:rsid w:val="00493DC3"/>
    <w:rsid w:val="00494EBC"/>
    <w:rsid w:val="00495B2C"/>
    <w:rsid w:val="00496B22"/>
    <w:rsid w:val="00497CA4"/>
    <w:rsid w:val="004A047A"/>
    <w:rsid w:val="004A30CE"/>
    <w:rsid w:val="004B023B"/>
    <w:rsid w:val="004B0418"/>
    <w:rsid w:val="004B60BF"/>
    <w:rsid w:val="004B6177"/>
    <w:rsid w:val="004B61B8"/>
    <w:rsid w:val="004B7A20"/>
    <w:rsid w:val="004C1E20"/>
    <w:rsid w:val="004C349F"/>
    <w:rsid w:val="004C4010"/>
    <w:rsid w:val="004C6696"/>
    <w:rsid w:val="004D03D5"/>
    <w:rsid w:val="004D5F3C"/>
    <w:rsid w:val="004D6D9A"/>
    <w:rsid w:val="004E07E7"/>
    <w:rsid w:val="004E2B3C"/>
    <w:rsid w:val="004E3417"/>
    <w:rsid w:val="004E4524"/>
    <w:rsid w:val="004E78D2"/>
    <w:rsid w:val="004F1688"/>
    <w:rsid w:val="004F28ED"/>
    <w:rsid w:val="004F3A0E"/>
    <w:rsid w:val="004F3D1F"/>
    <w:rsid w:val="004F4ECD"/>
    <w:rsid w:val="004F6B27"/>
    <w:rsid w:val="00500162"/>
    <w:rsid w:val="00502EB4"/>
    <w:rsid w:val="0051298D"/>
    <w:rsid w:val="0052000D"/>
    <w:rsid w:val="005217B9"/>
    <w:rsid w:val="0052660C"/>
    <w:rsid w:val="00526895"/>
    <w:rsid w:val="00527337"/>
    <w:rsid w:val="00527DB7"/>
    <w:rsid w:val="0053010B"/>
    <w:rsid w:val="00532C17"/>
    <w:rsid w:val="00534B0A"/>
    <w:rsid w:val="00534C09"/>
    <w:rsid w:val="005402A3"/>
    <w:rsid w:val="005407A0"/>
    <w:rsid w:val="00540836"/>
    <w:rsid w:val="005409E6"/>
    <w:rsid w:val="005431E4"/>
    <w:rsid w:val="00546F6F"/>
    <w:rsid w:val="00547654"/>
    <w:rsid w:val="00551B95"/>
    <w:rsid w:val="00554BAA"/>
    <w:rsid w:val="00556548"/>
    <w:rsid w:val="00561BF8"/>
    <w:rsid w:val="00561D13"/>
    <w:rsid w:val="00565E2D"/>
    <w:rsid w:val="00571B68"/>
    <w:rsid w:val="0057383A"/>
    <w:rsid w:val="0057590C"/>
    <w:rsid w:val="00576508"/>
    <w:rsid w:val="005801A0"/>
    <w:rsid w:val="005824A0"/>
    <w:rsid w:val="0058316D"/>
    <w:rsid w:val="0058390A"/>
    <w:rsid w:val="00583ADE"/>
    <w:rsid w:val="00583EF6"/>
    <w:rsid w:val="0058548A"/>
    <w:rsid w:val="00585632"/>
    <w:rsid w:val="005863D3"/>
    <w:rsid w:val="00587D53"/>
    <w:rsid w:val="00590696"/>
    <w:rsid w:val="00591360"/>
    <w:rsid w:val="00594032"/>
    <w:rsid w:val="005941A7"/>
    <w:rsid w:val="0059582D"/>
    <w:rsid w:val="00596130"/>
    <w:rsid w:val="005A27B4"/>
    <w:rsid w:val="005A2D14"/>
    <w:rsid w:val="005A512C"/>
    <w:rsid w:val="005A6802"/>
    <w:rsid w:val="005A6B30"/>
    <w:rsid w:val="005B2043"/>
    <w:rsid w:val="005B27F0"/>
    <w:rsid w:val="005B3602"/>
    <w:rsid w:val="005B597A"/>
    <w:rsid w:val="005B6073"/>
    <w:rsid w:val="005B6792"/>
    <w:rsid w:val="005B7393"/>
    <w:rsid w:val="005C06F8"/>
    <w:rsid w:val="005C248A"/>
    <w:rsid w:val="005C5107"/>
    <w:rsid w:val="005C63C4"/>
    <w:rsid w:val="005C6911"/>
    <w:rsid w:val="005D46B5"/>
    <w:rsid w:val="005D780A"/>
    <w:rsid w:val="005E2004"/>
    <w:rsid w:val="005E27A1"/>
    <w:rsid w:val="005E3654"/>
    <w:rsid w:val="005E36F6"/>
    <w:rsid w:val="005E4AEE"/>
    <w:rsid w:val="005E716D"/>
    <w:rsid w:val="005E7854"/>
    <w:rsid w:val="005F0470"/>
    <w:rsid w:val="005F05F8"/>
    <w:rsid w:val="005F2CA7"/>
    <w:rsid w:val="005F3688"/>
    <w:rsid w:val="005F565C"/>
    <w:rsid w:val="005F5728"/>
    <w:rsid w:val="005F62A5"/>
    <w:rsid w:val="005F798E"/>
    <w:rsid w:val="00606742"/>
    <w:rsid w:val="006075ED"/>
    <w:rsid w:val="006114BB"/>
    <w:rsid w:val="00611D63"/>
    <w:rsid w:val="0061546B"/>
    <w:rsid w:val="0061622D"/>
    <w:rsid w:val="00617BC6"/>
    <w:rsid w:val="006231C2"/>
    <w:rsid w:val="00623370"/>
    <w:rsid w:val="006240C8"/>
    <w:rsid w:val="00624DC0"/>
    <w:rsid w:val="00625577"/>
    <w:rsid w:val="00627676"/>
    <w:rsid w:val="00630423"/>
    <w:rsid w:val="0063431D"/>
    <w:rsid w:val="00637D01"/>
    <w:rsid w:val="00640946"/>
    <w:rsid w:val="006414D7"/>
    <w:rsid w:val="00641627"/>
    <w:rsid w:val="006436E1"/>
    <w:rsid w:val="006449BE"/>
    <w:rsid w:val="006475FD"/>
    <w:rsid w:val="00650D96"/>
    <w:rsid w:val="00652226"/>
    <w:rsid w:val="0065225A"/>
    <w:rsid w:val="00653489"/>
    <w:rsid w:val="00654069"/>
    <w:rsid w:val="00662A85"/>
    <w:rsid w:val="00663888"/>
    <w:rsid w:val="00664A90"/>
    <w:rsid w:val="006651F7"/>
    <w:rsid w:val="006671BD"/>
    <w:rsid w:val="00671C38"/>
    <w:rsid w:val="00672634"/>
    <w:rsid w:val="006728AE"/>
    <w:rsid w:val="006802C5"/>
    <w:rsid w:val="00680759"/>
    <w:rsid w:val="00682704"/>
    <w:rsid w:val="006849F5"/>
    <w:rsid w:val="00686548"/>
    <w:rsid w:val="00690DFA"/>
    <w:rsid w:val="00692B25"/>
    <w:rsid w:val="0069408C"/>
    <w:rsid w:val="00696E78"/>
    <w:rsid w:val="006A492E"/>
    <w:rsid w:val="006A4D79"/>
    <w:rsid w:val="006B090A"/>
    <w:rsid w:val="006B13C5"/>
    <w:rsid w:val="006B2E7B"/>
    <w:rsid w:val="006B3249"/>
    <w:rsid w:val="006B3C9A"/>
    <w:rsid w:val="006B5D84"/>
    <w:rsid w:val="006B6DE8"/>
    <w:rsid w:val="006B73B3"/>
    <w:rsid w:val="006C0199"/>
    <w:rsid w:val="006C0378"/>
    <w:rsid w:val="006C34D7"/>
    <w:rsid w:val="006C5035"/>
    <w:rsid w:val="006C6454"/>
    <w:rsid w:val="006C716F"/>
    <w:rsid w:val="006C7EE3"/>
    <w:rsid w:val="006D212B"/>
    <w:rsid w:val="006D2EB7"/>
    <w:rsid w:val="006D6E66"/>
    <w:rsid w:val="006E0B45"/>
    <w:rsid w:val="006E1CAD"/>
    <w:rsid w:val="006E2750"/>
    <w:rsid w:val="006E36AE"/>
    <w:rsid w:val="006E43E9"/>
    <w:rsid w:val="006E7BDA"/>
    <w:rsid w:val="006F0A68"/>
    <w:rsid w:val="006F16EE"/>
    <w:rsid w:val="006F64CE"/>
    <w:rsid w:val="007004E0"/>
    <w:rsid w:val="00700A45"/>
    <w:rsid w:val="00704964"/>
    <w:rsid w:val="00706821"/>
    <w:rsid w:val="0070787C"/>
    <w:rsid w:val="007129DE"/>
    <w:rsid w:val="00715059"/>
    <w:rsid w:val="00715C99"/>
    <w:rsid w:val="007164DD"/>
    <w:rsid w:val="0071708C"/>
    <w:rsid w:val="007177DE"/>
    <w:rsid w:val="007178AD"/>
    <w:rsid w:val="007211AC"/>
    <w:rsid w:val="007213F7"/>
    <w:rsid w:val="00722734"/>
    <w:rsid w:val="007229F8"/>
    <w:rsid w:val="007241BA"/>
    <w:rsid w:val="0072435B"/>
    <w:rsid w:val="00724512"/>
    <w:rsid w:val="00725FA8"/>
    <w:rsid w:val="007273B9"/>
    <w:rsid w:val="007310B6"/>
    <w:rsid w:val="00731A3F"/>
    <w:rsid w:val="00732586"/>
    <w:rsid w:val="00734DAB"/>
    <w:rsid w:val="00734ECC"/>
    <w:rsid w:val="00736281"/>
    <w:rsid w:val="007369C8"/>
    <w:rsid w:val="0073795D"/>
    <w:rsid w:val="00742472"/>
    <w:rsid w:val="00745234"/>
    <w:rsid w:val="007467EA"/>
    <w:rsid w:val="00750289"/>
    <w:rsid w:val="007507AB"/>
    <w:rsid w:val="00750E58"/>
    <w:rsid w:val="007519AB"/>
    <w:rsid w:val="007533EF"/>
    <w:rsid w:val="0075541F"/>
    <w:rsid w:val="007560F6"/>
    <w:rsid w:val="00760A9D"/>
    <w:rsid w:val="0077085D"/>
    <w:rsid w:val="00770C29"/>
    <w:rsid w:val="00773665"/>
    <w:rsid w:val="00776ACA"/>
    <w:rsid w:val="00777E19"/>
    <w:rsid w:val="0078041B"/>
    <w:rsid w:val="0078134F"/>
    <w:rsid w:val="00781CF7"/>
    <w:rsid w:val="00783316"/>
    <w:rsid w:val="00783555"/>
    <w:rsid w:val="0078472D"/>
    <w:rsid w:val="007857AA"/>
    <w:rsid w:val="00792B5E"/>
    <w:rsid w:val="00797CC1"/>
    <w:rsid w:val="007A0B67"/>
    <w:rsid w:val="007A0EDF"/>
    <w:rsid w:val="007A1226"/>
    <w:rsid w:val="007A7EBD"/>
    <w:rsid w:val="007B016D"/>
    <w:rsid w:val="007B2446"/>
    <w:rsid w:val="007B2FED"/>
    <w:rsid w:val="007B3116"/>
    <w:rsid w:val="007B37FA"/>
    <w:rsid w:val="007B49C7"/>
    <w:rsid w:val="007B5684"/>
    <w:rsid w:val="007B7389"/>
    <w:rsid w:val="007C000E"/>
    <w:rsid w:val="007C0F01"/>
    <w:rsid w:val="007C2B36"/>
    <w:rsid w:val="007C62AE"/>
    <w:rsid w:val="007D0799"/>
    <w:rsid w:val="007D0BE8"/>
    <w:rsid w:val="007D10B4"/>
    <w:rsid w:val="007D1BD7"/>
    <w:rsid w:val="007D2732"/>
    <w:rsid w:val="007D5679"/>
    <w:rsid w:val="007E0583"/>
    <w:rsid w:val="007E0C8D"/>
    <w:rsid w:val="007E2D7E"/>
    <w:rsid w:val="007E3A3D"/>
    <w:rsid w:val="007E79F1"/>
    <w:rsid w:val="007F1ED4"/>
    <w:rsid w:val="007F2C73"/>
    <w:rsid w:val="007F38EF"/>
    <w:rsid w:val="007F4B43"/>
    <w:rsid w:val="00801EB3"/>
    <w:rsid w:val="008068E3"/>
    <w:rsid w:val="00806FF8"/>
    <w:rsid w:val="00810951"/>
    <w:rsid w:val="00814408"/>
    <w:rsid w:val="00820624"/>
    <w:rsid w:val="00823F8C"/>
    <w:rsid w:val="00825BA9"/>
    <w:rsid w:val="00833994"/>
    <w:rsid w:val="00833B41"/>
    <w:rsid w:val="00833D93"/>
    <w:rsid w:val="0083482B"/>
    <w:rsid w:val="0083681C"/>
    <w:rsid w:val="00836BC0"/>
    <w:rsid w:val="00840602"/>
    <w:rsid w:val="008440C0"/>
    <w:rsid w:val="0084547A"/>
    <w:rsid w:val="00847666"/>
    <w:rsid w:val="0085164B"/>
    <w:rsid w:val="00851ECE"/>
    <w:rsid w:val="008520B1"/>
    <w:rsid w:val="00854DE3"/>
    <w:rsid w:val="00861959"/>
    <w:rsid w:val="00864350"/>
    <w:rsid w:val="00864600"/>
    <w:rsid w:val="00865BC7"/>
    <w:rsid w:val="00870485"/>
    <w:rsid w:val="0087098F"/>
    <w:rsid w:val="008713D3"/>
    <w:rsid w:val="00874BDC"/>
    <w:rsid w:val="00881D61"/>
    <w:rsid w:val="0088247C"/>
    <w:rsid w:val="00886408"/>
    <w:rsid w:val="00886FF0"/>
    <w:rsid w:val="00887980"/>
    <w:rsid w:val="008921EA"/>
    <w:rsid w:val="00892E8F"/>
    <w:rsid w:val="0089447B"/>
    <w:rsid w:val="008A00FC"/>
    <w:rsid w:val="008A0EBE"/>
    <w:rsid w:val="008A26CD"/>
    <w:rsid w:val="008A4468"/>
    <w:rsid w:val="008B0201"/>
    <w:rsid w:val="008B1684"/>
    <w:rsid w:val="008B269B"/>
    <w:rsid w:val="008B2AE1"/>
    <w:rsid w:val="008B5F1D"/>
    <w:rsid w:val="008B6B1F"/>
    <w:rsid w:val="008C6639"/>
    <w:rsid w:val="008C73D7"/>
    <w:rsid w:val="008D2587"/>
    <w:rsid w:val="008D2750"/>
    <w:rsid w:val="008D459F"/>
    <w:rsid w:val="008D54D0"/>
    <w:rsid w:val="008D5632"/>
    <w:rsid w:val="008E17E8"/>
    <w:rsid w:val="008E1D18"/>
    <w:rsid w:val="008E79E6"/>
    <w:rsid w:val="008F0BE9"/>
    <w:rsid w:val="008F1D84"/>
    <w:rsid w:val="008F7764"/>
    <w:rsid w:val="008F7CB2"/>
    <w:rsid w:val="009003CF"/>
    <w:rsid w:val="0090066E"/>
    <w:rsid w:val="00901059"/>
    <w:rsid w:val="0090203A"/>
    <w:rsid w:val="0090447C"/>
    <w:rsid w:val="00904C9F"/>
    <w:rsid w:val="00905F41"/>
    <w:rsid w:val="009105F2"/>
    <w:rsid w:val="00911264"/>
    <w:rsid w:val="00911492"/>
    <w:rsid w:val="00912D8C"/>
    <w:rsid w:val="00913B48"/>
    <w:rsid w:val="009165A5"/>
    <w:rsid w:val="00916D15"/>
    <w:rsid w:val="00920172"/>
    <w:rsid w:val="0092176E"/>
    <w:rsid w:val="00922696"/>
    <w:rsid w:val="009258A1"/>
    <w:rsid w:val="00925952"/>
    <w:rsid w:val="00926740"/>
    <w:rsid w:val="0093163A"/>
    <w:rsid w:val="009371D7"/>
    <w:rsid w:val="00941FC7"/>
    <w:rsid w:val="00942C44"/>
    <w:rsid w:val="00944361"/>
    <w:rsid w:val="009479B8"/>
    <w:rsid w:val="009519A4"/>
    <w:rsid w:val="00952662"/>
    <w:rsid w:val="00952883"/>
    <w:rsid w:val="00954065"/>
    <w:rsid w:val="00954824"/>
    <w:rsid w:val="009564B5"/>
    <w:rsid w:val="0095712F"/>
    <w:rsid w:val="009617C0"/>
    <w:rsid w:val="009634E0"/>
    <w:rsid w:val="00964561"/>
    <w:rsid w:val="009700EF"/>
    <w:rsid w:val="00971994"/>
    <w:rsid w:val="00971ED4"/>
    <w:rsid w:val="00973073"/>
    <w:rsid w:val="00973B53"/>
    <w:rsid w:val="0097423B"/>
    <w:rsid w:val="009805D0"/>
    <w:rsid w:val="00980DF6"/>
    <w:rsid w:val="00981520"/>
    <w:rsid w:val="009859BC"/>
    <w:rsid w:val="00987350"/>
    <w:rsid w:val="0099003A"/>
    <w:rsid w:val="00991EBE"/>
    <w:rsid w:val="00992185"/>
    <w:rsid w:val="00992642"/>
    <w:rsid w:val="00994D47"/>
    <w:rsid w:val="00995651"/>
    <w:rsid w:val="00997620"/>
    <w:rsid w:val="009A7E1D"/>
    <w:rsid w:val="009B24FE"/>
    <w:rsid w:val="009B5843"/>
    <w:rsid w:val="009C1005"/>
    <w:rsid w:val="009C14EA"/>
    <w:rsid w:val="009C297B"/>
    <w:rsid w:val="009C2B4D"/>
    <w:rsid w:val="009C4BF1"/>
    <w:rsid w:val="009C4C80"/>
    <w:rsid w:val="009C67C6"/>
    <w:rsid w:val="009C6D12"/>
    <w:rsid w:val="009C72F2"/>
    <w:rsid w:val="009D0D36"/>
    <w:rsid w:val="009D1D2B"/>
    <w:rsid w:val="009D412D"/>
    <w:rsid w:val="009D4763"/>
    <w:rsid w:val="009D58BC"/>
    <w:rsid w:val="009D5CF5"/>
    <w:rsid w:val="009D7728"/>
    <w:rsid w:val="009D7814"/>
    <w:rsid w:val="009E2E3D"/>
    <w:rsid w:val="009E2E6D"/>
    <w:rsid w:val="009E48FA"/>
    <w:rsid w:val="009F17B2"/>
    <w:rsid w:val="009F44B4"/>
    <w:rsid w:val="009F6B84"/>
    <w:rsid w:val="009F6F48"/>
    <w:rsid w:val="00A01062"/>
    <w:rsid w:val="00A01595"/>
    <w:rsid w:val="00A01E82"/>
    <w:rsid w:val="00A0221C"/>
    <w:rsid w:val="00A02339"/>
    <w:rsid w:val="00A02A8C"/>
    <w:rsid w:val="00A03794"/>
    <w:rsid w:val="00A0487A"/>
    <w:rsid w:val="00A05210"/>
    <w:rsid w:val="00A05801"/>
    <w:rsid w:val="00A10815"/>
    <w:rsid w:val="00A10B2A"/>
    <w:rsid w:val="00A14EB4"/>
    <w:rsid w:val="00A1510E"/>
    <w:rsid w:val="00A16322"/>
    <w:rsid w:val="00A231A1"/>
    <w:rsid w:val="00A255C0"/>
    <w:rsid w:val="00A2560E"/>
    <w:rsid w:val="00A25A6B"/>
    <w:rsid w:val="00A25FDE"/>
    <w:rsid w:val="00A2639C"/>
    <w:rsid w:val="00A279C3"/>
    <w:rsid w:val="00A31176"/>
    <w:rsid w:val="00A32144"/>
    <w:rsid w:val="00A32627"/>
    <w:rsid w:val="00A326E4"/>
    <w:rsid w:val="00A35446"/>
    <w:rsid w:val="00A35B57"/>
    <w:rsid w:val="00A36309"/>
    <w:rsid w:val="00A40D65"/>
    <w:rsid w:val="00A45D36"/>
    <w:rsid w:val="00A46F54"/>
    <w:rsid w:val="00A47981"/>
    <w:rsid w:val="00A50D2A"/>
    <w:rsid w:val="00A51390"/>
    <w:rsid w:val="00A53C81"/>
    <w:rsid w:val="00A54589"/>
    <w:rsid w:val="00A5570D"/>
    <w:rsid w:val="00A56486"/>
    <w:rsid w:val="00A5705A"/>
    <w:rsid w:val="00A57B6D"/>
    <w:rsid w:val="00A6133D"/>
    <w:rsid w:val="00A6153C"/>
    <w:rsid w:val="00A6234E"/>
    <w:rsid w:val="00A62EB7"/>
    <w:rsid w:val="00A63A0C"/>
    <w:rsid w:val="00A645E5"/>
    <w:rsid w:val="00A652AE"/>
    <w:rsid w:val="00A67965"/>
    <w:rsid w:val="00A7164C"/>
    <w:rsid w:val="00A71847"/>
    <w:rsid w:val="00A747CB"/>
    <w:rsid w:val="00A75005"/>
    <w:rsid w:val="00A7501E"/>
    <w:rsid w:val="00A76B28"/>
    <w:rsid w:val="00A80861"/>
    <w:rsid w:val="00A85F0E"/>
    <w:rsid w:val="00A945E7"/>
    <w:rsid w:val="00A97506"/>
    <w:rsid w:val="00AA005F"/>
    <w:rsid w:val="00AA0291"/>
    <w:rsid w:val="00AA2A30"/>
    <w:rsid w:val="00AA2D3B"/>
    <w:rsid w:val="00AA699A"/>
    <w:rsid w:val="00AA7333"/>
    <w:rsid w:val="00AB1D98"/>
    <w:rsid w:val="00AB291D"/>
    <w:rsid w:val="00AB42FB"/>
    <w:rsid w:val="00AB4DE6"/>
    <w:rsid w:val="00AB5247"/>
    <w:rsid w:val="00AB5FB5"/>
    <w:rsid w:val="00AB6B47"/>
    <w:rsid w:val="00AC4A73"/>
    <w:rsid w:val="00AC5622"/>
    <w:rsid w:val="00AC5DA9"/>
    <w:rsid w:val="00AC7780"/>
    <w:rsid w:val="00AD0E6D"/>
    <w:rsid w:val="00AD2F98"/>
    <w:rsid w:val="00AD45DE"/>
    <w:rsid w:val="00AD6200"/>
    <w:rsid w:val="00AD6433"/>
    <w:rsid w:val="00AD728F"/>
    <w:rsid w:val="00AE0E74"/>
    <w:rsid w:val="00AE2189"/>
    <w:rsid w:val="00AE2986"/>
    <w:rsid w:val="00AE4769"/>
    <w:rsid w:val="00AE55B8"/>
    <w:rsid w:val="00AF21AF"/>
    <w:rsid w:val="00AF2C19"/>
    <w:rsid w:val="00AF2DF5"/>
    <w:rsid w:val="00AF4A0A"/>
    <w:rsid w:val="00AF681E"/>
    <w:rsid w:val="00AF79CE"/>
    <w:rsid w:val="00B007AD"/>
    <w:rsid w:val="00B01E8D"/>
    <w:rsid w:val="00B05008"/>
    <w:rsid w:val="00B06C97"/>
    <w:rsid w:val="00B070C0"/>
    <w:rsid w:val="00B104DA"/>
    <w:rsid w:val="00B128B2"/>
    <w:rsid w:val="00B13B4E"/>
    <w:rsid w:val="00B15D05"/>
    <w:rsid w:val="00B25053"/>
    <w:rsid w:val="00B301B1"/>
    <w:rsid w:val="00B3080A"/>
    <w:rsid w:val="00B3203B"/>
    <w:rsid w:val="00B328EC"/>
    <w:rsid w:val="00B342D2"/>
    <w:rsid w:val="00B35386"/>
    <w:rsid w:val="00B3628C"/>
    <w:rsid w:val="00B36658"/>
    <w:rsid w:val="00B40198"/>
    <w:rsid w:val="00B40CB2"/>
    <w:rsid w:val="00B429F1"/>
    <w:rsid w:val="00B46DFD"/>
    <w:rsid w:val="00B477FE"/>
    <w:rsid w:val="00B505DF"/>
    <w:rsid w:val="00B52856"/>
    <w:rsid w:val="00B52A9E"/>
    <w:rsid w:val="00B6004D"/>
    <w:rsid w:val="00B60805"/>
    <w:rsid w:val="00B61B5E"/>
    <w:rsid w:val="00B66D98"/>
    <w:rsid w:val="00B67E25"/>
    <w:rsid w:val="00B75248"/>
    <w:rsid w:val="00B829E6"/>
    <w:rsid w:val="00B838EE"/>
    <w:rsid w:val="00B83F3D"/>
    <w:rsid w:val="00B863B7"/>
    <w:rsid w:val="00B92ED8"/>
    <w:rsid w:val="00B94E2B"/>
    <w:rsid w:val="00BA2A88"/>
    <w:rsid w:val="00BA7AAC"/>
    <w:rsid w:val="00BA7E12"/>
    <w:rsid w:val="00BB0549"/>
    <w:rsid w:val="00BB43E1"/>
    <w:rsid w:val="00BB5935"/>
    <w:rsid w:val="00BB70DF"/>
    <w:rsid w:val="00BC1C7C"/>
    <w:rsid w:val="00BC2797"/>
    <w:rsid w:val="00BC2932"/>
    <w:rsid w:val="00BC33E5"/>
    <w:rsid w:val="00BC424C"/>
    <w:rsid w:val="00BC42D4"/>
    <w:rsid w:val="00BC6492"/>
    <w:rsid w:val="00BD4675"/>
    <w:rsid w:val="00BD484B"/>
    <w:rsid w:val="00BD722D"/>
    <w:rsid w:val="00BE15CC"/>
    <w:rsid w:val="00BE53E7"/>
    <w:rsid w:val="00BE5E92"/>
    <w:rsid w:val="00BF2007"/>
    <w:rsid w:val="00BF27E1"/>
    <w:rsid w:val="00BF7104"/>
    <w:rsid w:val="00C00EBD"/>
    <w:rsid w:val="00C0348C"/>
    <w:rsid w:val="00C04E13"/>
    <w:rsid w:val="00C05F74"/>
    <w:rsid w:val="00C077D1"/>
    <w:rsid w:val="00C11569"/>
    <w:rsid w:val="00C116A4"/>
    <w:rsid w:val="00C11E7A"/>
    <w:rsid w:val="00C14A6B"/>
    <w:rsid w:val="00C17F8F"/>
    <w:rsid w:val="00C218C3"/>
    <w:rsid w:val="00C24A70"/>
    <w:rsid w:val="00C256A7"/>
    <w:rsid w:val="00C259E5"/>
    <w:rsid w:val="00C260DC"/>
    <w:rsid w:val="00C316A5"/>
    <w:rsid w:val="00C31873"/>
    <w:rsid w:val="00C3278B"/>
    <w:rsid w:val="00C32CA4"/>
    <w:rsid w:val="00C40B97"/>
    <w:rsid w:val="00C41328"/>
    <w:rsid w:val="00C41821"/>
    <w:rsid w:val="00C442EC"/>
    <w:rsid w:val="00C47D51"/>
    <w:rsid w:val="00C500F5"/>
    <w:rsid w:val="00C51A47"/>
    <w:rsid w:val="00C55152"/>
    <w:rsid w:val="00C551CA"/>
    <w:rsid w:val="00C56C22"/>
    <w:rsid w:val="00C62193"/>
    <w:rsid w:val="00C63224"/>
    <w:rsid w:val="00C64258"/>
    <w:rsid w:val="00C704F6"/>
    <w:rsid w:val="00C75713"/>
    <w:rsid w:val="00C82CF0"/>
    <w:rsid w:val="00C857C7"/>
    <w:rsid w:val="00C86121"/>
    <w:rsid w:val="00C86E1B"/>
    <w:rsid w:val="00C87CAB"/>
    <w:rsid w:val="00C93115"/>
    <w:rsid w:val="00C94B16"/>
    <w:rsid w:val="00C95E49"/>
    <w:rsid w:val="00C95EDE"/>
    <w:rsid w:val="00C96E61"/>
    <w:rsid w:val="00CA019F"/>
    <w:rsid w:val="00CA083A"/>
    <w:rsid w:val="00CA1FBB"/>
    <w:rsid w:val="00CA227A"/>
    <w:rsid w:val="00CA29F2"/>
    <w:rsid w:val="00CA3E6F"/>
    <w:rsid w:val="00CA6878"/>
    <w:rsid w:val="00CA68A3"/>
    <w:rsid w:val="00CA6BCB"/>
    <w:rsid w:val="00CB1B81"/>
    <w:rsid w:val="00CB1BE2"/>
    <w:rsid w:val="00CB22DA"/>
    <w:rsid w:val="00CB4AA1"/>
    <w:rsid w:val="00CB53CF"/>
    <w:rsid w:val="00CB6C6D"/>
    <w:rsid w:val="00CB797B"/>
    <w:rsid w:val="00CB7F25"/>
    <w:rsid w:val="00CC016E"/>
    <w:rsid w:val="00CC5CF6"/>
    <w:rsid w:val="00CC60DE"/>
    <w:rsid w:val="00CC698F"/>
    <w:rsid w:val="00CC7BCD"/>
    <w:rsid w:val="00CD5B20"/>
    <w:rsid w:val="00CD63E6"/>
    <w:rsid w:val="00CD76D4"/>
    <w:rsid w:val="00CE04FF"/>
    <w:rsid w:val="00CE0578"/>
    <w:rsid w:val="00CE369D"/>
    <w:rsid w:val="00CE3D26"/>
    <w:rsid w:val="00CE6526"/>
    <w:rsid w:val="00CF1A84"/>
    <w:rsid w:val="00CF37FA"/>
    <w:rsid w:val="00CF3F58"/>
    <w:rsid w:val="00CF4E6A"/>
    <w:rsid w:val="00CF51C0"/>
    <w:rsid w:val="00CF7C96"/>
    <w:rsid w:val="00D01331"/>
    <w:rsid w:val="00D01A59"/>
    <w:rsid w:val="00D0256E"/>
    <w:rsid w:val="00D068CD"/>
    <w:rsid w:val="00D07806"/>
    <w:rsid w:val="00D129F6"/>
    <w:rsid w:val="00D140A7"/>
    <w:rsid w:val="00D230C5"/>
    <w:rsid w:val="00D251F4"/>
    <w:rsid w:val="00D266B4"/>
    <w:rsid w:val="00D27E3F"/>
    <w:rsid w:val="00D31E13"/>
    <w:rsid w:val="00D328AE"/>
    <w:rsid w:val="00D35D3B"/>
    <w:rsid w:val="00D4043F"/>
    <w:rsid w:val="00D41343"/>
    <w:rsid w:val="00D41E94"/>
    <w:rsid w:val="00D420AF"/>
    <w:rsid w:val="00D42A8E"/>
    <w:rsid w:val="00D43273"/>
    <w:rsid w:val="00D45795"/>
    <w:rsid w:val="00D47B0F"/>
    <w:rsid w:val="00D516D8"/>
    <w:rsid w:val="00D51ED9"/>
    <w:rsid w:val="00D54E26"/>
    <w:rsid w:val="00D554BD"/>
    <w:rsid w:val="00D57F58"/>
    <w:rsid w:val="00D62ABA"/>
    <w:rsid w:val="00D6402F"/>
    <w:rsid w:val="00D65EAD"/>
    <w:rsid w:val="00D66540"/>
    <w:rsid w:val="00D66F3D"/>
    <w:rsid w:val="00D713E3"/>
    <w:rsid w:val="00D71792"/>
    <w:rsid w:val="00D73D67"/>
    <w:rsid w:val="00D74AA9"/>
    <w:rsid w:val="00D74EC6"/>
    <w:rsid w:val="00D76C3F"/>
    <w:rsid w:val="00D814B4"/>
    <w:rsid w:val="00D8625E"/>
    <w:rsid w:val="00D93044"/>
    <w:rsid w:val="00D93E04"/>
    <w:rsid w:val="00DA1434"/>
    <w:rsid w:val="00DA17F5"/>
    <w:rsid w:val="00DA20AF"/>
    <w:rsid w:val="00DA4342"/>
    <w:rsid w:val="00DA46B0"/>
    <w:rsid w:val="00DA5AEE"/>
    <w:rsid w:val="00DA5B93"/>
    <w:rsid w:val="00DB01F6"/>
    <w:rsid w:val="00DB216E"/>
    <w:rsid w:val="00DB34B2"/>
    <w:rsid w:val="00DB4083"/>
    <w:rsid w:val="00DB4737"/>
    <w:rsid w:val="00DB69F8"/>
    <w:rsid w:val="00DC059C"/>
    <w:rsid w:val="00DC1073"/>
    <w:rsid w:val="00DC15E9"/>
    <w:rsid w:val="00DC1BB9"/>
    <w:rsid w:val="00DC4A3C"/>
    <w:rsid w:val="00DD210F"/>
    <w:rsid w:val="00DD3A3D"/>
    <w:rsid w:val="00DD4DDE"/>
    <w:rsid w:val="00DD4EFF"/>
    <w:rsid w:val="00DD6050"/>
    <w:rsid w:val="00DE0273"/>
    <w:rsid w:val="00DE31CD"/>
    <w:rsid w:val="00DE3968"/>
    <w:rsid w:val="00DE6FED"/>
    <w:rsid w:val="00DF127D"/>
    <w:rsid w:val="00DF20FD"/>
    <w:rsid w:val="00DF2491"/>
    <w:rsid w:val="00DF43EB"/>
    <w:rsid w:val="00DF66F3"/>
    <w:rsid w:val="00DF78B5"/>
    <w:rsid w:val="00E03379"/>
    <w:rsid w:val="00E04CEA"/>
    <w:rsid w:val="00E0594A"/>
    <w:rsid w:val="00E06057"/>
    <w:rsid w:val="00E078D9"/>
    <w:rsid w:val="00E0795E"/>
    <w:rsid w:val="00E11CB7"/>
    <w:rsid w:val="00E12F6A"/>
    <w:rsid w:val="00E14C70"/>
    <w:rsid w:val="00E1729E"/>
    <w:rsid w:val="00E23103"/>
    <w:rsid w:val="00E24A7D"/>
    <w:rsid w:val="00E2716C"/>
    <w:rsid w:val="00E27558"/>
    <w:rsid w:val="00E3416D"/>
    <w:rsid w:val="00E34705"/>
    <w:rsid w:val="00E36A24"/>
    <w:rsid w:val="00E40EB3"/>
    <w:rsid w:val="00E44A3D"/>
    <w:rsid w:val="00E464B0"/>
    <w:rsid w:val="00E466A5"/>
    <w:rsid w:val="00E47DBD"/>
    <w:rsid w:val="00E500B7"/>
    <w:rsid w:val="00E51DB1"/>
    <w:rsid w:val="00E5233B"/>
    <w:rsid w:val="00E52EE1"/>
    <w:rsid w:val="00E53B63"/>
    <w:rsid w:val="00E56ACC"/>
    <w:rsid w:val="00E61D34"/>
    <w:rsid w:val="00E633FB"/>
    <w:rsid w:val="00E63B9D"/>
    <w:rsid w:val="00E63FDC"/>
    <w:rsid w:val="00E642D6"/>
    <w:rsid w:val="00E65048"/>
    <w:rsid w:val="00E65AE5"/>
    <w:rsid w:val="00E67B09"/>
    <w:rsid w:val="00E7020C"/>
    <w:rsid w:val="00E7117A"/>
    <w:rsid w:val="00E72B81"/>
    <w:rsid w:val="00E73183"/>
    <w:rsid w:val="00E73AA1"/>
    <w:rsid w:val="00E74B3F"/>
    <w:rsid w:val="00E7560E"/>
    <w:rsid w:val="00E77897"/>
    <w:rsid w:val="00E803D6"/>
    <w:rsid w:val="00E81323"/>
    <w:rsid w:val="00E81758"/>
    <w:rsid w:val="00E82AFE"/>
    <w:rsid w:val="00E82D7E"/>
    <w:rsid w:val="00E87757"/>
    <w:rsid w:val="00E93B86"/>
    <w:rsid w:val="00E93D52"/>
    <w:rsid w:val="00E94DDD"/>
    <w:rsid w:val="00EA0330"/>
    <w:rsid w:val="00EA198A"/>
    <w:rsid w:val="00EA1C07"/>
    <w:rsid w:val="00EA1CD6"/>
    <w:rsid w:val="00EB0CAA"/>
    <w:rsid w:val="00EB0E95"/>
    <w:rsid w:val="00EB25D6"/>
    <w:rsid w:val="00EB2D62"/>
    <w:rsid w:val="00EB33C9"/>
    <w:rsid w:val="00EB3A1B"/>
    <w:rsid w:val="00EB3C66"/>
    <w:rsid w:val="00EB6840"/>
    <w:rsid w:val="00EB7EA8"/>
    <w:rsid w:val="00EC1BAE"/>
    <w:rsid w:val="00EC2062"/>
    <w:rsid w:val="00EC3964"/>
    <w:rsid w:val="00EC7491"/>
    <w:rsid w:val="00EC79B2"/>
    <w:rsid w:val="00ED1990"/>
    <w:rsid w:val="00ED4B9C"/>
    <w:rsid w:val="00ED5962"/>
    <w:rsid w:val="00ED5F1D"/>
    <w:rsid w:val="00ED7AB3"/>
    <w:rsid w:val="00EE07EB"/>
    <w:rsid w:val="00EE1A11"/>
    <w:rsid w:val="00EE1EF7"/>
    <w:rsid w:val="00EE38FA"/>
    <w:rsid w:val="00EE3B96"/>
    <w:rsid w:val="00EE4706"/>
    <w:rsid w:val="00EE4952"/>
    <w:rsid w:val="00EE495B"/>
    <w:rsid w:val="00EE5A32"/>
    <w:rsid w:val="00EF07C9"/>
    <w:rsid w:val="00EF1F6E"/>
    <w:rsid w:val="00EF3283"/>
    <w:rsid w:val="00EF4D34"/>
    <w:rsid w:val="00EF628B"/>
    <w:rsid w:val="00EF68FB"/>
    <w:rsid w:val="00F017F1"/>
    <w:rsid w:val="00F060A3"/>
    <w:rsid w:val="00F06577"/>
    <w:rsid w:val="00F06C5F"/>
    <w:rsid w:val="00F117A9"/>
    <w:rsid w:val="00F11AD8"/>
    <w:rsid w:val="00F14335"/>
    <w:rsid w:val="00F14568"/>
    <w:rsid w:val="00F1635F"/>
    <w:rsid w:val="00F17D13"/>
    <w:rsid w:val="00F2117D"/>
    <w:rsid w:val="00F224CC"/>
    <w:rsid w:val="00F23FE5"/>
    <w:rsid w:val="00F24B7C"/>
    <w:rsid w:val="00F26D89"/>
    <w:rsid w:val="00F26FB8"/>
    <w:rsid w:val="00F27143"/>
    <w:rsid w:val="00F3405A"/>
    <w:rsid w:val="00F343CC"/>
    <w:rsid w:val="00F34FA3"/>
    <w:rsid w:val="00F3564F"/>
    <w:rsid w:val="00F36335"/>
    <w:rsid w:val="00F411D8"/>
    <w:rsid w:val="00F434F0"/>
    <w:rsid w:val="00F45674"/>
    <w:rsid w:val="00F50DB0"/>
    <w:rsid w:val="00F52383"/>
    <w:rsid w:val="00F52F89"/>
    <w:rsid w:val="00F54072"/>
    <w:rsid w:val="00F55585"/>
    <w:rsid w:val="00F6017B"/>
    <w:rsid w:val="00F6114C"/>
    <w:rsid w:val="00F61CE2"/>
    <w:rsid w:val="00F64F64"/>
    <w:rsid w:val="00F65554"/>
    <w:rsid w:val="00F72FB7"/>
    <w:rsid w:val="00F760AE"/>
    <w:rsid w:val="00F800F1"/>
    <w:rsid w:val="00F80AB7"/>
    <w:rsid w:val="00F83A22"/>
    <w:rsid w:val="00F851AC"/>
    <w:rsid w:val="00F879C8"/>
    <w:rsid w:val="00F9134A"/>
    <w:rsid w:val="00F943A5"/>
    <w:rsid w:val="00F94EFC"/>
    <w:rsid w:val="00F954F0"/>
    <w:rsid w:val="00F955B2"/>
    <w:rsid w:val="00F96934"/>
    <w:rsid w:val="00F97237"/>
    <w:rsid w:val="00FA11D1"/>
    <w:rsid w:val="00FA693F"/>
    <w:rsid w:val="00FB0846"/>
    <w:rsid w:val="00FB23EE"/>
    <w:rsid w:val="00FB3A88"/>
    <w:rsid w:val="00FB41BD"/>
    <w:rsid w:val="00FD232D"/>
    <w:rsid w:val="00FD2607"/>
    <w:rsid w:val="00FD27DE"/>
    <w:rsid w:val="00FD2B26"/>
    <w:rsid w:val="00FD3CEC"/>
    <w:rsid w:val="00FD480C"/>
    <w:rsid w:val="00FD59CA"/>
    <w:rsid w:val="00FD6663"/>
    <w:rsid w:val="00FD6873"/>
    <w:rsid w:val="00FE05EC"/>
    <w:rsid w:val="00FE0765"/>
    <w:rsid w:val="00FE0F96"/>
    <w:rsid w:val="00FE47D5"/>
    <w:rsid w:val="00FE59A6"/>
    <w:rsid w:val="00FE5C0F"/>
    <w:rsid w:val="00FE6179"/>
    <w:rsid w:val="00FE7395"/>
    <w:rsid w:val="00FE7731"/>
    <w:rsid w:val="00FF17E3"/>
    <w:rsid w:val="00FF44FC"/>
    <w:rsid w:val="00FF6053"/>
    <w:rsid w:val="00FF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737126-FACC-4910-AE5D-271A32A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3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44361"/>
    <w:pPr>
      <w:keepNext/>
      <w:pBdr>
        <w:bottom w:val="single" w:sz="4" w:space="1" w:color="auto"/>
      </w:pBdr>
      <w:spacing w:before="120" w:after="240" w:line="280" w:lineRule="exact"/>
      <w:ind w:right="2"/>
      <w:jc w:val="both"/>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4361"/>
    <w:pPr>
      <w:tabs>
        <w:tab w:val="center" w:pos="4513"/>
        <w:tab w:val="right" w:pos="9026"/>
      </w:tabs>
    </w:pPr>
  </w:style>
  <w:style w:type="character" w:customStyle="1" w:styleId="HeaderChar">
    <w:name w:val="Header Char"/>
    <w:basedOn w:val="DefaultParagraphFont"/>
    <w:link w:val="Header"/>
    <w:uiPriority w:val="99"/>
    <w:semiHidden/>
    <w:rsid w:val="00944361"/>
  </w:style>
  <w:style w:type="paragraph" w:styleId="Footer">
    <w:name w:val="footer"/>
    <w:basedOn w:val="Normal"/>
    <w:link w:val="FooterChar"/>
    <w:uiPriority w:val="99"/>
    <w:unhideWhenUsed/>
    <w:rsid w:val="00944361"/>
    <w:pPr>
      <w:tabs>
        <w:tab w:val="center" w:pos="4513"/>
        <w:tab w:val="right" w:pos="9026"/>
      </w:tabs>
    </w:pPr>
  </w:style>
  <w:style w:type="character" w:customStyle="1" w:styleId="FooterChar">
    <w:name w:val="Footer Char"/>
    <w:basedOn w:val="DefaultParagraphFont"/>
    <w:link w:val="Footer"/>
    <w:uiPriority w:val="99"/>
    <w:rsid w:val="00944361"/>
  </w:style>
  <w:style w:type="character" w:customStyle="1" w:styleId="Heading1Char">
    <w:name w:val="Heading 1 Char"/>
    <w:basedOn w:val="DefaultParagraphFont"/>
    <w:link w:val="Heading1"/>
    <w:rsid w:val="00944361"/>
    <w:rPr>
      <w:rFonts w:ascii="Arial" w:eastAsia="Times New Roman" w:hAnsi="Arial" w:cs="Times New Roman"/>
      <w:b/>
      <w:kern w:val="28"/>
      <w:sz w:val="28"/>
      <w:szCs w:val="20"/>
    </w:rPr>
  </w:style>
  <w:style w:type="paragraph" w:styleId="Title">
    <w:name w:val="Title"/>
    <w:basedOn w:val="Normal"/>
    <w:link w:val="TitleChar"/>
    <w:qFormat/>
    <w:rsid w:val="00944361"/>
    <w:pPr>
      <w:spacing w:before="120" w:after="360" w:line="280" w:lineRule="exact"/>
      <w:ind w:right="-4111"/>
      <w:outlineLvl w:val="0"/>
    </w:pPr>
    <w:rPr>
      <w:b/>
      <w:kern w:val="28"/>
      <w:sz w:val="36"/>
    </w:rPr>
  </w:style>
  <w:style w:type="character" w:customStyle="1" w:styleId="TitleChar">
    <w:name w:val="Title Char"/>
    <w:basedOn w:val="DefaultParagraphFont"/>
    <w:link w:val="Title"/>
    <w:rsid w:val="00944361"/>
    <w:rPr>
      <w:rFonts w:ascii="Arial" w:eastAsia="Times New Roman" w:hAnsi="Arial" w:cs="Times New Roman"/>
      <w:b/>
      <w:kern w:val="28"/>
      <w:sz w:val="36"/>
      <w:szCs w:val="20"/>
    </w:rPr>
  </w:style>
  <w:style w:type="paragraph" w:styleId="FootnoteText">
    <w:name w:val="footnote text"/>
    <w:basedOn w:val="Normal"/>
    <w:link w:val="FootnoteTextChar"/>
    <w:semiHidden/>
    <w:rsid w:val="00944361"/>
    <w:rPr>
      <w:sz w:val="20"/>
    </w:rPr>
  </w:style>
  <w:style w:type="character" w:customStyle="1" w:styleId="FootnoteTextChar">
    <w:name w:val="Footnote Text Char"/>
    <w:basedOn w:val="DefaultParagraphFont"/>
    <w:link w:val="FootnoteText"/>
    <w:semiHidden/>
    <w:rsid w:val="00944361"/>
    <w:rPr>
      <w:rFonts w:ascii="Arial" w:eastAsia="Times New Roman" w:hAnsi="Arial" w:cs="Times New Roman"/>
      <w:sz w:val="20"/>
      <w:szCs w:val="20"/>
    </w:rPr>
  </w:style>
  <w:style w:type="character" w:styleId="FootnoteReference">
    <w:name w:val="footnote reference"/>
    <w:semiHidden/>
    <w:rsid w:val="00944361"/>
    <w:rPr>
      <w:vertAlign w:val="superscript"/>
    </w:rPr>
  </w:style>
  <w:style w:type="paragraph" w:styleId="NormalWeb">
    <w:name w:val="Normal (Web)"/>
    <w:basedOn w:val="Normal"/>
    <w:uiPriority w:val="99"/>
    <w:rsid w:val="00944361"/>
    <w:pPr>
      <w:spacing w:before="100" w:beforeAutospacing="1" w:after="100" w:afterAutospacing="1"/>
    </w:pPr>
    <w:rPr>
      <w:rFonts w:ascii="Times New Roman" w:hAnsi="Times New Roman"/>
      <w:szCs w:val="24"/>
      <w:lang w:eastAsia="en-GB"/>
    </w:rPr>
  </w:style>
  <w:style w:type="character" w:customStyle="1" w:styleId="hps">
    <w:name w:val="hps"/>
    <w:basedOn w:val="DefaultParagraphFont"/>
    <w:rsid w:val="00944361"/>
  </w:style>
  <w:style w:type="paragraph" w:styleId="ListParagraph">
    <w:name w:val="List Paragraph"/>
    <w:basedOn w:val="Normal"/>
    <w:uiPriority w:val="34"/>
    <w:qFormat/>
    <w:rsid w:val="00944361"/>
    <w:pPr>
      <w:ind w:left="708"/>
    </w:pPr>
  </w:style>
  <w:style w:type="paragraph" w:styleId="NoSpacing">
    <w:name w:val="No Spacing"/>
    <w:uiPriority w:val="1"/>
    <w:qFormat/>
    <w:rsid w:val="006C7EE3"/>
    <w:pPr>
      <w:spacing w:after="0" w:line="240" w:lineRule="auto"/>
    </w:pPr>
  </w:style>
  <w:style w:type="character" w:styleId="Strong">
    <w:name w:val="Strong"/>
    <w:basedOn w:val="DefaultParagraphFont"/>
    <w:uiPriority w:val="22"/>
    <w:qFormat/>
    <w:rsid w:val="000154AA"/>
    <w:rPr>
      <w:b/>
      <w:bCs/>
    </w:rPr>
  </w:style>
  <w:style w:type="paragraph" w:styleId="BalloonText">
    <w:name w:val="Balloon Text"/>
    <w:basedOn w:val="Normal"/>
    <w:link w:val="BalloonTextChar"/>
    <w:uiPriority w:val="99"/>
    <w:semiHidden/>
    <w:unhideWhenUsed/>
    <w:rsid w:val="00137179"/>
    <w:rPr>
      <w:rFonts w:ascii="Tahoma" w:hAnsi="Tahoma" w:cs="Tahoma"/>
      <w:sz w:val="16"/>
      <w:szCs w:val="16"/>
    </w:rPr>
  </w:style>
  <w:style w:type="character" w:customStyle="1" w:styleId="BalloonTextChar">
    <w:name w:val="Balloon Text Char"/>
    <w:basedOn w:val="DefaultParagraphFont"/>
    <w:link w:val="BalloonText"/>
    <w:uiPriority w:val="99"/>
    <w:semiHidden/>
    <w:rsid w:val="0013717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11492"/>
    <w:rPr>
      <w:sz w:val="16"/>
      <w:szCs w:val="16"/>
    </w:rPr>
  </w:style>
  <w:style w:type="paragraph" w:styleId="CommentText">
    <w:name w:val="annotation text"/>
    <w:basedOn w:val="Normal"/>
    <w:link w:val="CommentTextChar"/>
    <w:uiPriority w:val="99"/>
    <w:semiHidden/>
    <w:unhideWhenUsed/>
    <w:rsid w:val="00911492"/>
    <w:rPr>
      <w:sz w:val="20"/>
    </w:rPr>
  </w:style>
  <w:style w:type="character" w:customStyle="1" w:styleId="CommentTextChar">
    <w:name w:val="Comment Text Char"/>
    <w:basedOn w:val="DefaultParagraphFont"/>
    <w:link w:val="CommentText"/>
    <w:uiPriority w:val="99"/>
    <w:semiHidden/>
    <w:rsid w:val="0091149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11492"/>
    <w:rPr>
      <w:b/>
      <w:bCs/>
    </w:rPr>
  </w:style>
  <w:style w:type="character" w:customStyle="1" w:styleId="CommentSubjectChar">
    <w:name w:val="Comment Subject Char"/>
    <w:basedOn w:val="CommentTextChar"/>
    <w:link w:val="CommentSubject"/>
    <w:uiPriority w:val="99"/>
    <w:semiHidden/>
    <w:rsid w:val="00911492"/>
    <w:rPr>
      <w:rFonts w:ascii="Arial" w:eastAsia="Times New Roman" w:hAnsi="Arial" w:cs="Times New Roman"/>
      <w:b/>
      <w:bCs/>
      <w:sz w:val="20"/>
      <w:szCs w:val="20"/>
    </w:rPr>
  </w:style>
  <w:style w:type="table" w:styleId="TableGrid">
    <w:name w:val="Table Grid"/>
    <w:basedOn w:val="TableNormal"/>
    <w:uiPriority w:val="59"/>
    <w:rsid w:val="00EF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12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0023">
      <w:bodyDiv w:val="1"/>
      <w:marLeft w:val="0"/>
      <w:marRight w:val="0"/>
      <w:marTop w:val="0"/>
      <w:marBottom w:val="0"/>
      <w:divBdr>
        <w:top w:val="none" w:sz="0" w:space="0" w:color="auto"/>
        <w:left w:val="none" w:sz="0" w:space="0" w:color="auto"/>
        <w:bottom w:val="none" w:sz="0" w:space="0" w:color="auto"/>
        <w:right w:val="none" w:sz="0" w:space="0" w:color="auto"/>
      </w:divBdr>
    </w:div>
    <w:div w:id="69471706">
      <w:bodyDiv w:val="1"/>
      <w:marLeft w:val="0"/>
      <w:marRight w:val="0"/>
      <w:marTop w:val="0"/>
      <w:marBottom w:val="0"/>
      <w:divBdr>
        <w:top w:val="none" w:sz="0" w:space="0" w:color="auto"/>
        <w:left w:val="none" w:sz="0" w:space="0" w:color="auto"/>
        <w:bottom w:val="none" w:sz="0" w:space="0" w:color="auto"/>
        <w:right w:val="none" w:sz="0" w:space="0" w:color="auto"/>
      </w:divBdr>
    </w:div>
    <w:div w:id="99884893">
      <w:bodyDiv w:val="1"/>
      <w:marLeft w:val="0"/>
      <w:marRight w:val="0"/>
      <w:marTop w:val="0"/>
      <w:marBottom w:val="0"/>
      <w:divBdr>
        <w:top w:val="none" w:sz="0" w:space="0" w:color="auto"/>
        <w:left w:val="none" w:sz="0" w:space="0" w:color="auto"/>
        <w:bottom w:val="none" w:sz="0" w:space="0" w:color="auto"/>
        <w:right w:val="none" w:sz="0" w:space="0" w:color="auto"/>
      </w:divBdr>
    </w:div>
    <w:div w:id="216430626">
      <w:bodyDiv w:val="1"/>
      <w:marLeft w:val="0"/>
      <w:marRight w:val="0"/>
      <w:marTop w:val="0"/>
      <w:marBottom w:val="0"/>
      <w:divBdr>
        <w:top w:val="none" w:sz="0" w:space="0" w:color="auto"/>
        <w:left w:val="none" w:sz="0" w:space="0" w:color="auto"/>
        <w:bottom w:val="none" w:sz="0" w:space="0" w:color="auto"/>
        <w:right w:val="none" w:sz="0" w:space="0" w:color="auto"/>
      </w:divBdr>
    </w:div>
    <w:div w:id="260070134">
      <w:bodyDiv w:val="1"/>
      <w:marLeft w:val="0"/>
      <w:marRight w:val="0"/>
      <w:marTop w:val="0"/>
      <w:marBottom w:val="0"/>
      <w:divBdr>
        <w:top w:val="none" w:sz="0" w:space="0" w:color="auto"/>
        <w:left w:val="none" w:sz="0" w:space="0" w:color="auto"/>
        <w:bottom w:val="none" w:sz="0" w:space="0" w:color="auto"/>
        <w:right w:val="none" w:sz="0" w:space="0" w:color="auto"/>
      </w:divBdr>
    </w:div>
    <w:div w:id="315884858">
      <w:bodyDiv w:val="1"/>
      <w:marLeft w:val="0"/>
      <w:marRight w:val="0"/>
      <w:marTop w:val="0"/>
      <w:marBottom w:val="0"/>
      <w:divBdr>
        <w:top w:val="none" w:sz="0" w:space="0" w:color="auto"/>
        <w:left w:val="none" w:sz="0" w:space="0" w:color="auto"/>
        <w:bottom w:val="none" w:sz="0" w:space="0" w:color="auto"/>
        <w:right w:val="none" w:sz="0" w:space="0" w:color="auto"/>
      </w:divBdr>
    </w:div>
    <w:div w:id="319234511">
      <w:bodyDiv w:val="1"/>
      <w:marLeft w:val="0"/>
      <w:marRight w:val="0"/>
      <w:marTop w:val="0"/>
      <w:marBottom w:val="0"/>
      <w:divBdr>
        <w:top w:val="none" w:sz="0" w:space="0" w:color="auto"/>
        <w:left w:val="none" w:sz="0" w:space="0" w:color="auto"/>
        <w:bottom w:val="none" w:sz="0" w:space="0" w:color="auto"/>
        <w:right w:val="none" w:sz="0" w:space="0" w:color="auto"/>
      </w:divBdr>
    </w:div>
    <w:div w:id="344869177">
      <w:bodyDiv w:val="1"/>
      <w:marLeft w:val="0"/>
      <w:marRight w:val="0"/>
      <w:marTop w:val="0"/>
      <w:marBottom w:val="0"/>
      <w:divBdr>
        <w:top w:val="none" w:sz="0" w:space="0" w:color="auto"/>
        <w:left w:val="none" w:sz="0" w:space="0" w:color="auto"/>
        <w:bottom w:val="none" w:sz="0" w:space="0" w:color="auto"/>
        <w:right w:val="none" w:sz="0" w:space="0" w:color="auto"/>
      </w:divBdr>
    </w:div>
    <w:div w:id="511380447">
      <w:bodyDiv w:val="1"/>
      <w:marLeft w:val="0"/>
      <w:marRight w:val="0"/>
      <w:marTop w:val="0"/>
      <w:marBottom w:val="0"/>
      <w:divBdr>
        <w:top w:val="none" w:sz="0" w:space="0" w:color="auto"/>
        <w:left w:val="none" w:sz="0" w:space="0" w:color="auto"/>
        <w:bottom w:val="none" w:sz="0" w:space="0" w:color="auto"/>
        <w:right w:val="none" w:sz="0" w:space="0" w:color="auto"/>
      </w:divBdr>
    </w:div>
    <w:div w:id="542250663">
      <w:bodyDiv w:val="1"/>
      <w:marLeft w:val="0"/>
      <w:marRight w:val="0"/>
      <w:marTop w:val="0"/>
      <w:marBottom w:val="0"/>
      <w:divBdr>
        <w:top w:val="none" w:sz="0" w:space="0" w:color="auto"/>
        <w:left w:val="none" w:sz="0" w:space="0" w:color="auto"/>
        <w:bottom w:val="none" w:sz="0" w:space="0" w:color="auto"/>
        <w:right w:val="none" w:sz="0" w:space="0" w:color="auto"/>
      </w:divBdr>
    </w:div>
    <w:div w:id="672604670">
      <w:bodyDiv w:val="1"/>
      <w:marLeft w:val="0"/>
      <w:marRight w:val="0"/>
      <w:marTop w:val="0"/>
      <w:marBottom w:val="0"/>
      <w:divBdr>
        <w:top w:val="none" w:sz="0" w:space="0" w:color="auto"/>
        <w:left w:val="none" w:sz="0" w:space="0" w:color="auto"/>
        <w:bottom w:val="none" w:sz="0" w:space="0" w:color="auto"/>
        <w:right w:val="none" w:sz="0" w:space="0" w:color="auto"/>
      </w:divBdr>
    </w:div>
    <w:div w:id="768039243">
      <w:bodyDiv w:val="1"/>
      <w:marLeft w:val="0"/>
      <w:marRight w:val="0"/>
      <w:marTop w:val="0"/>
      <w:marBottom w:val="0"/>
      <w:divBdr>
        <w:top w:val="none" w:sz="0" w:space="0" w:color="auto"/>
        <w:left w:val="none" w:sz="0" w:space="0" w:color="auto"/>
        <w:bottom w:val="none" w:sz="0" w:space="0" w:color="auto"/>
        <w:right w:val="none" w:sz="0" w:space="0" w:color="auto"/>
      </w:divBdr>
    </w:div>
    <w:div w:id="822964274">
      <w:bodyDiv w:val="1"/>
      <w:marLeft w:val="0"/>
      <w:marRight w:val="0"/>
      <w:marTop w:val="0"/>
      <w:marBottom w:val="0"/>
      <w:divBdr>
        <w:top w:val="none" w:sz="0" w:space="0" w:color="auto"/>
        <w:left w:val="none" w:sz="0" w:space="0" w:color="auto"/>
        <w:bottom w:val="none" w:sz="0" w:space="0" w:color="auto"/>
        <w:right w:val="none" w:sz="0" w:space="0" w:color="auto"/>
      </w:divBdr>
    </w:div>
    <w:div w:id="842815488">
      <w:bodyDiv w:val="1"/>
      <w:marLeft w:val="0"/>
      <w:marRight w:val="0"/>
      <w:marTop w:val="0"/>
      <w:marBottom w:val="0"/>
      <w:divBdr>
        <w:top w:val="none" w:sz="0" w:space="0" w:color="auto"/>
        <w:left w:val="none" w:sz="0" w:space="0" w:color="auto"/>
        <w:bottom w:val="none" w:sz="0" w:space="0" w:color="auto"/>
        <w:right w:val="none" w:sz="0" w:space="0" w:color="auto"/>
      </w:divBdr>
    </w:div>
    <w:div w:id="920868175">
      <w:bodyDiv w:val="1"/>
      <w:marLeft w:val="0"/>
      <w:marRight w:val="0"/>
      <w:marTop w:val="0"/>
      <w:marBottom w:val="0"/>
      <w:divBdr>
        <w:top w:val="none" w:sz="0" w:space="0" w:color="auto"/>
        <w:left w:val="none" w:sz="0" w:space="0" w:color="auto"/>
        <w:bottom w:val="none" w:sz="0" w:space="0" w:color="auto"/>
        <w:right w:val="none" w:sz="0" w:space="0" w:color="auto"/>
      </w:divBdr>
    </w:div>
    <w:div w:id="949360986">
      <w:bodyDiv w:val="1"/>
      <w:marLeft w:val="33"/>
      <w:marRight w:val="33"/>
      <w:marTop w:val="0"/>
      <w:marBottom w:val="0"/>
      <w:divBdr>
        <w:top w:val="none" w:sz="0" w:space="0" w:color="auto"/>
        <w:left w:val="none" w:sz="0" w:space="0" w:color="auto"/>
        <w:bottom w:val="none" w:sz="0" w:space="0" w:color="auto"/>
        <w:right w:val="none" w:sz="0" w:space="0" w:color="auto"/>
      </w:divBdr>
      <w:divsChild>
        <w:div w:id="581111160">
          <w:marLeft w:val="0"/>
          <w:marRight w:val="0"/>
          <w:marTop w:val="0"/>
          <w:marBottom w:val="0"/>
          <w:divBdr>
            <w:top w:val="none" w:sz="0" w:space="0" w:color="auto"/>
            <w:left w:val="none" w:sz="0" w:space="0" w:color="auto"/>
            <w:bottom w:val="none" w:sz="0" w:space="0" w:color="auto"/>
            <w:right w:val="none" w:sz="0" w:space="0" w:color="auto"/>
          </w:divBdr>
          <w:divsChild>
            <w:div w:id="808059768">
              <w:marLeft w:val="0"/>
              <w:marRight w:val="0"/>
              <w:marTop w:val="0"/>
              <w:marBottom w:val="0"/>
              <w:divBdr>
                <w:top w:val="none" w:sz="0" w:space="0" w:color="auto"/>
                <w:left w:val="none" w:sz="0" w:space="0" w:color="auto"/>
                <w:bottom w:val="none" w:sz="0" w:space="0" w:color="auto"/>
                <w:right w:val="none" w:sz="0" w:space="0" w:color="auto"/>
              </w:divBdr>
              <w:divsChild>
                <w:div w:id="1780098435">
                  <w:marLeft w:val="201"/>
                  <w:marRight w:val="0"/>
                  <w:marTop w:val="0"/>
                  <w:marBottom w:val="0"/>
                  <w:divBdr>
                    <w:top w:val="none" w:sz="0" w:space="0" w:color="auto"/>
                    <w:left w:val="none" w:sz="0" w:space="0" w:color="auto"/>
                    <w:bottom w:val="none" w:sz="0" w:space="0" w:color="auto"/>
                    <w:right w:val="none" w:sz="0" w:space="0" w:color="auto"/>
                  </w:divBdr>
                  <w:divsChild>
                    <w:div w:id="18655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66723">
      <w:bodyDiv w:val="1"/>
      <w:marLeft w:val="0"/>
      <w:marRight w:val="0"/>
      <w:marTop w:val="0"/>
      <w:marBottom w:val="0"/>
      <w:divBdr>
        <w:top w:val="none" w:sz="0" w:space="0" w:color="auto"/>
        <w:left w:val="none" w:sz="0" w:space="0" w:color="auto"/>
        <w:bottom w:val="none" w:sz="0" w:space="0" w:color="auto"/>
        <w:right w:val="none" w:sz="0" w:space="0" w:color="auto"/>
      </w:divBdr>
      <w:divsChild>
        <w:div w:id="646012516">
          <w:marLeft w:val="0"/>
          <w:marRight w:val="0"/>
          <w:marTop w:val="0"/>
          <w:marBottom w:val="0"/>
          <w:divBdr>
            <w:top w:val="none" w:sz="0" w:space="0" w:color="auto"/>
            <w:left w:val="none" w:sz="0" w:space="0" w:color="auto"/>
            <w:bottom w:val="none" w:sz="0" w:space="0" w:color="auto"/>
            <w:right w:val="none" w:sz="0" w:space="0" w:color="auto"/>
          </w:divBdr>
          <w:divsChild>
            <w:div w:id="1713655718">
              <w:marLeft w:val="0"/>
              <w:marRight w:val="0"/>
              <w:marTop w:val="0"/>
              <w:marBottom w:val="0"/>
              <w:divBdr>
                <w:top w:val="none" w:sz="0" w:space="0" w:color="auto"/>
                <w:left w:val="none" w:sz="0" w:space="0" w:color="auto"/>
                <w:bottom w:val="none" w:sz="0" w:space="0" w:color="auto"/>
                <w:right w:val="none" w:sz="0" w:space="0" w:color="auto"/>
              </w:divBdr>
              <w:divsChild>
                <w:div w:id="1094127506">
                  <w:marLeft w:val="0"/>
                  <w:marRight w:val="0"/>
                  <w:marTop w:val="0"/>
                  <w:marBottom w:val="0"/>
                  <w:divBdr>
                    <w:top w:val="none" w:sz="0" w:space="0" w:color="auto"/>
                    <w:left w:val="none" w:sz="0" w:space="0" w:color="auto"/>
                    <w:bottom w:val="none" w:sz="0" w:space="0" w:color="auto"/>
                    <w:right w:val="none" w:sz="0" w:space="0" w:color="auto"/>
                  </w:divBdr>
                  <w:divsChild>
                    <w:div w:id="647248668">
                      <w:marLeft w:val="0"/>
                      <w:marRight w:val="0"/>
                      <w:marTop w:val="0"/>
                      <w:marBottom w:val="0"/>
                      <w:divBdr>
                        <w:top w:val="none" w:sz="0" w:space="0" w:color="auto"/>
                        <w:left w:val="none" w:sz="0" w:space="0" w:color="auto"/>
                        <w:bottom w:val="none" w:sz="0" w:space="0" w:color="auto"/>
                        <w:right w:val="none" w:sz="0" w:space="0" w:color="auto"/>
                      </w:divBdr>
                      <w:divsChild>
                        <w:div w:id="1264845999">
                          <w:marLeft w:val="0"/>
                          <w:marRight w:val="0"/>
                          <w:marTop w:val="0"/>
                          <w:marBottom w:val="272"/>
                          <w:divBdr>
                            <w:top w:val="none" w:sz="0" w:space="0" w:color="auto"/>
                            <w:left w:val="none" w:sz="0" w:space="0" w:color="auto"/>
                            <w:bottom w:val="none" w:sz="0" w:space="0" w:color="auto"/>
                            <w:right w:val="none" w:sz="0" w:space="0" w:color="auto"/>
                          </w:divBdr>
                          <w:divsChild>
                            <w:div w:id="764889282">
                              <w:marLeft w:val="0"/>
                              <w:marRight w:val="0"/>
                              <w:marTop w:val="0"/>
                              <w:marBottom w:val="0"/>
                              <w:divBdr>
                                <w:top w:val="none" w:sz="0" w:space="0" w:color="auto"/>
                                <w:left w:val="none" w:sz="0" w:space="0" w:color="auto"/>
                                <w:bottom w:val="none" w:sz="0" w:space="0" w:color="auto"/>
                                <w:right w:val="none" w:sz="0" w:space="0" w:color="auto"/>
                              </w:divBdr>
                              <w:divsChild>
                                <w:div w:id="432436233">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094407">
      <w:bodyDiv w:val="1"/>
      <w:marLeft w:val="0"/>
      <w:marRight w:val="0"/>
      <w:marTop w:val="0"/>
      <w:marBottom w:val="0"/>
      <w:divBdr>
        <w:top w:val="none" w:sz="0" w:space="0" w:color="auto"/>
        <w:left w:val="none" w:sz="0" w:space="0" w:color="auto"/>
        <w:bottom w:val="none" w:sz="0" w:space="0" w:color="auto"/>
        <w:right w:val="none" w:sz="0" w:space="0" w:color="auto"/>
      </w:divBdr>
    </w:div>
    <w:div w:id="1071385520">
      <w:bodyDiv w:val="1"/>
      <w:marLeft w:val="0"/>
      <w:marRight w:val="0"/>
      <w:marTop w:val="0"/>
      <w:marBottom w:val="0"/>
      <w:divBdr>
        <w:top w:val="none" w:sz="0" w:space="0" w:color="auto"/>
        <w:left w:val="none" w:sz="0" w:space="0" w:color="auto"/>
        <w:bottom w:val="none" w:sz="0" w:space="0" w:color="auto"/>
        <w:right w:val="none" w:sz="0" w:space="0" w:color="auto"/>
      </w:divBdr>
    </w:div>
    <w:div w:id="1281182201">
      <w:bodyDiv w:val="1"/>
      <w:marLeft w:val="0"/>
      <w:marRight w:val="0"/>
      <w:marTop w:val="0"/>
      <w:marBottom w:val="0"/>
      <w:divBdr>
        <w:top w:val="none" w:sz="0" w:space="0" w:color="auto"/>
        <w:left w:val="none" w:sz="0" w:space="0" w:color="auto"/>
        <w:bottom w:val="none" w:sz="0" w:space="0" w:color="auto"/>
        <w:right w:val="none" w:sz="0" w:space="0" w:color="auto"/>
      </w:divBdr>
    </w:div>
    <w:div w:id="1358894960">
      <w:bodyDiv w:val="1"/>
      <w:marLeft w:val="0"/>
      <w:marRight w:val="0"/>
      <w:marTop w:val="0"/>
      <w:marBottom w:val="0"/>
      <w:divBdr>
        <w:top w:val="none" w:sz="0" w:space="0" w:color="auto"/>
        <w:left w:val="none" w:sz="0" w:space="0" w:color="auto"/>
        <w:bottom w:val="none" w:sz="0" w:space="0" w:color="auto"/>
        <w:right w:val="none" w:sz="0" w:space="0" w:color="auto"/>
      </w:divBdr>
    </w:div>
    <w:div w:id="1551989483">
      <w:bodyDiv w:val="1"/>
      <w:marLeft w:val="0"/>
      <w:marRight w:val="0"/>
      <w:marTop w:val="0"/>
      <w:marBottom w:val="0"/>
      <w:divBdr>
        <w:top w:val="none" w:sz="0" w:space="0" w:color="auto"/>
        <w:left w:val="none" w:sz="0" w:space="0" w:color="auto"/>
        <w:bottom w:val="none" w:sz="0" w:space="0" w:color="auto"/>
        <w:right w:val="none" w:sz="0" w:space="0" w:color="auto"/>
      </w:divBdr>
    </w:div>
    <w:div w:id="1633900533">
      <w:bodyDiv w:val="1"/>
      <w:marLeft w:val="0"/>
      <w:marRight w:val="0"/>
      <w:marTop w:val="0"/>
      <w:marBottom w:val="0"/>
      <w:divBdr>
        <w:top w:val="none" w:sz="0" w:space="0" w:color="auto"/>
        <w:left w:val="none" w:sz="0" w:space="0" w:color="auto"/>
        <w:bottom w:val="none" w:sz="0" w:space="0" w:color="auto"/>
        <w:right w:val="none" w:sz="0" w:space="0" w:color="auto"/>
      </w:divBdr>
      <w:divsChild>
        <w:div w:id="2055764479">
          <w:marLeft w:val="0"/>
          <w:marRight w:val="0"/>
          <w:marTop w:val="0"/>
          <w:marBottom w:val="0"/>
          <w:divBdr>
            <w:top w:val="none" w:sz="0" w:space="0" w:color="auto"/>
            <w:left w:val="none" w:sz="0" w:space="0" w:color="auto"/>
            <w:bottom w:val="none" w:sz="0" w:space="0" w:color="auto"/>
            <w:right w:val="none" w:sz="0" w:space="0" w:color="auto"/>
          </w:divBdr>
          <w:divsChild>
            <w:div w:id="831409197">
              <w:marLeft w:val="0"/>
              <w:marRight w:val="0"/>
              <w:marTop w:val="0"/>
              <w:marBottom w:val="0"/>
              <w:divBdr>
                <w:top w:val="none" w:sz="0" w:space="0" w:color="auto"/>
                <w:left w:val="none" w:sz="0" w:space="0" w:color="auto"/>
                <w:bottom w:val="none" w:sz="0" w:space="0" w:color="auto"/>
                <w:right w:val="none" w:sz="0" w:space="0" w:color="auto"/>
              </w:divBdr>
              <w:divsChild>
                <w:div w:id="226844727">
                  <w:marLeft w:val="0"/>
                  <w:marRight w:val="0"/>
                  <w:marTop w:val="0"/>
                  <w:marBottom w:val="0"/>
                  <w:divBdr>
                    <w:top w:val="none" w:sz="0" w:space="0" w:color="auto"/>
                    <w:left w:val="none" w:sz="0" w:space="0" w:color="auto"/>
                    <w:bottom w:val="none" w:sz="0" w:space="0" w:color="auto"/>
                    <w:right w:val="none" w:sz="0" w:space="0" w:color="auto"/>
                  </w:divBdr>
                  <w:divsChild>
                    <w:div w:id="2052345094">
                      <w:marLeft w:val="561"/>
                      <w:marRight w:val="0"/>
                      <w:marTop w:val="0"/>
                      <w:marBottom w:val="0"/>
                      <w:divBdr>
                        <w:top w:val="none" w:sz="0" w:space="0" w:color="auto"/>
                        <w:left w:val="none" w:sz="0" w:space="0" w:color="auto"/>
                        <w:bottom w:val="none" w:sz="0" w:space="0" w:color="auto"/>
                        <w:right w:val="none" w:sz="0" w:space="0" w:color="auto"/>
                      </w:divBdr>
                      <w:divsChild>
                        <w:div w:id="1087578518">
                          <w:marLeft w:val="0"/>
                          <w:marRight w:val="0"/>
                          <w:marTop w:val="0"/>
                          <w:marBottom w:val="0"/>
                          <w:divBdr>
                            <w:top w:val="none" w:sz="0" w:space="0" w:color="auto"/>
                            <w:left w:val="none" w:sz="0" w:space="0" w:color="auto"/>
                            <w:bottom w:val="none" w:sz="0" w:space="0" w:color="auto"/>
                            <w:right w:val="none" w:sz="0" w:space="0" w:color="auto"/>
                          </w:divBdr>
                          <w:divsChild>
                            <w:div w:id="3755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532063">
      <w:bodyDiv w:val="1"/>
      <w:marLeft w:val="0"/>
      <w:marRight w:val="0"/>
      <w:marTop w:val="0"/>
      <w:marBottom w:val="0"/>
      <w:divBdr>
        <w:top w:val="none" w:sz="0" w:space="0" w:color="auto"/>
        <w:left w:val="none" w:sz="0" w:space="0" w:color="auto"/>
        <w:bottom w:val="none" w:sz="0" w:space="0" w:color="auto"/>
        <w:right w:val="none" w:sz="0" w:space="0" w:color="auto"/>
      </w:divBdr>
    </w:div>
    <w:div w:id="1882665101">
      <w:bodyDiv w:val="1"/>
      <w:marLeft w:val="0"/>
      <w:marRight w:val="0"/>
      <w:marTop w:val="0"/>
      <w:marBottom w:val="0"/>
      <w:divBdr>
        <w:top w:val="none" w:sz="0" w:space="0" w:color="auto"/>
        <w:left w:val="none" w:sz="0" w:space="0" w:color="auto"/>
        <w:bottom w:val="none" w:sz="0" w:space="0" w:color="auto"/>
        <w:right w:val="none" w:sz="0" w:space="0" w:color="auto"/>
      </w:divBdr>
    </w:div>
    <w:div w:id="203681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gov.uk/government/publications/overseas-business-risk-mex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129F4-89D3-4892-9F22-3945DA8C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EconomicReportAugust</vt:lpstr>
    </vt:vector>
  </TitlesOfParts>
  <Company>FCO</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EconomicReportAugust</dc:title>
  <dc:creator>emacarty</dc:creator>
  <cp:lastModifiedBy>Sam Luchmun</cp:lastModifiedBy>
  <cp:revision>2</cp:revision>
  <cp:lastPrinted>2015-01-12T23:19:00Z</cp:lastPrinted>
  <dcterms:created xsi:type="dcterms:W3CDTF">2016-07-28T12:58:00Z</dcterms:created>
  <dcterms:modified xsi:type="dcterms:W3CDTF">2016-07-28T12:58:00Z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2013-09-02T05:00:00Z</vt:filetime>
  </property>
</Properties>
</file>