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rPr>
          <w:cantSplit/>
          <w:trHeight w:val="1361"/>
        </w:trPr>
        <w:tc>
          <w:tcPr>
            <w:tcW w:w="6434" w:type="dxa"/>
            <w:gridSpan w:val="2"/>
            <w:tcBorders>
              <w:top w:val="nil"/>
            </w:tcBorders>
          </w:tcPr>
          <w:p w:rsidR="00AF6F11" w:rsidRPr="00B70C24" w:rsidRDefault="00AF6F11" w:rsidP="00CF776B">
            <w:pPr>
              <w:rPr>
                <w:rFonts w:ascii="Arial" w:hAnsi="Arial"/>
                <w:sz w:val="22"/>
              </w:rPr>
            </w:pPr>
            <w:bookmarkStart w:id="0" w:name="_GoBack"/>
            <w:bookmarkEnd w:id="0"/>
            <w:r w:rsidRPr="00B70C24">
              <w:rPr>
                <w:rFonts w:ascii="Arial" w:hAnsi="Arial"/>
                <w:sz w:val="22"/>
              </w:rPr>
              <w:t xml:space="preserve">   </w:t>
            </w:r>
            <w:r w:rsidR="00DC4D43" w:rsidRPr="00644D84">
              <w:rPr>
                <w:rFonts w:ascii="Arial" w:hAnsi="Arial"/>
                <w:noProof/>
                <w:color w:val="000000"/>
                <w:sz w:val="22"/>
              </w:rPr>
              <w:drawing>
                <wp:inline distT="0" distB="0" distL="0" distR="0">
                  <wp:extent cx="1412875" cy="1116330"/>
                  <wp:effectExtent l="0" t="0" r="0" b="7620"/>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1116330"/>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tcBorders>
              <w:top w:val="nil"/>
            </w:tcBorders>
          </w:tcPr>
          <w:p w:rsidR="00AF6F11" w:rsidRPr="009272F8" w:rsidRDefault="00AF6F11" w:rsidP="00DC4D43">
            <w:pPr>
              <w:tabs>
                <w:tab w:val="left" w:pos="-180"/>
              </w:tabs>
              <w:rPr>
                <w:rFonts w:ascii="Arial" w:hAnsi="Arial"/>
                <w:b/>
                <w:sz w:val="22"/>
                <w:szCs w:val="22"/>
              </w:rPr>
            </w:pPr>
          </w:p>
        </w:tc>
      </w:tr>
      <w:tr w:rsidR="00A44338" w:rsidRPr="00B70C24" w:rsidTr="00897F06">
        <w:trPr>
          <w:cantSplit/>
          <w:trHeight w:val="1259"/>
        </w:trPr>
        <w:tc>
          <w:tcPr>
            <w:tcW w:w="1214" w:type="dxa"/>
          </w:tcPr>
          <w:p w:rsidR="00A44338" w:rsidRPr="00B70C24" w:rsidRDefault="00A44338" w:rsidP="00897F06">
            <w:pPr>
              <w:pStyle w:val="MOJtext-otheraddress"/>
              <w:rPr>
                <w:sz w:val="22"/>
              </w:rPr>
            </w:pPr>
          </w:p>
        </w:tc>
        <w:tc>
          <w:tcPr>
            <w:tcW w:w="5220" w:type="dxa"/>
          </w:tcPr>
          <w:p w:rsidR="00A44338" w:rsidRDefault="00A44338" w:rsidP="00897F06">
            <w:pPr>
              <w:spacing w:line="280" w:lineRule="atLeast"/>
              <w:rPr>
                <w:rFonts w:ascii="Arial" w:hAnsi="Arial"/>
                <w:color w:val="000000"/>
                <w:sz w:val="22"/>
                <w:szCs w:val="22"/>
              </w:rPr>
            </w:pPr>
          </w:p>
          <w:p w:rsidR="00A44338" w:rsidRPr="004A5983" w:rsidRDefault="00A44338" w:rsidP="00897F06">
            <w:pPr>
              <w:spacing w:line="280" w:lineRule="atLeast"/>
              <w:rPr>
                <w:rFonts w:ascii="Arial" w:hAnsi="Arial"/>
                <w:color w:val="000000"/>
                <w:sz w:val="22"/>
                <w:szCs w:val="22"/>
              </w:rPr>
            </w:pPr>
          </w:p>
        </w:tc>
        <w:tc>
          <w:tcPr>
            <w:tcW w:w="180" w:type="dxa"/>
          </w:tcPr>
          <w:p w:rsidR="00A44338" w:rsidRPr="00B70C24" w:rsidRDefault="00A44338" w:rsidP="00897F06">
            <w:pPr>
              <w:pStyle w:val="MOJnormal"/>
              <w:rPr>
                <w:sz w:val="22"/>
                <w:szCs w:val="22"/>
              </w:rPr>
            </w:pPr>
          </w:p>
        </w:tc>
        <w:tc>
          <w:tcPr>
            <w:tcW w:w="4045" w:type="dxa"/>
            <w:vMerge/>
          </w:tcPr>
          <w:p w:rsidR="00A44338" w:rsidRPr="009272F8" w:rsidRDefault="00A44338" w:rsidP="00897F06">
            <w:pPr>
              <w:pStyle w:val="MOJtext-otheraddress"/>
              <w:rPr>
                <w:sz w:val="22"/>
                <w:szCs w:val="22"/>
              </w:rPr>
            </w:pPr>
          </w:p>
        </w:tc>
      </w:tr>
      <w:tr w:rsidR="00A44338" w:rsidRPr="00B70C24" w:rsidTr="00897F06">
        <w:trPr>
          <w:cantSplit/>
          <w:trHeight w:val="73"/>
        </w:trPr>
        <w:tc>
          <w:tcPr>
            <w:tcW w:w="1214" w:type="dxa"/>
          </w:tcPr>
          <w:p w:rsidR="00A44338" w:rsidRPr="00B70C24" w:rsidRDefault="00A44338" w:rsidP="00897F06">
            <w:pPr>
              <w:pStyle w:val="MOJnormal"/>
              <w:rPr>
                <w:sz w:val="22"/>
              </w:rPr>
            </w:pPr>
          </w:p>
        </w:tc>
        <w:tc>
          <w:tcPr>
            <w:tcW w:w="5220" w:type="dxa"/>
          </w:tcPr>
          <w:p w:rsidR="00A44338" w:rsidRDefault="00A44338" w:rsidP="00897F06">
            <w:pPr>
              <w:spacing w:line="280" w:lineRule="atLeast"/>
              <w:rPr>
                <w:rFonts w:ascii="Arial" w:hAnsi="Arial"/>
                <w:b/>
                <w:color w:val="000000"/>
                <w:sz w:val="22"/>
                <w:szCs w:val="22"/>
              </w:rPr>
            </w:pPr>
          </w:p>
          <w:p w:rsidR="00A44338" w:rsidRPr="004A5983" w:rsidRDefault="00A44338" w:rsidP="00897F06">
            <w:pPr>
              <w:spacing w:line="280" w:lineRule="atLeast"/>
              <w:rPr>
                <w:rFonts w:ascii="Arial" w:hAnsi="Arial"/>
                <w:i/>
                <w:color w:val="000000"/>
                <w:sz w:val="22"/>
                <w:szCs w:val="22"/>
              </w:rPr>
            </w:pPr>
            <w:r w:rsidRPr="004A5983">
              <w:rPr>
                <w:rFonts w:ascii="Arial" w:hAnsi="Arial"/>
                <w:b/>
                <w:color w:val="000000"/>
                <w:sz w:val="22"/>
                <w:szCs w:val="22"/>
              </w:rPr>
              <w:t>Our Reference:</w:t>
            </w:r>
            <w:r w:rsidRPr="004A5983">
              <w:rPr>
                <w:rFonts w:ascii="Arial" w:hAnsi="Arial"/>
                <w:color w:val="000000"/>
                <w:sz w:val="22"/>
                <w:szCs w:val="22"/>
              </w:rPr>
              <w:t xml:space="preserve"> </w:t>
            </w:r>
            <w:r>
              <w:rPr>
                <w:rFonts w:ascii="Arial" w:hAnsi="Arial"/>
                <w:color w:val="000000"/>
                <w:sz w:val="22"/>
                <w:szCs w:val="22"/>
              </w:rPr>
              <w:t>517-16 FO</w:t>
            </w:r>
            <w:r w:rsidRPr="004A5983">
              <w:rPr>
                <w:rFonts w:ascii="Arial" w:hAnsi="Arial"/>
                <w:color w:val="000000"/>
                <w:sz w:val="22"/>
                <w:szCs w:val="22"/>
              </w:rPr>
              <w:t xml:space="preserve">I </w:t>
            </w:r>
            <w:r>
              <w:rPr>
                <w:rFonts w:ascii="Arial" w:hAnsi="Arial"/>
                <w:color w:val="000000"/>
                <w:sz w:val="22"/>
                <w:szCs w:val="22"/>
              </w:rPr>
              <w:t>107778</w:t>
            </w:r>
          </w:p>
        </w:tc>
        <w:tc>
          <w:tcPr>
            <w:tcW w:w="180" w:type="dxa"/>
          </w:tcPr>
          <w:p w:rsidR="00A44338" w:rsidRPr="00B70C24" w:rsidRDefault="00A44338" w:rsidP="00897F06">
            <w:pPr>
              <w:spacing w:line="280" w:lineRule="atLeast"/>
              <w:rPr>
                <w:rFonts w:ascii="Arial" w:hAnsi="Arial"/>
                <w:sz w:val="22"/>
                <w:szCs w:val="22"/>
              </w:rPr>
            </w:pPr>
            <w:r w:rsidRPr="00B70C24">
              <w:rPr>
                <w:rFonts w:ascii="Arial" w:hAnsi="Arial"/>
                <w:sz w:val="22"/>
                <w:szCs w:val="22"/>
              </w:rPr>
              <w:tab/>
            </w:r>
          </w:p>
        </w:tc>
        <w:tc>
          <w:tcPr>
            <w:tcW w:w="4045" w:type="dxa"/>
          </w:tcPr>
          <w:p w:rsidR="00DC4D43" w:rsidRDefault="00A44338" w:rsidP="00897F06">
            <w:pPr>
              <w:pStyle w:val="MOJnormal"/>
              <w:rPr>
                <w:sz w:val="22"/>
                <w:szCs w:val="22"/>
              </w:rPr>
            </w:pPr>
            <w:r>
              <w:rPr>
                <w:sz w:val="22"/>
                <w:szCs w:val="22"/>
              </w:rPr>
              <w:t xml:space="preserve"> </w:t>
            </w:r>
          </w:p>
          <w:p w:rsidR="00A44338" w:rsidRPr="009272F8" w:rsidRDefault="00A44338" w:rsidP="00897F06">
            <w:pPr>
              <w:pStyle w:val="MOJnormal"/>
              <w:rPr>
                <w:sz w:val="22"/>
                <w:szCs w:val="22"/>
              </w:rPr>
            </w:pPr>
            <w:r>
              <w:rPr>
                <w:sz w:val="22"/>
                <w:szCs w:val="22"/>
              </w:rPr>
              <w:t>October 2016</w:t>
            </w:r>
          </w:p>
        </w:tc>
      </w:tr>
    </w:tbl>
    <w:p w:rsidR="00A44338" w:rsidRPr="00B70C24" w:rsidRDefault="00A44338" w:rsidP="00A44338"/>
    <w:p w:rsidR="00A44338" w:rsidRPr="00B70C24" w:rsidRDefault="00A44338" w:rsidP="00A44338"/>
    <w:p w:rsidR="00A44338" w:rsidRPr="00B70C24" w:rsidRDefault="00A44338" w:rsidP="00A44338">
      <w:pPr>
        <w:jc w:val="center"/>
        <w:rPr>
          <w:rFonts w:ascii="Arial" w:hAnsi="Arial" w:cs="Arial"/>
          <w:b/>
          <w:sz w:val="22"/>
          <w:szCs w:val="22"/>
        </w:rPr>
      </w:pPr>
      <w:r w:rsidRPr="00B70C24">
        <w:rPr>
          <w:rFonts w:ascii="Arial" w:hAnsi="Arial" w:cs="Arial"/>
          <w:b/>
          <w:sz w:val="22"/>
          <w:szCs w:val="22"/>
        </w:rPr>
        <w:t xml:space="preserve">Freedom of Information Request </w:t>
      </w:r>
    </w:p>
    <w:p w:rsidR="00A44338" w:rsidRPr="00B70C24" w:rsidRDefault="00A44338" w:rsidP="00A44338">
      <w:pPr>
        <w:rPr>
          <w:rFonts w:ascii="Arial" w:hAnsi="Arial" w:cs="Arial"/>
          <w:sz w:val="22"/>
          <w:szCs w:val="22"/>
        </w:rPr>
      </w:pPr>
    </w:p>
    <w:p w:rsidR="00A44338" w:rsidRPr="00B70C24" w:rsidRDefault="00A44338" w:rsidP="00A44338">
      <w:pPr>
        <w:rPr>
          <w:rFonts w:ascii="Arial" w:hAnsi="Arial" w:cs="Arial"/>
          <w:sz w:val="22"/>
          <w:szCs w:val="22"/>
        </w:rPr>
      </w:pPr>
    </w:p>
    <w:p w:rsidR="00DC4D43" w:rsidRDefault="00DC4D43" w:rsidP="00DC4D43">
      <w:pPr>
        <w:rPr>
          <w:rFonts w:ascii="Arial" w:hAnsi="Arial" w:cs="Arial"/>
          <w:sz w:val="22"/>
          <w:szCs w:val="22"/>
        </w:rPr>
      </w:pPr>
      <w:r>
        <w:rPr>
          <w:rFonts w:ascii="Arial" w:hAnsi="Arial" w:cs="Arial"/>
          <w:sz w:val="22"/>
          <w:szCs w:val="22"/>
        </w:rPr>
        <w:t xml:space="preserve">You asked for the following information from the </w:t>
      </w:r>
      <w:r w:rsidRPr="0081625B">
        <w:rPr>
          <w:rFonts w:ascii="Arial" w:hAnsi="Arial" w:cs="Arial"/>
          <w:sz w:val="22"/>
          <w:szCs w:val="22"/>
        </w:rPr>
        <w:t>Ministry of Justice</w:t>
      </w:r>
      <w:r>
        <w:rPr>
          <w:rFonts w:ascii="Arial" w:hAnsi="Arial" w:cs="Arial"/>
          <w:sz w:val="22"/>
          <w:szCs w:val="22"/>
        </w:rPr>
        <w:t xml:space="preserve"> (MoJ):</w:t>
      </w:r>
    </w:p>
    <w:p w:rsidR="00A44338" w:rsidRPr="001252E2" w:rsidRDefault="00A44338" w:rsidP="00A44338">
      <w:pPr>
        <w:outlineLvl w:val="0"/>
        <w:rPr>
          <w:rFonts w:ascii="Arial" w:hAnsi="Arial" w:cs="Arial"/>
          <w:sz w:val="22"/>
          <w:szCs w:val="22"/>
        </w:rPr>
      </w:pPr>
    </w:p>
    <w:p w:rsidR="00A44338" w:rsidRPr="001252E2" w:rsidRDefault="00DC4D43" w:rsidP="00A44338">
      <w:pPr>
        <w:outlineLvl w:val="0"/>
        <w:rPr>
          <w:rFonts w:ascii="Arial" w:hAnsi="Arial" w:cs="Arial"/>
          <w:sz w:val="22"/>
          <w:szCs w:val="22"/>
        </w:rPr>
      </w:pPr>
      <w:r w:rsidRPr="001252E2">
        <w:rPr>
          <w:rFonts w:ascii="Arial" w:hAnsi="Arial" w:cs="Arial"/>
          <w:b/>
          <w:noProof/>
          <w:sz w:val="22"/>
          <w:szCs w:val="22"/>
        </w:rPr>
        <w:drawing>
          <wp:inline distT="0" distB="0" distL="0" distR="0">
            <wp:extent cx="5272405" cy="2054225"/>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05" cy="2054225"/>
                    </a:xfrm>
                    <a:prstGeom prst="rect">
                      <a:avLst/>
                    </a:prstGeom>
                    <a:noFill/>
                    <a:ln>
                      <a:noFill/>
                    </a:ln>
                  </pic:spPr>
                </pic:pic>
              </a:graphicData>
            </a:graphic>
          </wp:inline>
        </w:drawing>
      </w:r>
    </w:p>
    <w:p w:rsidR="009F6516" w:rsidRDefault="000D5AAB" w:rsidP="005F2D87">
      <w:pPr>
        <w:rPr>
          <w:rFonts w:ascii="Arial" w:hAnsi="Arial" w:cs="Arial"/>
          <w:sz w:val="22"/>
          <w:szCs w:val="22"/>
        </w:rPr>
      </w:pPr>
      <w:r w:rsidRPr="000D5AAB" w:rsidDel="000D5AAB">
        <w:rPr>
          <w:rFonts w:ascii="Arial" w:hAnsi="Arial" w:cs="Arial"/>
          <w:b/>
          <w:bCs/>
          <w:i/>
          <w:iCs/>
          <w:sz w:val="22"/>
          <w:szCs w:val="22"/>
        </w:rPr>
        <w:t xml:space="preserve"> </w:t>
      </w: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p>
    <w:p w:rsidR="009864CB" w:rsidRDefault="009864CB"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 xml:space="preserve">I can confirm that the department holds the information that you have asked for. The information is exempt under section 21 of the FOI Act because it is reasonably accessible to you, and I am pleased to inform you that you can access it via the </w:t>
      </w:r>
      <w:r w:rsidR="001C5123">
        <w:rPr>
          <w:rFonts w:ascii="Arial" w:hAnsi="Arial" w:cs="Arial"/>
          <w:sz w:val="22"/>
          <w:szCs w:val="22"/>
        </w:rPr>
        <w:t>below directions</w:t>
      </w:r>
      <w:r>
        <w:rPr>
          <w:rFonts w:ascii="Arial" w:hAnsi="Arial" w:cs="Arial"/>
          <w:sz w:val="22"/>
          <w:szCs w:val="22"/>
        </w:rPr>
        <w:t xml:space="preserve">. </w:t>
      </w:r>
    </w:p>
    <w:p w:rsidR="009864CB" w:rsidRDefault="009864CB" w:rsidP="009864CB">
      <w:pPr>
        <w:rPr>
          <w:rFonts w:ascii="Arial" w:hAnsi="Arial" w:cs="Arial"/>
          <w:sz w:val="22"/>
          <w:szCs w:val="22"/>
        </w:rPr>
      </w:pPr>
    </w:p>
    <w:p w:rsidR="007C1AE5" w:rsidRDefault="00A44338" w:rsidP="00DA5F8A">
      <w:pPr>
        <w:autoSpaceDE w:val="0"/>
        <w:autoSpaceDN w:val="0"/>
        <w:adjustRightInd w:val="0"/>
        <w:rPr>
          <w:rFonts w:ascii="Arial" w:hAnsi="Arial" w:cs="Arial"/>
          <w:sz w:val="22"/>
          <w:szCs w:val="22"/>
        </w:rPr>
      </w:pPr>
      <w:r>
        <w:rPr>
          <w:rFonts w:ascii="Arial" w:hAnsi="Arial" w:cs="Arial"/>
          <w:sz w:val="22"/>
          <w:szCs w:val="22"/>
        </w:rPr>
        <w:t>You went on to request the data by Parliamentary Question and I am pleased to inform you that</w:t>
      </w:r>
      <w:r w:rsidR="001C5123">
        <w:rPr>
          <w:rFonts w:ascii="Arial" w:hAnsi="Arial" w:cs="Arial"/>
          <w:sz w:val="22"/>
          <w:szCs w:val="22"/>
        </w:rPr>
        <w:t xml:space="preserve"> </w:t>
      </w:r>
      <w:r>
        <w:rPr>
          <w:rFonts w:ascii="Arial" w:hAnsi="Arial" w:cs="Arial"/>
          <w:sz w:val="22"/>
          <w:szCs w:val="22"/>
        </w:rPr>
        <w:t>t</w:t>
      </w:r>
      <w:r w:rsidR="001C5123">
        <w:rPr>
          <w:rFonts w:ascii="Arial" w:hAnsi="Arial" w:cs="Arial"/>
          <w:sz w:val="22"/>
          <w:szCs w:val="22"/>
        </w:rPr>
        <w:t xml:space="preserve">he response issued on </w:t>
      </w:r>
      <w:r w:rsidR="00E85AB9">
        <w:rPr>
          <w:rFonts w:ascii="Arial" w:hAnsi="Arial" w:cs="Arial"/>
          <w:sz w:val="22"/>
          <w:szCs w:val="22"/>
        </w:rPr>
        <w:t>19</w:t>
      </w:r>
      <w:r>
        <w:rPr>
          <w:rFonts w:ascii="Arial" w:hAnsi="Arial" w:cs="Arial"/>
          <w:sz w:val="22"/>
          <w:szCs w:val="22"/>
        </w:rPr>
        <w:t xml:space="preserve"> October 2016</w:t>
      </w:r>
      <w:r w:rsidR="001C5123">
        <w:rPr>
          <w:rFonts w:ascii="Arial" w:hAnsi="Arial" w:cs="Arial"/>
          <w:sz w:val="22"/>
          <w:szCs w:val="22"/>
        </w:rPr>
        <w:t xml:space="preserve"> can be found at this link:-</w:t>
      </w:r>
    </w:p>
    <w:p w:rsidR="001C5123" w:rsidRDefault="001C5123" w:rsidP="00DA5F8A">
      <w:pPr>
        <w:autoSpaceDE w:val="0"/>
        <w:autoSpaceDN w:val="0"/>
        <w:adjustRightInd w:val="0"/>
        <w:rPr>
          <w:rFonts w:ascii="Arial" w:hAnsi="Arial" w:cs="Arial"/>
          <w:sz w:val="22"/>
          <w:szCs w:val="22"/>
        </w:rPr>
      </w:pPr>
    </w:p>
    <w:p w:rsidR="00A44338" w:rsidRDefault="00EB558B" w:rsidP="00DA5F8A">
      <w:pPr>
        <w:autoSpaceDE w:val="0"/>
        <w:autoSpaceDN w:val="0"/>
        <w:adjustRightInd w:val="0"/>
        <w:rPr>
          <w:rFonts w:ascii="Arial" w:hAnsi="Arial" w:cs="Arial"/>
          <w:sz w:val="22"/>
          <w:szCs w:val="22"/>
        </w:rPr>
      </w:pPr>
      <w:hyperlink r:id="rId9" w:history="1">
        <w:r w:rsidR="00F0188E" w:rsidRPr="00DC4F2B">
          <w:rPr>
            <w:rStyle w:val="Hyperlink"/>
            <w:rFonts w:ascii="Arial" w:hAnsi="Arial" w:cs="Arial"/>
            <w:sz w:val="22"/>
            <w:szCs w:val="22"/>
          </w:rPr>
          <w:t>http://www.parliament.uk/business/publications/written-questions-answers-statements/written-question/Commons/2016-10-11/47973/</w:t>
        </w:r>
      </w:hyperlink>
    </w:p>
    <w:p w:rsidR="00F0188E" w:rsidRDefault="00F0188E"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p w:rsidR="009864CB" w:rsidRDefault="009864CB" w:rsidP="009864CB">
      <w:pPr>
        <w:autoSpaceDE w:val="0"/>
        <w:autoSpaceDN w:val="0"/>
        <w:adjustRightInd w:val="0"/>
        <w:rPr>
          <w:rFonts w:ascii="Arial" w:hAnsi="Arial" w:cs="Arial"/>
          <w:sz w:val="22"/>
          <w:szCs w:val="22"/>
        </w:rPr>
      </w:pPr>
      <w:r>
        <w:rPr>
          <w:rFonts w:ascii="Arial" w:hAnsi="Arial" w:cs="Arial"/>
          <w:sz w:val="22"/>
          <w:szCs w:val="22"/>
        </w:rPr>
        <w:t>You can find out more about Section 21 by reading the extract from the Act and some guidance points we consider when applying this exemption, attached at the end of this letter.</w:t>
      </w:r>
    </w:p>
    <w:p w:rsidR="009864CB" w:rsidRDefault="009864CB" w:rsidP="009864CB">
      <w:pPr>
        <w:autoSpaceDE w:val="0"/>
        <w:autoSpaceDN w:val="0"/>
        <w:adjustRightInd w:val="0"/>
        <w:rPr>
          <w:rFonts w:ascii="Arial" w:hAnsi="Arial" w:cs="Arial"/>
          <w:sz w:val="22"/>
          <w:szCs w:val="22"/>
        </w:rPr>
      </w:pPr>
    </w:p>
    <w:p w:rsidR="00DC4D43" w:rsidRPr="005114FB" w:rsidRDefault="00DC4D43" w:rsidP="00DC4D43">
      <w:pPr>
        <w:autoSpaceDE w:val="0"/>
        <w:autoSpaceDN w:val="0"/>
        <w:adjustRightInd w:val="0"/>
        <w:rPr>
          <w:rFonts w:ascii="Arial" w:hAnsi="Arial" w:cs="Arial"/>
          <w:color w:val="0000FF"/>
          <w:sz w:val="22"/>
          <w:szCs w:val="22"/>
        </w:rPr>
      </w:pPr>
      <w:r w:rsidRPr="005114FB">
        <w:rPr>
          <w:rFonts w:ascii="Arial" w:hAnsi="Arial" w:cs="Arial"/>
          <w:sz w:val="22"/>
          <w:szCs w:val="22"/>
        </w:rPr>
        <w:t xml:space="preserve">You can also find more information by reading the full text of the Act, available at </w:t>
      </w:r>
      <w:hyperlink r:id="rId10" w:history="1">
        <w:r w:rsidRPr="005114FB">
          <w:rPr>
            <w:rStyle w:val="Hyperlink"/>
            <w:rFonts w:ascii="Arial" w:hAnsi="Arial" w:cs="Arial"/>
            <w:sz w:val="22"/>
            <w:szCs w:val="22"/>
          </w:rPr>
          <w:t>http://www.legislation.gov.uk/ukpga/2000/36/contents</w:t>
        </w:r>
      </w:hyperlink>
      <w:r>
        <w:rPr>
          <w:rFonts w:ascii="Arial" w:hAnsi="Arial" w:cs="Arial"/>
          <w:sz w:val="22"/>
          <w:szCs w:val="22"/>
        </w:rPr>
        <w:t>.</w:t>
      </w:r>
      <w:r w:rsidRPr="005114FB">
        <w:rPr>
          <w:rFonts w:ascii="Arial" w:hAnsi="Arial" w:cs="Arial"/>
          <w:sz w:val="22"/>
          <w:szCs w:val="22"/>
        </w:rPr>
        <w:t xml:space="preserve"> </w:t>
      </w:r>
    </w:p>
    <w:p w:rsidR="009864CB" w:rsidRDefault="009864CB" w:rsidP="000D5AAB">
      <w:pPr>
        <w:rPr>
          <w:color w:val="000000"/>
          <w:szCs w:val="22"/>
        </w:rPr>
      </w:pPr>
    </w:p>
    <w:p w:rsidR="00DC4D43" w:rsidRPr="00D8325C" w:rsidRDefault="00DC4D43" w:rsidP="000D5AAB">
      <w:pPr>
        <w:rPr>
          <w:color w:val="000000"/>
          <w:szCs w:val="22"/>
        </w:rPr>
      </w:pPr>
    </w:p>
    <w:sectPr w:rsidR="00DC4D43" w:rsidRPr="00D8325C" w:rsidSect="002179DD">
      <w:footerReference w:type="default" r:id="rId11"/>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DA" w:rsidRDefault="00A015DA">
      <w:r>
        <w:separator/>
      </w:r>
    </w:p>
  </w:endnote>
  <w:endnote w:type="continuationSeparator" w:id="0">
    <w:p w:rsidR="00A015DA" w:rsidRDefault="00A0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23" w:rsidRPr="002179DD" w:rsidRDefault="001C5123"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DA" w:rsidRDefault="00A015DA">
      <w:r>
        <w:separator/>
      </w:r>
    </w:p>
  </w:footnote>
  <w:footnote w:type="continuationSeparator" w:id="0">
    <w:p w:rsidR="00A015DA" w:rsidRDefault="00A01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15609"/>
    <w:rsid w:val="0002014A"/>
    <w:rsid w:val="00032FB2"/>
    <w:rsid w:val="00043C1B"/>
    <w:rsid w:val="00074DF8"/>
    <w:rsid w:val="00076AEF"/>
    <w:rsid w:val="000829FA"/>
    <w:rsid w:val="000900D8"/>
    <w:rsid w:val="000A2BCA"/>
    <w:rsid w:val="000A315C"/>
    <w:rsid w:val="000B5E48"/>
    <w:rsid w:val="000C6C99"/>
    <w:rsid w:val="000D5AAB"/>
    <w:rsid w:val="000E6148"/>
    <w:rsid w:val="000F18AC"/>
    <w:rsid w:val="000F26B8"/>
    <w:rsid w:val="00101D6B"/>
    <w:rsid w:val="00117608"/>
    <w:rsid w:val="001222A7"/>
    <w:rsid w:val="00126002"/>
    <w:rsid w:val="00135B5C"/>
    <w:rsid w:val="00135BCE"/>
    <w:rsid w:val="0013675E"/>
    <w:rsid w:val="00137DA9"/>
    <w:rsid w:val="00150A41"/>
    <w:rsid w:val="00161007"/>
    <w:rsid w:val="001A2BA5"/>
    <w:rsid w:val="001A485D"/>
    <w:rsid w:val="001A6C9B"/>
    <w:rsid w:val="001B53CD"/>
    <w:rsid w:val="001C27E9"/>
    <w:rsid w:val="001C5123"/>
    <w:rsid w:val="001D01A8"/>
    <w:rsid w:val="001D0227"/>
    <w:rsid w:val="001D0D46"/>
    <w:rsid w:val="001D3BE5"/>
    <w:rsid w:val="001D7BC6"/>
    <w:rsid w:val="0020749B"/>
    <w:rsid w:val="0021011C"/>
    <w:rsid w:val="002141B6"/>
    <w:rsid w:val="00214B0A"/>
    <w:rsid w:val="002179DD"/>
    <w:rsid w:val="0022089E"/>
    <w:rsid w:val="00226E97"/>
    <w:rsid w:val="00237F86"/>
    <w:rsid w:val="00241C1D"/>
    <w:rsid w:val="00245442"/>
    <w:rsid w:val="00245FF0"/>
    <w:rsid w:val="00261B0E"/>
    <w:rsid w:val="00263E16"/>
    <w:rsid w:val="0027487B"/>
    <w:rsid w:val="002814FC"/>
    <w:rsid w:val="002A20EF"/>
    <w:rsid w:val="002A3AA7"/>
    <w:rsid w:val="002A3C45"/>
    <w:rsid w:val="002B4425"/>
    <w:rsid w:val="002B6B18"/>
    <w:rsid w:val="002B75AD"/>
    <w:rsid w:val="002C6D64"/>
    <w:rsid w:val="002E2BCE"/>
    <w:rsid w:val="002F1E16"/>
    <w:rsid w:val="002F5F3E"/>
    <w:rsid w:val="003036CA"/>
    <w:rsid w:val="0030591F"/>
    <w:rsid w:val="00325CFC"/>
    <w:rsid w:val="0033598F"/>
    <w:rsid w:val="0034001D"/>
    <w:rsid w:val="0034084B"/>
    <w:rsid w:val="00344217"/>
    <w:rsid w:val="00347A9E"/>
    <w:rsid w:val="00377547"/>
    <w:rsid w:val="00386B33"/>
    <w:rsid w:val="00386C87"/>
    <w:rsid w:val="003A1F3B"/>
    <w:rsid w:val="003B1972"/>
    <w:rsid w:val="003B3019"/>
    <w:rsid w:val="003B40A1"/>
    <w:rsid w:val="003C0D6F"/>
    <w:rsid w:val="003C7B95"/>
    <w:rsid w:val="003D0F2D"/>
    <w:rsid w:val="003E40EF"/>
    <w:rsid w:val="003F381B"/>
    <w:rsid w:val="003F6C63"/>
    <w:rsid w:val="00400975"/>
    <w:rsid w:val="00405507"/>
    <w:rsid w:val="004253BB"/>
    <w:rsid w:val="0042717A"/>
    <w:rsid w:val="00432657"/>
    <w:rsid w:val="00434DCA"/>
    <w:rsid w:val="00452E02"/>
    <w:rsid w:val="004734B5"/>
    <w:rsid w:val="00481DC2"/>
    <w:rsid w:val="0048587E"/>
    <w:rsid w:val="0048786D"/>
    <w:rsid w:val="00493AD7"/>
    <w:rsid w:val="0049497D"/>
    <w:rsid w:val="004B4D5C"/>
    <w:rsid w:val="004D569D"/>
    <w:rsid w:val="004E1E12"/>
    <w:rsid w:val="005021D8"/>
    <w:rsid w:val="00507D21"/>
    <w:rsid w:val="00516361"/>
    <w:rsid w:val="005202DD"/>
    <w:rsid w:val="00524A2C"/>
    <w:rsid w:val="00524D40"/>
    <w:rsid w:val="00540DB5"/>
    <w:rsid w:val="0054673A"/>
    <w:rsid w:val="00553B50"/>
    <w:rsid w:val="00557E87"/>
    <w:rsid w:val="0056706D"/>
    <w:rsid w:val="00581671"/>
    <w:rsid w:val="005846B4"/>
    <w:rsid w:val="005866C0"/>
    <w:rsid w:val="005A04DC"/>
    <w:rsid w:val="005A0A8F"/>
    <w:rsid w:val="005A2D5D"/>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617825"/>
    <w:rsid w:val="006201B1"/>
    <w:rsid w:val="006269C1"/>
    <w:rsid w:val="006300CD"/>
    <w:rsid w:val="00630673"/>
    <w:rsid w:val="00633EBE"/>
    <w:rsid w:val="00650889"/>
    <w:rsid w:val="00652AB6"/>
    <w:rsid w:val="0066078E"/>
    <w:rsid w:val="00663C5A"/>
    <w:rsid w:val="006656FB"/>
    <w:rsid w:val="006663DB"/>
    <w:rsid w:val="00666AA0"/>
    <w:rsid w:val="00672C95"/>
    <w:rsid w:val="00690466"/>
    <w:rsid w:val="006C1247"/>
    <w:rsid w:val="006C5F8A"/>
    <w:rsid w:val="006C6A67"/>
    <w:rsid w:val="006E0113"/>
    <w:rsid w:val="006E4F5C"/>
    <w:rsid w:val="006E60A0"/>
    <w:rsid w:val="00703669"/>
    <w:rsid w:val="00705BC7"/>
    <w:rsid w:val="00707F63"/>
    <w:rsid w:val="00710A03"/>
    <w:rsid w:val="00715FB1"/>
    <w:rsid w:val="007209A7"/>
    <w:rsid w:val="007315A6"/>
    <w:rsid w:val="007334AE"/>
    <w:rsid w:val="00736683"/>
    <w:rsid w:val="00747668"/>
    <w:rsid w:val="0076479F"/>
    <w:rsid w:val="007B643E"/>
    <w:rsid w:val="007C0BBC"/>
    <w:rsid w:val="007C1AE5"/>
    <w:rsid w:val="007C3FF9"/>
    <w:rsid w:val="007E7BAF"/>
    <w:rsid w:val="007E7F0F"/>
    <w:rsid w:val="007F2CB3"/>
    <w:rsid w:val="007F48C9"/>
    <w:rsid w:val="0081414F"/>
    <w:rsid w:val="00814F0A"/>
    <w:rsid w:val="0081625B"/>
    <w:rsid w:val="00833691"/>
    <w:rsid w:val="00837883"/>
    <w:rsid w:val="00847F5F"/>
    <w:rsid w:val="00857763"/>
    <w:rsid w:val="00872ECE"/>
    <w:rsid w:val="00881630"/>
    <w:rsid w:val="008907A6"/>
    <w:rsid w:val="00897F06"/>
    <w:rsid w:val="008E498A"/>
    <w:rsid w:val="008E609C"/>
    <w:rsid w:val="00914667"/>
    <w:rsid w:val="009272F8"/>
    <w:rsid w:val="009303F3"/>
    <w:rsid w:val="00936939"/>
    <w:rsid w:val="0093795D"/>
    <w:rsid w:val="00943684"/>
    <w:rsid w:val="009446C0"/>
    <w:rsid w:val="00960780"/>
    <w:rsid w:val="00962F0F"/>
    <w:rsid w:val="00971DF9"/>
    <w:rsid w:val="009864CB"/>
    <w:rsid w:val="0099365A"/>
    <w:rsid w:val="00993991"/>
    <w:rsid w:val="009A6CDE"/>
    <w:rsid w:val="009B267F"/>
    <w:rsid w:val="009B436B"/>
    <w:rsid w:val="009B624A"/>
    <w:rsid w:val="009D106A"/>
    <w:rsid w:val="009D3338"/>
    <w:rsid w:val="009D4253"/>
    <w:rsid w:val="009D6DE9"/>
    <w:rsid w:val="009E501C"/>
    <w:rsid w:val="009F143A"/>
    <w:rsid w:val="009F6516"/>
    <w:rsid w:val="00A015DA"/>
    <w:rsid w:val="00A11EEC"/>
    <w:rsid w:val="00A15836"/>
    <w:rsid w:val="00A33C39"/>
    <w:rsid w:val="00A34BEC"/>
    <w:rsid w:val="00A4070B"/>
    <w:rsid w:val="00A42355"/>
    <w:rsid w:val="00A44338"/>
    <w:rsid w:val="00A6373B"/>
    <w:rsid w:val="00A665A8"/>
    <w:rsid w:val="00A66617"/>
    <w:rsid w:val="00A7263D"/>
    <w:rsid w:val="00A86841"/>
    <w:rsid w:val="00AA3A3A"/>
    <w:rsid w:val="00AB3DC4"/>
    <w:rsid w:val="00AB700F"/>
    <w:rsid w:val="00AC56F9"/>
    <w:rsid w:val="00AF2EDA"/>
    <w:rsid w:val="00AF6F11"/>
    <w:rsid w:val="00B03BAF"/>
    <w:rsid w:val="00B15857"/>
    <w:rsid w:val="00B27CC9"/>
    <w:rsid w:val="00B316C0"/>
    <w:rsid w:val="00B346AB"/>
    <w:rsid w:val="00B436CA"/>
    <w:rsid w:val="00B55A9E"/>
    <w:rsid w:val="00B70C24"/>
    <w:rsid w:val="00B764D2"/>
    <w:rsid w:val="00B7761A"/>
    <w:rsid w:val="00B80179"/>
    <w:rsid w:val="00B81932"/>
    <w:rsid w:val="00BB16AF"/>
    <w:rsid w:val="00BC3D86"/>
    <w:rsid w:val="00BD1779"/>
    <w:rsid w:val="00BF1E18"/>
    <w:rsid w:val="00BF247F"/>
    <w:rsid w:val="00C00996"/>
    <w:rsid w:val="00C17FA3"/>
    <w:rsid w:val="00C21D91"/>
    <w:rsid w:val="00C334F6"/>
    <w:rsid w:val="00C42971"/>
    <w:rsid w:val="00C442B9"/>
    <w:rsid w:val="00C448D0"/>
    <w:rsid w:val="00C519AC"/>
    <w:rsid w:val="00C5589E"/>
    <w:rsid w:val="00C73C39"/>
    <w:rsid w:val="00C96840"/>
    <w:rsid w:val="00C97C8D"/>
    <w:rsid w:val="00C97F31"/>
    <w:rsid w:val="00CA02D2"/>
    <w:rsid w:val="00CA03F9"/>
    <w:rsid w:val="00CA7307"/>
    <w:rsid w:val="00CB7109"/>
    <w:rsid w:val="00CC642D"/>
    <w:rsid w:val="00CC6F36"/>
    <w:rsid w:val="00CE1523"/>
    <w:rsid w:val="00CF776B"/>
    <w:rsid w:val="00D02DEF"/>
    <w:rsid w:val="00D030F6"/>
    <w:rsid w:val="00D1279D"/>
    <w:rsid w:val="00D26EC2"/>
    <w:rsid w:val="00D31A00"/>
    <w:rsid w:val="00D353A7"/>
    <w:rsid w:val="00D42A45"/>
    <w:rsid w:val="00D44F98"/>
    <w:rsid w:val="00D46459"/>
    <w:rsid w:val="00D54AB0"/>
    <w:rsid w:val="00D55BE0"/>
    <w:rsid w:val="00D71F9D"/>
    <w:rsid w:val="00D77AA0"/>
    <w:rsid w:val="00D8325C"/>
    <w:rsid w:val="00D9292A"/>
    <w:rsid w:val="00DA0311"/>
    <w:rsid w:val="00DA5F8A"/>
    <w:rsid w:val="00DA70C2"/>
    <w:rsid w:val="00DC4D43"/>
    <w:rsid w:val="00DE78E2"/>
    <w:rsid w:val="00DE7938"/>
    <w:rsid w:val="00DF17C5"/>
    <w:rsid w:val="00DF2387"/>
    <w:rsid w:val="00DF4FFE"/>
    <w:rsid w:val="00E015A9"/>
    <w:rsid w:val="00E03CFA"/>
    <w:rsid w:val="00E0591C"/>
    <w:rsid w:val="00E1544C"/>
    <w:rsid w:val="00E341FC"/>
    <w:rsid w:val="00E36BAC"/>
    <w:rsid w:val="00E400CB"/>
    <w:rsid w:val="00E55F22"/>
    <w:rsid w:val="00E60B08"/>
    <w:rsid w:val="00E64094"/>
    <w:rsid w:val="00E70ED4"/>
    <w:rsid w:val="00E83A0A"/>
    <w:rsid w:val="00E85AB9"/>
    <w:rsid w:val="00E86687"/>
    <w:rsid w:val="00E873AE"/>
    <w:rsid w:val="00E90CE7"/>
    <w:rsid w:val="00E92498"/>
    <w:rsid w:val="00E94A88"/>
    <w:rsid w:val="00E9646D"/>
    <w:rsid w:val="00EB4FB8"/>
    <w:rsid w:val="00EB558B"/>
    <w:rsid w:val="00EB5EEF"/>
    <w:rsid w:val="00EC0299"/>
    <w:rsid w:val="00ED1E55"/>
    <w:rsid w:val="00ED4D25"/>
    <w:rsid w:val="00ED7C29"/>
    <w:rsid w:val="00EE13BD"/>
    <w:rsid w:val="00F0188E"/>
    <w:rsid w:val="00F04D96"/>
    <w:rsid w:val="00F13553"/>
    <w:rsid w:val="00F158B0"/>
    <w:rsid w:val="00F2523A"/>
    <w:rsid w:val="00F317B0"/>
    <w:rsid w:val="00F354B8"/>
    <w:rsid w:val="00F35B4A"/>
    <w:rsid w:val="00F4319F"/>
    <w:rsid w:val="00F56ADA"/>
    <w:rsid w:val="00F80D88"/>
    <w:rsid w:val="00F838C0"/>
    <w:rsid w:val="00F9166D"/>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A1F7CF-CBAC-4BBF-B925-00241F82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564487">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lation.gov.uk/ukpga/2000/36/contents" TargetMode="External"/><Relationship Id="rId4" Type="http://schemas.openxmlformats.org/officeDocument/2006/relationships/webSettings" Target="webSettings.xml"/><Relationship Id="rId9" Type="http://schemas.openxmlformats.org/officeDocument/2006/relationships/hyperlink" Target="http://www.parliament.uk/business/publications/written-questions-answers-statements/written-question/Commons/2016-10-11/47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FOI 107778 Assistance Dogs in Taxis</vt:lpstr>
    </vt:vector>
  </TitlesOfParts>
  <Company>Ministry of Justice</Company>
  <LinksUpToDate>false</LinksUpToDate>
  <CharactersWithSpaces>1628</CharactersWithSpaces>
  <SharedDoc>false</SharedDoc>
  <HLinks>
    <vt:vector size="48" baseType="variant">
      <vt:variant>
        <vt:i4>2883679</vt:i4>
      </vt:variant>
      <vt:variant>
        <vt:i4>21</vt:i4>
      </vt:variant>
      <vt:variant>
        <vt:i4>0</vt:i4>
      </vt:variant>
      <vt:variant>
        <vt:i4>5</vt:i4>
      </vt:variant>
      <vt:variant>
        <vt:lpwstr>https://www.ico.gov.uk/Global/contact_us.aspx</vt:lpwstr>
      </vt:variant>
      <vt:variant>
        <vt:lpwstr/>
      </vt:variant>
      <vt:variant>
        <vt:i4>5636139</vt:i4>
      </vt:variant>
      <vt:variant>
        <vt:i4>18</vt:i4>
      </vt:variant>
      <vt:variant>
        <vt:i4>0</vt:i4>
      </vt:variant>
      <vt:variant>
        <vt:i4>5</vt:i4>
      </vt:variant>
      <vt:variant>
        <vt:lpwstr>mailto:data.access@justice.gsi.gov.uk</vt:lpwstr>
      </vt:variant>
      <vt:variant>
        <vt:lpwstr/>
      </vt:variant>
      <vt:variant>
        <vt:i4>3932286</vt:i4>
      </vt:variant>
      <vt:variant>
        <vt:i4>15</vt:i4>
      </vt:variant>
      <vt:variant>
        <vt:i4>0</vt:i4>
      </vt:variant>
      <vt:variant>
        <vt:i4>5</vt:i4>
      </vt:variant>
      <vt:variant>
        <vt:lpwstr>http://www.justice.gov.uk/information-access-rights/foi-requests/latest-moj-disclosure-log</vt:lpwstr>
      </vt:variant>
      <vt:variant>
        <vt:lpwstr/>
      </vt:variant>
      <vt:variant>
        <vt:i4>7340092</vt:i4>
      </vt:variant>
      <vt:variant>
        <vt:i4>12</vt:i4>
      </vt:variant>
      <vt:variant>
        <vt:i4>0</vt:i4>
      </vt:variant>
      <vt:variant>
        <vt:i4>5</vt:i4>
      </vt:variant>
      <vt:variant>
        <vt:lpwstr>http://www.justice.gov.uk/information-access-rights/foi-guidance-for-practitioners/exemptions-guidance</vt:lpwstr>
      </vt:variant>
      <vt:variant>
        <vt:lpwstr/>
      </vt:variant>
      <vt:variant>
        <vt:i4>2162805</vt:i4>
      </vt:variant>
      <vt:variant>
        <vt:i4>9</vt:i4>
      </vt:variant>
      <vt:variant>
        <vt:i4>0</vt:i4>
      </vt:variant>
      <vt:variant>
        <vt:i4>5</vt:i4>
      </vt:variant>
      <vt:variant>
        <vt:lpwstr>http://www.legislation.gov.uk/ukpga/2000/36/section/21</vt:lpwstr>
      </vt:variant>
      <vt:variant>
        <vt:lpwstr/>
      </vt:variant>
      <vt:variant>
        <vt:i4>7340137</vt:i4>
      </vt:variant>
      <vt:variant>
        <vt:i4>6</vt:i4>
      </vt:variant>
      <vt:variant>
        <vt:i4>0</vt:i4>
      </vt:variant>
      <vt:variant>
        <vt:i4>5</vt:i4>
      </vt:variant>
      <vt:variant>
        <vt:lpwstr>http://www.parliament.uk/business/publications/written-questions-answers-statements/written-question/Commons/2016-10-11/47973/</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107778 Assistance Dogs in Taxis</dc:title>
  <dc:subject>FOI Release</dc:subject>
  <dc:creator>MoJ</dc:creator>
  <cp:keywords/>
  <dc:description/>
  <cp:lastModifiedBy>Isaacs, Gordon</cp:lastModifiedBy>
  <cp:revision>2</cp:revision>
  <cp:lastPrinted>2014-02-12T14:31:00Z</cp:lastPrinted>
  <dcterms:created xsi:type="dcterms:W3CDTF">2016-11-23T12:15:00Z</dcterms:created>
  <dcterms:modified xsi:type="dcterms:W3CDTF">2016-11-23T12:15:00Z</dcterms:modified>
</cp:coreProperties>
</file>