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93" w:rsidRDefault="00260093" w:rsidP="00260093">
      <w:pPr>
        <w:jc w:val="center"/>
        <w:rPr>
          <w:rFonts w:asciiTheme="minorHAnsi" w:hAnsiTheme="minorHAnsi"/>
          <w:b/>
          <w:sz w:val="32"/>
          <w:szCs w:val="32"/>
        </w:rPr>
      </w:pPr>
      <w:bookmarkStart w:id="0" w:name="_GoBack"/>
      <w:bookmarkEnd w:id="0"/>
    </w:p>
    <w:p w:rsidR="00260093" w:rsidRDefault="00260093" w:rsidP="00260093">
      <w:pPr>
        <w:jc w:val="center"/>
        <w:rPr>
          <w:rFonts w:asciiTheme="minorHAnsi" w:hAnsiTheme="minorHAnsi"/>
          <w:b/>
          <w:sz w:val="32"/>
          <w:szCs w:val="32"/>
        </w:rPr>
      </w:pPr>
    </w:p>
    <w:p w:rsidR="001C1235" w:rsidRPr="00271A5F" w:rsidRDefault="00260093" w:rsidP="00260093">
      <w:pPr>
        <w:jc w:val="center"/>
        <w:rPr>
          <w:rFonts w:asciiTheme="minorHAnsi" w:hAnsiTheme="minorHAnsi"/>
          <w:b/>
          <w:sz w:val="36"/>
          <w:szCs w:val="36"/>
        </w:rPr>
      </w:pPr>
      <w:r w:rsidRPr="00271A5F">
        <w:rPr>
          <w:rFonts w:asciiTheme="minorHAnsi" w:hAnsiTheme="minorHAnsi"/>
          <w:b/>
          <w:sz w:val="36"/>
          <w:szCs w:val="36"/>
        </w:rPr>
        <w:t>Department for Communities &amp; Local Government</w:t>
      </w:r>
    </w:p>
    <w:p w:rsidR="00260093" w:rsidRPr="00271A5F" w:rsidRDefault="00260093" w:rsidP="00260093">
      <w:pPr>
        <w:jc w:val="center"/>
        <w:rPr>
          <w:rFonts w:asciiTheme="minorHAnsi" w:hAnsiTheme="minorHAnsi"/>
          <w:b/>
          <w:sz w:val="36"/>
          <w:szCs w:val="36"/>
        </w:rPr>
      </w:pPr>
    </w:p>
    <w:p w:rsidR="00260093" w:rsidRPr="00271A5F" w:rsidRDefault="00260093" w:rsidP="00260093">
      <w:pPr>
        <w:jc w:val="center"/>
        <w:rPr>
          <w:rFonts w:asciiTheme="minorHAnsi" w:hAnsiTheme="minorHAnsi"/>
          <w:b/>
          <w:sz w:val="36"/>
          <w:szCs w:val="36"/>
        </w:rPr>
      </w:pPr>
      <w:r w:rsidRPr="00271A5F">
        <w:rPr>
          <w:rFonts w:asciiTheme="minorHAnsi" w:hAnsiTheme="minorHAnsi"/>
          <w:b/>
          <w:sz w:val="36"/>
          <w:szCs w:val="36"/>
        </w:rPr>
        <w:t>Homes &amp; Communities Agency</w:t>
      </w:r>
    </w:p>
    <w:p w:rsidR="00260093" w:rsidRDefault="00260093" w:rsidP="00260093">
      <w:pPr>
        <w:jc w:val="center"/>
        <w:rPr>
          <w:rFonts w:asciiTheme="minorHAnsi" w:hAnsiTheme="minorHAnsi"/>
          <w:sz w:val="32"/>
          <w:szCs w:val="32"/>
        </w:rPr>
      </w:pPr>
    </w:p>
    <w:p w:rsidR="00260093" w:rsidRDefault="00260093" w:rsidP="00260093">
      <w:pPr>
        <w:jc w:val="center"/>
        <w:rPr>
          <w:rFonts w:asciiTheme="minorHAnsi" w:hAnsiTheme="minorHAnsi"/>
          <w:sz w:val="32"/>
          <w:szCs w:val="32"/>
        </w:rPr>
      </w:pPr>
    </w:p>
    <w:p w:rsidR="00260093" w:rsidRPr="00271A5F" w:rsidRDefault="00260093" w:rsidP="00260093">
      <w:pPr>
        <w:jc w:val="center"/>
        <w:rPr>
          <w:rFonts w:asciiTheme="minorHAnsi" w:hAnsiTheme="minorHAnsi"/>
          <w:b/>
          <w:sz w:val="40"/>
          <w:szCs w:val="40"/>
        </w:rPr>
      </w:pPr>
      <w:r w:rsidRPr="00271A5F">
        <w:rPr>
          <w:rFonts w:asciiTheme="minorHAnsi" w:hAnsiTheme="minorHAnsi"/>
          <w:b/>
          <w:sz w:val="40"/>
          <w:szCs w:val="40"/>
        </w:rPr>
        <w:t>Disposal of Surplus Public Sector Land &amp; Buildings</w:t>
      </w:r>
    </w:p>
    <w:p w:rsidR="00260093" w:rsidRPr="00271A5F" w:rsidRDefault="00260093" w:rsidP="00260093">
      <w:pPr>
        <w:jc w:val="center"/>
        <w:rPr>
          <w:rFonts w:asciiTheme="minorHAnsi" w:hAnsiTheme="minorHAnsi"/>
          <w:b/>
          <w:sz w:val="40"/>
          <w:szCs w:val="40"/>
        </w:rPr>
      </w:pPr>
      <w:r w:rsidRPr="00271A5F">
        <w:rPr>
          <w:rFonts w:asciiTheme="minorHAnsi" w:hAnsiTheme="minorHAnsi"/>
          <w:b/>
          <w:sz w:val="40"/>
          <w:szCs w:val="40"/>
        </w:rPr>
        <w:t>Protocol for Land holding Departments</w:t>
      </w:r>
    </w:p>
    <w:p w:rsidR="00260093" w:rsidRDefault="00260093" w:rsidP="00260093">
      <w:pPr>
        <w:jc w:val="center"/>
        <w:rPr>
          <w:rFonts w:asciiTheme="minorHAnsi" w:hAnsiTheme="minorHAnsi"/>
          <w:b/>
          <w:sz w:val="36"/>
          <w:szCs w:val="36"/>
        </w:rPr>
      </w:pPr>
    </w:p>
    <w:p w:rsidR="00260093" w:rsidRDefault="00260093" w:rsidP="00260093">
      <w:pPr>
        <w:rPr>
          <w:rFonts w:asciiTheme="minorHAnsi" w:hAnsiTheme="minorHAnsi"/>
          <w:b/>
          <w:sz w:val="24"/>
        </w:rPr>
      </w:pPr>
    </w:p>
    <w:p w:rsidR="00260093" w:rsidRDefault="00260093" w:rsidP="00260093">
      <w:pPr>
        <w:rPr>
          <w:rFonts w:asciiTheme="minorHAnsi" w:hAnsiTheme="minorHAnsi"/>
          <w:b/>
          <w:sz w:val="24"/>
        </w:rPr>
      </w:pPr>
    </w:p>
    <w:p w:rsidR="00260093" w:rsidRDefault="00260093" w:rsidP="00260093">
      <w:pPr>
        <w:rPr>
          <w:rFonts w:asciiTheme="minorHAnsi" w:hAnsiTheme="minorHAnsi"/>
          <w:b/>
          <w:sz w:val="24"/>
        </w:rPr>
      </w:pPr>
    </w:p>
    <w:p w:rsidR="004845F2" w:rsidRDefault="004845F2" w:rsidP="00260093">
      <w:pPr>
        <w:rPr>
          <w:rFonts w:asciiTheme="minorHAnsi" w:hAnsiTheme="minorHAnsi"/>
          <w:b/>
          <w:sz w:val="24"/>
        </w:rPr>
      </w:pPr>
    </w:p>
    <w:p w:rsidR="004845F2" w:rsidRDefault="004845F2">
      <w:pPr>
        <w:rPr>
          <w:rFonts w:asciiTheme="minorHAnsi" w:hAnsiTheme="minorHAnsi"/>
          <w:b/>
          <w:sz w:val="24"/>
        </w:rPr>
      </w:pPr>
      <w:r>
        <w:rPr>
          <w:rFonts w:asciiTheme="minorHAnsi" w:hAnsiTheme="minorHAnsi"/>
          <w:b/>
          <w:sz w:val="24"/>
        </w:rPr>
        <w:br w:type="page"/>
      </w:r>
    </w:p>
    <w:p w:rsidR="004845F2" w:rsidRDefault="00271A5F" w:rsidP="003D2EA9">
      <w:pPr>
        <w:ind w:left="567" w:hanging="567"/>
        <w:rPr>
          <w:rFonts w:asciiTheme="minorHAnsi" w:hAnsiTheme="minorHAnsi"/>
          <w:b/>
          <w:sz w:val="24"/>
        </w:rPr>
      </w:pPr>
      <w:r>
        <w:rPr>
          <w:rFonts w:asciiTheme="minorHAnsi" w:hAnsiTheme="minorHAnsi"/>
          <w:b/>
          <w:sz w:val="24"/>
        </w:rPr>
        <w:lastRenderedPageBreak/>
        <w:t>1</w:t>
      </w:r>
      <w:r>
        <w:rPr>
          <w:rFonts w:asciiTheme="minorHAnsi" w:hAnsiTheme="minorHAnsi"/>
          <w:b/>
          <w:sz w:val="24"/>
        </w:rPr>
        <w:tab/>
        <w:t>Background</w:t>
      </w:r>
    </w:p>
    <w:p w:rsidR="00271A5F" w:rsidRDefault="00271A5F" w:rsidP="00260093">
      <w:pPr>
        <w:rPr>
          <w:rFonts w:asciiTheme="minorHAnsi" w:hAnsiTheme="minorHAnsi"/>
          <w:b/>
          <w:sz w:val="24"/>
        </w:rPr>
      </w:pPr>
    </w:p>
    <w:p w:rsidR="00271A5F" w:rsidRDefault="000A3638" w:rsidP="008F3BC0">
      <w:pPr>
        <w:ind w:left="567" w:hanging="567"/>
        <w:rPr>
          <w:rFonts w:asciiTheme="minorHAnsi" w:hAnsiTheme="minorHAnsi"/>
          <w:sz w:val="24"/>
        </w:rPr>
      </w:pPr>
      <w:r>
        <w:rPr>
          <w:rFonts w:asciiTheme="minorHAnsi" w:hAnsiTheme="minorHAnsi"/>
          <w:sz w:val="24"/>
        </w:rPr>
        <w:t>1.</w:t>
      </w:r>
      <w:r w:rsidR="000D4E41">
        <w:rPr>
          <w:rFonts w:asciiTheme="minorHAnsi" w:hAnsiTheme="minorHAnsi"/>
          <w:sz w:val="24"/>
        </w:rPr>
        <w:t>1</w:t>
      </w:r>
      <w:r>
        <w:rPr>
          <w:rFonts w:asciiTheme="minorHAnsi" w:hAnsiTheme="minorHAnsi"/>
          <w:sz w:val="24"/>
        </w:rPr>
        <w:tab/>
      </w:r>
      <w:r w:rsidR="00271A5F">
        <w:rPr>
          <w:rFonts w:asciiTheme="minorHAnsi" w:hAnsiTheme="minorHAnsi"/>
          <w:sz w:val="24"/>
        </w:rPr>
        <w:t xml:space="preserve">Ministers announced as part of Spending Review </w:t>
      </w:r>
      <w:r w:rsidR="000C1202">
        <w:rPr>
          <w:rFonts w:asciiTheme="minorHAnsi" w:hAnsiTheme="minorHAnsi"/>
          <w:sz w:val="24"/>
        </w:rPr>
        <w:t>20</w:t>
      </w:r>
      <w:r w:rsidR="00271A5F">
        <w:rPr>
          <w:rFonts w:asciiTheme="minorHAnsi" w:hAnsiTheme="minorHAnsi"/>
          <w:sz w:val="24"/>
        </w:rPr>
        <w:t xml:space="preserve">13 </w:t>
      </w:r>
      <w:r w:rsidR="008F3BC0">
        <w:rPr>
          <w:rFonts w:asciiTheme="minorHAnsi" w:hAnsiTheme="minorHAnsi"/>
          <w:sz w:val="24"/>
        </w:rPr>
        <w:t>an overhaul of</w:t>
      </w:r>
      <w:r w:rsidR="008F3BC0" w:rsidRPr="008F3BC0">
        <w:rPr>
          <w:rFonts w:asciiTheme="minorHAnsi" w:hAnsiTheme="minorHAnsi"/>
          <w:sz w:val="24"/>
        </w:rPr>
        <w:t xml:space="preserve"> land sales, by centralising disposals in the Homes and</w:t>
      </w:r>
      <w:r w:rsidR="008F3BC0">
        <w:rPr>
          <w:rFonts w:asciiTheme="minorHAnsi" w:hAnsiTheme="minorHAnsi"/>
          <w:sz w:val="24"/>
        </w:rPr>
        <w:t xml:space="preserve"> </w:t>
      </w:r>
      <w:r w:rsidR="008F3BC0" w:rsidRPr="008F3BC0">
        <w:rPr>
          <w:rFonts w:asciiTheme="minorHAnsi" w:hAnsiTheme="minorHAnsi"/>
          <w:sz w:val="24"/>
        </w:rPr>
        <w:t xml:space="preserve">Communities Agency (HCA) to ensure </w:t>
      </w:r>
      <w:r w:rsidR="00D65DFA">
        <w:rPr>
          <w:rFonts w:asciiTheme="minorHAnsi" w:hAnsiTheme="minorHAnsi"/>
          <w:sz w:val="24"/>
        </w:rPr>
        <w:t xml:space="preserve">developable </w:t>
      </w:r>
      <w:r w:rsidR="008F3BC0" w:rsidRPr="008F3BC0">
        <w:rPr>
          <w:rFonts w:asciiTheme="minorHAnsi" w:hAnsiTheme="minorHAnsi"/>
          <w:sz w:val="24"/>
        </w:rPr>
        <w:t xml:space="preserve">land is released </w:t>
      </w:r>
      <w:r w:rsidR="008F3BC0">
        <w:rPr>
          <w:rFonts w:asciiTheme="minorHAnsi" w:hAnsiTheme="minorHAnsi"/>
          <w:sz w:val="24"/>
        </w:rPr>
        <w:t>efficiently</w:t>
      </w:r>
      <w:r w:rsidR="00D65DFA">
        <w:rPr>
          <w:rFonts w:asciiTheme="minorHAnsi" w:hAnsiTheme="minorHAnsi"/>
          <w:sz w:val="24"/>
        </w:rPr>
        <w:t xml:space="preserve"> to support housing and economic growth</w:t>
      </w:r>
      <w:r w:rsidR="008F3BC0">
        <w:rPr>
          <w:rFonts w:asciiTheme="minorHAnsi" w:hAnsiTheme="minorHAnsi"/>
          <w:sz w:val="24"/>
        </w:rPr>
        <w:t>.</w:t>
      </w:r>
    </w:p>
    <w:p w:rsidR="003D2EA9" w:rsidRDefault="003D2EA9" w:rsidP="003D2EA9">
      <w:pPr>
        <w:ind w:left="567" w:hanging="567"/>
        <w:rPr>
          <w:rFonts w:asciiTheme="minorHAnsi" w:hAnsiTheme="minorHAnsi"/>
          <w:sz w:val="24"/>
        </w:rPr>
      </w:pPr>
    </w:p>
    <w:p w:rsidR="003D2EA9" w:rsidRDefault="000D4E41" w:rsidP="003D2EA9">
      <w:pPr>
        <w:ind w:left="567" w:hanging="567"/>
        <w:rPr>
          <w:rFonts w:asciiTheme="minorHAnsi" w:hAnsiTheme="minorHAnsi"/>
          <w:sz w:val="24"/>
        </w:rPr>
      </w:pPr>
      <w:r>
        <w:rPr>
          <w:rFonts w:asciiTheme="minorHAnsi" w:hAnsiTheme="minorHAnsi"/>
          <w:sz w:val="24"/>
        </w:rPr>
        <w:t>1.2</w:t>
      </w:r>
      <w:r w:rsidR="003D2EA9">
        <w:rPr>
          <w:rFonts w:asciiTheme="minorHAnsi" w:hAnsiTheme="minorHAnsi"/>
          <w:sz w:val="24"/>
        </w:rPr>
        <w:tab/>
        <w:t xml:space="preserve">The HCA will assume </w:t>
      </w:r>
      <w:r w:rsidR="00EA0272">
        <w:rPr>
          <w:rFonts w:asciiTheme="minorHAnsi" w:hAnsiTheme="minorHAnsi"/>
          <w:sz w:val="24"/>
        </w:rPr>
        <w:t xml:space="preserve">full </w:t>
      </w:r>
      <w:r w:rsidR="003D2EA9">
        <w:rPr>
          <w:rFonts w:asciiTheme="minorHAnsi" w:hAnsiTheme="minorHAnsi"/>
          <w:sz w:val="24"/>
        </w:rPr>
        <w:t xml:space="preserve">responsibility for the disposal of </w:t>
      </w:r>
      <w:r w:rsidR="003D2EA9" w:rsidRPr="00940322">
        <w:rPr>
          <w:rFonts w:asciiTheme="minorHAnsi" w:hAnsiTheme="minorHAnsi"/>
          <w:sz w:val="24"/>
          <w:u w:val="single"/>
        </w:rPr>
        <w:t>all</w:t>
      </w:r>
      <w:r w:rsidR="003D2EA9">
        <w:rPr>
          <w:rFonts w:asciiTheme="minorHAnsi" w:hAnsiTheme="minorHAnsi"/>
          <w:sz w:val="24"/>
        </w:rPr>
        <w:t xml:space="preserve"> developable </w:t>
      </w:r>
      <w:r w:rsidR="00FD218D">
        <w:rPr>
          <w:rFonts w:asciiTheme="minorHAnsi" w:hAnsiTheme="minorHAnsi"/>
          <w:sz w:val="24"/>
        </w:rPr>
        <w:t xml:space="preserve">and viable </w:t>
      </w:r>
      <w:r w:rsidR="003D2EA9">
        <w:rPr>
          <w:rFonts w:asciiTheme="minorHAnsi" w:hAnsiTheme="minorHAnsi"/>
          <w:sz w:val="24"/>
        </w:rPr>
        <w:t xml:space="preserve">surplus land and buildings </w:t>
      </w:r>
      <w:r w:rsidR="00C82B7D">
        <w:rPr>
          <w:rFonts w:asciiTheme="minorHAnsi" w:hAnsiTheme="minorHAnsi"/>
          <w:sz w:val="24"/>
        </w:rPr>
        <w:t>held by central government departments and their agencies</w:t>
      </w:r>
      <w:r w:rsidR="00944605">
        <w:rPr>
          <w:rFonts w:asciiTheme="minorHAnsi" w:hAnsiTheme="minorHAnsi"/>
          <w:sz w:val="24"/>
        </w:rPr>
        <w:t>. Any exceptions will be agreed b</w:t>
      </w:r>
      <w:r w:rsidR="00FF484C">
        <w:rPr>
          <w:rFonts w:asciiTheme="minorHAnsi" w:hAnsiTheme="minorHAnsi"/>
          <w:sz w:val="24"/>
        </w:rPr>
        <w:t>e</w:t>
      </w:r>
      <w:r w:rsidR="00944605">
        <w:rPr>
          <w:rFonts w:asciiTheme="minorHAnsi" w:hAnsiTheme="minorHAnsi"/>
          <w:sz w:val="24"/>
        </w:rPr>
        <w:t xml:space="preserve">tween DCLG and HMT. </w:t>
      </w:r>
    </w:p>
    <w:p w:rsidR="00C82B7D" w:rsidRDefault="00C82B7D" w:rsidP="003D2EA9">
      <w:pPr>
        <w:ind w:left="567" w:hanging="567"/>
        <w:rPr>
          <w:rFonts w:asciiTheme="minorHAnsi" w:hAnsiTheme="minorHAnsi"/>
          <w:sz w:val="24"/>
        </w:rPr>
      </w:pPr>
    </w:p>
    <w:p w:rsidR="00EA0272" w:rsidRDefault="000D4E41" w:rsidP="003D2EA9">
      <w:pPr>
        <w:ind w:left="567" w:hanging="567"/>
        <w:rPr>
          <w:rFonts w:asciiTheme="minorHAnsi" w:hAnsiTheme="minorHAnsi"/>
          <w:sz w:val="24"/>
        </w:rPr>
      </w:pPr>
      <w:r>
        <w:rPr>
          <w:rFonts w:asciiTheme="minorHAnsi" w:hAnsiTheme="minorHAnsi"/>
          <w:sz w:val="24"/>
        </w:rPr>
        <w:t>1.3</w:t>
      </w:r>
      <w:r w:rsidR="00736BAD">
        <w:rPr>
          <w:rFonts w:asciiTheme="minorHAnsi" w:hAnsiTheme="minorHAnsi"/>
          <w:sz w:val="24"/>
        </w:rPr>
        <w:tab/>
        <w:t>Surplus central government land and buil</w:t>
      </w:r>
      <w:r w:rsidR="00EA0272">
        <w:rPr>
          <w:rFonts w:asciiTheme="minorHAnsi" w:hAnsiTheme="minorHAnsi"/>
          <w:sz w:val="24"/>
        </w:rPr>
        <w:t xml:space="preserve">dings which are deemed to be </w:t>
      </w:r>
      <w:r w:rsidR="00736BAD">
        <w:rPr>
          <w:rFonts w:asciiTheme="minorHAnsi" w:hAnsiTheme="minorHAnsi"/>
          <w:sz w:val="24"/>
        </w:rPr>
        <w:t>developable (</w:t>
      </w:r>
      <w:r w:rsidR="00940322">
        <w:rPr>
          <w:rFonts w:asciiTheme="minorHAnsi" w:hAnsiTheme="minorHAnsi"/>
          <w:sz w:val="24"/>
        </w:rPr>
        <w:t xml:space="preserve">and </w:t>
      </w:r>
      <w:r w:rsidR="00736BAD">
        <w:rPr>
          <w:rFonts w:asciiTheme="minorHAnsi" w:hAnsiTheme="minorHAnsi"/>
          <w:sz w:val="24"/>
        </w:rPr>
        <w:t>not restricted to residential</w:t>
      </w:r>
      <w:r w:rsidR="00EA0272">
        <w:rPr>
          <w:rFonts w:asciiTheme="minorHAnsi" w:hAnsiTheme="minorHAnsi"/>
          <w:sz w:val="24"/>
        </w:rPr>
        <w:t xml:space="preserve">) </w:t>
      </w:r>
      <w:r w:rsidR="00FD218D">
        <w:rPr>
          <w:rFonts w:asciiTheme="minorHAnsi" w:hAnsiTheme="minorHAnsi"/>
          <w:sz w:val="24"/>
        </w:rPr>
        <w:t xml:space="preserve">and viable in England and outside London </w:t>
      </w:r>
      <w:r w:rsidR="00736BAD">
        <w:rPr>
          <w:rFonts w:asciiTheme="minorHAnsi" w:hAnsiTheme="minorHAnsi"/>
          <w:sz w:val="24"/>
        </w:rPr>
        <w:t>will be subject to a statutory transfer to the HCA</w:t>
      </w:r>
      <w:r w:rsidR="00940322">
        <w:rPr>
          <w:rFonts w:asciiTheme="minorHAnsi" w:hAnsiTheme="minorHAnsi"/>
          <w:sz w:val="24"/>
        </w:rPr>
        <w:t>.</w:t>
      </w:r>
      <w:r w:rsidR="000C1202">
        <w:rPr>
          <w:rFonts w:asciiTheme="minorHAnsi" w:hAnsiTheme="minorHAnsi"/>
          <w:sz w:val="24"/>
        </w:rPr>
        <w:t xml:space="preserve"> </w:t>
      </w:r>
    </w:p>
    <w:p w:rsidR="000D4E41" w:rsidRDefault="000D4E41" w:rsidP="003D2EA9">
      <w:pPr>
        <w:ind w:left="567" w:hanging="567"/>
        <w:rPr>
          <w:rFonts w:asciiTheme="minorHAnsi" w:hAnsiTheme="minorHAnsi"/>
          <w:sz w:val="24"/>
        </w:rPr>
      </w:pPr>
    </w:p>
    <w:p w:rsidR="00EA0272" w:rsidRDefault="000D4E41" w:rsidP="003D2EA9">
      <w:pPr>
        <w:ind w:left="567" w:hanging="567"/>
        <w:rPr>
          <w:rFonts w:asciiTheme="minorHAnsi" w:hAnsiTheme="minorHAnsi"/>
          <w:sz w:val="24"/>
        </w:rPr>
      </w:pPr>
      <w:r>
        <w:rPr>
          <w:rFonts w:asciiTheme="minorHAnsi" w:hAnsiTheme="minorHAnsi"/>
          <w:sz w:val="24"/>
        </w:rPr>
        <w:t>1.4</w:t>
      </w:r>
      <w:r w:rsidR="00EA0272">
        <w:rPr>
          <w:rFonts w:asciiTheme="minorHAnsi" w:hAnsiTheme="minorHAnsi"/>
          <w:sz w:val="24"/>
        </w:rPr>
        <w:tab/>
        <w:t xml:space="preserve">The process for identifying developable and </w:t>
      </w:r>
      <w:r w:rsidR="00FD218D">
        <w:rPr>
          <w:rFonts w:asciiTheme="minorHAnsi" w:hAnsiTheme="minorHAnsi"/>
          <w:sz w:val="24"/>
        </w:rPr>
        <w:t xml:space="preserve">viable land and </w:t>
      </w:r>
      <w:r w:rsidR="00EA0272">
        <w:rPr>
          <w:rFonts w:asciiTheme="minorHAnsi" w:hAnsiTheme="minorHAnsi"/>
          <w:sz w:val="24"/>
        </w:rPr>
        <w:t>property is set out below.</w:t>
      </w:r>
    </w:p>
    <w:p w:rsidR="00EA0272" w:rsidRDefault="00EA0272" w:rsidP="003D2EA9">
      <w:pPr>
        <w:ind w:left="567" w:hanging="567"/>
        <w:rPr>
          <w:rFonts w:asciiTheme="minorHAnsi" w:hAnsiTheme="minorHAnsi"/>
          <w:sz w:val="24"/>
        </w:rPr>
      </w:pPr>
    </w:p>
    <w:p w:rsidR="00EA0272" w:rsidRDefault="002A188D" w:rsidP="003D2EA9">
      <w:pPr>
        <w:ind w:left="567" w:hanging="567"/>
        <w:rPr>
          <w:rFonts w:asciiTheme="minorHAnsi" w:hAnsiTheme="minorHAnsi"/>
          <w:b/>
          <w:sz w:val="24"/>
        </w:rPr>
      </w:pPr>
      <w:r>
        <w:rPr>
          <w:rFonts w:asciiTheme="minorHAnsi" w:hAnsiTheme="minorHAnsi"/>
          <w:b/>
          <w:sz w:val="24"/>
        </w:rPr>
        <w:t>2</w:t>
      </w:r>
      <w:r>
        <w:rPr>
          <w:rFonts w:asciiTheme="minorHAnsi" w:hAnsiTheme="minorHAnsi"/>
          <w:b/>
          <w:sz w:val="24"/>
        </w:rPr>
        <w:tab/>
        <w:t>Assessment of Development &amp; Positive Value Surplus Land</w:t>
      </w:r>
    </w:p>
    <w:p w:rsidR="00EA0272" w:rsidRDefault="00EA0272" w:rsidP="003D2EA9">
      <w:pPr>
        <w:ind w:left="567" w:hanging="567"/>
        <w:rPr>
          <w:rFonts w:asciiTheme="minorHAnsi" w:hAnsiTheme="minorHAnsi"/>
          <w:b/>
          <w:sz w:val="24"/>
        </w:rPr>
      </w:pPr>
    </w:p>
    <w:p w:rsidR="009B3E68" w:rsidRDefault="00EA0272" w:rsidP="003D2EA9">
      <w:pPr>
        <w:ind w:left="567" w:hanging="567"/>
        <w:rPr>
          <w:rFonts w:asciiTheme="minorHAnsi" w:hAnsiTheme="minorHAnsi"/>
          <w:sz w:val="24"/>
        </w:rPr>
      </w:pPr>
      <w:r>
        <w:rPr>
          <w:rFonts w:asciiTheme="minorHAnsi" w:hAnsiTheme="minorHAnsi"/>
          <w:sz w:val="24"/>
        </w:rPr>
        <w:t>2.1</w:t>
      </w:r>
      <w:r>
        <w:rPr>
          <w:rFonts w:asciiTheme="minorHAnsi" w:hAnsiTheme="minorHAnsi"/>
          <w:sz w:val="24"/>
        </w:rPr>
        <w:tab/>
      </w:r>
      <w:r w:rsidR="009B3E68">
        <w:rPr>
          <w:rFonts w:asciiTheme="minorHAnsi" w:hAnsiTheme="minorHAnsi"/>
          <w:sz w:val="24"/>
        </w:rPr>
        <w:t xml:space="preserve">Once declared surplus, </w:t>
      </w:r>
      <w:r w:rsidR="009B3E68" w:rsidRPr="009B3E68">
        <w:rPr>
          <w:rFonts w:asciiTheme="minorHAnsi" w:hAnsiTheme="minorHAnsi"/>
          <w:sz w:val="24"/>
          <w:u w:val="single"/>
        </w:rPr>
        <w:t>A</w:t>
      </w:r>
      <w:r w:rsidR="009B3E68">
        <w:rPr>
          <w:rFonts w:asciiTheme="minorHAnsi" w:hAnsiTheme="minorHAnsi"/>
          <w:sz w:val="24"/>
          <w:u w:val="single"/>
        </w:rPr>
        <w:t>LL</w:t>
      </w:r>
      <w:r w:rsidR="009B3E68">
        <w:rPr>
          <w:rFonts w:asciiTheme="minorHAnsi" w:hAnsiTheme="minorHAnsi"/>
          <w:sz w:val="24"/>
        </w:rPr>
        <w:t xml:space="preserve"> central government property will be subject to an initial assessment to determine whether </w:t>
      </w:r>
      <w:r w:rsidR="00B010D6">
        <w:rPr>
          <w:rFonts w:asciiTheme="minorHAnsi" w:hAnsiTheme="minorHAnsi"/>
          <w:sz w:val="24"/>
        </w:rPr>
        <w:t xml:space="preserve">they are suitable for transfer </w:t>
      </w:r>
      <w:r w:rsidR="009B3E68">
        <w:rPr>
          <w:rFonts w:asciiTheme="minorHAnsi" w:hAnsiTheme="minorHAnsi"/>
          <w:sz w:val="24"/>
        </w:rPr>
        <w:t>to the HCA.</w:t>
      </w:r>
    </w:p>
    <w:p w:rsidR="009B3E68" w:rsidRDefault="009B3E68" w:rsidP="003D2EA9">
      <w:pPr>
        <w:ind w:left="567" w:hanging="567"/>
        <w:rPr>
          <w:rFonts w:asciiTheme="minorHAnsi" w:hAnsiTheme="minorHAnsi"/>
          <w:sz w:val="24"/>
        </w:rPr>
      </w:pPr>
    </w:p>
    <w:p w:rsidR="00EA0272" w:rsidRDefault="00FF484C" w:rsidP="003D2EA9">
      <w:pPr>
        <w:ind w:left="567" w:hanging="567"/>
        <w:rPr>
          <w:rFonts w:asciiTheme="minorHAnsi" w:hAnsiTheme="minorHAnsi"/>
          <w:sz w:val="24"/>
        </w:rPr>
      </w:pPr>
      <w:r>
        <w:rPr>
          <w:rFonts w:asciiTheme="minorHAnsi" w:hAnsiTheme="minorHAnsi"/>
          <w:sz w:val="24"/>
        </w:rPr>
        <w:t>2.2</w:t>
      </w:r>
      <w:r>
        <w:rPr>
          <w:rFonts w:asciiTheme="minorHAnsi" w:hAnsiTheme="minorHAnsi"/>
          <w:sz w:val="24"/>
        </w:rPr>
        <w:tab/>
        <w:t>This initial assessment / f</w:t>
      </w:r>
      <w:r w:rsidR="002A188D">
        <w:rPr>
          <w:rFonts w:asciiTheme="minorHAnsi" w:hAnsiTheme="minorHAnsi"/>
          <w:sz w:val="24"/>
        </w:rPr>
        <w:t>ilter</w:t>
      </w:r>
      <w:r>
        <w:rPr>
          <w:rFonts w:asciiTheme="minorHAnsi" w:hAnsiTheme="minorHAnsi"/>
          <w:sz w:val="24"/>
        </w:rPr>
        <w:t xml:space="preserve"> p</w:t>
      </w:r>
      <w:r w:rsidR="00EA0272">
        <w:rPr>
          <w:rFonts w:asciiTheme="minorHAnsi" w:hAnsiTheme="minorHAnsi"/>
          <w:sz w:val="24"/>
        </w:rPr>
        <w:t xml:space="preserve">rocess </w:t>
      </w:r>
      <w:r w:rsidR="009B3E68">
        <w:rPr>
          <w:rFonts w:asciiTheme="minorHAnsi" w:hAnsiTheme="minorHAnsi"/>
          <w:sz w:val="24"/>
        </w:rPr>
        <w:t>will quickly identify</w:t>
      </w:r>
      <w:r w:rsidR="00EA0272">
        <w:rPr>
          <w:rFonts w:asciiTheme="minorHAnsi" w:hAnsiTheme="minorHAnsi"/>
          <w:sz w:val="24"/>
        </w:rPr>
        <w:t xml:space="preserve"> </w:t>
      </w:r>
      <w:r w:rsidR="004F3228">
        <w:rPr>
          <w:rFonts w:asciiTheme="minorHAnsi" w:hAnsiTheme="minorHAnsi"/>
          <w:sz w:val="24"/>
        </w:rPr>
        <w:t xml:space="preserve">the majority of </w:t>
      </w:r>
      <w:r w:rsidR="00EA0272">
        <w:rPr>
          <w:rFonts w:asciiTheme="minorHAnsi" w:hAnsiTheme="minorHAnsi"/>
          <w:sz w:val="24"/>
        </w:rPr>
        <w:t>surplus central government propertie</w:t>
      </w:r>
      <w:r w:rsidR="009B3E68">
        <w:rPr>
          <w:rFonts w:asciiTheme="minorHAnsi" w:hAnsiTheme="minorHAnsi"/>
          <w:sz w:val="24"/>
        </w:rPr>
        <w:t xml:space="preserve">s which do </w:t>
      </w:r>
      <w:r w:rsidR="009B3E68" w:rsidRPr="002A188D">
        <w:rPr>
          <w:rFonts w:asciiTheme="minorHAnsi" w:hAnsiTheme="minorHAnsi"/>
          <w:b/>
          <w:sz w:val="24"/>
          <w:u w:val="single"/>
        </w:rPr>
        <w:t>NOT</w:t>
      </w:r>
      <w:r w:rsidR="009B3E68">
        <w:rPr>
          <w:rFonts w:asciiTheme="minorHAnsi" w:hAnsiTheme="minorHAnsi"/>
          <w:sz w:val="24"/>
        </w:rPr>
        <w:t xml:space="preserve"> fit Governments </w:t>
      </w:r>
      <w:r w:rsidR="00B010D6">
        <w:rPr>
          <w:rFonts w:asciiTheme="minorHAnsi" w:hAnsiTheme="minorHAnsi"/>
          <w:sz w:val="24"/>
        </w:rPr>
        <w:t>centralised disposal model (developable &amp; viable</w:t>
      </w:r>
      <w:r w:rsidR="009B3E68">
        <w:rPr>
          <w:rFonts w:asciiTheme="minorHAnsi" w:hAnsiTheme="minorHAnsi"/>
          <w:sz w:val="24"/>
        </w:rPr>
        <w:t xml:space="preserve">) and the HCA </w:t>
      </w:r>
      <w:r w:rsidR="0024793C">
        <w:rPr>
          <w:rFonts w:asciiTheme="minorHAnsi" w:hAnsiTheme="minorHAnsi"/>
          <w:sz w:val="24"/>
        </w:rPr>
        <w:t xml:space="preserve">will </w:t>
      </w:r>
      <w:r w:rsidR="009B3E68">
        <w:rPr>
          <w:rFonts w:asciiTheme="minorHAnsi" w:hAnsiTheme="minorHAnsi"/>
          <w:sz w:val="24"/>
        </w:rPr>
        <w:t xml:space="preserve">confirm </w:t>
      </w:r>
      <w:r w:rsidR="0024793C">
        <w:rPr>
          <w:rFonts w:asciiTheme="minorHAnsi" w:hAnsiTheme="minorHAnsi"/>
          <w:sz w:val="24"/>
        </w:rPr>
        <w:t xml:space="preserve">no further interest </w:t>
      </w:r>
      <w:r w:rsidR="009B3E68">
        <w:rPr>
          <w:rFonts w:asciiTheme="minorHAnsi" w:hAnsiTheme="minorHAnsi"/>
          <w:sz w:val="24"/>
        </w:rPr>
        <w:t>to the land holding department</w:t>
      </w:r>
      <w:r w:rsidR="00E63772">
        <w:rPr>
          <w:rFonts w:asciiTheme="minorHAnsi" w:hAnsiTheme="minorHAnsi"/>
          <w:sz w:val="24"/>
        </w:rPr>
        <w:t xml:space="preserve">. Departments </w:t>
      </w:r>
      <w:r w:rsidR="002A188D">
        <w:rPr>
          <w:rFonts w:asciiTheme="minorHAnsi" w:hAnsiTheme="minorHAnsi"/>
          <w:sz w:val="24"/>
        </w:rPr>
        <w:t xml:space="preserve">may </w:t>
      </w:r>
      <w:r w:rsidR="00E63772">
        <w:rPr>
          <w:rFonts w:asciiTheme="minorHAnsi" w:hAnsiTheme="minorHAnsi"/>
          <w:sz w:val="24"/>
        </w:rPr>
        <w:t>then</w:t>
      </w:r>
      <w:r w:rsidR="009B3E68">
        <w:rPr>
          <w:rFonts w:asciiTheme="minorHAnsi" w:hAnsiTheme="minorHAnsi"/>
          <w:sz w:val="24"/>
        </w:rPr>
        <w:t xml:space="preserve"> proceed </w:t>
      </w:r>
      <w:r w:rsidR="00E63772">
        <w:rPr>
          <w:rFonts w:asciiTheme="minorHAnsi" w:hAnsiTheme="minorHAnsi"/>
          <w:sz w:val="24"/>
        </w:rPr>
        <w:t xml:space="preserve">to </w:t>
      </w:r>
      <w:r w:rsidR="002A188D">
        <w:rPr>
          <w:rFonts w:asciiTheme="minorHAnsi" w:hAnsiTheme="minorHAnsi"/>
          <w:sz w:val="24"/>
        </w:rPr>
        <w:t>advertise the property on the open market or dispose of through other routes</w:t>
      </w:r>
      <w:r w:rsidR="009B3E68">
        <w:rPr>
          <w:rFonts w:asciiTheme="minorHAnsi" w:hAnsiTheme="minorHAnsi"/>
          <w:sz w:val="24"/>
        </w:rPr>
        <w:t>.</w:t>
      </w:r>
    </w:p>
    <w:p w:rsidR="0024793C" w:rsidRDefault="0024793C" w:rsidP="003D2EA9">
      <w:pPr>
        <w:ind w:left="567" w:hanging="567"/>
        <w:rPr>
          <w:rFonts w:asciiTheme="minorHAnsi" w:hAnsiTheme="minorHAnsi"/>
          <w:sz w:val="24"/>
        </w:rPr>
      </w:pPr>
    </w:p>
    <w:p w:rsidR="0024793C" w:rsidRDefault="0024793C" w:rsidP="003D2EA9">
      <w:pPr>
        <w:ind w:left="567" w:hanging="567"/>
        <w:rPr>
          <w:rFonts w:asciiTheme="minorHAnsi" w:hAnsiTheme="minorHAnsi"/>
          <w:sz w:val="24"/>
        </w:rPr>
      </w:pPr>
      <w:r>
        <w:rPr>
          <w:rFonts w:asciiTheme="minorHAnsi" w:hAnsiTheme="minorHAnsi"/>
          <w:sz w:val="24"/>
        </w:rPr>
        <w:t>2.3</w:t>
      </w:r>
      <w:r>
        <w:rPr>
          <w:rFonts w:asciiTheme="minorHAnsi" w:hAnsiTheme="minorHAnsi"/>
          <w:sz w:val="24"/>
        </w:rPr>
        <w:tab/>
        <w:t>The HCA will assess ALL</w:t>
      </w:r>
      <w:r w:rsidR="002A188D">
        <w:rPr>
          <w:rFonts w:asciiTheme="minorHAnsi" w:hAnsiTheme="minorHAnsi"/>
          <w:sz w:val="24"/>
        </w:rPr>
        <w:t xml:space="preserve"> surplus property to establish which are</w:t>
      </w:r>
      <w:r>
        <w:rPr>
          <w:rFonts w:asciiTheme="minorHAnsi" w:hAnsiTheme="minorHAnsi"/>
          <w:sz w:val="24"/>
        </w:rPr>
        <w:t xml:space="preserve"> </w:t>
      </w:r>
      <w:r w:rsidRPr="00E63772">
        <w:rPr>
          <w:rFonts w:asciiTheme="minorHAnsi" w:hAnsiTheme="minorHAnsi"/>
          <w:sz w:val="24"/>
          <w:u w:val="single"/>
        </w:rPr>
        <w:t>out of scope</w:t>
      </w:r>
      <w:r>
        <w:rPr>
          <w:rFonts w:asciiTheme="minorHAnsi" w:hAnsiTheme="minorHAnsi"/>
          <w:sz w:val="24"/>
        </w:rPr>
        <w:t xml:space="preserve"> for transfer to the HCA</w:t>
      </w:r>
      <w:r w:rsidR="000C1202">
        <w:rPr>
          <w:rFonts w:asciiTheme="minorHAnsi" w:hAnsiTheme="minorHAnsi"/>
          <w:sz w:val="24"/>
        </w:rPr>
        <w:t>, according to the following</w:t>
      </w:r>
      <w:r>
        <w:rPr>
          <w:rFonts w:asciiTheme="minorHAnsi" w:hAnsiTheme="minorHAnsi"/>
          <w:sz w:val="24"/>
        </w:rPr>
        <w:t>:-</w:t>
      </w:r>
    </w:p>
    <w:p w:rsidR="0024793C" w:rsidRDefault="0024793C" w:rsidP="0024793C">
      <w:pPr>
        <w:pStyle w:val="ListParagraph"/>
        <w:numPr>
          <w:ilvl w:val="0"/>
          <w:numId w:val="2"/>
        </w:numPr>
        <w:rPr>
          <w:rFonts w:asciiTheme="minorHAnsi" w:hAnsiTheme="minorHAnsi"/>
          <w:sz w:val="24"/>
        </w:rPr>
      </w:pPr>
      <w:r>
        <w:rPr>
          <w:rFonts w:asciiTheme="minorHAnsi" w:hAnsiTheme="minorHAnsi"/>
          <w:sz w:val="24"/>
        </w:rPr>
        <w:t>Land / Properties located outside of England</w:t>
      </w:r>
    </w:p>
    <w:p w:rsidR="0024793C" w:rsidRDefault="0024793C" w:rsidP="0024793C">
      <w:pPr>
        <w:pStyle w:val="ListParagraph"/>
        <w:numPr>
          <w:ilvl w:val="0"/>
          <w:numId w:val="2"/>
        </w:numPr>
        <w:rPr>
          <w:rFonts w:asciiTheme="minorHAnsi" w:hAnsiTheme="minorHAnsi"/>
          <w:sz w:val="24"/>
        </w:rPr>
      </w:pPr>
      <w:r>
        <w:rPr>
          <w:rFonts w:asciiTheme="minorHAnsi" w:hAnsiTheme="minorHAnsi"/>
          <w:sz w:val="24"/>
        </w:rPr>
        <w:t>Land / Properties located within London</w:t>
      </w:r>
    </w:p>
    <w:p w:rsidR="00B010D6" w:rsidRPr="0037445C" w:rsidRDefault="0037445C" w:rsidP="0024793C">
      <w:pPr>
        <w:pStyle w:val="ListParagraph"/>
        <w:numPr>
          <w:ilvl w:val="0"/>
          <w:numId w:val="2"/>
        </w:numPr>
        <w:rPr>
          <w:rFonts w:asciiTheme="minorHAnsi" w:hAnsiTheme="minorHAnsi"/>
          <w:sz w:val="24"/>
        </w:rPr>
      </w:pPr>
      <w:r w:rsidRPr="0037445C">
        <w:rPr>
          <w:rFonts w:asciiTheme="minorHAnsi" w:hAnsiTheme="minorHAnsi"/>
          <w:sz w:val="24"/>
        </w:rPr>
        <w:t xml:space="preserve">MoD, </w:t>
      </w:r>
      <w:r w:rsidR="002A188D" w:rsidRPr="0037445C">
        <w:rPr>
          <w:rFonts w:asciiTheme="minorHAnsi" w:hAnsiTheme="minorHAnsi"/>
          <w:sz w:val="24"/>
        </w:rPr>
        <w:t xml:space="preserve">NHS </w:t>
      </w:r>
      <w:r w:rsidR="00651109" w:rsidRPr="0037445C">
        <w:rPr>
          <w:rFonts w:asciiTheme="minorHAnsi" w:hAnsiTheme="minorHAnsi"/>
          <w:sz w:val="24"/>
        </w:rPr>
        <w:t xml:space="preserve">Trust </w:t>
      </w:r>
      <w:r w:rsidR="002A188D" w:rsidRPr="0037445C">
        <w:rPr>
          <w:rFonts w:asciiTheme="minorHAnsi" w:hAnsiTheme="minorHAnsi"/>
          <w:sz w:val="24"/>
        </w:rPr>
        <w:t xml:space="preserve">properties </w:t>
      </w:r>
      <w:r w:rsidRPr="0037445C">
        <w:rPr>
          <w:rFonts w:asciiTheme="minorHAnsi" w:hAnsiTheme="minorHAnsi"/>
          <w:sz w:val="24"/>
        </w:rPr>
        <w:t xml:space="preserve">and the Public Forest Estate </w:t>
      </w:r>
      <w:r w:rsidR="002A188D" w:rsidRPr="0037445C">
        <w:rPr>
          <w:rFonts w:asciiTheme="minorHAnsi" w:hAnsiTheme="minorHAnsi"/>
          <w:sz w:val="24"/>
        </w:rPr>
        <w:t>are not subject to transfer</w:t>
      </w:r>
      <w:r w:rsidRPr="0037445C">
        <w:rPr>
          <w:rFonts w:asciiTheme="minorHAnsi" w:hAnsiTheme="minorHAnsi"/>
          <w:sz w:val="24"/>
        </w:rPr>
        <w:t>.</w:t>
      </w:r>
    </w:p>
    <w:p w:rsidR="0024793C" w:rsidRDefault="000D4E41" w:rsidP="0024793C">
      <w:pPr>
        <w:ind w:left="567" w:hanging="567"/>
        <w:rPr>
          <w:rFonts w:asciiTheme="minorHAnsi" w:hAnsiTheme="minorHAnsi"/>
          <w:sz w:val="24"/>
        </w:rPr>
      </w:pPr>
      <w:r>
        <w:rPr>
          <w:rFonts w:asciiTheme="minorHAnsi" w:hAnsiTheme="minorHAnsi"/>
          <w:sz w:val="24"/>
        </w:rPr>
        <w:t>2.4</w:t>
      </w:r>
      <w:r>
        <w:rPr>
          <w:rFonts w:asciiTheme="minorHAnsi" w:hAnsiTheme="minorHAnsi"/>
          <w:sz w:val="24"/>
        </w:rPr>
        <w:tab/>
        <w:t>S</w:t>
      </w:r>
      <w:r w:rsidR="0024793C">
        <w:rPr>
          <w:rFonts w:asciiTheme="minorHAnsi" w:hAnsiTheme="minorHAnsi"/>
          <w:sz w:val="24"/>
        </w:rPr>
        <w:t xml:space="preserve">urplus land and property </w:t>
      </w:r>
      <w:r>
        <w:rPr>
          <w:rFonts w:asciiTheme="minorHAnsi" w:hAnsiTheme="minorHAnsi"/>
          <w:sz w:val="24"/>
        </w:rPr>
        <w:t xml:space="preserve">which commenced the disposal process prior to 1 April 2015 may be and </w:t>
      </w:r>
      <w:r w:rsidR="0024793C">
        <w:rPr>
          <w:rFonts w:asciiTheme="minorHAnsi" w:hAnsiTheme="minorHAnsi"/>
          <w:sz w:val="24"/>
        </w:rPr>
        <w:t>may not be suitable for statut</w:t>
      </w:r>
      <w:r w:rsidR="00F93C66">
        <w:rPr>
          <w:rFonts w:asciiTheme="minorHAnsi" w:hAnsiTheme="minorHAnsi"/>
          <w:sz w:val="24"/>
        </w:rPr>
        <w:t xml:space="preserve">ory transfer to the HCA. These </w:t>
      </w:r>
      <w:r w:rsidR="0024793C">
        <w:rPr>
          <w:rFonts w:asciiTheme="minorHAnsi" w:hAnsiTheme="minorHAnsi"/>
          <w:sz w:val="24"/>
        </w:rPr>
        <w:t xml:space="preserve">“well advanced” sites will have achieved one of the following disposal milestones:- </w:t>
      </w:r>
    </w:p>
    <w:p w:rsidR="0024793C" w:rsidRDefault="00F93C66" w:rsidP="0024793C">
      <w:pPr>
        <w:pStyle w:val="ListParagraph"/>
        <w:numPr>
          <w:ilvl w:val="0"/>
          <w:numId w:val="3"/>
        </w:numPr>
        <w:rPr>
          <w:rFonts w:asciiTheme="minorHAnsi" w:hAnsiTheme="minorHAnsi"/>
          <w:sz w:val="24"/>
        </w:rPr>
      </w:pPr>
      <w:r>
        <w:rPr>
          <w:rFonts w:asciiTheme="minorHAnsi" w:hAnsiTheme="minorHAnsi"/>
          <w:sz w:val="24"/>
        </w:rPr>
        <w:t>Concluded marketing with viable / acceptable offers received</w:t>
      </w:r>
    </w:p>
    <w:p w:rsidR="00F93C66" w:rsidRDefault="00F93C66" w:rsidP="0024793C">
      <w:pPr>
        <w:pStyle w:val="ListParagraph"/>
        <w:numPr>
          <w:ilvl w:val="0"/>
          <w:numId w:val="3"/>
        </w:numPr>
        <w:rPr>
          <w:rFonts w:asciiTheme="minorHAnsi" w:hAnsiTheme="minorHAnsi"/>
          <w:sz w:val="24"/>
        </w:rPr>
      </w:pPr>
      <w:r>
        <w:rPr>
          <w:rFonts w:asciiTheme="minorHAnsi" w:hAnsiTheme="minorHAnsi"/>
          <w:sz w:val="24"/>
        </w:rPr>
        <w:t>OJEU procurement process commenced</w:t>
      </w:r>
    </w:p>
    <w:p w:rsidR="00F93C66" w:rsidRDefault="00F93C66" w:rsidP="0024793C">
      <w:pPr>
        <w:pStyle w:val="ListParagraph"/>
        <w:numPr>
          <w:ilvl w:val="0"/>
          <w:numId w:val="3"/>
        </w:numPr>
        <w:rPr>
          <w:rFonts w:asciiTheme="minorHAnsi" w:hAnsiTheme="minorHAnsi"/>
          <w:sz w:val="24"/>
        </w:rPr>
      </w:pPr>
      <w:r>
        <w:rPr>
          <w:rFonts w:asciiTheme="minorHAnsi" w:hAnsiTheme="minorHAnsi"/>
          <w:sz w:val="24"/>
        </w:rPr>
        <w:t>Development partner or preferred bidder selected</w:t>
      </w:r>
    </w:p>
    <w:p w:rsidR="00F93C66" w:rsidRDefault="00F93C66" w:rsidP="0024793C">
      <w:pPr>
        <w:pStyle w:val="ListParagraph"/>
        <w:numPr>
          <w:ilvl w:val="0"/>
          <w:numId w:val="3"/>
        </w:numPr>
        <w:rPr>
          <w:rFonts w:asciiTheme="minorHAnsi" w:hAnsiTheme="minorHAnsi"/>
          <w:sz w:val="24"/>
        </w:rPr>
      </w:pPr>
      <w:r>
        <w:rPr>
          <w:rFonts w:asciiTheme="minorHAnsi" w:hAnsiTheme="minorHAnsi"/>
          <w:sz w:val="24"/>
        </w:rPr>
        <w:t>Site forms part of an existing contractual arrangement with third parties including existing joint ventures</w:t>
      </w:r>
    </w:p>
    <w:p w:rsidR="00F93C66" w:rsidRDefault="00F93C66" w:rsidP="0024793C">
      <w:pPr>
        <w:pStyle w:val="ListParagraph"/>
        <w:numPr>
          <w:ilvl w:val="0"/>
          <w:numId w:val="3"/>
        </w:numPr>
        <w:rPr>
          <w:rFonts w:asciiTheme="minorHAnsi" w:hAnsiTheme="minorHAnsi"/>
          <w:sz w:val="24"/>
        </w:rPr>
      </w:pPr>
      <w:r>
        <w:rPr>
          <w:rFonts w:asciiTheme="minorHAnsi" w:hAnsiTheme="minorHAnsi"/>
          <w:sz w:val="24"/>
        </w:rPr>
        <w:t>Sale contracts exchanged</w:t>
      </w:r>
    </w:p>
    <w:p w:rsidR="00E63772" w:rsidRDefault="00944605" w:rsidP="00C54C5B">
      <w:pPr>
        <w:ind w:left="567"/>
        <w:rPr>
          <w:rFonts w:asciiTheme="minorHAnsi" w:hAnsiTheme="minorHAnsi"/>
          <w:sz w:val="24"/>
        </w:rPr>
      </w:pPr>
      <w:r>
        <w:rPr>
          <w:rFonts w:asciiTheme="minorHAnsi" w:hAnsiTheme="minorHAnsi"/>
          <w:sz w:val="24"/>
        </w:rPr>
        <w:lastRenderedPageBreak/>
        <w:t xml:space="preserve">NB – sites that have been marketed unsuccessfully will be within scope for transfer. </w:t>
      </w:r>
    </w:p>
    <w:p w:rsidR="00944605" w:rsidRDefault="00944605" w:rsidP="00E63772">
      <w:pPr>
        <w:rPr>
          <w:rFonts w:asciiTheme="minorHAnsi" w:hAnsiTheme="minorHAnsi"/>
          <w:sz w:val="24"/>
        </w:rPr>
      </w:pPr>
    </w:p>
    <w:p w:rsidR="004E40F9" w:rsidRDefault="004E40F9" w:rsidP="004E40F9">
      <w:pPr>
        <w:ind w:left="567"/>
        <w:rPr>
          <w:rFonts w:asciiTheme="minorHAnsi" w:hAnsiTheme="minorHAnsi"/>
          <w:sz w:val="24"/>
        </w:rPr>
      </w:pPr>
      <w:r>
        <w:rPr>
          <w:rFonts w:asciiTheme="minorHAnsi" w:hAnsiTheme="minorHAnsi"/>
          <w:sz w:val="24"/>
        </w:rPr>
        <w:t>For each site which is deemed to be “well advanced” the land holding department will be required to provide evidence of the status to the HCA.</w:t>
      </w:r>
    </w:p>
    <w:p w:rsidR="004E40F9" w:rsidRDefault="004E40F9" w:rsidP="004E40F9">
      <w:pPr>
        <w:ind w:left="567"/>
        <w:rPr>
          <w:rFonts w:asciiTheme="minorHAnsi" w:hAnsiTheme="minorHAnsi"/>
          <w:sz w:val="24"/>
        </w:rPr>
      </w:pPr>
    </w:p>
    <w:p w:rsidR="00E63772" w:rsidRPr="00E63772" w:rsidRDefault="000D4E41" w:rsidP="00E63772">
      <w:pPr>
        <w:ind w:left="567"/>
        <w:rPr>
          <w:rFonts w:asciiTheme="minorHAnsi" w:hAnsiTheme="minorHAnsi"/>
          <w:sz w:val="24"/>
        </w:rPr>
      </w:pPr>
      <w:r>
        <w:rPr>
          <w:rFonts w:asciiTheme="minorHAnsi" w:hAnsiTheme="minorHAnsi"/>
          <w:sz w:val="24"/>
        </w:rPr>
        <w:t>From 1</w:t>
      </w:r>
      <w:r>
        <w:rPr>
          <w:rFonts w:asciiTheme="minorHAnsi" w:hAnsiTheme="minorHAnsi"/>
          <w:sz w:val="24"/>
          <w:vertAlign w:val="superscript"/>
        </w:rPr>
        <w:t xml:space="preserve"> </w:t>
      </w:r>
      <w:r>
        <w:rPr>
          <w:rFonts w:asciiTheme="minorHAnsi" w:hAnsiTheme="minorHAnsi"/>
          <w:sz w:val="24"/>
        </w:rPr>
        <w:t xml:space="preserve">April 2015 onwards, the marketing/disposal process </w:t>
      </w:r>
      <w:r w:rsidR="00E63772">
        <w:rPr>
          <w:rFonts w:asciiTheme="minorHAnsi" w:hAnsiTheme="minorHAnsi"/>
          <w:sz w:val="24"/>
        </w:rPr>
        <w:t xml:space="preserve">should not have commenced the initial </w:t>
      </w:r>
      <w:r w:rsidR="002A188D">
        <w:rPr>
          <w:rFonts w:asciiTheme="minorHAnsi" w:hAnsiTheme="minorHAnsi"/>
          <w:sz w:val="24"/>
        </w:rPr>
        <w:t xml:space="preserve">assessment / </w:t>
      </w:r>
      <w:r w:rsidR="00E63772">
        <w:rPr>
          <w:rFonts w:asciiTheme="minorHAnsi" w:hAnsiTheme="minorHAnsi"/>
          <w:sz w:val="24"/>
        </w:rPr>
        <w:t xml:space="preserve">filter process </w:t>
      </w:r>
      <w:r w:rsidR="002A188D">
        <w:rPr>
          <w:rFonts w:asciiTheme="minorHAnsi" w:hAnsiTheme="minorHAnsi"/>
          <w:sz w:val="24"/>
        </w:rPr>
        <w:t xml:space="preserve">or </w:t>
      </w:r>
      <w:r w:rsidR="00211FA0">
        <w:rPr>
          <w:rFonts w:asciiTheme="minorHAnsi" w:hAnsiTheme="minorHAnsi"/>
          <w:sz w:val="24"/>
        </w:rPr>
        <w:t xml:space="preserve">being declared surplus on the </w:t>
      </w:r>
      <w:r w:rsidR="002B18DD">
        <w:rPr>
          <w:rFonts w:asciiTheme="minorHAnsi" w:hAnsiTheme="minorHAnsi"/>
          <w:sz w:val="24"/>
        </w:rPr>
        <w:t xml:space="preserve">Register of </w:t>
      </w:r>
      <w:r w:rsidR="00E63772">
        <w:rPr>
          <w:rFonts w:asciiTheme="minorHAnsi" w:hAnsiTheme="minorHAnsi"/>
          <w:sz w:val="24"/>
        </w:rPr>
        <w:t>Sur</w:t>
      </w:r>
      <w:r w:rsidR="002B18DD">
        <w:rPr>
          <w:rFonts w:asciiTheme="minorHAnsi" w:hAnsiTheme="minorHAnsi"/>
          <w:sz w:val="24"/>
        </w:rPr>
        <w:t>plus Public Sector Land</w:t>
      </w:r>
      <w:r w:rsidR="00211FA0">
        <w:rPr>
          <w:rFonts w:asciiTheme="minorHAnsi" w:hAnsiTheme="minorHAnsi"/>
          <w:sz w:val="24"/>
        </w:rPr>
        <w:t>, part of the e-PIMS (electronic Property Management Information Mapping Service) maintained by Cabinet Office.</w:t>
      </w:r>
      <w:r w:rsidR="00E63772">
        <w:rPr>
          <w:rFonts w:asciiTheme="minorHAnsi" w:hAnsiTheme="minorHAnsi"/>
          <w:sz w:val="24"/>
        </w:rPr>
        <w:t xml:space="preserve"> </w:t>
      </w:r>
    </w:p>
    <w:p w:rsidR="00F93C66" w:rsidRDefault="00F93C66" w:rsidP="00F93C66">
      <w:pPr>
        <w:ind w:left="1287" w:hanging="567"/>
        <w:rPr>
          <w:rFonts w:asciiTheme="minorHAnsi" w:hAnsiTheme="minorHAnsi"/>
          <w:sz w:val="24"/>
        </w:rPr>
      </w:pPr>
    </w:p>
    <w:p w:rsidR="00211FA0" w:rsidRDefault="00F93C66" w:rsidP="0024793C">
      <w:pPr>
        <w:ind w:left="567" w:hanging="567"/>
        <w:rPr>
          <w:rFonts w:asciiTheme="minorHAnsi" w:hAnsiTheme="minorHAnsi"/>
          <w:sz w:val="24"/>
        </w:rPr>
      </w:pPr>
      <w:r>
        <w:rPr>
          <w:rFonts w:asciiTheme="minorHAnsi" w:hAnsiTheme="minorHAnsi"/>
          <w:sz w:val="24"/>
        </w:rPr>
        <w:t>2.5</w:t>
      </w:r>
      <w:r>
        <w:rPr>
          <w:rFonts w:asciiTheme="minorHAnsi" w:hAnsiTheme="minorHAnsi"/>
          <w:sz w:val="24"/>
        </w:rPr>
        <w:tab/>
      </w:r>
      <w:r w:rsidR="00211FA0">
        <w:rPr>
          <w:rFonts w:asciiTheme="minorHAnsi" w:hAnsiTheme="minorHAnsi"/>
          <w:sz w:val="24"/>
        </w:rPr>
        <w:t>The HCA will be re</w:t>
      </w:r>
      <w:r w:rsidR="00FF484C">
        <w:rPr>
          <w:rFonts w:asciiTheme="minorHAnsi" w:hAnsiTheme="minorHAnsi"/>
          <w:sz w:val="24"/>
        </w:rPr>
        <w:t>sponsible for carrying out the i</w:t>
      </w:r>
      <w:r w:rsidR="00211FA0">
        <w:rPr>
          <w:rFonts w:asciiTheme="minorHAnsi" w:hAnsiTheme="minorHAnsi"/>
          <w:sz w:val="24"/>
        </w:rPr>
        <w:t xml:space="preserve">nitial </w:t>
      </w:r>
      <w:r w:rsidR="00FF484C">
        <w:rPr>
          <w:rFonts w:asciiTheme="minorHAnsi" w:hAnsiTheme="minorHAnsi"/>
          <w:sz w:val="24"/>
        </w:rPr>
        <w:t xml:space="preserve">assessment </w:t>
      </w:r>
      <w:r w:rsidR="002A188D">
        <w:rPr>
          <w:rFonts w:asciiTheme="minorHAnsi" w:hAnsiTheme="minorHAnsi"/>
          <w:sz w:val="24"/>
        </w:rPr>
        <w:t xml:space="preserve">/ </w:t>
      </w:r>
      <w:r w:rsidR="00FF484C">
        <w:rPr>
          <w:rFonts w:asciiTheme="minorHAnsi" w:hAnsiTheme="minorHAnsi"/>
          <w:sz w:val="24"/>
        </w:rPr>
        <w:t>filter</w:t>
      </w:r>
      <w:r w:rsidR="00211FA0">
        <w:rPr>
          <w:rFonts w:asciiTheme="minorHAnsi" w:hAnsiTheme="minorHAnsi"/>
          <w:sz w:val="24"/>
        </w:rPr>
        <w:t xml:space="preserve"> Process based on information contained with e-PIMS. It is in the interest of land holding departments to ensure up to date information is contained within e-PIMS to allow a quick </w:t>
      </w:r>
      <w:r w:rsidR="00435409">
        <w:rPr>
          <w:rFonts w:asciiTheme="minorHAnsi" w:hAnsiTheme="minorHAnsi"/>
          <w:sz w:val="24"/>
        </w:rPr>
        <w:t>decision can be made on those sites which are not</w:t>
      </w:r>
      <w:r w:rsidR="00211FA0">
        <w:rPr>
          <w:rFonts w:asciiTheme="minorHAnsi" w:hAnsiTheme="minorHAnsi"/>
          <w:sz w:val="24"/>
        </w:rPr>
        <w:t xml:space="preserve"> suitable for statutory transfer.</w:t>
      </w:r>
    </w:p>
    <w:p w:rsidR="00211FA0" w:rsidRDefault="00211FA0" w:rsidP="0024793C">
      <w:pPr>
        <w:ind w:left="567" w:hanging="567"/>
        <w:rPr>
          <w:rFonts w:asciiTheme="minorHAnsi" w:hAnsiTheme="minorHAnsi"/>
          <w:sz w:val="24"/>
        </w:rPr>
      </w:pPr>
    </w:p>
    <w:p w:rsidR="00FF484C" w:rsidRPr="00FF484C" w:rsidRDefault="00B010D6" w:rsidP="00FF484C">
      <w:pPr>
        <w:ind w:left="567" w:hanging="567"/>
        <w:rPr>
          <w:rFonts w:asciiTheme="minorHAnsi" w:hAnsiTheme="minorHAnsi"/>
          <w:sz w:val="24"/>
        </w:rPr>
      </w:pPr>
      <w:r>
        <w:rPr>
          <w:rFonts w:asciiTheme="minorHAnsi" w:hAnsiTheme="minorHAnsi"/>
          <w:sz w:val="24"/>
        </w:rPr>
        <w:t>2.6</w:t>
      </w:r>
      <w:r w:rsidR="002B18DD">
        <w:rPr>
          <w:rFonts w:asciiTheme="minorHAnsi" w:hAnsiTheme="minorHAnsi"/>
          <w:sz w:val="24"/>
        </w:rPr>
        <w:tab/>
        <w:t xml:space="preserve">A wide cross section of government bodies are mandated to use e-PIMS and the Register of Surplus Public Sector Land. Once the disposing body has declared a site surplus and provided details for inclusion on the Register, there is a 40 working day window </w:t>
      </w:r>
      <w:r w:rsidR="002A188D">
        <w:rPr>
          <w:rFonts w:asciiTheme="minorHAnsi" w:hAnsiTheme="minorHAnsi"/>
          <w:sz w:val="24"/>
        </w:rPr>
        <w:t xml:space="preserve">for public sector agencies and departments to identify new uses for this land. On expiry of this period the disposing body can advertise the site on the open market. </w:t>
      </w:r>
      <w:r w:rsidR="00FF484C">
        <w:rPr>
          <w:rFonts w:asciiTheme="minorHAnsi" w:hAnsiTheme="minorHAnsi"/>
          <w:sz w:val="24"/>
        </w:rPr>
        <w:t xml:space="preserve">(There is separate guidance from the GPU on free schools). </w:t>
      </w:r>
    </w:p>
    <w:p w:rsidR="002A188D" w:rsidRDefault="002A188D" w:rsidP="00156534">
      <w:pPr>
        <w:ind w:left="567" w:hanging="567"/>
        <w:rPr>
          <w:rFonts w:asciiTheme="minorHAnsi" w:hAnsiTheme="minorHAnsi"/>
          <w:sz w:val="24"/>
        </w:rPr>
      </w:pPr>
    </w:p>
    <w:p w:rsidR="002B18DD" w:rsidRDefault="00B010D6" w:rsidP="00156534">
      <w:pPr>
        <w:ind w:left="567" w:hanging="567"/>
        <w:rPr>
          <w:rFonts w:asciiTheme="minorHAnsi" w:hAnsiTheme="minorHAnsi"/>
          <w:sz w:val="24"/>
        </w:rPr>
      </w:pPr>
      <w:r>
        <w:rPr>
          <w:rFonts w:asciiTheme="minorHAnsi" w:hAnsiTheme="minorHAnsi"/>
          <w:sz w:val="24"/>
        </w:rPr>
        <w:t>2.7</w:t>
      </w:r>
      <w:r w:rsidR="00435409">
        <w:rPr>
          <w:rFonts w:asciiTheme="minorHAnsi" w:hAnsiTheme="minorHAnsi"/>
          <w:sz w:val="24"/>
        </w:rPr>
        <w:tab/>
      </w:r>
      <w:r w:rsidR="002B18DD">
        <w:rPr>
          <w:rFonts w:asciiTheme="minorHAnsi" w:hAnsiTheme="minorHAnsi"/>
          <w:sz w:val="24"/>
        </w:rPr>
        <w:t xml:space="preserve">The </w:t>
      </w:r>
      <w:r w:rsidR="00FF484C">
        <w:rPr>
          <w:rFonts w:asciiTheme="minorHAnsi" w:hAnsiTheme="minorHAnsi"/>
          <w:sz w:val="24"/>
        </w:rPr>
        <w:t>i</w:t>
      </w:r>
      <w:r w:rsidR="002B18DD">
        <w:rPr>
          <w:rFonts w:asciiTheme="minorHAnsi" w:hAnsiTheme="minorHAnsi"/>
          <w:sz w:val="24"/>
        </w:rPr>
        <w:t xml:space="preserve">nitial </w:t>
      </w:r>
      <w:r w:rsidR="00FF484C">
        <w:rPr>
          <w:rFonts w:asciiTheme="minorHAnsi" w:hAnsiTheme="minorHAnsi"/>
          <w:sz w:val="24"/>
        </w:rPr>
        <w:t xml:space="preserve">assessment </w:t>
      </w:r>
      <w:r w:rsidR="00435409">
        <w:rPr>
          <w:rFonts w:asciiTheme="minorHAnsi" w:hAnsiTheme="minorHAnsi"/>
          <w:sz w:val="24"/>
        </w:rPr>
        <w:t xml:space="preserve">/ </w:t>
      </w:r>
      <w:r w:rsidR="00FF484C">
        <w:rPr>
          <w:rFonts w:asciiTheme="minorHAnsi" w:hAnsiTheme="minorHAnsi"/>
          <w:sz w:val="24"/>
        </w:rPr>
        <w:t>filter</w:t>
      </w:r>
      <w:r w:rsidR="002B18DD">
        <w:rPr>
          <w:rFonts w:asciiTheme="minorHAnsi" w:hAnsiTheme="minorHAnsi"/>
          <w:sz w:val="24"/>
        </w:rPr>
        <w:t xml:space="preserve"> process will work </w:t>
      </w:r>
      <w:r w:rsidR="00435409">
        <w:rPr>
          <w:rFonts w:asciiTheme="minorHAnsi" w:hAnsiTheme="minorHAnsi"/>
          <w:sz w:val="24"/>
        </w:rPr>
        <w:t>wi</w:t>
      </w:r>
      <w:r w:rsidR="009374B3">
        <w:rPr>
          <w:rFonts w:asciiTheme="minorHAnsi" w:hAnsiTheme="minorHAnsi"/>
          <w:sz w:val="24"/>
        </w:rPr>
        <w:t>thin the Registers</w:t>
      </w:r>
      <w:r w:rsidR="00435409">
        <w:rPr>
          <w:rFonts w:asciiTheme="minorHAnsi" w:hAnsiTheme="minorHAnsi"/>
          <w:sz w:val="24"/>
        </w:rPr>
        <w:t xml:space="preserve"> existing 40 working day window:-</w:t>
      </w:r>
    </w:p>
    <w:p w:rsidR="00435409" w:rsidRDefault="00435409" w:rsidP="00156534">
      <w:pPr>
        <w:ind w:left="567" w:hanging="567"/>
        <w:rPr>
          <w:rFonts w:asciiTheme="minorHAnsi" w:hAnsiTheme="minorHAnsi"/>
          <w:sz w:val="24"/>
        </w:rPr>
      </w:pPr>
      <w:r>
        <w:rPr>
          <w:rFonts w:asciiTheme="minorHAnsi" w:hAnsiTheme="minorHAnsi"/>
          <w:sz w:val="24"/>
        </w:rPr>
        <w:tab/>
      </w:r>
    </w:p>
    <w:p w:rsidR="009374B3" w:rsidRPr="009374B3" w:rsidRDefault="00435409" w:rsidP="00156534">
      <w:pPr>
        <w:ind w:left="567" w:hanging="567"/>
        <w:rPr>
          <w:rFonts w:asciiTheme="minorHAnsi" w:hAnsiTheme="minorHAnsi"/>
          <w:b/>
          <w:i/>
          <w:sz w:val="24"/>
        </w:rPr>
      </w:pPr>
      <w:r>
        <w:rPr>
          <w:rFonts w:asciiTheme="minorHAnsi" w:hAnsiTheme="minorHAnsi"/>
          <w:sz w:val="24"/>
        </w:rPr>
        <w:tab/>
      </w:r>
      <w:r w:rsidR="000023F3" w:rsidRPr="009374B3">
        <w:rPr>
          <w:rFonts w:asciiTheme="minorHAnsi" w:hAnsiTheme="minorHAnsi"/>
          <w:b/>
          <w:i/>
          <w:sz w:val="24"/>
        </w:rPr>
        <w:t xml:space="preserve">Within 40 days of </w:t>
      </w:r>
      <w:r w:rsidRPr="009374B3">
        <w:rPr>
          <w:rFonts w:asciiTheme="minorHAnsi" w:hAnsiTheme="minorHAnsi"/>
          <w:b/>
          <w:i/>
          <w:sz w:val="24"/>
        </w:rPr>
        <w:t xml:space="preserve">a freehold asset or long leasehold interest exceeding 99 years being placed upon the Register of Surplus Public Sector Land </w:t>
      </w:r>
      <w:r w:rsidR="000023F3" w:rsidRPr="009374B3">
        <w:rPr>
          <w:rFonts w:asciiTheme="minorHAnsi" w:hAnsiTheme="minorHAnsi"/>
          <w:b/>
          <w:i/>
          <w:sz w:val="24"/>
        </w:rPr>
        <w:t xml:space="preserve">or declared surplus within e-PIMS, </w:t>
      </w:r>
      <w:r w:rsidR="000C1202">
        <w:rPr>
          <w:rFonts w:asciiTheme="minorHAnsi" w:hAnsiTheme="minorHAnsi"/>
          <w:b/>
          <w:i/>
          <w:sz w:val="24"/>
        </w:rPr>
        <w:t>t</w:t>
      </w:r>
      <w:r w:rsidR="000023F3" w:rsidRPr="009374B3">
        <w:rPr>
          <w:rFonts w:asciiTheme="minorHAnsi" w:hAnsiTheme="minorHAnsi"/>
          <w:b/>
          <w:i/>
          <w:sz w:val="24"/>
        </w:rPr>
        <w:t>he Homes and Communities Agency will complete an initial assessment to d</w:t>
      </w:r>
      <w:r w:rsidR="009374B3" w:rsidRPr="009374B3">
        <w:rPr>
          <w:rFonts w:asciiTheme="minorHAnsi" w:hAnsiTheme="minorHAnsi"/>
          <w:b/>
          <w:i/>
          <w:sz w:val="24"/>
        </w:rPr>
        <w:t>etermine whether the property may be</w:t>
      </w:r>
      <w:r w:rsidR="000023F3" w:rsidRPr="009374B3">
        <w:rPr>
          <w:rFonts w:asciiTheme="minorHAnsi" w:hAnsiTheme="minorHAnsi"/>
          <w:b/>
          <w:i/>
          <w:sz w:val="24"/>
        </w:rPr>
        <w:t xml:space="preserve"> suitable for transfer. </w:t>
      </w:r>
    </w:p>
    <w:p w:rsidR="009374B3" w:rsidRPr="009374B3" w:rsidRDefault="009374B3" w:rsidP="00156534">
      <w:pPr>
        <w:ind w:left="567" w:hanging="567"/>
        <w:rPr>
          <w:rFonts w:asciiTheme="minorHAnsi" w:hAnsiTheme="minorHAnsi"/>
          <w:b/>
          <w:i/>
          <w:sz w:val="24"/>
        </w:rPr>
      </w:pPr>
    </w:p>
    <w:p w:rsidR="009374B3" w:rsidRPr="009374B3" w:rsidRDefault="005A11E5" w:rsidP="009374B3">
      <w:pPr>
        <w:ind w:left="567"/>
        <w:rPr>
          <w:rFonts w:asciiTheme="minorHAnsi" w:hAnsiTheme="minorHAnsi"/>
          <w:b/>
          <w:i/>
          <w:sz w:val="24"/>
        </w:rPr>
      </w:pPr>
      <w:r w:rsidRPr="009374B3">
        <w:rPr>
          <w:rFonts w:asciiTheme="minorHAnsi" w:hAnsiTheme="minorHAnsi"/>
          <w:b/>
          <w:i/>
          <w:sz w:val="24"/>
        </w:rPr>
        <w:t xml:space="preserve">The 40 working day window will commence from receipt of a redline boundary plan or inclusion on the </w:t>
      </w:r>
      <w:r w:rsidR="009374B3" w:rsidRPr="009374B3">
        <w:rPr>
          <w:rFonts w:asciiTheme="minorHAnsi" w:hAnsiTheme="minorHAnsi"/>
          <w:b/>
          <w:i/>
          <w:sz w:val="24"/>
        </w:rPr>
        <w:t>Register whichever is the lat</w:t>
      </w:r>
      <w:r w:rsidRPr="009374B3">
        <w:rPr>
          <w:rFonts w:asciiTheme="minorHAnsi" w:hAnsiTheme="minorHAnsi"/>
          <w:b/>
          <w:i/>
          <w:sz w:val="24"/>
        </w:rPr>
        <w:t xml:space="preserve">er. </w:t>
      </w:r>
      <w:r w:rsidR="004E5FB4">
        <w:rPr>
          <w:rFonts w:asciiTheme="minorHAnsi" w:hAnsiTheme="minorHAnsi"/>
          <w:b/>
          <w:i/>
          <w:sz w:val="24"/>
        </w:rPr>
        <w:t>The 40 day window may be extended where the land holding department has provided insufficient information to allow a reasonable assessment of development potential to take place.</w:t>
      </w:r>
    </w:p>
    <w:p w:rsidR="009374B3" w:rsidRPr="009374B3" w:rsidRDefault="009374B3" w:rsidP="009374B3">
      <w:pPr>
        <w:ind w:left="567"/>
        <w:rPr>
          <w:rFonts w:asciiTheme="minorHAnsi" w:hAnsiTheme="minorHAnsi"/>
          <w:b/>
          <w:i/>
          <w:sz w:val="24"/>
        </w:rPr>
      </w:pPr>
    </w:p>
    <w:p w:rsidR="00435409" w:rsidRDefault="00AF1627" w:rsidP="009374B3">
      <w:pPr>
        <w:ind w:left="567"/>
        <w:rPr>
          <w:rFonts w:asciiTheme="minorHAnsi" w:hAnsiTheme="minorHAnsi"/>
          <w:b/>
          <w:i/>
          <w:sz w:val="24"/>
        </w:rPr>
      </w:pPr>
      <w:r w:rsidRPr="009374B3">
        <w:rPr>
          <w:rFonts w:asciiTheme="minorHAnsi" w:hAnsiTheme="minorHAnsi"/>
          <w:b/>
          <w:i/>
          <w:sz w:val="24"/>
        </w:rPr>
        <w:t>Upon expiry of 40 working day window the HCA will confirm to the land owning department whether a site is</w:t>
      </w:r>
      <w:r w:rsidR="0093205C">
        <w:rPr>
          <w:rFonts w:asciiTheme="minorHAnsi" w:hAnsiTheme="minorHAnsi"/>
          <w:b/>
          <w:i/>
          <w:sz w:val="24"/>
        </w:rPr>
        <w:t xml:space="preserve"> potentially</w:t>
      </w:r>
      <w:r w:rsidRPr="009374B3">
        <w:rPr>
          <w:rFonts w:asciiTheme="minorHAnsi" w:hAnsiTheme="minorHAnsi"/>
          <w:b/>
          <w:i/>
          <w:sz w:val="24"/>
        </w:rPr>
        <w:t xml:space="preserve"> suitable for transfer</w:t>
      </w:r>
      <w:r w:rsidR="009374B3" w:rsidRPr="009374B3">
        <w:rPr>
          <w:rFonts w:asciiTheme="minorHAnsi" w:hAnsiTheme="minorHAnsi"/>
          <w:b/>
          <w:i/>
          <w:sz w:val="24"/>
        </w:rPr>
        <w:t xml:space="preserve"> and </w:t>
      </w:r>
      <w:r w:rsidR="0093205C">
        <w:rPr>
          <w:rFonts w:asciiTheme="minorHAnsi" w:hAnsiTheme="minorHAnsi"/>
          <w:b/>
          <w:i/>
          <w:sz w:val="24"/>
        </w:rPr>
        <w:t xml:space="preserve">should be </w:t>
      </w:r>
      <w:r w:rsidR="009374B3" w:rsidRPr="009374B3">
        <w:rPr>
          <w:rFonts w:asciiTheme="minorHAnsi" w:hAnsiTheme="minorHAnsi"/>
          <w:b/>
          <w:i/>
          <w:sz w:val="24"/>
        </w:rPr>
        <w:t>subject to further detailed due diligence</w:t>
      </w:r>
      <w:r w:rsidRPr="009374B3">
        <w:rPr>
          <w:rFonts w:asciiTheme="minorHAnsi" w:hAnsiTheme="minorHAnsi"/>
          <w:b/>
          <w:i/>
          <w:sz w:val="24"/>
        </w:rPr>
        <w:t>. Where properties do not meet the criteria</w:t>
      </w:r>
      <w:r w:rsidR="009374B3" w:rsidRPr="009374B3">
        <w:rPr>
          <w:rFonts w:asciiTheme="minorHAnsi" w:hAnsiTheme="minorHAnsi"/>
          <w:b/>
          <w:i/>
          <w:sz w:val="24"/>
        </w:rPr>
        <w:t xml:space="preserve"> for transfer the land holding department may commence marketing of the property in the open market.</w:t>
      </w:r>
    </w:p>
    <w:p w:rsidR="004E40F9" w:rsidRDefault="004E40F9" w:rsidP="009374B3">
      <w:pPr>
        <w:ind w:left="567"/>
        <w:rPr>
          <w:rFonts w:asciiTheme="minorHAnsi" w:hAnsiTheme="minorHAnsi"/>
          <w:b/>
          <w:i/>
          <w:sz w:val="24"/>
        </w:rPr>
      </w:pPr>
    </w:p>
    <w:p w:rsidR="004E40F9" w:rsidRPr="009374B3" w:rsidRDefault="004E40F9" w:rsidP="009374B3">
      <w:pPr>
        <w:ind w:left="567"/>
        <w:rPr>
          <w:rFonts w:asciiTheme="minorHAnsi" w:hAnsiTheme="minorHAnsi"/>
          <w:b/>
          <w:i/>
          <w:sz w:val="24"/>
        </w:rPr>
      </w:pPr>
      <w:r>
        <w:rPr>
          <w:rFonts w:asciiTheme="minorHAnsi" w:hAnsiTheme="minorHAnsi"/>
          <w:b/>
          <w:i/>
          <w:sz w:val="24"/>
        </w:rPr>
        <w:lastRenderedPageBreak/>
        <w:t xml:space="preserve">Surplus land and buildings should be recorded on e-PIMS at the earliest opportunity. An automated notification of new surplus sites added to e-PIMS will </w:t>
      </w:r>
      <w:r w:rsidR="0093205C">
        <w:rPr>
          <w:rFonts w:asciiTheme="minorHAnsi" w:hAnsiTheme="minorHAnsi"/>
          <w:b/>
          <w:i/>
          <w:sz w:val="24"/>
        </w:rPr>
        <w:t xml:space="preserve">be </w:t>
      </w:r>
      <w:r>
        <w:rPr>
          <w:rFonts w:asciiTheme="minorHAnsi" w:hAnsiTheme="minorHAnsi"/>
          <w:b/>
          <w:i/>
          <w:sz w:val="24"/>
        </w:rPr>
        <w:t>sent to the HCA. Where a surplus site is not included on e-PIMS it is the responsibility of land holding departments to notify the HCA at the earliest opportunity and in advance of any marketing.</w:t>
      </w:r>
    </w:p>
    <w:p w:rsidR="0024793C" w:rsidRDefault="0024793C" w:rsidP="0024793C">
      <w:pPr>
        <w:ind w:left="567" w:hanging="567"/>
        <w:rPr>
          <w:rFonts w:asciiTheme="minorHAnsi" w:hAnsiTheme="minorHAnsi"/>
          <w:sz w:val="24"/>
        </w:rPr>
      </w:pPr>
    </w:p>
    <w:p w:rsidR="004E40F9" w:rsidRPr="004E40F9" w:rsidRDefault="004E40F9" w:rsidP="0024793C">
      <w:pPr>
        <w:ind w:left="567" w:hanging="567"/>
        <w:rPr>
          <w:rFonts w:asciiTheme="minorHAnsi" w:hAnsiTheme="minorHAnsi"/>
          <w:b/>
          <w:sz w:val="24"/>
        </w:rPr>
      </w:pPr>
      <w:r>
        <w:rPr>
          <w:rFonts w:asciiTheme="minorHAnsi" w:hAnsiTheme="minorHAnsi"/>
          <w:b/>
          <w:sz w:val="24"/>
        </w:rPr>
        <w:t>3</w:t>
      </w:r>
      <w:r>
        <w:rPr>
          <w:rFonts w:asciiTheme="minorHAnsi" w:hAnsiTheme="minorHAnsi"/>
          <w:b/>
          <w:sz w:val="24"/>
        </w:rPr>
        <w:tab/>
        <w:t>Statutory Transfers</w:t>
      </w:r>
    </w:p>
    <w:p w:rsidR="0024793C" w:rsidRDefault="0024793C" w:rsidP="003D2EA9">
      <w:pPr>
        <w:ind w:left="567" w:hanging="567"/>
        <w:rPr>
          <w:rFonts w:asciiTheme="minorHAnsi" w:hAnsiTheme="minorHAnsi"/>
          <w:sz w:val="24"/>
        </w:rPr>
      </w:pPr>
    </w:p>
    <w:p w:rsidR="001C0BD1" w:rsidRDefault="001C0BD1" w:rsidP="003D2EA9">
      <w:pPr>
        <w:ind w:left="567" w:hanging="567"/>
        <w:rPr>
          <w:rFonts w:asciiTheme="minorHAnsi" w:hAnsiTheme="minorHAnsi"/>
          <w:sz w:val="24"/>
        </w:rPr>
      </w:pPr>
      <w:r>
        <w:rPr>
          <w:rFonts w:asciiTheme="minorHAnsi" w:hAnsiTheme="minorHAnsi"/>
          <w:sz w:val="24"/>
        </w:rPr>
        <w:t>3.1</w:t>
      </w:r>
      <w:r>
        <w:rPr>
          <w:rFonts w:asciiTheme="minorHAnsi" w:hAnsiTheme="minorHAnsi"/>
          <w:sz w:val="24"/>
        </w:rPr>
        <w:tab/>
        <w:t xml:space="preserve">Surplus land and buildings which are assessed as </w:t>
      </w:r>
      <w:r w:rsidR="0093205C">
        <w:rPr>
          <w:rFonts w:asciiTheme="minorHAnsi" w:hAnsiTheme="minorHAnsi"/>
          <w:sz w:val="24"/>
        </w:rPr>
        <w:t xml:space="preserve">potentially </w:t>
      </w:r>
      <w:r>
        <w:rPr>
          <w:rFonts w:asciiTheme="minorHAnsi" w:hAnsiTheme="minorHAnsi"/>
          <w:sz w:val="24"/>
        </w:rPr>
        <w:t>suitable for transfer to the HCA will be subject to a twelve week due dil</w:t>
      </w:r>
      <w:r w:rsidR="009202A3">
        <w:rPr>
          <w:rFonts w:asciiTheme="minorHAnsi" w:hAnsiTheme="minorHAnsi"/>
          <w:sz w:val="24"/>
        </w:rPr>
        <w:t>igence period</w:t>
      </w:r>
      <w:r>
        <w:rPr>
          <w:rFonts w:asciiTheme="minorHAnsi" w:hAnsiTheme="minorHAnsi"/>
          <w:sz w:val="24"/>
        </w:rPr>
        <w:t xml:space="preserve">. The twelve week period will commence after notification to the land holding department that a site is </w:t>
      </w:r>
      <w:r w:rsidR="0093205C">
        <w:rPr>
          <w:rFonts w:asciiTheme="minorHAnsi" w:hAnsiTheme="minorHAnsi"/>
          <w:sz w:val="24"/>
        </w:rPr>
        <w:t xml:space="preserve">potentially </w:t>
      </w:r>
      <w:r>
        <w:rPr>
          <w:rFonts w:asciiTheme="minorHAnsi" w:hAnsiTheme="minorHAnsi"/>
          <w:sz w:val="24"/>
        </w:rPr>
        <w:t>suitable for transfer and where a red line boundary plan has been provided. If no such plan is available the commencement of the twelve week period will be deferred until receipt of the redline boundary plan from the land holding department.</w:t>
      </w:r>
    </w:p>
    <w:p w:rsidR="001C0BD1" w:rsidRDefault="001C0BD1" w:rsidP="003D2EA9">
      <w:pPr>
        <w:ind w:left="567" w:hanging="567"/>
        <w:rPr>
          <w:rFonts w:asciiTheme="minorHAnsi" w:hAnsiTheme="minorHAnsi"/>
          <w:sz w:val="24"/>
        </w:rPr>
      </w:pPr>
    </w:p>
    <w:p w:rsidR="001C0BD1" w:rsidRDefault="001C0BD1" w:rsidP="003D2EA9">
      <w:pPr>
        <w:ind w:left="567" w:hanging="567"/>
        <w:rPr>
          <w:rFonts w:asciiTheme="minorHAnsi" w:hAnsiTheme="minorHAnsi"/>
          <w:sz w:val="24"/>
        </w:rPr>
      </w:pPr>
      <w:r>
        <w:rPr>
          <w:rFonts w:asciiTheme="minorHAnsi" w:hAnsiTheme="minorHAnsi"/>
          <w:sz w:val="24"/>
        </w:rPr>
        <w:t>3.2</w:t>
      </w:r>
      <w:r>
        <w:rPr>
          <w:rFonts w:asciiTheme="minorHAnsi" w:hAnsiTheme="minorHAnsi"/>
          <w:sz w:val="24"/>
        </w:rPr>
        <w:tab/>
      </w:r>
      <w:r w:rsidR="009202A3">
        <w:rPr>
          <w:rFonts w:asciiTheme="minorHAnsi" w:hAnsiTheme="minorHAnsi"/>
          <w:sz w:val="24"/>
        </w:rPr>
        <w:t>The extent of due diligence will vary dependent upon the value of the property. For higher value properties due diligence may include:-</w:t>
      </w:r>
    </w:p>
    <w:p w:rsidR="009202A3" w:rsidRDefault="009202A3" w:rsidP="003D2EA9">
      <w:pPr>
        <w:ind w:left="567" w:hanging="567"/>
        <w:rPr>
          <w:rFonts w:asciiTheme="minorHAnsi" w:hAnsiTheme="minorHAnsi"/>
          <w:sz w:val="24"/>
        </w:rPr>
      </w:pPr>
    </w:p>
    <w:p w:rsidR="009202A3" w:rsidRPr="00694973" w:rsidRDefault="009202A3" w:rsidP="009202A3">
      <w:pPr>
        <w:pStyle w:val="ListParagraph"/>
        <w:numPr>
          <w:ilvl w:val="0"/>
          <w:numId w:val="7"/>
        </w:numPr>
        <w:spacing w:line="288" w:lineRule="auto"/>
        <w:jc w:val="both"/>
        <w:rPr>
          <w:rFonts w:asciiTheme="minorHAnsi" w:hAnsiTheme="minorHAnsi" w:cs="Arial"/>
          <w:sz w:val="24"/>
        </w:rPr>
      </w:pPr>
      <w:r w:rsidRPr="00694973">
        <w:rPr>
          <w:rFonts w:asciiTheme="minorHAnsi" w:hAnsiTheme="minorHAnsi" w:cs="Arial"/>
          <w:sz w:val="24"/>
        </w:rPr>
        <w:t xml:space="preserve">Independent </w:t>
      </w:r>
      <w:r w:rsidR="00FF484C">
        <w:rPr>
          <w:rFonts w:asciiTheme="minorHAnsi" w:hAnsiTheme="minorHAnsi" w:cs="Arial"/>
          <w:sz w:val="24"/>
        </w:rPr>
        <w:t>current m</w:t>
      </w:r>
      <w:r w:rsidRPr="00694973">
        <w:rPr>
          <w:rFonts w:asciiTheme="minorHAnsi" w:hAnsiTheme="minorHAnsi" w:cs="Arial"/>
          <w:sz w:val="24"/>
        </w:rPr>
        <w:t xml:space="preserve">arket valuation conducted by jointly-appointed third-party valuer. </w:t>
      </w:r>
    </w:p>
    <w:p w:rsidR="009202A3" w:rsidRPr="009202A3" w:rsidRDefault="009202A3" w:rsidP="009202A3">
      <w:pPr>
        <w:pStyle w:val="ListParagraph"/>
        <w:numPr>
          <w:ilvl w:val="0"/>
          <w:numId w:val="7"/>
        </w:numPr>
        <w:spacing w:line="288" w:lineRule="auto"/>
        <w:jc w:val="both"/>
        <w:rPr>
          <w:rFonts w:asciiTheme="minorHAnsi" w:hAnsiTheme="minorHAnsi" w:cs="Arial"/>
          <w:i/>
          <w:sz w:val="18"/>
          <w:szCs w:val="18"/>
        </w:rPr>
      </w:pPr>
      <w:r w:rsidRPr="00694973">
        <w:rPr>
          <w:rFonts w:asciiTheme="minorHAnsi" w:hAnsiTheme="minorHAnsi" w:cs="Arial"/>
          <w:sz w:val="24"/>
        </w:rPr>
        <w:t>Jointly-appointed technical due diligence</w:t>
      </w:r>
      <w:r w:rsidRPr="009202A3">
        <w:rPr>
          <w:rFonts w:asciiTheme="minorHAnsi" w:hAnsiTheme="minorHAnsi" w:cs="Arial"/>
          <w:sz w:val="22"/>
          <w:szCs w:val="22"/>
        </w:rPr>
        <w:t xml:space="preserve"> </w:t>
      </w:r>
      <w:r w:rsidRPr="009202A3">
        <w:rPr>
          <w:rFonts w:asciiTheme="minorHAnsi" w:hAnsiTheme="minorHAnsi" w:cs="Arial"/>
          <w:i/>
          <w:sz w:val="18"/>
          <w:szCs w:val="18"/>
        </w:rPr>
        <w:t>(eg environmental, H&amp;S, development and building issues)</w:t>
      </w:r>
    </w:p>
    <w:p w:rsidR="009202A3" w:rsidRPr="009202A3" w:rsidRDefault="009202A3" w:rsidP="009202A3">
      <w:pPr>
        <w:pStyle w:val="ListParagraph"/>
        <w:numPr>
          <w:ilvl w:val="0"/>
          <w:numId w:val="7"/>
        </w:numPr>
        <w:tabs>
          <w:tab w:val="num" w:pos="567"/>
        </w:tabs>
        <w:spacing w:line="288" w:lineRule="auto"/>
        <w:jc w:val="both"/>
        <w:rPr>
          <w:rFonts w:asciiTheme="minorHAnsi" w:hAnsiTheme="minorHAnsi" w:cs="Arial"/>
          <w:i/>
          <w:sz w:val="18"/>
          <w:szCs w:val="18"/>
        </w:rPr>
      </w:pPr>
      <w:r w:rsidRPr="00694973">
        <w:rPr>
          <w:rFonts w:asciiTheme="minorHAnsi" w:hAnsiTheme="minorHAnsi" w:cs="Arial"/>
          <w:sz w:val="24"/>
        </w:rPr>
        <w:t>Legal due diligence</w:t>
      </w:r>
      <w:r w:rsidRPr="009202A3">
        <w:rPr>
          <w:rFonts w:asciiTheme="minorHAnsi" w:hAnsiTheme="minorHAnsi" w:cs="Arial"/>
          <w:i/>
          <w:sz w:val="18"/>
          <w:szCs w:val="18"/>
        </w:rPr>
        <w:t xml:space="preserve"> (review site info, title check, contracts review)</w:t>
      </w:r>
      <w:r w:rsidRPr="009202A3">
        <w:rPr>
          <w:rFonts w:asciiTheme="minorHAnsi" w:hAnsiTheme="minorHAnsi" w:cs="Arial"/>
          <w:sz w:val="18"/>
          <w:szCs w:val="18"/>
        </w:rPr>
        <w:t xml:space="preserve"> </w:t>
      </w:r>
    </w:p>
    <w:p w:rsidR="009202A3" w:rsidRPr="00EA0272" w:rsidRDefault="009202A3" w:rsidP="003D2EA9">
      <w:pPr>
        <w:ind w:left="567" w:hanging="567"/>
        <w:rPr>
          <w:rFonts w:asciiTheme="minorHAnsi" w:hAnsiTheme="minorHAnsi"/>
          <w:sz w:val="24"/>
        </w:rPr>
      </w:pPr>
    </w:p>
    <w:p w:rsidR="00B4593E" w:rsidRPr="0022624F" w:rsidRDefault="00B4593E" w:rsidP="00694973">
      <w:pPr>
        <w:ind w:left="720" w:hanging="720"/>
        <w:jc w:val="both"/>
        <w:rPr>
          <w:rFonts w:cs="Arial"/>
          <w:sz w:val="24"/>
        </w:rPr>
      </w:pPr>
      <w:r>
        <w:rPr>
          <w:rFonts w:asciiTheme="minorHAnsi" w:hAnsiTheme="minorHAnsi"/>
          <w:sz w:val="24"/>
        </w:rPr>
        <w:t>3.3</w:t>
      </w:r>
      <w:r>
        <w:rPr>
          <w:rFonts w:asciiTheme="minorHAnsi" w:hAnsiTheme="minorHAnsi"/>
          <w:sz w:val="24"/>
        </w:rPr>
        <w:tab/>
      </w:r>
      <w:r w:rsidRPr="0022624F">
        <w:rPr>
          <w:rFonts w:asciiTheme="minorHAnsi" w:hAnsiTheme="minorHAnsi" w:cs="Arial"/>
          <w:sz w:val="24"/>
        </w:rPr>
        <w:t>A schedule for transferring land will be ag</w:t>
      </w:r>
      <w:r w:rsidR="00694973" w:rsidRPr="0022624F">
        <w:rPr>
          <w:rFonts w:asciiTheme="minorHAnsi" w:hAnsiTheme="minorHAnsi" w:cs="Arial"/>
          <w:sz w:val="24"/>
        </w:rPr>
        <w:t xml:space="preserve">reed by HCA and the land holding department and </w:t>
      </w:r>
      <w:r w:rsidRPr="0022624F">
        <w:rPr>
          <w:rFonts w:asciiTheme="minorHAnsi" w:hAnsiTheme="minorHAnsi" w:cs="Arial"/>
          <w:sz w:val="24"/>
        </w:rPr>
        <w:t>a transfer scheme setting out the land to be transferred, and a date by which this will happen</w:t>
      </w:r>
      <w:r w:rsidR="00694973" w:rsidRPr="0022624F">
        <w:rPr>
          <w:rFonts w:asciiTheme="minorHAnsi" w:hAnsiTheme="minorHAnsi" w:cs="Arial"/>
          <w:sz w:val="24"/>
        </w:rPr>
        <w:t xml:space="preserve"> will be drafted and</w:t>
      </w:r>
      <w:r w:rsidRPr="0022624F">
        <w:rPr>
          <w:rFonts w:asciiTheme="minorHAnsi" w:hAnsiTheme="minorHAnsi" w:cs="Arial"/>
          <w:sz w:val="24"/>
        </w:rPr>
        <w:t xml:space="preserve"> signed by the Minister or a delegated SCS i</w:t>
      </w:r>
      <w:r w:rsidR="00694973" w:rsidRPr="0022624F">
        <w:rPr>
          <w:rFonts w:asciiTheme="minorHAnsi" w:hAnsiTheme="minorHAnsi" w:cs="Arial"/>
          <w:sz w:val="24"/>
        </w:rPr>
        <w:t xml:space="preserve">n the </w:t>
      </w:r>
      <w:r w:rsidR="008D56CE" w:rsidRPr="0022624F">
        <w:rPr>
          <w:rFonts w:asciiTheme="minorHAnsi" w:hAnsiTheme="minorHAnsi" w:cs="Arial"/>
          <w:sz w:val="24"/>
        </w:rPr>
        <w:t>Department for Communities and Local Government</w:t>
      </w:r>
      <w:r w:rsidR="00694973" w:rsidRPr="0022624F">
        <w:rPr>
          <w:rFonts w:asciiTheme="minorHAnsi" w:hAnsiTheme="minorHAnsi" w:cs="Arial"/>
          <w:sz w:val="24"/>
        </w:rPr>
        <w:t xml:space="preserve">. The site </w:t>
      </w:r>
      <w:r w:rsidRPr="0022624F">
        <w:rPr>
          <w:rFonts w:asciiTheme="minorHAnsi" w:hAnsiTheme="minorHAnsi" w:cs="Arial"/>
          <w:sz w:val="24"/>
        </w:rPr>
        <w:t>legally transfers to the HCA, either immediately or at an agreed future date. The transfer sch</w:t>
      </w:r>
      <w:r w:rsidR="00694973" w:rsidRPr="0022624F">
        <w:rPr>
          <w:rFonts w:asciiTheme="minorHAnsi" w:hAnsiTheme="minorHAnsi" w:cs="Arial"/>
          <w:sz w:val="24"/>
        </w:rPr>
        <w:t>eme can include multiple sites and v</w:t>
      </w:r>
      <w:r w:rsidRPr="0022624F">
        <w:rPr>
          <w:rFonts w:asciiTheme="minorHAnsi" w:hAnsiTheme="minorHAnsi" w:cs="Arial"/>
          <w:sz w:val="24"/>
        </w:rPr>
        <w:t>acant possession is assumed</w:t>
      </w:r>
      <w:r w:rsidRPr="0022624F">
        <w:rPr>
          <w:rFonts w:cs="Arial"/>
          <w:sz w:val="24"/>
        </w:rPr>
        <w:t>.</w:t>
      </w:r>
    </w:p>
    <w:p w:rsidR="003D2EA9" w:rsidRDefault="003D2EA9" w:rsidP="00B4593E">
      <w:pPr>
        <w:ind w:left="567" w:hanging="567"/>
        <w:rPr>
          <w:rFonts w:asciiTheme="minorHAnsi" w:hAnsiTheme="minorHAnsi"/>
          <w:sz w:val="24"/>
        </w:rPr>
      </w:pPr>
    </w:p>
    <w:p w:rsidR="003D2EA9" w:rsidRPr="00271A5F" w:rsidRDefault="003D2EA9" w:rsidP="00271A5F">
      <w:pPr>
        <w:rPr>
          <w:rFonts w:asciiTheme="minorHAnsi" w:hAnsiTheme="minorHAnsi"/>
          <w:sz w:val="24"/>
        </w:rPr>
      </w:pPr>
    </w:p>
    <w:p w:rsidR="00260093" w:rsidRPr="00260093" w:rsidRDefault="00260093" w:rsidP="00260093"/>
    <w:sectPr w:rsidR="00260093" w:rsidRPr="00260093" w:rsidSect="005C4D90">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AD" w:rsidRDefault="009505AD" w:rsidP="00FD218D">
      <w:r>
        <w:separator/>
      </w:r>
    </w:p>
  </w:endnote>
  <w:endnote w:type="continuationSeparator" w:id="0">
    <w:p w:rsidR="009505AD" w:rsidRDefault="009505AD" w:rsidP="00FD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0" w:rsidRDefault="000C2C10">
    <w:pPr>
      <w:pStyle w:val="Footer"/>
    </w:pPr>
    <w:bookmarkStart w:id="1" w:name="aliashAdvancedFooterprot1FooterEvenPages"/>
  </w:p>
  <w:bookmarkEnd w:id="1"/>
  <w:p w:rsidR="000C2C10" w:rsidRDefault="000C2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5037"/>
      <w:docPartObj>
        <w:docPartGallery w:val="Page Numbers (Bottom of Page)"/>
        <w:docPartUnique/>
      </w:docPartObj>
    </w:sdtPr>
    <w:sdtEndPr>
      <w:rPr>
        <w:noProof/>
      </w:rPr>
    </w:sdtEndPr>
    <w:sdtContent>
      <w:p w:rsidR="00B010D6" w:rsidRDefault="00B010D6">
        <w:pPr>
          <w:pStyle w:val="Footer"/>
          <w:jc w:val="right"/>
        </w:pPr>
        <w:r>
          <w:fldChar w:fldCharType="begin"/>
        </w:r>
        <w:r>
          <w:instrText xml:space="preserve"> PAGE   \* MERGEFORMAT </w:instrText>
        </w:r>
        <w:r>
          <w:fldChar w:fldCharType="separate"/>
        </w:r>
        <w:r w:rsidR="00BA1B2F">
          <w:rPr>
            <w:noProof/>
          </w:rPr>
          <w:t>1</w:t>
        </w:r>
        <w:r>
          <w:rPr>
            <w:noProof/>
          </w:rPr>
          <w:fldChar w:fldCharType="end"/>
        </w:r>
      </w:p>
    </w:sdtContent>
  </w:sdt>
  <w:p w:rsidR="000C2C10" w:rsidRDefault="000C2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0" w:rsidRDefault="000C2C10">
    <w:pPr>
      <w:pStyle w:val="Footer"/>
    </w:pPr>
    <w:bookmarkStart w:id="2" w:name="aliashAdvancedFooterprot1FooterFirstPage"/>
  </w:p>
  <w:bookmarkEnd w:id="2"/>
  <w:p w:rsidR="000C2C10" w:rsidRDefault="000C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AD" w:rsidRDefault="009505AD" w:rsidP="00FD218D">
      <w:r>
        <w:separator/>
      </w:r>
    </w:p>
  </w:footnote>
  <w:footnote w:type="continuationSeparator" w:id="0">
    <w:p w:rsidR="009505AD" w:rsidRDefault="009505AD" w:rsidP="00FD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61" w:rsidRDefault="00EB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61" w:rsidRDefault="00EB5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61" w:rsidRDefault="00EB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4C20"/>
    <w:multiLevelType w:val="multilevel"/>
    <w:tmpl w:val="4D308F5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2965C5"/>
    <w:multiLevelType w:val="hybridMultilevel"/>
    <w:tmpl w:val="15D4C7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915197B"/>
    <w:multiLevelType w:val="hybridMultilevel"/>
    <w:tmpl w:val="24EE4ABC"/>
    <w:lvl w:ilvl="0" w:tplc="70F62D7E">
      <w:start w:val="1"/>
      <w:numFmt w:val="lowerRoman"/>
      <w:lvlText w:val="(%1)"/>
      <w:lvlJc w:val="left"/>
      <w:pPr>
        <w:tabs>
          <w:tab w:val="num" w:pos="1260"/>
        </w:tabs>
        <w:ind w:left="1260" w:hanging="360"/>
      </w:pPr>
      <w:rPr>
        <w:rFonts w:ascii="Times New Roman" w:eastAsia="Times New Roman" w:hAnsi="Times New Roman" w:cs="Times New Roman"/>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4441513"/>
    <w:multiLevelType w:val="hybridMultilevel"/>
    <w:tmpl w:val="D62E2A16"/>
    <w:lvl w:ilvl="0" w:tplc="EC040344">
      <w:start w:val="1"/>
      <w:numFmt w:val="decimal"/>
      <w:lvlText w:val="%1."/>
      <w:lvlJc w:val="left"/>
      <w:pPr>
        <w:tabs>
          <w:tab w:val="num" w:pos="720"/>
        </w:tabs>
        <w:ind w:left="720" w:hanging="360"/>
      </w:pPr>
      <w:rPr>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6D3EF8"/>
    <w:multiLevelType w:val="hybridMultilevel"/>
    <w:tmpl w:val="006C9CD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EF21845"/>
    <w:multiLevelType w:val="hybridMultilevel"/>
    <w:tmpl w:val="9F50618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60626EB"/>
    <w:multiLevelType w:val="hybridMultilevel"/>
    <w:tmpl w:val="52D2CA92"/>
    <w:lvl w:ilvl="0" w:tplc="D73225BE">
      <w:start w:val="1"/>
      <w:numFmt w:val="upperRoman"/>
      <w:lvlText w:val="%1."/>
      <w:lvlJc w:val="right"/>
      <w:pPr>
        <w:ind w:left="1285" w:hanging="180"/>
      </w:pPr>
      <w:rPr>
        <w:i w:val="0"/>
      </w:rPr>
    </w:lvl>
    <w:lvl w:ilvl="1" w:tplc="08090019" w:tentative="1">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abstractNum w:abstractNumId="7">
    <w:nsid w:val="78B3365B"/>
    <w:multiLevelType w:val="hybridMultilevel"/>
    <w:tmpl w:val="042A182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93"/>
    <w:rsid w:val="000023F3"/>
    <w:rsid w:val="00032DD4"/>
    <w:rsid w:val="000A3638"/>
    <w:rsid w:val="000C1202"/>
    <w:rsid w:val="000C19CD"/>
    <w:rsid w:val="000C2C10"/>
    <w:rsid w:val="000D4E41"/>
    <w:rsid w:val="000D63DC"/>
    <w:rsid w:val="000E0BF9"/>
    <w:rsid w:val="00155A89"/>
    <w:rsid w:val="00156534"/>
    <w:rsid w:val="001C0BD1"/>
    <w:rsid w:val="001C1235"/>
    <w:rsid w:val="001C3D01"/>
    <w:rsid w:val="002033B9"/>
    <w:rsid w:val="00211FA0"/>
    <w:rsid w:val="0022624F"/>
    <w:rsid w:val="0024793C"/>
    <w:rsid w:val="00260093"/>
    <w:rsid w:val="00271A5F"/>
    <w:rsid w:val="002A188D"/>
    <w:rsid w:val="002B18DD"/>
    <w:rsid w:val="00345B6F"/>
    <w:rsid w:val="0037445C"/>
    <w:rsid w:val="003B6E54"/>
    <w:rsid w:val="003D2EA9"/>
    <w:rsid w:val="0042052C"/>
    <w:rsid w:val="004247EC"/>
    <w:rsid w:val="00435409"/>
    <w:rsid w:val="00455705"/>
    <w:rsid w:val="0046488C"/>
    <w:rsid w:val="00465C64"/>
    <w:rsid w:val="004845F2"/>
    <w:rsid w:val="004E3DD8"/>
    <w:rsid w:val="004E40F9"/>
    <w:rsid w:val="004E5FB4"/>
    <w:rsid w:val="004F3228"/>
    <w:rsid w:val="005A11E5"/>
    <w:rsid w:val="005B1760"/>
    <w:rsid w:val="005B684A"/>
    <w:rsid w:val="005C4D90"/>
    <w:rsid w:val="005D0CFE"/>
    <w:rsid w:val="00604BA4"/>
    <w:rsid w:val="00651109"/>
    <w:rsid w:val="00661A61"/>
    <w:rsid w:val="00673C3A"/>
    <w:rsid w:val="006913B3"/>
    <w:rsid w:val="00694973"/>
    <w:rsid w:val="00694BE1"/>
    <w:rsid w:val="006A1FC6"/>
    <w:rsid w:val="006D0B6E"/>
    <w:rsid w:val="006F2AD3"/>
    <w:rsid w:val="00717510"/>
    <w:rsid w:val="007242AA"/>
    <w:rsid w:val="00736BAD"/>
    <w:rsid w:val="007912EC"/>
    <w:rsid w:val="007A0C34"/>
    <w:rsid w:val="007D1FE9"/>
    <w:rsid w:val="008753E9"/>
    <w:rsid w:val="008D56CE"/>
    <w:rsid w:val="008F3BC0"/>
    <w:rsid w:val="009176A3"/>
    <w:rsid w:val="009202A3"/>
    <w:rsid w:val="0093205C"/>
    <w:rsid w:val="009374B3"/>
    <w:rsid w:val="00940322"/>
    <w:rsid w:val="00944605"/>
    <w:rsid w:val="009505AD"/>
    <w:rsid w:val="009B3E68"/>
    <w:rsid w:val="009D5569"/>
    <w:rsid w:val="00A66C7D"/>
    <w:rsid w:val="00A71B6A"/>
    <w:rsid w:val="00AC6757"/>
    <w:rsid w:val="00AF1627"/>
    <w:rsid w:val="00B010D6"/>
    <w:rsid w:val="00B4593E"/>
    <w:rsid w:val="00B75FFF"/>
    <w:rsid w:val="00BA1B2F"/>
    <w:rsid w:val="00BE26F9"/>
    <w:rsid w:val="00BF6371"/>
    <w:rsid w:val="00C54C5B"/>
    <w:rsid w:val="00C82B7D"/>
    <w:rsid w:val="00CB561B"/>
    <w:rsid w:val="00CD1AF7"/>
    <w:rsid w:val="00CD208E"/>
    <w:rsid w:val="00CE7ADD"/>
    <w:rsid w:val="00D44E0F"/>
    <w:rsid w:val="00D65DFA"/>
    <w:rsid w:val="00D67A29"/>
    <w:rsid w:val="00E14B98"/>
    <w:rsid w:val="00E319F2"/>
    <w:rsid w:val="00E400BE"/>
    <w:rsid w:val="00E40FE2"/>
    <w:rsid w:val="00E63772"/>
    <w:rsid w:val="00EA0272"/>
    <w:rsid w:val="00EB5861"/>
    <w:rsid w:val="00EC3E33"/>
    <w:rsid w:val="00ED69AA"/>
    <w:rsid w:val="00EF7977"/>
    <w:rsid w:val="00F0758D"/>
    <w:rsid w:val="00F5190E"/>
    <w:rsid w:val="00F93C66"/>
    <w:rsid w:val="00FA61BE"/>
    <w:rsid w:val="00FC4529"/>
    <w:rsid w:val="00FD218D"/>
    <w:rsid w:val="00FE73D5"/>
    <w:rsid w:val="00FE7744"/>
    <w:rsid w:val="00FF3057"/>
    <w:rsid w:val="00FF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093"/>
  </w:style>
  <w:style w:type="paragraph" w:styleId="ListParagraph">
    <w:name w:val="List Paragraph"/>
    <w:basedOn w:val="Normal"/>
    <w:uiPriority w:val="34"/>
    <w:qFormat/>
    <w:rsid w:val="003D2EA9"/>
    <w:pPr>
      <w:ind w:left="720"/>
      <w:contextualSpacing/>
    </w:pPr>
  </w:style>
  <w:style w:type="character" w:styleId="CommentReference">
    <w:name w:val="annotation reference"/>
    <w:basedOn w:val="DefaultParagraphFont"/>
    <w:rsid w:val="00FD218D"/>
    <w:rPr>
      <w:sz w:val="16"/>
      <w:szCs w:val="16"/>
    </w:rPr>
  </w:style>
  <w:style w:type="paragraph" w:styleId="CommentText">
    <w:name w:val="annotation text"/>
    <w:basedOn w:val="Normal"/>
    <w:link w:val="CommentTextChar"/>
    <w:rsid w:val="00FD218D"/>
    <w:rPr>
      <w:szCs w:val="20"/>
    </w:rPr>
  </w:style>
  <w:style w:type="character" w:customStyle="1" w:styleId="CommentTextChar">
    <w:name w:val="Comment Text Char"/>
    <w:basedOn w:val="DefaultParagraphFont"/>
    <w:link w:val="CommentText"/>
    <w:rsid w:val="00FD218D"/>
    <w:rPr>
      <w:szCs w:val="20"/>
    </w:rPr>
  </w:style>
  <w:style w:type="paragraph" w:styleId="CommentSubject">
    <w:name w:val="annotation subject"/>
    <w:basedOn w:val="CommentText"/>
    <w:next w:val="CommentText"/>
    <w:link w:val="CommentSubjectChar"/>
    <w:rsid w:val="00FD218D"/>
    <w:rPr>
      <w:b/>
      <w:bCs/>
    </w:rPr>
  </w:style>
  <w:style w:type="character" w:customStyle="1" w:styleId="CommentSubjectChar">
    <w:name w:val="Comment Subject Char"/>
    <w:basedOn w:val="CommentTextChar"/>
    <w:link w:val="CommentSubject"/>
    <w:rsid w:val="00FD218D"/>
    <w:rPr>
      <w:b/>
      <w:bCs/>
      <w:szCs w:val="20"/>
    </w:rPr>
  </w:style>
  <w:style w:type="paragraph" w:styleId="BalloonText">
    <w:name w:val="Balloon Text"/>
    <w:basedOn w:val="Normal"/>
    <w:link w:val="BalloonTextChar"/>
    <w:rsid w:val="00FD218D"/>
    <w:rPr>
      <w:rFonts w:ascii="Tahoma" w:hAnsi="Tahoma" w:cs="Tahoma"/>
      <w:sz w:val="16"/>
      <w:szCs w:val="16"/>
    </w:rPr>
  </w:style>
  <w:style w:type="character" w:customStyle="1" w:styleId="BalloonTextChar">
    <w:name w:val="Balloon Text Char"/>
    <w:basedOn w:val="DefaultParagraphFont"/>
    <w:link w:val="BalloonText"/>
    <w:rsid w:val="00FD218D"/>
    <w:rPr>
      <w:rFonts w:ascii="Tahoma" w:hAnsi="Tahoma" w:cs="Tahoma"/>
      <w:sz w:val="16"/>
      <w:szCs w:val="16"/>
    </w:rPr>
  </w:style>
  <w:style w:type="paragraph" w:styleId="Header">
    <w:name w:val="header"/>
    <w:basedOn w:val="Normal"/>
    <w:link w:val="HeaderChar"/>
    <w:rsid w:val="00FD218D"/>
    <w:pPr>
      <w:tabs>
        <w:tab w:val="center" w:pos="4513"/>
        <w:tab w:val="right" w:pos="9026"/>
      </w:tabs>
    </w:pPr>
  </w:style>
  <w:style w:type="character" w:customStyle="1" w:styleId="HeaderChar">
    <w:name w:val="Header Char"/>
    <w:basedOn w:val="DefaultParagraphFont"/>
    <w:link w:val="Header"/>
    <w:rsid w:val="00FD218D"/>
  </w:style>
  <w:style w:type="paragraph" w:styleId="Footer">
    <w:name w:val="footer"/>
    <w:basedOn w:val="Normal"/>
    <w:link w:val="FooterChar"/>
    <w:uiPriority w:val="99"/>
    <w:rsid w:val="00FD218D"/>
    <w:pPr>
      <w:tabs>
        <w:tab w:val="center" w:pos="4513"/>
        <w:tab w:val="right" w:pos="9026"/>
      </w:tabs>
    </w:pPr>
  </w:style>
  <w:style w:type="character" w:customStyle="1" w:styleId="FooterChar">
    <w:name w:val="Footer Char"/>
    <w:basedOn w:val="DefaultParagraphFont"/>
    <w:link w:val="Footer"/>
    <w:uiPriority w:val="99"/>
    <w:rsid w:val="00FD2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093"/>
  </w:style>
  <w:style w:type="paragraph" w:styleId="ListParagraph">
    <w:name w:val="List Paragraph"/>
    <w:basedOn w:val="Normal"/>
    <w:uiPriority w:val="34"/>
    <w:qFormat/>
    <w:rsid w:val="003D2EA9"/>
    <w:pPr>
      <w:ind w:left="720"/>
      <w:contextualSpacing/>
    </w:pPr>
  </w:style>
  <w:style w:type="character" w:styleId="CommentReference">
    <w:name w:val="annotation reference"/>
    <w:basedOn w:val="DefaultParagraphFont"/>
    <w:rsid w:val="00FD218D"/>
    <w:rPr>
      <w:sz w:val="16"/>
      <w:szCs w:val="16"/>
    </w:rPr>
  </w:style>
  <w:style w:type="paragraph" w:styleId="CommentText">
    <w:name w:val="annotation text"/>
    <w:basedOn w:val="Normal"/>
    <w:link w:val="CommentTextChar"/>
    <w:rsid w:val="00FD218D"/>
    <w:rPr>
      <w:szCs w:val="20"/>
    </w:rPr>
  </w:style>
  <w:style w:type="character" w:customStyle="1" w:styleId="CommentTextChar">
    <w:name w:val="Comment Text Char"/>
    <w:basedOn w:val="DefaultParagraphFont"/>
    <w:link w:val="CommentText"/>
    <w:rsid w:val="00FD218D"/>
    <w:rPr>
      <w:szCs w:val="20"/>
    </w:rPr>
  </w:style>
  <w:style w:type="paragraph" w:styleId="CommentSubject">
    <w:name w:val="annotation subject"/>
    <w:basedOn w:val="CommentText"/>
    <w:next w:val="CommentText"/>
    <w:link w:val="CommentSubjectChar"/>
    <w:rsid w:val="00FD218D"/>
    <w:rPr>
      <w:b/>
      <w:bCs/>
    </w:rPr>
  </w:style>
  <w:style w:type="character" w:customStyle="1" w:styleId="CommentSubjectChar">
    <w:name w:val="Comment Subject Char"/>
    <w:basedOn w:val="CommentTextChar"/>
    <w:link w:val="CommentSubject"/>
    <w:rsid w:val="00FD218D"/>
    <w:rPr>
      <w:b/>
      <w:bCs/>
      <w:szCs w:val="20"/>
    </w:rPr>
  </w:style>
  <w:style w:type="paragraph" w:styleId="BalloonText">
    <w:name w:val="Balloon Text"/>
    <w:basedOn w:val="Normal"/>
    <w:link w:val="BalloonTextChar"/>
    <w:rsid w:val="00FD218D"/>
    <w:rPr>
      <w:rFonts w:ascii="Tahoma" w:hAnsi="Tahoma" w:cs="Tahoma"/>
      <w:sz w:val="16"/>
      <w:szCs w:val="16"/>
    </w:rPr>
  </w:style>
  <w:style w:type="character" w:customStyle="1" w:styleId="BalloonTextChar">
    <w:name w:val="Balloon Text Char"/>
    <w:basedOn w:val="DefaultParagraphFont"/>
    <w:link w:val="BalloonText"/>
    <w:rsid w:val="00FD218D"/>
    <w:rPr>
      <w:rFonts w:ascii="Tahoma" w:hAnsi="Tahoma" w:cs="Tahoma"/>
      <w:sz w:val="16"/>
      <w:szCs w:val="16"/>
    </w:rPr>
  </w:style>
  <w:style w:type="paragraph" w:styleId="Header">
    <w:name w:val="header"/>
    <w:basedOn w:val="Normal"/>
    <w:link w:val="HeaderChar"/>
    <w:rsid w:val="00FD218D"/>
    <w:pPr>
      <w:tabs>
        <w:tab w:val="center" w:pos="4513"/>
        <w:tab w:val="right" w:pos="9026"/>
      </w:tabs>
    </w:pPr>
  </w:style>
  <w:style w:type="character" w:customStyle="1" w:styleId="HeaderChar">
    <w:name w:val="Header Char"/>
    <w:basedOn w:val="DefaultParagraphFont"/>
    <w:link w:val="Header"/>
    <w:rsid w:val="00FD218D"/>
  </w:style>
  <w:style w:type="paragraph" w:styleId="Footer">
    <w:name w:val="footer"/>
    <w:basedOn w:val="Normal"/>
    <w:link w:val="FooterChar"/>
    <w:uiPriority w:val="99"/>
    <w:rsid w:val="00FD218D"/>
    <w:pPr>
      <w:tabs>
        <w:tab w:val="center" w:pos="4513"/>
        <w:tab w:val="right" w:pos="9026"/>
      </w:tabs>
    </w:pPr>
  </w:style>
  <w:style w:type="character" w:customStyle="1" w:styleId="FooterChar">
    <w:name w:val="Footer Char"/>
    <w:basedOn w:val="DefaultParagraphFont"/>
    <w:link w:val="Footer"/>
    <w:uiPriority w:val="99"/>
    <w:rsid w:val="00FD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C205-BC1E-4E51-873C-94E346B27B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5AF697-AC54-4B63-A3BB-1C537BBB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BD078499</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Mortimer</dc:creator>
  <cp:lastModifiedBy>Fiona Pugh</cp:lastModifiedBy>
  <cp:revision>2</cp:revision>
  <cp:lastPrinted>2015-04-28T12:30:00Z</cp:lastPrinted>
  <dcterms:created xsi:type="dcterms:W3CDTF">2015-06-04T14:36:00Z</dcterms:created>
  <dcterms:modified xsi:type="dcterms:W3CDTF">2015-06-04T14:36:00Z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3a01626e-15c3-4353-b382-b54e1d898678</vt:lpwstr>
  </property>
  <property fmtid="{D5CDD505-2E9C-101B-9397-08002B2CF9AE}" pid="3" name="HCAGPMS">
    <vt:lpwstr>OFFICIAL</vt:lpwstr>
  </property>
  <property fmtid="{D5CDD505-2E9C-101B-9397-08002B2CF9AE}" pid="4" name="docIndexRef">
    <vt:lpwstr>46577ad9-b212-4d3f-8fa7-7114f5f798b8</vt:lpwstr>
  </property>
  <property fmtid="{D5CDD505-2E9C-101B-9397-08002B2CF9AE}" pid="5" name="bjSaver">
    <vt:lpwstr>hfBZnmIl5eB0FGv8dXmhu0FHKqXBwdRX</vt:lpwstr>
  </property>
  <property fmtid="{D5CDD505-2E9C-101B-9397-08002B2CF9AE}" pid="6" name="bjDocumentSecurityLabel">
    <vt:lpwstr>No Marking</vt:lpwstr>
  </property>
</Properties>
</file>