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5C" w:rsidRPr="00D92ABD" w:rsidRDefault="0014105C" w:rsidP="00F13FBE">
      <w:pPr>
        <w:jc w:val="both"/>
        <w:rPr>
          <w:b/>
          <w:sz w:val="24"/>
          <w:szCs w:val="24"/>
        </w:rPr>
      </w:pPr>
      <w:r w:rsidRPr="00D92ABD">
        <w:rPr>
          <w:b/>
          <w:sz w:val="24"/>
          <w:szCs w:val="24"/>
        </w:rPr>
        <w:tab/>
      </w:r>
      <w:r w:rsidRPr="00D92ABD">
        <w:rPr>
          <w:b/>
          <w:sz w:val="24"/>
          <w:szCs w:val="24"/>
        </w:rPr>
        <w:tab/>
        <w:t xml:space="preserve">                           TERMS OF REFERENCE</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2409"/>
        <w:gridCol w:w="1985"/>
        <w:gridCol w:w="2977"/>
      </w:tblGrid>
      <w:tr w:rsidR="0014105C" w:rsidRPr="00D92ABD" w:rsidTr="00A465F4">
        <w:trPr>
          <w:trHeight w:val="253"/>
        </w:trPr>
        <w:tc>
          <w:tcPr>
            <w:tcW w:w="2802" w:type="dxa"/>
          </w:tcPr>
          <w:p w:rsidR="0014105C" w:rsidRPr="00D92ABD" w:rsidRDefault="0014105C" w:rsidP="00297B27">
            <w:pPr>
              <w:spacing w:after="0" w:line="240" w:lineRule="auto"/>
              <w:rPr>
                <w:b/>
              </w:rPr>
            </w:pPr>
            <w:r w:rsidRPr="00D92ABD">
              <w:rPr>
                <w:b/>
              </w:rPr>
              <w:t>Project Title</w:t>
            </w:r>
          </w:p>
        </w:tc>
        <w:tc>
          <w:tcPr>
            <w:tcW w:w="7371" w:type="dxa"/>
            <w:gridSpan w:val="3"/>
          </w:tcPr>
          <w:p w:rsidR="0014105C" w:rsidRPr="004B7E56" w:rsidRDefault="002955E2" w:rsidP="00913D4D">
            <w:pPr>
              <w:spacing w:after="0" w:line="240" w:lineRule="auto"/>
            </w:pPr>
            <w:r>
              <w:rPr>
                <w:b/>
              </w:rPr>
              <w:t xml:space="preserve">Energy assets privatisation: </w:t>
            </w:r>
            <w:r w:rsidRPr="000E4D39">
              <w:rPr>
                <w:b/>
              </w:rPr>
              <w:t>policy advice</w:t>
            </w:r>
          </w:p>
        </w:tc>
      </w:tr>
      <w:tr w:rsidR="0014105C" w:rsidRPr="00D92ABD" w:rsidTr="00A465F4">
        <w:tc>
          <w:tcPr>
            <w:tcW w:w="2802" w:type="dxa"/>
          </w:tcPr>
          <w:p w:rsidR="0014105C" w:rsidRPr="00D92ABD" w:rsidRDefault="0014105C" w:rsidP="00297B27">
            <w:pPr>
              <w:spacing w:after="0" w:line="240" w:lineRule="auto"/>
              <w:rPr>
                <w:b/>
              </w:rPr>
            </w:pPr>
            <w:r w:rsidRPr="00D92ABD">
              <w:rPr>
                <w:b/>
              </w:rPr>
              <w:t>Implementer/Organisation</w:t>
            </w:r>
          </w:p>
        </w:tc>
        <w:tc>
          <w:tcPr>
            <w:tcW w:w="7371" w:type="dxa"/>
            <w:gridSpan w:val="3"/>
          </w:tcPr>
          <w:p w:rsidR="0014105C" w:rsidRPr="00D92ABD" w:rsidRDefault="0014105C" w:rsidP="00766359">
            <w:pPr>
              <w:spacing w:after="0" w:line="240" w:lineRule="auto"/>
            </w:pPr>
            <w:r w:rsidRPr="00D92ABD">
              <w:t>To be tendered</w:t>
            </w:r>
            <w:r>
              <w:t xml:space="preserve"> </w:t>
            </w:r>
          </w:p>
        </w:tc>
      </w:tr>
      <w:tr w:rsidR="0014105C" w:rsidRPr="00D92ABD" w:rsidTr="00A465F4">
        <w:tc>
          <w:tcPr>
            <w:tcW w:w="2802" w:type="dxa"/>
          </w:tcPr>
          <w:p w:rsidR="0014105C" w:rsidRPr="00D92ABD" w:rsidRDefault="0014105C" w:rsidP="00913D4D">
            <w:pPr>
              <w:spacing w:after="0" w:line="240" w:lineRule="auto"/>
              <w:rPr>
                <w:b/>
              </w:rPr>
            </w:pPr>
            <w:r w:rsidRPr="00D92ABD">
              <w:rPr>
                <w:b/>
              </w:rPr>
              <w:t xml:space="preserve">Cost </w:t>
            </w:r>
          </w:p>
        </w:tc>
        <w:tc>
          <w:tcPr>
            <w:tcW w:w="7371" w:type="dxa"/>
            <w:gridSpan w:val="3"/>
          </w:tcPr>
          <w:p w:rsidR="0014105C" w:rsidRPr="00D92ABD" w:rsidRDefault="00723EC4" w:rsidP="007D7C55">
            <w:pPr>
              <w:spacing w:after="0" w:line="240" w:lineRule="auto"/>
            </w:pPr>
            <w:r>
              <w:rPr>
                <w:rFonts w:cs="Arial"/>
              </w:rPr>
              <w:t>GBP 80,000</w:t>
            </w:r>
            <w:r w:rsidR="00837EDD">
              <w:rPr>
                <w:rFonts w:cs="Arial"/>
              </w:rPr>
              <w:t xml:space="preserve"> (co-funding welcome) </w:t>
            </w:r>
          </w:p>
        </w:tc>
      </w:tr>
      <w:tr w:rsidR="0014105C" w:rsidRPr="00D92ABD" w:rsidTr="00A465F4">
        <w:tc>
          <w:tcPr>
            <w:tcW w:w="2802" w:type="dxa"/>
          </w:tcPr>
          <w:p w:rsidR="0014105C" w:rsidRPr="00D92ABD" w:rsidRDefault="0014105C" w:rsidP="00297B27">
            <w:pPr>
              <w:spacing w:after="0" w:line="240" w:lineRule="auto"/>
              <w:rPr>
                <w:b/>
              </w:rPr>
            </w:pPr>
            <w:r w:rsidRPr="00D92ABD">
              <w:rPr>
                <w:b/>
              </w:rPr>
              <w:t>Project Start Date</w:t>
            </w:r>
          </w:p>
        </w:tc>
        <w:tc>
          <w:tcPr>
            <w:tcW w:w="2409" w:type="dxa"/>
          </w:tcPr>
          <w:p w:rsidR="0014105C" w:rsidRPr="00D92ABD" w:rsidRDefault="0014105C" w:rsidP="00054FDA">
            <w:pPr>
              <w:spacing w:after="0" w:line="240" w:lineRule="auto"/>
            </w:pPr>
            <w:r w:rsidRPr="00D92ABD">
              <w:t>1</w:t>
            </w:r>
            <w:r w:rsidR="0051466B">
              <w:t>5</w:t>
            </w:r>
            <w:r w:rsidR="00723EC4">
              <w:t xml:space="preserve"> December</w:t>
            </w:r>
            <w:r w:rsidRPr="00D92ABD">
              <w:t xml:space="preserve"> 2015</w:t>
            </w:r>
          </w:p>
        </w:tc>
        <w:tc>
          <w:tcPr>
            <w:tcW w:w="1985" w:type="dxa"/>
          </w:tcPr>
          <w:p w:rsidR="0014105C" w:rsidRPr="00D92ABD" w:rsidRDefault="0014105C" w:rsidP="00297B27">
            <w:pPr>
              <w:spacing w:after="0" w:line="240" w:lineRule="auto"/>
              <w:rPr>
                <w:b/>
              </w:rPr>
            </w:pPr>
            <w:r w:rsidRPr="00D92ABD">
              <w:rPr>
                <w:b/>
              </w:rPr>
              <w:t>Project End Date</w:t>
            </w:r>
          </w:p>
        </w:tc>
        <w:tc>
          <w:tcPr>
            <w:tcW w:w="2977" w:type="dxa"/>
          </w:tcPr>
          <w:p w:rsidR="0014105C" w:rsidRPr="00D92ABD" w:rsidRDefault="0014105C" w:rsidP="00297B27">
            <w:pPr>
              <w:spacing w:after="0" w:line="240" w:lineRule="auto"/>
            </w:pPr>
            <w:r w:rsidRPr="00837EDD">
              <w:t>1</w:t>
            </w:r>
            <w:r w:rsidR="00837EDD" w:rsidRPr="00837EDD">
              <w:t>5</w:t>
            </w:r>
            <w:r w:rsidRPr="00837EDD">
              <w:t xml:space="preserve"> March 2016</w:t>
            </w:r>
          </w:p>
        </w:tc>
      </w:tr>
    </w:tbl>
    <w:p w:rsidR="0014105C" w:rsidRPr="00D92ABD" w:rsidRDefault="0014105C"/>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73"/>
      </w:tblGrid>
      <w:tr w:rsidR="0014105C" w:rsidRPr="00D92ABD" w:rsidTr="00722600">
        <w:trPr>
          <w:trHeight w:val="365"/>
        </w:trPr>
        <w:tc>
          <w:tcPr>
            <w:tcW w:w="10173" w:type="dxa"/>
          </w:tcPr>
          <w:p w:rsidR="0014105C" w:rsidRPr="001C3238" w:rsidRDefault="0014105C" w:rsidP="001C3238">
            <w:pPr>
              <w:spacing w:after="0" w:line="240" w:lineRule="auto"/>
              <w:rPr>
                <w:b/>
                <w:sz w:val="20"/>
                <w:szCs w:val="20"/>
              </w:rPr>
            </w:pPr>
            <w:r w:rsidRPr="001C3238">
              <w:rPr>
                <w:b/>
              </w:rPr>
              <w:t>Project Purpose</w:t>
            </w:r>
          </w:p>
        </w:tc>
      </w:tr>
      <w:tr w:rsidR="0014105C" w:rsidRPr="00D92ABD" w:rsidTr="00722600">
        <w:tc>
          <w:tcPr>
            <w:tcW w:w="10173" w:type="dxa"/>
          </w:tcPr>
          <w:p w:rsidR="002955E2" w:rsidRPr="002955E2" w:rsidRDefault="002955E2" w:rsidP="002955E2">
            <w:pPr>
              <w:spacing w:after="0" w:line="240" w:lineRule="auto"/>
              <w:jc w:val="both"/>
              <w:rPr>
                <w:rFonts w:asciiTheme="minorHAnsi" w:hAnsiTheme="minorHAnsi"/>
                <w:lang w:val="en-US"/>
              </w:rPr>
            </w:pPr>
            <w:r w:rsidRPr="002955E2">
              <w:rPr>
                <w:rFonts w:asciiTheme="minorHAnsi" w:hAnsiTheme="minorHAnsi"/>
                <w:lang w:val="en-US"/>
              </w:rPr>
              <w:t>Project</w:t>
            </w:r>
            <w:r w:rsidRPr="002955E2">
              <w:rPr>
                <w:rFonts w:asciiTheme="minorHAnsi" w:hAnsiTheme="minorHAnsi"/>
                <w:lang w:val="uk-UA"/>
              </w:rPr>
              <w:t xml:space="preserve"> </w:t>
            </w:r>
            <w:r w:rsidRPr="002955E2">
              <w:rPr>
                <w:rFonts w:asciiTheme="minorHAnsi" w:hAnsiTheme="minorHAnsi"/>
                <w:lang w:val="en-US"/>
              </w:rPr>
              <w:t xml:space="preserve">is aimed at preparing the information concerning 4 CHPs in order to present it to the potential investors. </w:t>
            </w:r>
            <w:r w:rsidRPr="002955E2">
              <w:rPr>
                <w:rFonts w:asciiTheme="minorHAnsi" w:eastAsia="Times New Roman" w:hAnsiTheme="minorHAnsi"/>
                <w:lang w:val="en-US"/>
              </w:rPr>
              <w:t>The Consultant(s) should also prepare information available for uploading in a virtual data room that could be of interest to the potential buyers. The project would ensure that privatization of the CHPs mentioned above is performed in a transparent way.</w:t>
            </w:r>
          </w:p>
          <w:p w:rsidR="002955E2" w:rsidRPr="002955E2" w:rsidRDefault="002955E2" w:rsidP="002955E2">
            <w:pPr>
              <w:pStyle w:val="BodyText"/>
              <w:spacing w:after="0" w:line="240" w:lineRule="auto"/>
              <w:rPr>
                <w:rFonts w:asciiTheme="minorHAnsi" w:hAnsiTheme="minorHAnsi"/>
                <w:sz w:val="22"/>
                <w:lang w:val="en-US"/>
              </w:rPr>
            </w:pPr>
            <w:r w:rsidRPr="002955E2">
              <w:rPr>
                <w:rFonts w:asciiTheme="minorHAnsi" w:hAnsiTheme="minorHAnsi"/>
                <w:sz w:val="22"/>
                <w:lang w:val="en-US"/>
              </w:rPr>
              <w:t>In order to hold such privatization, the leading experts need to be involved and the respective funds need to be allocated for the following tasks:</w:t>
            </w:r>
          </w:p>
          <w:p w:rsidR="002955E2" w:rsidRPr="002955E2" w:rsidRDefault="002955E2" w:rsidP="002955E2">
            <w:pPr>
              <w:pStyle w:val="BodyText"/>
              <w:numPr>
                <w:ilvl w:val="0"/>
                <w:numId w:val="26"/>
              </w:numPr>
              <w:spacing w:after="0" w:line="240" w:lineRule="auto"/>
              <w:ind w:hanging="357"/>
              <w:rPr>
                <w:rFonts w:asciiTheme="minorHAnsi" w:hAnsiTheme="minorHAnsi"/>
                <w:sz w:val="22"/>
                <w:lang w:val="en-US"/>
              </w:rPr>
            </w:pPr>
            <w:r w:rsidRPr="002955E2">
              <w:rPr>
                <w:rFonts w:asciiTheme="minorHAnsi" w:hAnsiTheme="minorHAnsi"/>
                <w:sz w:val="22"/>
                <w:lang w:val="en-US"/>
              </w:rPr>
              <w:t>setting up and, if possible, maintaining a virtual data room for potential investors with reliable virtual data room provider:</w:t>
            </w:r>
          </w:p>
          <w:p w:rsidR="002955E2" w:rsidRPr="002955E2" w:rsidRDefault="002955E2" w:rsidP="002955E2">
            <w:pPr>
              <w:pStyle w:val="BodyText"/>
              <w:numPr>
                <w:ilvl w:val="1"/>
                <w:numId w:val="26"/>
              </w:numPr>
              <w:spacing w:after="0" w:line="240" w:lineRule="auto"/>
              <w:ind w:hanging="357"/>
              <w:rPr>
                <w:rFonts w:asciiTheme="minorHAnsi" w:hAnsiTheme="minorHAnsi"/>
                <w:sz w:val="22"/>
                <w:lang w:val="en-US"/>
              </w:rPr>
            </w:pPr>
            <w:r w:rsidRPr="002955E2">
              <w:rPr>
                <w:rFonts w:asciiTheme="minorHAnsi" w:hAnsiTheme="minorHAnsi"/>
                <w:sz w:val="22"/>
                <w:lang w:val="en-US"/>
              </w:rPr>
              <w:t>preparation of the virtual data room index for financial, tax and legal sections;</w:t>
            </w:r>
          </w:p>
          <w:p w:rsidR="002955E2" w:rsidRPr="002955E2" w:rsidRDefault="002955E2" w:rsidP="002955E2">
            <w:pPr>
              <w:pStyle w:val="BodyText"/>
              <w:numPr>
                <w:ilvl w:val="1"/>
                <w:numId w:val="26"/>
              </w:numPr>
              <w:spacing w:after="0" w:line="240" w:lineRule="auto"/>
              <w:ind w:hanging="357"/>
              <w:rPr>
                <w:rFonts w:asciiTheme="minorHAnsi" w:hAnsiTheme="minorHAnsi"/>
                <w:sz w:val="22"/>
                <w:lang w:val="en-US"/>
              </w:rPr>
            </w:pPr>
            <w:r w:rsidRPr="002955E2">
              <w:rPr>
                <w:rFonts w:asciiTheme="minorHAnsi" w:hAnsiTheme="minorHAnsi"/>
                <w:sz w:val="22"/>
                <w:lang w:val="en-US"/>
              </w:rPr>
              <w:t>collection of documents to be uploaded to the data room for all relevant work streams (financial, tax and legal);</w:t>
            </w:r>
          </w:p>
          <w:p w:rsidR="002955E2" w:rsidRPr="002955E2" w:rsidRDefault="002955E2" w:rsidP="002955E2">
            <w:pPr>
              <w:pStyle w:val="BodyText"/>
              <w:numPr>
                <w:ilvl w:val="1"/>
                <w:numId w:val="26"/>
              </w:numPr>
              <w:spacing w:after="0" w:line="240" w:lineRule="auto"/>
              <w:ind w:hanging="357"/>
              <w:rPr>
                <w:rFonts w:asciiTheme="minorHAnsi" w:hAnsiTheme="minorHAnsi"/>
                <w:sz w:val="22"/>
                <w:lang w:val="en-US"/>
              </w:rPr>
            </w:pPr>
            <w:r w:rsidRPr="002955E2">
              <w:rPr>
                <w:rFonts w:asciiTheme="minorHAnsi" w:hAnsiTheme="minorHAnsi"/>
                <w:sz w:val="22"/>
                <w:lang w:val="en-US"/>
              </w:rPr>
              <w:t xml:space="preserve">sorting and numbering of electronic files and documents which will be provided by the CHPs for upload to the </w:t>
            </w:r>
            <w:proofErr w:type="spellStart"/>
            <w:r w:rsidRPr="002955E2">
              <w:rPr>
                <w:rFonts w:asciiTheme="minorHAnsi" w:hAnsiTheme="minorHAnsi"/>
                <w:sz w:val="22"/>
                <w:lang w:val="en-US"/>
              </w:rPr>
              <w:t>dataroom</w:t>
            </w:r>
            <w:proofErr w:type="spellEnd"/>
            <w:r w:rsidRPr="002955E2">
              <w:rPr>
                <w:rFonts w:asciiTheme="minorHAnsi" w:hAnsiTheme="minorHAnsi"/>
                <w:sz w:val="22"/>
                <w:lang w:val="en-US"/>
              </w:rPr>
              <w:t>;</w:t>
            </w:r>
          </w:p>
          <w:p w:rsidR="002955E2" w:rsidRPr="002955E2" w:rsidRDefault="002955E2" w:rsidP="002955E2">
            <w:pPr>
              <w:pStyle w:val="BodyText"/>
              <w:numPr>
                <w:ilvl w:val="1"/>
                <w:numId w:val="26"/>
              </w:numPr>
              <w:spacing w:after="0" w:line="240" w:lineRule="auto"/>
              <w:ind w:hanging="357"/>
              <w:rPr>
                <w:rFonts w:asciiTheme="minorHAnsi" w:hAnsiTheme="minorHAnsi"/>
                <w:sz w:val="22"/>
                <w:lang w:val="en-US"/>
              </w:rPr>
            </w:pPr>
            <w:r w:rsidRPr="002955E2">
              <w:rPr>
                <w:rFonts w:asciiTheme="minorHAnsi" w:hAnsiTheme="minorHAnsi"/>
                <w:sz w:val="22"/>
                <w:lang w:val="en-US"/>
              </w:rPr>
              <w:t>renaming of electronic files and documents to facilitate understanding of their content by users;</w:t>
            </w:r>
          </w:p>
          <w:p w:rsidR="002955E2" w:rsidRPr="002955E2" w:rsidRDefault="002955E2" w:rsidP="002955E2">
            <w:pPr>
              <w:pStyle w:val="BodyText"/>
              <w:numPr>
                <w:ilvl w:val="1"/>
                <w:numId w:val="26"/>
              </w:numPr>
              <w:spacing w:after="0" w:line="240" w:lineRule="auto"/>
              <w:ind w:hanging="357"/>
              <w:rPr>
                <w:rFonts w:asciiTheme="minorHAnsi" w:hAnsiTheme="minorHAnsi"/>
                <w:sz w:val="22"/>
                <w:lang w:val="en-US"/>
              </w:rPr>
            </w:pPr>
            <w:r w:rsidRPr="002955E2">
              <w:rPr>
                <w:rFonts w:asciiTheme="minorHAnsi" w:hAnsiTheme="minorHAnsi"/>
                <w:sz w:val="22"/>
                <w:lang w:val="en-US"/>
              </w:rPr>
              <w:t>saving the abovementioned electronic information on an external drive/storage and providing in to SPFU for review and approval;</w:t>
            </w:r>
          </w:p>
          <w:p w:rsidR="002955E2" w:rsidRPr="002955E2" w:rsidRDefault="002955E2" w:rsidP="002955E2">
            <w:pPr>
              <w:pStyle w:val="BodyText"/>
              <w:numPr>
                <w:ilvl w:val="1"/>
                <w:numId w:val="26"/>
              </w:numPr>
              <w:spacing w:after="0" w:line="240" w:lineRule="auto"/>
              <w:ind w:hanging="357"/>
              <w:rPr>
                <w:rFonts w:asciiTheme="minorHAnsi" w:hAnsiTheme="minorHAnsi"/>
                <w:sz w:val="22"/>
                <w:lang w:val="en-US"/>
              </w:rPr>
            </w:pPr>
            <w:proofErr w:type="gramStart"/>
            <w:r w:rsidRPr="002955E2">
              <w:rPr>
                <w:rFonts w:asciiTheme="minorHAnsi" w:hAnsiTheme="minorHAnsi"/>
                <w:sz w:val="22"/>
                <w:lang w:val="en-US"/>
              </w:rPr>
              <w:t>upload</w:t>
            </w:r>
            <w:proofErr w:type="gramEnd"/>
            <w:r w:rsidRPr="002955E2">
              <w:rPr>
                <w:rFonts w:asciiTheme="minorHAnsi" w:hAnsiTheme="minorHAnsi"/>
                <w:sz w:val="22"/>
                <w:lang w:val="en-US"/>
              </w:rPr>
              <w:t xml:space="preserve"> of the abovementioned electronic information to the virtual data room facility</w:t>
            </w:r>
            <w:r w:rsidRPr="002955E2">
              <w:rPr>
                <w:rFonts w:asciiTheme="minorHAnsi" w:hAnsiTheme="minorHAnsi"/>
                <w:sz w:val="22"/>
              </w:rPr>
              <w:t>.</w:t>
            </w:r>
          </w:p>
          <w:p w:rsidR="002955E2" w:rsidRPr="002955E2" w:rsidRDefault="002955E2" w:rsidP="002955E2">
            <w:pPr>
              <w:pStyle w:val="BodyText"/>
              <w:numPr>
                <w:ilvl w:val="0"/>
                <w:numId w:val="26"/>
              </w:numPr>
              <w:spacing w:after="0" w:line="240" w:lineRule="auto"/>
              <w:ind w:hanging="357"/>
              <w:rPr>
                <w:rFonts w:asciiTheme="minorHAnsi" w:hAnsiTheme="minorHAnsi"/>
                <w:sz w:val="22"/>
                <w:lang w:val="en-US"/>
              </w:rPr>
            </w:pPr>
            <w:bookmarkStart w:id="0" w:name="_DV_M13"/>
            <w:bookmarkEnd w:id="0"/>
            <w:r w:rsidRPr="002955E2">
              <w:rPr>
                <w:rFonts w:asciiTheme="minorHAnsi" w:hAnsiTheme="minorHAnsi"/>
                <w:sz w:val="22"/>
                <w:lang w:val="en-US"/>
              </w:rPr>
              <w:t>preparation of investment materials which can be distributed to prospective investors of the SOE, including</w:t>
            </w:r>
            <w:r w:rsidRPr="002955E2">
              <w:rPr>
                <w:rFonts w:asciiTheme="minorHAnsi" w:hAnsiTheme="minorHAnsi"/>
                <w:sz w:val="22"/>
              </w:rPr>
              <w:t xml:space="preserve"> </w:t>
            </w:r>
            <w:r w:rsidRPr="002955E2">
              <w:rPr>
                <w:rFonts w:asciiTheme="minorHAnsi" w:hAnsiTheme="minorHAnsi"/>
                <w:sz w:val="22"/>
                <w:lang w:val="en-US"/>
              </w:rPr>
              <w:t>the teaser and information memorandum</w:t>
            </w:r>
            <w:bookmarkStart w:id="1" w:name="_DV_M14"/>
            <w:bookmarkEnd w:id="1"/>
            <w:r w:rsidRPr="002955E2">
              <w:rPr>
                <w:rFonts w:asciiTheme="minorHAnsi" w:hAnsiTheme="minorHAnsi"/>
                <w:sz w:val="22"/>
              </w:rPr>
              <w:t xml:space="preserve"> </w:t>
            </w:r>
            <w:r w:rsidRPr="002955E2">
              <w:rPr>
                <w:rFonts w:asciiTheme="minorHAnsi" w:hAnsiTheme="minorHAnsi"/>
                <w:sz w:val="22"/>
                <w:lang w:val="en-US"/>
              </w:rPr>
              <w:t>as well as financial analyses of the CHPs’ information for preparation of the investment materials;</w:t>
            </w:r>
          </w:p>
          <w:p w:rsidR="002955E2" w:rsidRPr="002955E2" w:rsidRDefault="002955E2" w:rsidP="002955E2">
            <w:pPr>
              <w:pStyle w:val="BodyText"/>
              <w:numPr>
                <w:ilvl w:val="0"/>
                <w:numId w:val="26"/>
              </w:numPr>
              <w:spacing w:after="0" w:line="240" w:lineRule="auto"/>
              <w:ind w:hanging="357"/>
              <w:rPr>
                <w:rFonts w:asciiTheme="minorHAnsi" w:hAnsiTheme="minorHAnsi"/>
                <w:sz w:val="22"/>
                <w:lang w:val="en-US"/>
              </w:rPr>
            </w:pPr>
            <w:r w:rsidRPr="002955E2">
              <w:rPr>
                <w:rFonts w:asciiTheme="minorHAnsi" w:hAnsiTheme="minorHAnsi"/>
                <w:sz w:val="22"/>
                <w:lang w:val="en-US"/>
              </w:rPr>
              <w:t xml:space="preserve">development of indicative process timeline with indication of key stages; </w:t>
            </w:r>
          </w:p>
          <w:p w:rsidR="00D467B7" w:rsidRPr="002955E2" w:rsidRDefault="002955E2" w:rsidP="002955E2">
            <w:pPr>
              <w:pStyle w:val="BodyText"/>
              <w:numPr>
                <w:ilvl w:val="0"/>
                <w:numId w:val="26"/>
              </w:numPr>
              <w:spacing w:after="0" w:line="240" w:lineRule="auto"/>
              <w:ind w:hanging="357"/>
              <w:rPr>
                <w:rFonts w:asciiTheme="minorHAnsi" w:hAnsiTheme="minorHAnsi"/>
                <w:sz w:val="22"/>
                <w:lang w:val="en-US"/>
              </w:rPr>
            </w:pPr>
            <w:bookmarkStart w:id="2" w:name="_DV_M16"/>
            <w:bookmarkEnd w:id="2"/>
            <w:proofErr w:type="gramStart"/>
            <w:r w:rsidRPr="002955E2">
              <w:rPr>
                <w:rFonts w:asciiTheme="minorHAnsi" w:hAnsiTheme="minorHAnsi"/>
                <w:sz w:val="22"/>
                <w:lang w:val="en-US"/>
              </w:rPr>
              <w:t>meeting</w:t>
            </w:r>
            <w:proofErr w:type="gramEnd"/>
            <w:r w:rsidRPr="002955E2">
              <w:rPr>
                <w:rFonts w:asciiTheme="minorHAnsi" w:hAnsiTheme="minorHAnsi"/>
                <w:sz w:val="22"/>
                <w:lang w:val="en-US"/>
              </w:rPr>
              <w:t xml:space="preserve"> with the CHPs’ shareholders and stakeholders (the State Property Fund of Ukraine, the Cabinet of Ministers of Ukraine etc.) to present the information memorandum, discuss investment materials and communicate</w:t>
            </w:r>
            <w:r w:rsidRPr="002955E2">
              <w:rPr>
                <w:rFonts w:asciiTheme="minorHAnsi" w:hAnsiTheme="minorHAnsi"/>
                <w:sz w:val="22"/>
              </w:rPr>
              <w:t xml:space="preserve"> </w:t>
            </w:r>
            <w:r w:rsidRPr="002955E2">
              <w:rPr>
                <w:rFonts w:asciiTheme="minorHAnsi" w:hAnsiTheme="minorHAnsi"/>
                <w:sz w:val="22"/>
                <w:lang w:val="en-US"/>
              </w:rPr>
              <w:t xml:space="preserve">concerning  issues identified; </w:t>
            </w:r>
            <w:bookmarkStart w:id="3" w:name="_DV_M17"/>
            <w:bookmarkEnd w:id="3"/>
            <w:r w:rsidRPr="002955E2">
              <w:rPr>
                <w:rFonts w:asciiTheme="minorHAnsi" w:hAnsiTheme="minorHAnsi"/>
                <w:sz w:val="22"/>
                <w:lang w:val="en-US"/>
              </w:rPr>
              <w:t>keep the SPFU and CHPs informed with respect to the progress in preparation of investment materials</w:t>
            </w:r>
            <w:r w:rsidRPr="002955E2">
              <w:rPr>
                <w:rFonts w:ascii="Arial Narrow" w:hAnsi="Arial Narrow"/>
                <w:sz w:val="24"/>
                <w:szCs w:val="24"/>
                <w:lang w:val="en-US"/>
              </w:rPr>
              <w:t>.</w:t>
            </w:r>
          </w:p>
        </w:tc>
      </w:tr>
      <w:tr w:rsidR="0014105C" w:rsidRPr="00D92ABD" w:rsidTr="00722600">
        <w:trPr>
          <w:trHeight w:val="398"/>
        </w:trPr>
        <w:tc>
          <w:tcPr>
            <w:tcW w:w="10173" w:type="dxa"/>
          </w:tcPr>
          <w:p w:rsidR="0014105C" w:rsidRPr="001C3238" w:rsidRDefault="0014105C" w:rsidP="001C3238">
            <w:pPr>
              <w:spacing w:after="0" w:line="240" w:lineRule="auto"/>
              <w:rPr>
                <w:b/>
              </w:rPr>
            </w:pPr>
            <w:r w:rsidRPr="001C3238">
              <w:rPr>
                <w:b/>
              </w:rPr>
              <w:t>Project outcome</w:t>
            </w:r>
          </w:p>
        </w:tc>
      </w:tr>
      <w:tr w:rsidR="0014105C" w:rsidRPr="00D92ABD" w:rsidTr="00722600">
        <w:tc>
          <w:tcPr>
            <w:tcW w:w="10173" w:type="dxa"/>
          </w:tcPr>
          <w:p w:rsidR="002D49FD" w:rsidRPr="00D92ABD" w:rsidRDefault="002955E2" w:rsidP="00E82200">
            <w:pPr>
              <w:tabs>
                <w:tab w:val="left" w:pos="300"/>
              </w:tabs>
              <w:spacing w:after="0" w:line="240" w:lineRule="auto"/>
              <w:jc w:val="both"/>
            </w:pPr>
            <w:r>
              <w:t>The information memorandums and teasers on 4 CHPs privatization enables putting the SOEs for sale in a transparent way</w:t>
            </w:r>
          </w:p>
        </w:tc>
      </w:tr>
    </w:tbl>
    <w:p w:rsidR="0014105C" w:rsidRPr="00D92ABD" w:rsidRDefault="0014105C"/>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3544"/>
        <w:gridCol w:w="2977"/>
      </w:tblGrid>
      <w:tr w:rsidR="0014105C" w:rsidRPr="00D92ABD" w:rsidTr="001712C2">
        <w:tc>
          <w:tcPr>
            <w:tcW w:w="3652" w:type="dxa"/>
          </w:tcPr>
          <w:p w:rsidR="0014105C" w:rsidRPr="00D92ABD" w:rsidRDefault="0014105C" w:rsidP="00436C78">
            <w:pPr>
              <w:spacing w:after="0" w:line="240" w:lineRule="auto"/>
              <w:rPr>
                <w:i/>
                <w:sz w:val="20"/>
                <w:szCs w:val="20"/>
              </w:rPr>
            </w:pPr>
            <w:r w:rsidRPr="00D92ABD">
              <w:rPr>
                <w:b/>
              </w:rPr>
              <w:t>Indicators of success</w:t>
            </w:r>
            <w:r w:rsidRPr="00D92ABD">
              <w:t xml:space="preserve"> </w:t>
            </w:r>
          </w:p>
        </w:tc>
        <w:tc>
          <w:tcPr>
            <w:tcW w:w="3544" w:type="dxa"/>
          </w:tcPr>
          <w:p w:rsidR="0014105C" w:rsidRPr="00D92ABD" w:rsidRDefault="0014105C" w:rsidP="00436C78">
            <w:pPr>
              <w:spacing w:after="0" w:line="240" w:lineRule="auto"/>
            </w:pPr>
            <w:r w:rsidRPr="00D92ABD">
              <w:rPr>
                <w:b/>
              </w:rPr>
              <w:t>Status before project/baseline data</w:t>
            </w:r>
            <w:r w:rsidRPr="00D92ABD">
              <w:t xml:space="preserve"> </w:t>
            </w:r>
          </w:p>
        </w:tc>
        <w:tc>
          <w:tcPr>
            <w:tcW w:w="2977" w:type="dxa"/>
          </w:tcPr>
          <w:p w:rsidR="0014105C" w:rsidRPr="00D92ABD" w:rsidRDefault="0014105C" w:rsidP="00583546">
            <w:pPr>
              <w:spacing w:after="0" w:line="240" w:lineRule="auto"/>
            </w:pPr>
            <w:r w:rsidRPr="00D92ABD">
              <w:rPr>
                <w:b/>
              </w:rPr>
              <w:t>Source of information</w:t>
            </w:r>
            <w:r w:rsidRPr="00D92ABD">
              <w:t xml:space="preserve"> </w:t>
            </w:r>
          </w:p>
        </w:tc>
      </w:tr>
      <w:tr w:rsidR="0014105C" w:rsidRPr="00D92ABD" w:rsidTr="001712C2">
        <w:trPr>
          <w:trHeight w:val="435"/>
        </w:trPr>
        <w:tc>
          <w:tcPr>
            <w:tcW w:w="3652" w:type="dxa"/>
          </w:tcPr>
          <w:p w:rsidR="0014105C" w:rsidRPr="000E337E" w:rsidRDefault="001712C2" w:rsidP="00773A6D">
            <w:pPr>
              <w:spacing w:after="0" w:line="240" w:lineRule="auto"/>
              <w:rPr>
                <w:rFonts w:cs="Arial"/>
                <w:szCs w:val="20"/>
              </w:rPr>
            </w:pPr>
            <w:r>
              <w:rPr>
                <w:lang w:val="en-US"/>
              </w:rPr>
              <w:t>Preparation of the</w:t>
            </w:r>
            <w:r w:rsidRPr="000C3D2D">
              <w:rPr>
                <w:lang w:val="en-US"/>
              </w:rPr>
              <w:t xml:space="preserve"> investment materials which can be distributed to prospective investors of the </w:t>
            </w:r>
            <w:r>
              <w:rPr>
                <w:lang w:val="en-US"/>
              </w:rPr>
              <w:t>4 CHPs</w:t>
            </w:r>
          </w:p>
        </w:tc>
        <w:tc>
          <w:tcPr>
            <w:tcW w:w="3544" w:type="dxa"/>
          </w:tcPr>
          <w:p w:rsidR="0014105C" w:rsidRPr="000E337E" w:rsidRDefault="001712C2" w:rsidP="002D49FD">
            <w:pPr>
              <w:spacing w:after="0" w:line="240" w:lineRule="auto"/>
              <w:rPr>
                <w:rFonts w:cs="Arial"/>
                <w:szCs w:val="20"/>
              </w:rPr>
            </w:pPr>
            <w:r>
              <w:t>none</w:t>
            </w:r>
          </w:p>
        </w:tc>
        <w:tc>
          <w:tcPr>
            <w:tcW w:w="2977" w:type="dxa"/>
          </w:tcPr>
          <w:p w:rsidR="0014105C" w:rsidRPr="000E337E" w:rsidRDefault="001712C2" w:rsidP="007E5859">
            <w:pPr>
              <w:spacing w:after="0" w:line="240" w:lineRule="auto"/>
              <w:rPr>
                <w:rFonts w:cs="Arial"/>
                <w:szCs w:val="20"/>
              </w:rPr>
            </w:pPr>
            <w:r>
              <w:t>CHP’s data</w:t>
            </w:r>
          </w:p>
        </w:tc>
      </w:tr>
      <w:tr w:rsidR="007E5859" w:rsidRPr="00D92ABD" w:rsidTr="001712C2">
        <w:trPr>
          <w:trHeight w:val="435"/>
        </w:trPr>
        <w:tc>
          <w:tcPr>
            <w:tcW w:w="3652" w:type="dxa"/>
          </w:tcPr>
          <w:p w:rsidR="007E5859" w:rsidRPr="000E337E" w:rsidRDefault="001712C2" w:rsidP="00773A6D">
            <w:pPr>
              <w:spacing w:after="0" w:line="240" w:lineRule="auto"/>
              <w:rPr>
                <w:szCs w:val="20"/>
              </w:rPr>
            </w:pPr>
            <w:r w:rsidRPr="00035B9F">
              <w:t xml:space="preserve">Collated </w:t>
            </w:r>
            <w:r>
              <w:t>documents for the virtual data room signed off by the CHPs management</w:t>
            </w:r>
          </w:p>
        </w:tc>
        <w:tc>
          <w:tcPr>
            <w:tcW w:w="3544" w:type="dxa"/>
          </w:tcPr>
          <w:p w:rsidR="007E5859" w:rsidRPr="000E337E" w:rsidRDefault="001712C2" w:rsidP="00E10620">
            <w:pPr>
              <w:spacing w:after="0" w:line="240" w:lineRule="auto"/>
              <w:rPr>
                <w:szCs w:val="20"/>
              </w:rPr>
            </w:pPr>
            <w:r>
              <w:rPr>
                <w:szCs w:val="20"/>
              </w:rPr>
              <w:t>none</w:t>
            </w:r>
          </w:p>
        </w:tc>
        <w:tc>
          <w:tcPr>
            <w:tcW w:w="2977" w:type="dxa"/>
          </w:tcPr>
          <w:p w:rsidR="007E5859" w:rsidRPr="000E337E" w:rsidRDefault="001712C2" w:rsidP="007E5859">
            <w:pPr>
              <w:spacing w:after="0" w:line="240" w:lineRule="auto"/>
              <w:rPr>
                <w:szCs w:val="20"/>
              </w:rPr>
            </w:pPr>
            <w:r>
              <w:t>documents provided by CHPs</w:t>
            </w:r>
          </w:p>
        </w:tc>
      </w:tr>
      <w:tr w:rsidR="0014105C" w:rsidRPr="00D92ABD" w:rsidTr="001712C2">
        <w:trPr>
          <w:trHeight w:val="435"/>
        </w:trPr>
        <w:tc>
          <w:tcPr>
            <w:tcW w:w="3652" w:type="dxa"/>
          </w:tcPr>
          <w:p w:rsidR="0014105C" w:rsidRPr="000E337E" w:rsidRDefault="001712C2" w:rsidP="00A65FB1">
            <w:pPr>
              <w:spacing w:after="0" w:line="240" w:lineRule="auto"/>
              <w:rPr>
                <w:rFonts w:cs="Arial"/>
                <w:szCs w:val="20"/>
              </w:rPr>
            </w:pPr>
            <w:r>
              <w:t>Recommendations for improvement of the SOEs readiness for privatisation process</w:t>
            </w:r>
          </w:p>
        </w:tc>
        <w:tc>
          <w:tcPr>
            <w:tcW w:w="3544" w:type="dxa"/>
          </w:tcPr>
          <w:p w:rsidR="0014105C" w:rsidRPr="000E337E" w:rsidRDefault="001712C2" w:rsidP="007E5859">
            <w:pPr>
              <w:spacing w:after="0" w:line="240" w:lineRule="auto"/>
              <w:rPr>
                <w:rFonts w:cs="Arial"/>
                <w:szCs w:val="20"/>
              </w:rPr>
            </w:pPr>
            <w:r>
              <w:rPr>
                <w:rFonts w:cs="Arial"/>
                <w:szCs w:val="20"/>
              </w:rPr>
              <w:t>none</w:t>
            </w:r>
          </w:p>
        </w:tc>
        <w:tc>
          <w:tcPr>
            <w:tcW w:w="2977" w:type="dxa"/>
          </w:tcPr>
          <w:p w:rsidR="0014105C" w:rsidRPr="000E337E" w:rsidRDefault="001712C2" w:rsidP="00773A6D">
            <w:pPr>
              <w:spacing w:after="0" w:line="240" w:lineRule="auto"/>
              <w:rPr>
                <w:rFonts w:cs="Arial"/>
                <w:szCs w:val="20"/>
              </w:rPr>
            </w:pPr>
            <w:r>
              <w:t>the consultant(s) observations and experience from cooperation with CHPs during the preparation of investment materials</w:t>
            </w:r>
          </w:p>
        </w:tc>
      </w:tr>
    </w:tbl>
    <w:p w:rsidR="0014105C" w:rsidRPr="00D92ABD" w:rsidRDefault="00A465F4">
      <w:r>
        <w:t xml:space="preserve">  </w:t>
      </w:r>
      <w:r w:rsidR="0014105C" w:rsidRPr="00D92ABD">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9072"/>
      </w:tblGrid>
      <w:tr w:rsidR="0014105C" w:rsidRPr="00D92ABD" w:rsidTr="00722600">
        <w:tc>
          <w:tcPr>
            <w:tcW w:w="1101" w:type="dxa"/>
          </w:tcPr>
          <w:p w:rsidR="0014105C" w:rsidRPr="00D92ABD" w:rsidRDefault="00A465F4" w:rsidP="00A465F4">
            <w:pPr>
              <w:spacing w:after="0" w:line="240" w:lineRule="auto"/>
              <w:rPr>
                <w:i/>
                <w:sz w:val="20"/>
                <w:szCs w:val="20"/>
              </w:rPr>
            </w:pPr>
            <w:r>
              <w:rPr>
                <w:b/>
              </w:rPr>
              <w:lastRenderedPageBreak/>
              <w:t>O</w:t>
            </w:r>
            <w:r w:rsidR="0014105C" w:rsidRPr="00D92ABD">
              <w:rPr>
                <w:b/>
              </w:rPr>
              <w:t>utputs</w:t>
            </w:r>
            <w:r w:rsidR="0014105C" w:rsidRPr="00D92ABD">
              <w:t xml:space="preserve"> </w:t>
            </w:r>
          </w:p>
        </w:tc>
        <w:tc>
          <w:tcPr>
            <w:tcW w:w="9072" w:type="dxa"/>
          </w:tcPr>
          <w:p w:rsidR="001712C2" w:rsidRPr="001712C2" w:rsidRDefault="001712C2" w:rsidP="00EB5A3C">
            <w:pPr>
              <w:spacing w:after="0" w:line="240" w:lineRule="auto"/>
              <w:jc w:val="both"/>
            </w:pPr>
            <w:r w:rsidRPr="001712C2">
              <w:t xml:space="preserve">1. Information memorandums and teasers to be prepared </w:t>
            </w:r>
          </w:p>
          <w:p w:rsidR="001712C2" w:rsidRPr="001712C2" w:rsidRDefault="001712C2" w:rsidP="00EB5A3C">
            <w:pPr>
              <w:spacing w:after="0" w:line="240" w:lineRule="auto"/>
              <w:jc w:val="both"/>
            </w:pPr>
            <w:r w:rsidRPr="001712C2">
              <w:t>2. A virtual data room for the documents that could be of interest to  the investors created</w:t>
            </w:r>
          </w:p>
          <w:p w:rsidR="001712C2" w:rsidRPr="001712C2" w:rsidRDefault="001712C2" w:rsidP="00EB5A3C">
            <w:pPr>
              <w:spacing w:after="0" w:line="240" w:lineRule="auto"/>
              <w:jc w:val="both"/>
              <w:rPr>
                <w:b/>
              </w:rPr>
            </w:pPr>
            <w:r w:rsidRPr="001712C2">
              <w:t>3. Sharing experience and discussion of lessons learned to enhance privatisation process for other SOEs</w:t>
            </w:r>
            <w:r>
              <w:rPr>
                <w:b/>
              </w:rPr>
              <w:t xml:space="preserve">   </w:t>
            </w:r>
          </w:p>
        </w:tc>
      </w:tr>
      <w:tr w:rsidR="0014105C" w:rsidRPr="00D92ABD" w:rsidTr="00722600">
        <w:trPr>
          <w:trHeight w:val="1848"/>
        </w:trPr>
        <w:tc>
          <w:tcPr>
            <w:tcW w:w="1101" w:type="dxa"/>
          </w:tcPr>
          <w:p w:rsidR="0014105C" w:rsidRPr="00D92ABD" w:rsidRDefault="0014105C" w:rsidP="00A465F4">
            <w:pPr>
              <w:spacing w:after="0" w:line="240" w:lineRule="auto"/>
            </w:pPr>
            <w:r w:rsidRPr="00D92ABD">
              <w:rPr>
                <w:b/>
              </w:rPr>
              <w:t>Main Activities</w:t>
            </w:r>
            <w:r w:rsidRPr="00D92ABD">
              <w:t xml:space="preserve"> </w:t>
            </w:r>
          </w:p>
        </w:tc>
        <w:tc>
          <w:tcPr>
            <w:tcW w:w="9072" w:type="dxa"/>
          </w:tcPr>
          <w:p w:rsidR="001712C2" w:rsidRPr="001712C2" w:rsidRDefault="001712C2" w:rsidP="001712C2">
            <w:pPr>
              <w:spacing w:after="0" w:line="240" w:lineRule="auto"/>
              <w:jc w:val="both"/>
              <w:rPr>
                <w:rFonts w:asciiTheme="minorHAnsi" w:hAnsiTheme="minorHAnsi"/>
                <w:lang w:val="en-US"/>
              </w:rPr>
            </w:pPr>
            <w:r w:rsidRPr="001712C2">
              <w:rPr>
                <w:rFonts w:asciiTheme="minorHAnsi" w:hAnsiTheme="minorHAnsi"/>
              </w:rPr>
              <w:t xml:space="preserve">1.1 </w:t>
            </w:r>
            <w:r>
              <w:rPr>
                <w:rFonts w:asciiTheme="minorHAnsi" w:hAnsiTheme="minorHAnsi"/>
              </w:rPr>
              <w:t>T</w:t>
            </w:r>
            <w:r w:rsidRPr="001712C2">
              <w:rPr>
                <w:rFonts w:asciiTheme="minorHAnsi" w:hAnsiTheme="minorHAnsi"/>
              </w:rPr>
              <w:t xml:space="preserve">o </w:t>
            </w:r>
            <w:r w:rsidRPr="001712C2">
              <w:rPr>
                <w:rFonts w:asciiTheme="minorHAnsi" w:hAnsiTheme="minorHAnsi"/>
                <w:lang w:val="en-US"/>
              </w:rPr>
              <w:t>prepare investment materials which can be distributed to prospective investors of the SOE, including the teaser and information memorandum, perform financial analyses for preparation of the investment materials</w:t>
            </w:r>
          </w:p>
          <w:p w:rsidR="001712C2" w:rsidRPr="001712C2" w:rsidRDefault="001712C2" w:rsidP="001712C2">
            <w:pPr>
              <w:pStyle w:val="BodyText"/>
              <w:spacing w:after="0" w:line="240" w:lineRule="auto"/>
              <w:rPr>
                <w:rFonts w:asciiTheme="minorHAnsi" w:hAnsiTheme="minorHAnsi"/>
                <w:sz w:val="22"/>
                <w:lang w:val="en-US"/>
              </w:rPr>
            </w:pPr>
            <w:r w:rsidRPr="001712C2">
              <w:rPr>
                <w:rFonts w:asciiTheme="minorHAnsi" w:hAnsiTheme="minorHAnsi"/>
                <w:sz w:val="22"/>
              </w:rPr>
              <w:t xml:space="preserve">2.1 </w:t>
            </w:r>
            <w:r>
              <w:rPr>
                <w:rFonts w:asciiTheme="minorHAnsi" w:hAnsiTheme="minorHAnsi"/>
                <w:sz w:val="22"/>
              </w:rPr>
              <w:t xml:space="preserve">To </w:t>
            </w:r>
            <w:r>
              <w:rPr>
                <w:rFonts w:asciiTheme="minorHAnsi" w:hAnsiTheme="minorHAnsi"/>
                <w:sz w:val="22"/>
                <w:lang w:val="en-US"/>
              </w:rPr>
              <w:t>set</w:t>
            </w:r>
            <w:r w:rsidRPr="001712C2">
              <w:rPr>
                <w:rFonts w:asciiTheme="minorHAnsi" w:hAnsiTheme="minorHAnsi"/>
                <w:sz w:val="22"/>
                <w:lang w:val="en-US"/>
              </w:rPr>
              <w:t xml:space="preserve"> up and, if possible, maintaining a virtual data room for potential investors with reliable virtual data room provider:</w:t>
            </w:r>
          </w:p>
          <w:p w:rsidR="001712C2" w:rsidRPr="001712C2" w:rsidRDefault="001712C2" w:rsidP="001712C2">
            <w:pPr>
              <w:pStyle w:val="BodyText"/>
              <w:numPr>
                <w:ilvl w:val="1"/>
                <w:numId w:val="26"/>
              </w:numPr>
              <w:spacing w:after="0" w:line="240" w:lineRule="auto"/>
              <w:ind w:hanging="357"/>
              <w:rPr>
                <w:rFonts w:asciiTheme="minorHAnsi" w:hAnsiTheme="minorHAnsi"/>
                <w:sz w:val="22"/>
                <w:lang w:val="en-US"/>
              </w:rPr>
            </w:pPr>
            <w:r w:rsidRPr="001712C2">
              <w:rPr>
                <w:rFonts w:asciiTheme="minorHAnsi" w:hAnsiTheme="minorHAnsi"/>
                <w:sz w:val="22"/>
                <w:lang w:val="en-US"/>
              </w:rPr>
              <w:t>preparation of the virtual data room index for financial, tax and legal sections;</w:t>
            </w:r>
          </w:p>
          <w:p w:rsidR="001712C2" w:rsidRPr="001712C2" w:rsidRDefault="001712C2" w:rsidP="001712C2">
            <w:pPr>
              <w:pStyle w:val="BodyText"/>
              <w:numPr>
                <w:ilvl w:val="1"/>
                <w:numId w:val="26"/>
              </w:numPr>
              <w:spacing w:after="0" w:line="240" w:lineRule="auto"/>
              <w:ind w:hanging="357"/>
              <w:rPr>
                <w:rFonts w:asciiTheme="minorHAnsi" w:hAnsiTheme="minorHAnsi"/>
                <w:sz w:val="22"/>
                <w:lang w:val="en-US"/>
              </w:rPr>
            </w:pPr>
            <w:r w:rsidRPr="001712C2">
              <w:rPr>
                <w:rFonts w:asciiTheme="minorHAnsi" w:hAnsiTheme="minorHAnsi"/>
                <w:sz w:val="22"/>
                <w:lang w:val="en-US"/>
              </w:rPr>
              <w:t>collection of documents to be uploaded to the data room for all relevant work streams (financial, tax and legal);</w:t>
            </w:r>
          </w:p>
          <w:p w:rsidR="001712C2" w:rsidRPr="001712C2" w:rsidRDefault="001712C2" w:rsidP="001712C2">
            <w:pPr>
              <w:pStyle w:val="BodyText"/>
              <w:numPr>
                <w:ilvl w:val="1"/>
                <w:numId w:val="26"/>
              </w:numPr>
              <w:spacing w:after="0" w:line="240" w:lineRule="auto"/>
              <w:ind w:hanging="357"/>
              <w:rPr>
                <w:rFonts w:asciiTheme="minorHAnsi" w:hAnsiTheme="minorHAnsi"/>
                <w:sz w:val="22"/>
                <w:lang w:val="en-US"/>
              </w:rPr>
            </w:pPr>
            <w:r w:rsidRPr="001712C2">
              <w:rPr>
                <w:rFonts w:asciiTheme="minorHAnsi" w:hAnsiTheme="minorHAnsi"/>
                <w:sz w:val="22"/>
                <w:lang w:val="en-US"/>
              </w:rPr>
              <w:t xml:space="preserve">sorting and numbering of electronic files and documents which will be provided by the CHP for upload to the </w:t>
            </w:r>
            <w:proofErr w:type="spellStart"/>
            <w:r w:rsidRPr="001712C2">
              <w:rPr>
                <w:rFonts w:asciiTheme="minorHAnsi" w:hAnsiTheme="minorHAnsi"/>
                <w:sz w:val="22"/>
                <w:lang w:val="en-US"/>
              </w:rPr>
              <w:t>dataroom</w:t>
            </w:r>
            <w:proofErr w:type="spellEnd"/>
            <w:r w:rsidRPr="001712C2">
              <w:rPr>
                <w:rFonts w:asciiTheme="minorHAnsi" w:hAnsiTheme="minorHAnsi"/>
                <w:sz w:val="22"/>
                <w:lang w:val="en-US"/>
              </w:rPr>
              <w:t>;</w:t>
            </w:r>
          </w:p>
          <w:p w:rsidR="001712C2" w:rsidRPr="001712C2" w:rsidRDefault="001712C2" w:rsidP="001712C2">
            <w:pPr>
              <w:pStyle w:val="BodyText"/>
              <w:numPr>
                <w:ilvl w:val="1"/>
                <w:numId w:val="26"/>
              </w:numPr>
              <w:spacing w:after="0" w:line="240" w:lineRule="auto"/>
              <w:ind w:hanging="357"/>
              <w:rPr>
                <w:rFonts w:asciiTheme="minorHAnsi" w:hAnsiTheme="minorHAnsi"/>
                <w:sz w:val="22"/>
                <w:lang w:val="en-US"/>
              </w:rPr>
            </w:pPr>
            <w:r w:rsidRPr="001712C2">
              <w:rPr>
                <w:rFonts w:asciiTheme="minorHAnsi" w:hAnsiTheme="minorHAnsi"/>
                <w:sz w:val="22"/>
                <w:lang w:val="en-US"/>
              </w:rPr>
              <w:t>renaming of electronic files and documents to facilitate understanding of their content by users;</w:t>
            </w:r>
          </w:p>
          <w:p w:rsidR="001712C2" w:rsidRPr="001712C2" w:rsidRDefault="001712C2" w:rsidP="001712C2">
            <w:pPr>
              <w:pStyle w:val="BodyText"/>
              <w:numPr>
                <w:ilvl w:val="1"/>
                <w:numId w:val="26"/>
              </w:numPr>
              <w:spacing w:after="0" w:line="240" w:lineRule="auto"/>
              <w:ind w:hanging="357"/>
              <w:rPr>
                <w:rFonts w:asciiTheme="minorHAnsi" w:hAnsiTheme="minorHAnsi"/>
                <w:sz w:val="22"/>
                <w:lang w:val="en-US"/>
              </w:rPr>
            </w:pPr>
            <w:r w:rsidRPr="001712C2">
              <w:rPr>
                <w:rFonts w:asciiTheme="minorHAnsi" w:hAnsiTheme="minorHAnsi"/>
                <w:sz w:val="22"/>
                <w:lang w:val="en-US"/>
              </w:rPr>
              <w:t>saving the abovementioned electronic information on an external drive/storage and providing in to SPFU for review and approval;</w:t>
            </w:r>
          </w:p>
          <w:p w:rsidR="001712C2" w:rsidRPr="001712C2" w:rsidRDefault="001712C2" w:rsidP="001712C2">
            <w:pPr>
              <w:pStyle w:val="BodyText"/>
              <w:numPr>
                <w:ilvl w:val="1"/>
                <w:numId w:val="26"/>
              </w:numPr>
              <w:spacing w:after="0" w:line="240" w:lineRule="auto"/>
              <w:ind w:hanging="357"/>
              <w:rPr>
                <w:rFonts w:asciiTheme="minorHAnsi" w:hAnsiTheme="minorHAnsi"/>
                <w:sz w:val="22"/>
                <w:lang w:val="en-US"/>
              </w:rPr>
            </w:pPr>
            <w:proofErr w:type="gramStart"/>
            <w:r w:rsidRPr="001712C2">
              <w:rPr>
                <w:rFonts w:asciiTheme="minorHAnsi" w:hAnsiTheme="minorHAnsi"/>
                <w:sz w:val="22"/>
                <w:lang w:val="en-US"/>
              </w:rPr>
              <w:t>upload</w:t>
            </w:r>
            <w:proofErr w:type="gramEnd"/>
            <w:r w:rsidRPr="001712C2">
              <w:rPr>
                <w:rFonts w:asciiTheme="minorHAnsi" w:hAnsiTheme="minorHAnsi"/>
                <w:sz w:val="22"/>
                <w:lang w:val="en-US"/>
              </w:rPr>
              <w:t xml:space="preserve"> of the abovementioned electronic information to the virtual data room facility.</w:t>
            </w:r>
          </w:p>
          <w:p w:rsidR="001712C2" w:rsidRPr="001712C2" w:rsidRDefault="001712C2" w:rsidP="001712C2">
            <w:pPr>
              <w:spacing w:after="0" w:line="240" w:lineRule="auto"/>
              <w:jc w:val="both"/>
              <w:rPr>
                <w:rFonts w:asciiTheme="minorHAnsi" w:hAnsiTheme="minorHAnsi"/>
                <w:lang w:val="en-US"/>
              </w:rPr>
            </w:pPr>
            <w:r w:rsidRPr="001712C2">
              <w:rPr>
                <w:rFonts w:asciiTheme="minorHAnsi" w:hAnsiTheme="minorHAnsi"/>
                <w:lang w:val="en-US"/>
              </w:rPr>
              <w:t xml:space="preserve">2.2 </w:t>
            </w:r>
            <w:r>
              <w:rPr>
                <w:rFonts w:asciiTheme="minorHAnsi" w:hAnsiTheme="minorHAnsi"/>
                <w:lang w:val="en-US"/>
              </w:rPr>
              <w:t xml:space="preserve">To </w:t>
            </w:r>
            <w:r w:rsidRPr="001712C2">
              <w:rPr>
                <w:rFonts w:asciiTheme="minorHAnsi" w:hAnsiTheme="minorHAnsi"/>
                <w:lang w:val="en-US"/>
              </w:rPr>
              <w:t>keep the SPFU and CHPs informed with respect to the progress in preparation of investment materials</w:t>
            </w:r>
          </w:p>
          <w:p w:rsidR="0014105C" w:rsidRPr="001712C2" w:rsidRDefault="001712C2" w:rsidP="00766359">
            <w:pPr>
              <w:spacing w:after="0" w:line="240" w:lineRule="auto"/>
              <w:rPr>
                <w:rFonts w:asciiTheme="minorHAnsi" w:hAnsiTheme="minorHAnsi" w:cs="Arial"/>
              </w:rPr>
            </w:pPr>
            <w:r w:rsidRPr="001712C2">
              <w:rPr>
                <w:rFonts w:asciiTheme="minorHAnsi" w:hAnsiTheme="minorHAnsi"/>
              </w:rPr>
              <w:t>3.1 After completion of the Information memorandum and preparation of content for the virtual data room, the Consultant(s) will be expected to share with key stakeholders the insights gained from the experience and make recommendations on how future efforts can be more effective</w:t>
            </w:r>
          </w:p>
        </w:tc>
      </w:tr>
    </w:tbl>
    <w:p w:rsidR="0014105C" w:rsidRPr="00D92ABD" w:rsidRDefault="0014105C" w:rsidP="006731D0"/>
    <w:sectPr w:rsidR="0014105C" w:rsidRPr="00D92ABD" w:rsidSect="00A465F4">
      <w:headerReference w:type="even" r:id="rId7"/>
      <w:headerReference w:type="default" r:id="rId8"/>
      <w:footerReference w:type="even" r:id="rId9"/>
      <w:footerReference w:type="default" r:id="rId10"/>
      <w:headerReference w:type="first" r:id="rId11"/>
      <w:footerReference w:type="first" r:id="rId12"/>
      <w:pgSz w:w="11906" w:h="16838"/>
      <w:pgMar w:top="426" w:right="566"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CF4" w:rsidRDefault="00405CF4" w:rsidP="00D07326">
      <w:pPr>
        <w:spacing w:after="0" w:line="240" w:lineRule="auto"/>
      </w:pPr>
      <w:r>
        <w:separator/>
      </w:r>
    </w:p>
  </w:endnote>
  <w:endnote w:type="continuationSeparator" w:id="0">
    <w:p w:rsidR="00405CF4" w:rsidRDefault="00405CF4" w:rsidP="00D07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F4" w:rsidRDefault="00405CF4">
    <w:pPr>
      <w:pStyle w:val="Footer"/>
    </w:pPr>
  </w:p>
  <w:p w:rsidR="00405CF4" w:rsidRDefault="002A54B7" w:rsidP="00117D7B">
    <w:pPr>
      <w:pStyle w:val="Footer"/>
      <w:jc w:val="center"/>
      <w:rPr>
        <w:rFonts w:ascii="Arial" w:hAnsi="Arial" w:cs="Arial"/>
        <w:b/>
        <w:sz w:val="20"/>
      </w:rPr>
    </w:pPr>
    <w:fldSimple w:instr=" DOCPROPERTY CLASSIFICATION \* MERGEFORMAT ">
      <w:r w:rsidR="002955E2" w:rsidRPr="002955E2">
        <w:rPr>
          <w:rFonts w:ascii="Arial" w:hAnsi="Arial" w:cs="Arial"/>
          <w:b/>
          <w:sz w:val="20"/>
        </w:rPr>
        <w:t>UNCLASSIFIED</w:t>
      </w:r>
    </w:fldSimple>
    <w:r w:rsidR="00405CF4" w:rsidRPr="00117D7B">
      <w:rPr>
        <w:rFonts w:ascii="Arial" w:hAnsi="Arial" w:cs="Arial"/>
        <w:b/>
        <w:sz w:val="20"/>
      </w:rPr>
      <w:t xml:space="preserve"> </w:t>
    </w:r>
  </w:p>
  <w:p w:rsidR="00405CF4" w:rsidRPr="00117D7B" w:rsidRDefault="002A54B7" w:rsidP="00117D7B">
    <w:pPr>
      <w:pStyle w:val="Footer"/>
      <w:spacing w:before="120"/>
      <w:jc w:val="right"/>
      <w:rPr>
        <w:rFonts w:ascii="Arial" w:hAnsi="Arial" w:cs="Arial"/>
        <w:sz w:val="12"/>
      </w:rPr>
    </w:pPr>
    <w:fldSimple w:instr=" FILENAME \p \* MERGEFORMAT ">
      <w:r w:rsidR="002955E2" w:rsidRPr="002955E2">
        <w:rPr>
          <w:rFonts w:ascii="Arial" w:hAnsi="Arial" w:cs="Arial"/>
          <w:noProof/>
          <w:sz w:val="12"/>
        </w:rPr>
        <w:t>S:\Projects\Prosperity Fund 15-16\RUNNING\SPFU\Tender\TOR for Tender.docx</w:t>
      </w:r>
    </w:fldSimple>
    <w:r>
      <w:fldChar w:fldCharType="begin"/>
    </w:r>
    <w:r w:rsidR="00405CF4">
      <w:instrText xml:space="preserve"> DOCPROPERTY PRIVACY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F4" w:rsidRDefault="00405CF4" w:rsidP="00117D7B">
    <w:pPr>
      <w:pStyle w:val="Footer"/>
      <w:jc w:val="center"/>
      <w:rPr>
        <w:rFonts w:ascii="Arial" w:hAnsi="Arial" w:cs="Arial"/>
        <w:b/>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F4" w:rsidRDefault="00405CF4">
    <w:pPr>
      <w:pStyle w:val="Footer"/>
    </w:pPr>
  </w:p>
  <w:p w:rsidR="00405CF4" w:rsidRDefault="002A54B7" w:rsidP="00117D7B">
    <w:pPr>
      <w:pStyle w:val="Footer"/>
      <w:jc w:val="center"/>
      <w:rPr>
        <w:rFonts w:ascii="Arial" w:hAnsi="Arial" w:cs="Arial"/>
        <w:b/>
        <w:sz w:val="20"/>
      </w:rPr>
    </w:pPr>
    <w:fldSimple w:instr=" DOCPROPERTY CLASSIFICATION \* MERGEFORMAT ">
      <w:r w:rsidR="002955E2" w:rsidRPr="002955E2">
        <w:rPr>
          <w:rFonts w:ascii="Arial" w:hAnsi="Arial" w:cs="Arial"/>
          <w:b/>
          <w:sz w:val="20"/>
        </w:rPr>
        <w:t>UNCLASSIFIED</w:t>
      </w:r>
    </w:fldSimple>
    <w:r w:rsidR="00405CF4" w:rsidRPr="00117D7B">
      <w:rPr>
        <w:rFonts w:ascii="Arial" w:hAnsi="Arial" w:cs="Arial"/>
        <w:b/>
        <w:sz w:val="20"/>
      </w:rPr>
      <w:t xml:space="preserve"> </w:t>
    </w:r>
  </w:p>
  <w:p w:rsidR="00405CF4" w:rsidRPr="00117D7B" w:rsidRDefault="002A54B7" w:rsidP="00117D7B">
    <w:pPr>
      <w:pStyle w:val="Footer"/>
      <w:spacing w:before="120"/>
      <w:jc w:val="right"/>
      <w:rPr>
        <w:rFonts w:ascii="Arial" w:hAnsi="Arial" w:cs="Arial"/>
        <w:sz w:val="12"/>
      </w:rPr>
    </w:pPr>
    <w:fldSimple w:instr=" FILENAME \p \* MERGEFORMAT ">
      <w:r w:rsidR="002955E2" w:rsidRPr="002955E2">
        <w:rPr>
          <w:rFonts w:ascii="Arial" w:hAnsi="Arial" w:cs="Arial"/>
          <w:noProof/>
          <w:sz w:val="12"/>
        </w:rPr>
        <w:t>S:\Projects\Prosperity Fund 15-16\RUNNING\SPFU\Tender\TOR for Tender.docx</w:t>
      </w:r>
    </w:fldSimple>
    <w:r>
      <w:fldChar w:fldCharType="begin"/>
    </w:r>
    <w:r w:rsidR="00405CF4">
      <w:instrText xml:space="preserve"> DOCPROPERTY PRIVACY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CF4" w:rsidRDefault="00405CF4" w:rsidP="00D07326">
      <w:pPr>
        <w:spacing w:after="0" w:line="240" w:lineRule="auto"/>
      </w:pPr>
      <w:r>
        <w:separator/>
      </w:r>
    </w:p>
  </w:footnote>
  <w:footnote w:type="continuationSeparator" w:id="0">
    <w:p w:rsidR="00405CF4" w:rsidRDefault="00405CF4" w:rsidP="00D073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F4" w:rsidRPr="00117D7B" w:rsidRDefault="002A54B7" w:rsidP="00117D7B">
    <w:pPr>
      <w:pStyle w:val="Header"/>
      <w:jc w:val="center"/>
      <w:rPr>
        <w:rFonts w:ascii="Arial" w:hAnsi="Arial" w:cs="Arial"/>
        <w:b/>
        <w:sz w:val="20"/>
      </w:rPr>
    </w:pPr>
    <w:fldSimple w:instr=" DOCPROPERTY CLASSIFICATION \* MERGEFORMAT ">
      <w:r w:rsidR="002955E2" w:rsidRPr="002955E2">
        <w:rPr>
          <w:rFonts w:ascii="Arial" w:hAnsi="Arial" w:cs="Arial"/>
          <w:b/>
          <w:sz w:val="20"/>
        </w:rPr>
        <w:t>UNCLASSIFIED</w:t>
      </w:r>
    </w:fldSimple>
    <w:r w:rsidR="00405CF4" w:rsidRPr="00117D7B">
      <w:rPr>
        <w:rFonts w:ascii="Arial" w:hAnsi="Arial" w:cs="Arial"/>
        <w:b/>
        <w:sz w:val="20"/>
      </w:rPr>
      <w:t xml:space="preserve"> </w:t>
    </w:r>
    <w:r>
      <w:fldChar w:fldCharType="begin"/>
    </w:r>
    <w:r w:rsidR="00405CF4">
      <w:instrText xml:space="preserve"> DOCPROPERTY PRIVACY  \* MERGEFORMAT </w:instrText>
    </w:r>
    <w:r>
      <w:fldChar w:fldCharType="end"/>
    </w:r>
  </w:p>
  <w:p w:rsidR="00405CF4" w:rsidRDefault="00405C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F4" w:rsidRDefault="00405C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F4" w:rsidRPr="00117D7B" w:rsidRDefault="002A54B7" w:rsidP="00117D7B">
    <w:pPr>
      <w:pStyle w:val="Header"/>
      <w:jc w:val="center"/>
      <w:rPr>
        <w:rFonts w:ascii="Arial" w:hAnsi="Arial" w:cs="Arial"/>
        <w:b/>
        <w:sz w:val="20"/>
      </w:rPr>
    </w:pPr>
    <w:fldSimple w:instr=" DOCPROPERTY CLASSIFICATION \* MERGEFORMAT ">
      <w:r w:rsidR="002955E2" w:rsidRPr="002955E2">
        <w:rPr>
          <w:rFonts w:ascii="Arial" w:hAnsi="Arial" w:cs="Arial"/>
          <w:b/>
          <w:sz w:val="20"/>
        </w:rPr>
        <w:t>UNCLASSIFIED</w:t>
      </w:r>
    </w:fldSimple>
    <w:r w:rsidR="00405CF4" w:rsidRPr="00117D7B">
      <w:rPr>
        <w:rFonts w:ascii="Arial" w:hAnsi="Arial" w:cs="Arial"/>
        <w:b/>
        <w:sz w:val="20"/>
      </w:rPr>
      <w:t xml:space="preserve"> </w:t>
    </w:r>
    <w:r>
      <w:fldChar w:fldCharType="begin"/>
    </w:r>
    <w:r w:rsidR="00405CF4">
      <w:instrText xml:space="preserve"> DOCPROPERTY PRIVACY  \* MERGEFORMAT </w:instrText>
    </w:r>
    <w:r>
      <w:fldChar w:fldCharType="end"/>
    </w:r>
  </w:p>
  <w:p w:rsidR="00405CF4" w:rsidRDefault="00405C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BF2"/>
    <w:multiLevelType w:val="hybridMultilevel"/>
    <w:tmpl w:val="3D705350"/>
    <w:lvl w:ilvl="0" w:tplc="B160555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95A11"/>
    <w:multiLevelType w:val="multilevel"/>
    <w:tmpl w:val="A6349A5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02EA09D7"/>
    <w:multiLevelType w:val="hybridMultilevel"/>
    <w:tmpl w:val="DBA4CF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34C2BBC"/>
    <w:multiLevelType w:val="multilevel"/>
    <w:tmpl w:val="312A882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05914363"/>
    <w:multiLevelType w:val="hybridMultilevel"/>
    <w:tmpl w:val="F83CD31A"/>
    <w:lvl w:ilvl="0" w:tplc="0F14F664">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C24789"/>
    <w:multiLevelType w:val="hybridMultilevel"/>
    <w:tmpl w:val="1520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361D1"/>
    <w:multiLevelType w:val="multilevel"/>
    <w:tmpl w:val="B8529C4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1955789E"/>
    <w:multiLevelType w:val="hybridMultilevel"/>
    <w:tmpl w:val="F8C64DC0"/>
    <w:lvl w:ilvl="0" w:tplc="D2F6B40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11439A"/>
    <w:multiLevelType w:val="hybridMultilevel"/>
    <w:tmpl w:val="6DF82DDE"/>
    <w:lvl w:ilvl="0" w:tplc="041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C287156"/>
    <w:multiLevelType w:val="hybridMultilevel"/>
    <w:tmpl w:val="29B0CE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1F942E48"/>
    <w:multiLevelType w:val="hybridMultilevel"/>
    <w:tmpl w:val="1FAC8C36"/>
    <w:lvl w:ilvl="0" w:tplc="86B2C72A">
      <w:start w:val="1"/>
      <w:numFmt w:val="decimal"/>
      <w:lvlText w:val="%1."/>
      <w:lvlJc w:val="left"/>
      <w:pPr>
        <w:ind w:left="720" w:hanging="360"/>
      </w:pPr>
      <w:rPr>
        <w:rFonts w:ascii="Calibri" w:eastAsia="Times New Roman" w:hAnsi="Calibri"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248B2D7E"/>
    <w:multiLevelType w:val="hybridMultilevel"/>
    <w:tmpl w:val="D8106A4A"/>
    <w:lvl w:ilvl="0" w:tplc="B160555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562767"/>
    <w:multiLevelType w:val="hybridMultilevel"/>
    <w:tmpl w:val="224E5258"/>
    <w:lvl w:ilvl="0" w:tplc="3D0C8156">
      <w:start w:val="1"/>
      <w:numFmt w:val="lowerRoman"/>
      <w:lvlText w:val="(%1)"/>
      <w:lvlJc w:val="left"/>
      <w:pPr>
        <w:ind w:left="144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304515AD"/>
    <w:multiLevelType w:val="hybridMultilevel"/>
    <w:tmpl w:val="A0A0B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11D5C1D"/>
    <w:multiLevelType w:val="hybridMultilevel"/>
    <w:tmpl w:val="FF4A7730"/>
    <w:lvl w:ilvl="0" w:tplc="CA98C564">
      <w:start w:val="2"/>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367275C2"/>
    <w:multiLevelType w:val="multilevel"/>
    <w:tmpl w:val="BD68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AB408A"/>
    <w:multiLevelType w:val="hybridMultilevel"/>
    <w:tmpl w:val="7CF2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AB2693"/>
    <w:multiLevelType w:val="hybridMultilevel"/>
    <w:tmpl w:val="51B6317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F782E09"/>
    <w:multiLevelType w:val="multilevel"/>
    <w:tmpl w:val="B16CF3A6"/>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42626C3C"/>
    <w:multiLevelType w:val="hybridMultilevel"/>
    <w:tmpl w:val="156671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B6C2754"/>
    <w:multiLevelType w:val="multilevel"/>
    <w:tmpl w:val="0B32DA8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50E47B87"/>
    <w:multiLevelType w:val="hybridMultilevel"/>
    <w:tmpl w:val="15084FBC"/>
    <w:lvl w:ilvl="0" w:tplc="1C6E13DA">
      <w:start w:val="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013504"/>
    <w:multiLevelType w:val="hybridMultilevel"/>
    <w:tmpl w:val="C4C8C3B4"/>
    <w:lvl w:ilvl="0" w:tplc="9694398A">
      <w:start w:val="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7918F6"/>
    <w:multiLevelType w:val="hybridMultilevel"/>
    <w:tmpl w:val="9B14EE1A"/>
    <w:lvl w:ilvl="0" w:tplc="FED28CB6">
      <w:start w:val="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B67A32"/>
    <w:multiLevelType w:val="hybridMultilevel"/>
    <w:tmpl w:val="007CCF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0D1D10"/>
    <w:multiLevelType w:val="hybridMultilevel"/>
    <w:tmpl w:val="063EB2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16"/>
  </w:num>
  <w:num w:numId="3">
    <w:abstractNumId w:val="0"/>
  </w:num>
  <w:num w:numId="4">
    <w:abstractNumId w:val="11"/>
  </w:num>
  <w:num w:numId="5">
    <w:abstractNumId w:val="3"/>
  </w:num>
  <w:num w:numId="6">
    <w:abstractNumId w:val="6"/>
  </w:num>
  <w:num w:numId="7">
    <w:abstractNumId w:val="1"/>
  </w:num>
  <w:num w:numId="8">
    <w:abstractNumId w:val="20"/>
  </w:num>
  <w:num w:numId="9">
    <w:abstractNumId w:val="2"/>
  </w:num>
  <w:num w:numId="10">
    <w:abstractNumId w:val="25"/>
  </w:num>
  <w:num w:numId="11">
    <w:abstractNumId w:val="14"/>
  </w:num>
  <w:num w:numId="12">
    <w:abstractNumId w:val="8"/>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8"/>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4"/>
  </w:num>
  <w:num w:numId="22">
    <w:abstractNumId w:val="22"/>
  </w:num>
  <w:num w:numId="23">
    <w:abstractNumId w:val="23"/>
  </w:num>
  <w:num w:numId="24">
    <w:abstractNumId w:val="21"/>
  </w:num>
  <w:num w:numId="25">
    <w:abstractNumId w:val="1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D07326"/>
    <w:rsid w:val="00006774"/>
    <w:rsid w:val="00012652"/>
    <w:rsid w:val="00034776"/>
    <w:rsid w:val="00054FDA"/>
    <w:rsid w:val="00067C96"/>
    <w:rsid w:val="00071959"/>
    <w:rsid w:val="00094344"/>
    <w:rsid w:val="000A22C4"/>
    <w:rsid w:val="000B64FF"/>
    <w:rsid w:val="000E19E4"/>
    <w:rsid w:val="000E337E"/>
    <w:rsid w:val="000E37D5"/>
    <w:rsid w:val="000E5D8C"/>
    <w:rsid w:val="000E6B5A"/>
    <w:rsid w:val="000F78BD"/>
    <w:rsid w:val="00104D97"/>
    <w:rsid w:val="00105FB2"/>
    <w:rsid w:val="001068EE"/>
    <w:rsid w:val="00117D7B"/>
    <w:rsid w:val="00125A9F"/>
    <w:rsid w:val="00132E81"/>
    <w:rsid w:val="00136B36"/>
    <w:rsid w:val="0014105C"/>
    <w:rsid w:val="00152D24"/>
    <w:rsid w:val="00153ADF"/>
    <w:rsid w:val="001712C2"/>
    <w:rsid w:val="001714AF"/>
    <w:rsid w:val="00181486"/>
    <w:rsid w:val="00186EF2"/>
    <w:rsid w:val="00191212"/>
    <w:rsid w:val="001936C5"/>
    <w:rsid w:val="001B5F08"/>
    <w:rsid w:val="001C3238"/>
    <w:rsid w:val="001E2856"/>
    <w:rsid w:val="001E4CF2"/>
    <w:rsid w:val="0020471B"/>
    <w:rsid w:val="00205E54"/>
    <w:rsid w:val="00206DD1"/>
    <w:rsid w:val="00216D05"/>
    <w:rsid w:val="00232026"/>
    <w:rsid w:val="002320C4"/>
    <w:rsid w:val="0026219C"/>
    <w:rsid w:val="002905AC"/>
    <w:rsid w:val="0029067B"/>
    <w:rsid w:val="002955E2"/>
    <w:rsid w:val="00297B27"/>
    <w:rsid w:val="002A54B7"/>
    <w:rsid w:val="002B421B"/>
    <w:rsid w:val="002C33B6"/>
    <w:rsid w:val="002D49FD"/>
    <w:rsid w:val="002D5C5B"/>
    <w:rsid w:val="002E2261"/>
    <w:rsid w:val="002E7D7E"/>
    <w:rsid w:val="00333DB0"/>
    <w:rsid w:val="0034391A"/>
    <w:rsid w:val="0034420F"/>
    <w:rsid w:val="0035053A"/>
    <w:rsid w:val="00360604"/>
    <w:rsid w:val="00385E95"/>
    <w:rsid w:val="00393C4C"/>
    <w:rsid w:val="00396763"/>
    <w:rsid w:val="00405CF4"/>
    <w:rsid w:val="004072F4"/>
    <w:rsid w:val="004108D0"/>
    <w:rsid w:val="00412FF3"/>
    <w:rsid w:val="004278EC"/>
    <w:rsid w:val="00431539"/>
    <w:rsid w:val="00436C78"/>
    <w:rsid w:val="0044268A"/>
    <w:rsid w:val="00443776"/>
    <w:rsid w:val="00445AEC"/>
    <w:rsid w:val="00452152"/>
    <w:rsid w:val="00455D05"/>
    <w:rsid w:val="00464761"/>
    <w:rsid w:val="00465F11"/>
    <w:rsid w:val="004663CC"/>
    <w:rsid w:val="00472072"/>
    <w:rsid w:val="00476C21"/>
    <w:rsid w:val="00481B7E"/>
    <w:rsid w:val="0049069A"/>
    <w:rsid w:val="00490F56"/>
    <w:rsid w:val="00495F41"/>
    <w:rsid w:val="004B178C"/>
    <w:rsid w:val="004B7E56"/>
    <w:rsid w:val="004C42AE"/>
    <w:rsid w:val="004C53CF"/>
    <w:rsid w:val="004E0BB9"/>
    <w:rsid w:val="004E7EE6"/>
    <w:rsid w:val="004E7F14"/>
    <w:rsid w:val="004F3007"/>
    <w:rsid w:val="004F5A45"/>
    <w:rsid w:val="00500728"/>
    <w:rsid w:val="0050556F"/>
    <w:rsid w:val="00507419"/>
    <w:rsid w:val="0051466B"/>
    <w:rsid w:val="005202A9"/>
    <w:rsid w:val="00520D05"/>
    <w:rsid w:val="00523C5D"/>
    <w:rsid w:val="005303BB"/>
    <w:rsid w:val="00551467"/>
    <w:rsid w:val="005809D0"/>
    <w:rsid w:val="005813C3"/>
    <w:rsid w:val="00583546"/>
    <w:rsid w:val="00585EEF"/>
    <w:rsid w:val="0059729C"/>
    <w:rsid w:val="005A5F15"/>
    <w:rsid w:val="005A709A"/>
    <w:rsid w:val="005E03B8"/>
    <w:rsid w:val="005E218C"/>
    <w:rsid w:val="005E3C42"/>
    <w:rsid w:val="005F55ED"/>
    <w:rsid w:val="00607F1F"/>
    <w:rsid w:val="006445A9"/>
    <w:rsid w:val="006451D0"/>
    <w:rsid w:val="006731D0"/>
    <w:rsid w:val="0068312A"/>
    <w:rsid w:val="00686ABA"/>
    <w:rsid w:val="00692082"/>
    <w:rsid w:val="006A6A56"/>
    <w:rsid w:val="006B14E1"/>
    <w:rsid w:val="006C748E"/>
    <w:rsid w:val="006D5A08"/>
    <w:rsid w:val="006D687E"/>
    <w:rsid w:val="006E1FB9"/>
    <w:rsid w:val="006F01EF"/>
    <w:rsid w:val="00702C28"/>
    <w:rsid w:val="00715888"/>
    <w:rsid w:val="0072023A"/>
    <w:rsid w:val="00722600"/>
    <w:rsid w:val="00723EC4"/>
    <w:rsid w:val="0073360C"/>
    <w:rsid w:val="00735296"/>
    <w:rsid w:val="00737DD7"/>
    <w:rsid w:val="00742868"/>
    <w:rsid w:val="007630A4"/>
    <w:rsid w:val="00766359"/>
    <w:rsid w:val="00773A6D"/>
    <w:rsid w:val="0079066D"/>
    <w:rsid w:val="007927AA"/>
    <w:rsid w:val="007963D2"/>
    <w:rsid w:val="00797171"/>
    <w:rsid w:val="007B3A8A"/>
    <w:rsid w:val="007C1A0A"/>
    <w:rsid w:val="007D7C55"/>
    <w:rsid w:val="007E27C4"/>
    <w:rsid w:val="007E5859"/>
    <w:rsid w:val="007F4711"/>
    <w:rsid w:val="0080654F"/>
    <w:rsid w:val="00820872"/>
    <w:rsid w:val="00821178"/>
    <w:rsid w:val="008219CA"/>
    <w:rsid w:val="0083258E"/>
    <w:rsid w:val="008337C2"/>
    <w:rsid w:val="00837EDD"/>
    <w:rsid w:val="00840534"/>
    <w:rsid w:val="00863524"/>
    <w:rsid w:val="008757F5"/>
    <w:rsid w:val="0087752B"/>
    <w:rsid w:val="0088551F"/>
    <w:rsid w:val="00891D50"/>
    <w:rsid w:val="008A3F15"/>
    <w:rsid w:val="008B6EAC"/>
    <w:rsid w:val="008B706D"/>
    <w:rsid w:val="008C084E"/>
    <w:rsid w:val="008D57F7"/>
    <w:rsid w:val="008D71CD"/>
    <w:rsid w:val="008F267F"/>
    <w:rsid w:val="008F5B89"/>
    <w:rsid w:val="009003E0"/>
    <w:rsid w:val="00900C95"/>
    <w:rsid w:val="00901A28"/>
    <w:rsid w:val="00903BDC"/>
    <w:rsid w:val="00910B3A"/>
    <w:rsid w:val="00913D4D"/>
    <w:rsid w:val="0092699E"/>
    <w:rsid w:val="00931FD1"/>
    <w:rsid w:val="009665BF"/>
    <w:rsid w:val="00976E8A"/>
    <w:rsid w:val="0098517C"/>
    <w:rsid w:val="0098791A"/>
    <w:rsid w:val="00987C71"/>
    <w:rsid w:val="00992E4A"/>
    <w:rsid w:val="00992F5C"/>
    <w:rsid w:val="009B56E4"/>
    <w:rsid w:val="009D03E0"/>
    <w:rsid w:val="009D1B29"/>
    <w:rsid w:val="009E1D93"/>
    <w:rsid w:val="009E60CB"/>
    <w:rsid w:val="009F7615"/>
    <w:rsid w:val="00A03D18"/>
    <w:rsid w:val="00A11FD1"/>
    <w:rsid w:val="00A2235B"/>
    <w:rsid w:val="00A257D2"/>
    <w:rsid w:val="00A335E6"/>
    <w:rsid w:val="00A465F4"/>
    <w:rsid w:val="00A65FB1"/>
    <w:rsid w:val="00A675A1"/>
    <w:rsid w:val="00A87292"/>
    <w:rsid w:val="00AA49C6"/>
    <w:rsid w:val="00AA513B"/>
    <w:rsid w:val="00AB44C3"/>
    <w:rsid w:val="00AB46A7"/>
    <w:rsid w:val="00AC5B14"/>
    <w:rsid w:val="00AE7EC7"/>
    <w:rsid w:val="00B01381"/>
    <w:rsid w:val="00B01E69"/>
    <w:rsid w:val="00B27297"/>
    <w:rsid w:val="00B42978"/>
    <w:rsid w:val="00B44265"/>
    <w:rsid w:val="00B51FB9"/>
    <w:rsid w:val="00B52B49"/>
    <w:rsid w:val="00B71CA3"/>
    <w:rsid w:val="00B723AE"/>
    <w:rsid w:val="00B84C55"/>
    <w:rsid w:val="00B92086"/>
    <w:rsid w:val="00BB22A8"/>
    <w:rsid w:val="00BE4893"/>
    <w:rsid w:val="00BF7489"/>
    <w:rsid w:val="00C05F6D"/>
    <w:rsid w:val="00C20DA6"/>
    <w:rsid w:val="00C30034"/>
    <w:rsid w:val="00C341BC"/>
    <w:rsid w:val="00C45A02"/>
    <w:rsid w:val="00C45D61"/>
    <w:rsid w:val="00C623EA"/>
    <w:rsid w:val="00C77C76"/>
    <w:rsid w:val="00C85A9C"/>
    <w:rsid w:val="00C94DEC"/>
    <w:rsid w:val="00CA5FC3"/>
    <w:rsid w:val="00CC1D41"/>
    <w:rsid w:val="00CE48DF"/>
    <w:rsid w:val="00CE65B3"/>
    <w:rsid w:val="00CF2485"/>
    <w:rsid w:val="00D07326"/>
    <w:rsid w:val="00D201B4"/>
    <w:rsid w:val="00D208D2"/>
    <w:rsid w:val="00D21368"/>
    <w:rsid w:val="00D31638"/>
    <w:rsid w:val="00D32B8F"/>
    <w:rsid w:val="00D467B7"/>
    <w:rsid w:val="00D50759"/>
    <w:rsid w:val="00D546A7"/>
    <w:rsid w:val="00D54E42"/>
    <w:rsid w:val="00D6425D"/>
    <w:rsid w:val="00D824E7"/>
    <w:rsid w:val="00D92ABD"/>
    <w:rsid w:val="00DC5354"/>
    <w:rsid w:val="00DD08F5"/>
    <w:rsid w:val="00DD312F"/>
    <w:rsid w:val="00DD6971"/>
    <w:rsid w:val="00DE70ED"/>
    <w:rsid w:val="00DF057F"/>
    <w:rsid w:val="00E03DB6"/>
    <w:rsid w:val="00E10620"/>
    <w:rsid w:val="00E258B2"/>
    <w:rsid w:val="00E4454E"/>
    <w:rsid w:val="00E44929"/>
    <w:rsid w:val="00E53DC0"/>
    <w:rsid w:val="00E55611"/>
    <w:rsid w:val="00E71F27"/>
    <w:rsid w:val="00E736C1"/>
    <w:rsid w:val="00E74370"/>
    <w:rsid w:val="00E771CB"/>
    <w:rsid w:val="00E82200"/>
    <w:rsid w:val="00E93ECF"/>
    <w:rsid w:val="00E96400"/>
    <w:rsid w:val="00EA0BE6"/>
    <w:rsid w:val="00EB5697"/>
    <w:rsid w:val="00EB5A3C"/>
    <w:rsid w:val="00EB624D"/>
    <w:rsid w:val="00ED5C56"/>
    <w:rsid w:val="00EF10C8"/>
    <w:rsid w:val="00F01682"/>
    <w:rsid w:val="00F01825"/>
    <w:rsid w:val="00F1167E"/>
    <w:rsid w:val="00F13F8E"/>
    <w:rsid w:val="00F13FBE"/>
    <w:rsid w:val="00F346DB"/>
    <w:rsid w:val="00F45646"/>
    <w:rsid w:val="00F47DF0"/>
    <w:rsid w:val="00F72B18"/>
    <w:rsid w:val="00F75E82"/>
    <w:rsid w:val="00F76C71"/>
    <w:rsid w:val="00F80EA6"/>
    <w:rsid w:val="00F85BB4"/>
    <w:rsid w:val="00F90633"/>
    <w:rsid w:val="00FB1981"/>
    <w:rsid w:val="00FB6078"/>
    <w:rsid w:val="00FC0A7F"/>
    <w:rsid w:val="00FD01AF"/>
    <w:rsid w:val="00FD6A34"/>
    <w:rsid w:val="00FE1232"/>
    <w:rsid w:val="00FF1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63"/>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73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07326"/>
    <w:rPr>
      <w:rFonts w:cs="Times New Roman"/>
    </w:rPr>
  </w:style>
  <w:style w:type="paragraph" w:styleId="Footer">
    <w:name w:val="footer"/>
    <w:basedOn w:val="Normal"/>
    <w:link w:val="FooterChar"/>
    <w:uiPriority w:val="99"/>
    <w:rsid w:val="00D073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07326"/>
    <w:rPr>
      <w:rFonts w:cs="Times New Roman"/>
    </w:rPr>
  </w:style>
  <w:style w:type="paragraph" w:styleId="BalloonText">
    <w:name w:val="Balloon Text"/>
    <w:basedOn w:val="Normal"/>
    <w:link w:val="BalloonTextChar"/>
    <w:uiPriority w:val="99"/>
    <w:semiHidden/>
    <w:rsid w:val="00D0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326"/>
    <w:rPr>
      <w:rFonts w:ascii="Tahoma" w:hAnsi="Tahoma" w:cs="Tahoma"/>
      <w:sz w:val="16"/>
      <w:szCs w:val="16"/>
    </w:rPr>
  </w:style>
  <w:style w:type="table" w:styleId="TableGrid">
    <w:name w:val="Table Grid"/>
    <w:basedOn w:val="TableNormal"/>
    <w:uiPriority w:val="99"/>
    <w:rsid w:val="00D0732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D07326"/>
    <w:rPr>
      <w:rFonts w:cs="Times New Roman"/>
      <w:color w:val="0000FF"/>
      <w:u w:val="single"/>
    </w:rPr>
  </w:style>
  <w:style w:type="character" w:styleId="PlaceholderText">
    <w:name w:val="Placeholder Text"/>
    <w:basedOn w:val="DefaultParagraphFont"/>
    <w:uiPriority w:val="99"/>
    <w:semiHidden/>
    <w:rsid w:val="00C623EA"/>
    <w:rPr>
      <w:rFonts w:cs="Times New Roman"/>
      <w:color w:val="808080"/>
    </w:rPr>
  </w:style>
  <w:style w:type="paragraph" w:styleId="ListParagraph">
    <w:name w:val="List Paragraph"/>
    <w:basedOn w:val="Normal"/>
    <w:uiPriority w:val="99"/>
    <w:qFormat/>
    <w:rsid w:val="00E53DC0"/>
    <w:pPr>
      <w:ind w:left="720"/>
      <w:contextualSpacing/>
    </w:pPr>
  </w:style>
  <w:style w:type="paragraph" w:styleId="BodyText">
    <w:name w:val="Body Text"/>
    <w:basedOn w:val="Normal"/>
    <w:link w:val="BodyTextChar"/>
    <w:uiPriority w:val="99"/>
    <w:semiHidden/>
    <w:rsid w:val="00F01825"/>
    <w:pPr>
      <w:jc w:val="both"/>
    </w:pPr>
    <w:rPr>
      <w:rFonts w:ascii="Arial" w:hAnsi="Arial"/>
      <w:sz w:val="20"/>
    </w:rPr>
  </w:style>
  <w:style w:type="character" w:customStyle="1" w:styleId="BodyTextChar">
    <w:name w:val="Body Text Char"/>
    <w:basedOn w:val="DefaultParagraphFont"/>
    <w:link w:val="BodyText"/>
    <w:uiPriority w:val="99"/>
    <w:semiHidden/>
    <w:locked/>
    <w:rsid w:val="00F01825"/>
    <w:rPr>
      <w:rFonts w:ascii="Arial" w:hAnsi="Arial" w:cs="Times New Roman"/>
      <w:sz w:val="22"/>
      <w:szCs w:val="22"/>
      <w:lang w:eastAsia="en-US"/>
    </w:rPr>
  </w:style>
  <w:style w:type="paragraph" w:styleId="CommentText">
    <w:name w:val="annotation text"/>
    <w:basedOn w:val="Normal"/>
    <w:link w:val="CommentTextChar"/>
    <w:uiPriority w:val="99"/>
    <w:semiHidden/>
    <w:rsid w:val="00FB607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B6078"/>
    <w:rPr>
      <w:rFonts w:cs="Times New Roman"/>
      <w:lang w:eastAsia="en-US"/>
    </w:rPr>
  </w:style>
  <w:style w:type="paragraph" w:styleId="CommentSubject">
    <w:name w:val="annotation subject"/>
    <w:basedOn w:val="CommentText"/>
    <w:next w:val="CommentText"/>
    <w:link w:val="CommentSubjectChar"/>
    <w:rsid w:val="00FB6078"/>
    <w:pPr>
      <w:spacing w:line="276" w:lineRule="auto"/>
    </w:pPr>
    <w:rPr>
      <w:b/>
      <w:bCs/>
    </w:rPr>
  </w:style>
  <w:style w:type="character" w:customStyle="1" w:styleId="CommentSubjectChar">
    <w:name w:val="Comment Subject Char"/>
    <w:basedOn w:val="CommentTextChar"/>
    <w:link w:val="CommentSubject"/>
    <w:locked/>
    <w:rsid w:val="00FB6078"/>
    <w:rPr>
      <w:rFonts w:cs="Times New Roman"/>
      <w:b/>
      <w:bCs/>
      <w:lang w:eastAsia="en-US"/>
    </w:rPr>
  </w:style>
  <w:style w:type="paragraph" w:customStyle="1" w:styleId="doc-ti2">
    <w:name w:val="doc-ti2"/>
    <w:basedOn w:val="Normal"/>
    <w:rsid w:val="006F01EF"/>
    <w:pPr>
      <w:spacing w:before="240" w:after="120" w:line="312" w:lineRule="atLeast"/>
      <w:jc w:val="center"/>
    </w:pPr>
    <w:rPr>
      <w:rFonts w:ascii="Times New Roman" w:eastAsia="Times New Roman" w:hAnsi="Times New Roman"/>
      <w:b/>
      <w:bCs/>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675900">
      <w:marLeft w:val="0"/>
      <w:marRight w:val="0"/>
      <w:marTop w:val="0"/>
      <w:marBottom w:val="0"/>
      <w:divBdr>
        <w:top w:val="none" w:sz="0" w:space="0" w:color="auto"/>
        <w:left w:val="none" w:sz="0" w:space="0" w:color="auto"/>
        <w:bottom w:val="none" w:sz="0" w:space="0" w:color="auto"/>
        <w:right w:val="none" w:sz="0" w:space="0" w:color="auto"/>
      </w:divBdr>
    </w:div>
    <w:div w:id="309675901">
      <w:marLeft w:val="0"/>
      <w:marRight w:val="0"/>
      <w:marTop w:val="0"/>
      <w:marBottom w:val="0"/>
      <w:divBdr>
        <w:top w:val="none" w:sz="0" w:space="0" w:color="auto"/>
        <w:left w:val="none" w:sz="0" w:space="0" w:color="auto"/>
        <w:bottom w:val="none" w:sz="0" w:space="0" w:color="auto"/>
        <w:right w:val="none" w:sz="0" w:space="0" w:color="auto"/>
      </w:divBdr>
    </w:div>
    <w:div w:id="309675902">
      <w:marLeft w:val="0"/>
      <w:marRight w:val="0"/>
      <w:marTop w:val="0"/>
      <w:marBottom w:val="0"/>
      <w:divBdr>
        <w:top w:val="none" w:sz="0" w:space="0" w:color="auto"/>
        <w:left w:val="none" w:sz="0" w:space="0" w:color="auto"/>
        <w:bottom w:val="none" w:sz="0" w:space="0" w:color="auto"/>
        <w:right w:val="none" w:sz="0" w:space="0" w:color="auto"/>
      </w:divBdr>
    </w:div>
    <w:div w:id="309675903">
      <w:marLeft w:val="0"/>
      <w:marRight w:val="0"/>
      <w:marTop w:val="0"/>
      <w:marBottom w:val="0"/>
      <w:divBdr>
        <w:top w:val="none" w:sz="0" w:space="0" w:color="auto"/>
        <w:left w:val="none" w:sz="0" w:space="0" w:color="auto"/>
        <w:bottom w:val="none" w:sz="0" w:space="0" w:color="auto"/>
        <w:right w:val="none" w:sz="0" w:space="0" w:color="auto"/>
      </w:divBdr>
    </w:div>
    <w:div w:id="309675904">
      <w:marLeft w:val="0"/>
      <w:marRight w:val="0"/>
      <w:marTop w:val="0"/>
      <w:marBottom w:val="0"/>
      <w:divBdr>
        <w:top w:val="none" w:sz="0" w:space="0" w:color="auto"/>
        <w:left w:val="none" w:sz="0" w:space="0" w:color="auto"/>
        <w:bottom w:val="none" w:sz="0" w:space="0" w:color="auto"/>
        <w:right w:val="none" w:sz="0" w:space="0" w:color="auto"/>
      </w:divBdr>
    </w:div>
    <w:div w:id="309675905">
      <w:marLeft w:val="0"/>
      <w:marRight w:val="0"/>
      <w:marTop w:val="0"/>
      <w:marBottom w:val="0"/>
      <w:divBdr>
        <w:top w:val="none" w:sz="0" w:space="0" w:color="auto"/>
        <w:left w:val="none" w:sz="0" w:space="0" w:color="auto"/>
        <w:bottom w:val="none" w:sz="0" w:space="0" w:color="auto"/>
        <w:right w:val="none" w:sz="0" w:space="0" w:color="auto"/>
      </w:divBdr>
    </w:div>
    <w:div w:id="309675906">
      <w:marLeft w:val="0"/>
      <w:marRight w:val="0"/>
      <w:marTop w:val="0"/>
      <w:marBottom w:val="0"/>
      <w:divBdr>
        <w:top w:val="none" w:sz="0" w:space="0" w:color="auto"/>
        <w:left w:val="none" w:sz="0" w:space="0" w:color="auto"/>
        <w:bottom w:val="none" w:sz="0" w:space="0" w:color="auto"/>
        <w:right w:val="none" w:sz="0" w:space="0" w:color="auto"/>
      </w:divBdr>
    </w:div>
    <w:div w:id="309675907">
      <w:marLeft w:val="0"/>
      <w:marRight w:val="0"/>
      <w:marTop w:val="0"/>
      <w:marBottom w:val="0"/>
      <w:divBdr>
        <w:top w:val="none" w:sz="0" w:space="0" w:color="auto"/>
        <w:left w:val="none" w:sz="0" w:space="0" w:color="auto"/>
        <w:bottom w:val="none" w:sz="0" w:space="0" w:color="auto"/>
        <w:right w:val="none" w:sz="0" w:space="0" w:color="auto"/>
      </w:divBdr>
    </w:div>
    <w:div w:id="309675908">
      <w:marLeft w:val="0"/>
      <w:marRight w:val="0"/>
      <w:marTop w:val="0"/>
      <w:marBottom w:val="0"/>
      <w:divBdr>
        <w:top w:val="none" w:sz="0" w:space="0" w:color="auto"/>
        <w:left w:val="none" w:sz="0" w:space="0" w:color="auto"/>
        <w:bottom w:val="none" w:sz="0" w:space="0" w:color="auto"/>
        <w:right w:val="none" w:sz="0" w:space="0" w:color="auto"/>
      </w:divBdr>
    </w:div>
    <w:div w:id="309675909">
      <w:marLeft w:val="0"/>
      <w:marRight w:val="0"/>
      <w:marTop w:val="0"/>
      <w:marBottom w:val="0"/>
      <w:divBdr>
        <w:top w:val="none" w:sz="0" w:space="0" w:color="auto"/>
        <w:left w:val="none" w:sz="0" w:space="0" w:color="auto"/>
        <w:bottom w:val="none" w:sz="0" w:space="0" w:color="auto"/>
        <w:right w:val="none" w:sz="0" w:space="0" w:color="auto"/>
      </w:divBdr>
    </w:div>
    <w:div w:id="309675910">
      <w:marLeft w:val="0"/>
      <w:marRight w:val="0"/>
      <w:marTop w:val="0"/>
      <w:marBottom w:val="0"/>
      <w:divBdr>
        <w:top w:val="none" w:sz="0" w:space="0" w:color="auto"/>
        <w:left w:val="none" w:sz="0" w:space="0" w:color="auto"/>
        <w:bottom w:val="none" w:sz="0" w:space="0" w:color="auto"/>
        <w:right w:val="none" w:sz="0" w:space="0" w:color="auto"/>
      </w:divBdr>
    </w:div>
    <w:div w:id="309675911">
      <w:marLeft w:val="0"/>
      <w:marRight w:val="0"/>
      <w:marTop w:val="0"/>
      <w:marBottom w:val="0"/>
      <w:divBdr>
        <w:top w:val="none" w:sz="0" w:space="0" w:color="auto"/>
        <w:left w:val="none" w:sz="0" w:space="0" w:color="auto"/>
        <w:bottom w:val="none" w:sz="0" w:space="0" w:color="auto"/>
        <w:right w:val="none" w:sz="0" w:space="0" w:color="auto"/>
      </w:divBdr>
    </w:div>
    <w:div w:id="309675912">
      <w:marLeft w:val="0"/>
      <w:marRight w:val="0"/>
      <w:marTop w:val="0"/>
      <w:marBottom w:val="0"/>
      <w:divBdr>
        <w:top w:val="none" w:sz="0" w:space="0" w:color="auto"/>
        <w:left w:val="none" w:sz="0" w:space="0" w:color="auto"/>
        <w:bottom w:val="none" w:sz="0" w:space="0" w:color="auto"/>
        <w:right w:val="none" w:sz="0" w:space="0" w:color="auto"/>
      </w:divBdr>
    </w:div>
    <w:div w:id="309675913">
      <w:marLeft w:val="0"/>
      <w:marRight w:val="0"/>
      <w:marTop w:val="0"/>
      <w:marBottom w:val="0"/>
      <w:divBdr>
        <w:top w:val="none" w:sz="0" w:space="0" w:color="auto"/>
        <w:left w:val="none" w:sz="0" w:space="0" w:color="auto"/>
        <w:bottom w:val="none" w:sz="0" w:space="0" w:color="auto"/>
        <w:right w:val="none" w:sz="0" w:space="0" w:color="auto"/>
      </w:divBdr>
    </w:div>
    <w:div w:id="309675914">
      <w:marLeft w:val="0"/>
      <w:marRight w:val="0"/>
      <w:marTop w:val="0"/>
      <w:marBottom w:val="0"/>
      <w:divBdr>
        <w:top w:val="none" w:sz="0" w:space="0" w:color="auto"/>
        <w:left w:val="none" w:sz="0" w:space="0" w:color="auto"/>
        <w:bottom w:val="none" w:sz="0" w:space="0" w:color="auto"/>
        <w:right w:val="none" w:sz="0" w:space="0" w:color="auto"/>
      </w:divBdr>
    </w:div>
    <w:div w:id="309675915">
      <w:marLeft w:val="0"/>
      <w:marRight w:val="0"/>
      <w:marTop w:val="0"/>
      <w:marBottom w:val="0"/>
      <w:divBdr>
        <w:top w:val="none" w:sz="0" w:space="0" w:color="auto"/>
        <w:left w:val="none" w:sz="0" w:space="0" w:color="auto"/>
        <w:bottom w:val="none" w:sz="0" w:space="0" w:color="auto"/>
        <w:right w:val="none" w:sz="0" w:space="0" w:color="auto"/>
      </w:divBdr>
    </w:div>
    <w:div w:id="309675916">
      <w:marLeft w:val="0"/>
      <w:marRight w:val="0"/>
      <w:marTop w:val="0"/>
      <w:marBottom w:val="0"/>
      <w:divBdr>
        <w:top w:val="none" w:sz="0" w:space="0" w:color="auto"/>
        <w:left w:val="none" w:sz="0" w:space="0" w:color="auto"/>
        <w:bottom w:val="none" w:sz="0" w:space="0" w:color="auto"/>
        <w:right w:val="none" w:sz="0" w:space="0" w:color="auto"/>
      </w:divBdr>
    </w:div>
    <w:div w:id="309675917">
      <w:marLeft w:val="0"/>
      <w:marRight w:val="0"/>
      <w:marTop w:val="0"/>
      <w:marBottom w:val="0"/>
      <w:divBdr>
        <w:top w:val="none" w:sz="0" w:space="0" w:color="auto"/>
        <w:left w:val="none" w:sz="0" w:space="0" w:color="auto"/>
        <w:bottom w:val="none" w:sz="0" w:space="0" w:color="auto"/>
        <w:right w:val="none" w:sz="0" w:space="0" w:color="auto"/>
      </w:divBdr>
    </w:div>
    <w:div w:id="309675918">
      <w:marLeft w:val="0"/>
      <w:marRight w:val="0"/>
      <w:marTop w:val="0"/>
      <w:marBottom w:val="0"/>
      <w:divBdr>
        <w:top w:val="none" w:sz="0" w:space="0" w:color="auto"/>
        <w:left w:val="none" w:sz="0" w:space="0" w:color="auto"/>
        <w:bottom w:val="none" w:sz="0" w:space="0" w:color="auto"/>
        <w:right w:val="none" w:sz="0" w:space="0" w:color="auto"/>
      </w:divBdr>
    </w:div>
    <w:div w:id="309675919">
      <w:marLeft w:val="0"/>
      <w:marRight w:val="0"/>
      <w:marTop w:val="0"/>
      <w:marBottom w:val="0"/>
      <w:divBdr>
        <w:top w:val="none" w:sz="0" w:space="0" w:color="auto"/>
        <w:left w:val="none" w:sz="0" w:space="0" w:color="auto"/>
        <w:bottom w:val="none" w:sz="0" w:space="0" w:color="auto"/>
        <w:right w:val="none" w:sz="0" w:space="0" w:color="auto"/>
      </w:divBdr>
    </w:div>
    <w:div w:id="309675920">
      <w:marLeft w:val="0"/>
      <w:marRight w:val="0"/>
      <w:marTop w:val="0"/>
      <w:marBottom w:val="0"/>
      <w:divBdr>
        <w:top w:val="none" w:sz="0" w:space="0" w:color="auto"/>
        <w:left w:val="none" w:sz="0" w:space="0" w:color="auto"/>
        <w:bottom w:val="none" w:sz="0" w:space="0" w:color="auto"/>
        <w:right w:val="none" w:sz="0" w:space="0" w:color="auto"/>
      </w:divBdr>
    </w:div>
    <w:div w:id="309675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687</Words>
  <Characters>3999</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Full Project Proposal Form March 2011</vt:lpstr>
      <vt:lpstr>Full Project Proposal Form March 2011</vt:lpstr>
    </vt:vector>
  </TitlesOfParts>
  <Company>FCO</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Project Proposal Form March 2011</dc:title>
  <dc:subject/>
  <dc:creator>rlota</dc:creator>
  <cp:keywords/>
  <cp:lastModifiedBy>syavorska</cp:lastModifiedBy>
  <cp:revision>5</cp:revision>
  <cp:lastPrinted>2013-06-17T12:54:00Z</cp:lastPrinted>
  <dcterms:created xsi:type="dcterms:W3CDTF">2015-11-09T13:50:00Z</dcterms:created>
  <dcterms:modified xsi:type="dcterms:W3CDTF">2015-11-10T13:51:00Z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1799-12-30T21:00:00Z</vt:filetime>
  </property>
</Properties>
</file>