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37E58" w14:textId="77777777" w:rsidR="00A55467" w:rsidRPr="00A55467" w:rsidRDefault="00A55467" w:rsidP="00A55467">
      <w:pPr>
        <w:tabs>
          <w:tab w:val="center" w:pos="4820"/>
          <w:tab w:val="right" w:pos="9638"/>
        </w:tabs>
        <w:spacing w:after="240"/>
        <w:jc w:val="center"/>
        <w:rPr>
          <w:rFonts w:ascii="Arial" w:hAnsi="Arial" w:cs="Arial"/>
        </w:rPr>
      </w:pPr>
    </w:p>
    <w:p w14:paraId="0982AAF2" w14:textId="77777777" w:rsidR="00A55467" w:rsidRPr="00A55467" w:rsidRDefault="00A55467" w:rsidP="00A55467">
      <w:pPr>
        <w:spacing w:after="240"/>
        <w:jc w:val="center"/>
        <w:rPr>
          <w:rFonts w:ascii="Arial" w:hAnsi="Arial" w:cs="Arial"/>
          <w:b/>
          <w:sz w:val="28"/>
          <w:szCs w:val="28"/>
        </w:rPr>
      </w:pPr>
    </w:p>
    <w:p w14:paraId="74E4C97F" w14:textId="77777777" w:rsidR="00A55467" w:rsidRPr="00C65A1E" w:rsidRDefault="00A55467" w:rsidP="00CD5190">
      <w:pPr>
        <w:jc w:val="center"/>
        <w:rPr>
          <w:rFonts w:ascii="Arial" w:hAnsi="Arial" w:cs="Arial"/>
          <w:b/>
          <w:sz w:val="20"/>
          <w:szCs w:val="20"/>
        </w:rPr>
      </w:pPr>
      <w:r w:rsidRPr="00C65A1E">
        <w:rPr>
          <w:rFonts w:ascii="Arial" w:hAnsi="Arial" w:cs="Arial"/>
          <w:b/>
          <w:sz w:val="20"/>
          <w:szCs w:val="20"/>
        </w:rPr>
        <w:t>SCHEDULE 2</w:t>
      </w:r>
    </w:p>
    <w:p w14:paraId="08130733" w14:textId="77777777" w:rsidR="00C65A1E" w:rsidRPr="00C65A1E" w:rsidRDefault="00C65A1E" w:rsidP="00CD5190">
      <w:pPr>
        <w:jc w:val="center"/>
        <w:rPr>
          <w:rFonts w:ascii="Arial" w:hAnsi="Arial" w:cs="Arial"/>
          <w:b/>
          <w:sz w:val="20"/>
          <w:szCs w:val="20"/>
        </w:rPr>
      </w:pPr>
    </w:p>
    <w:p w14:paraId="5D07DEF5" w14:textId="77777777" w:rsidR="00A55467" w:rsidRPr="00C65A1E" w:rsidRDefault="00C65A1E" w:rsidP="00CD5190">
      <w:pPr>
        <w:jc w:val="center"/>
        <w:rPr>
          <w:rFonts w:ascii="Arial" w:hAnsi="Arial" w:cs="Arial"/>
          <w:b/>
          <w:sz w:val="20"/>
          <w:szCs w:val="20"/>
        </w:rPr>
      </w:pPr>
      <w:r w:rsidRPr="00C65A1E">
        <w:rPr>
          <w:rFonts w:ascii="Arial" w:hAnsi="Arial" w:cs="Arial"/>
          <w:b/>
          <w:sz w:val="20"/>
          <w:szCs w:val="20"/>
        </w:rPr>
        <w:t>SERVICE REQUIREMENTS</w:t>
      </w:r>
    </w:p>
    <w:p w14:paraId="12013606" w14:textId="77777777" w:rsidR="00A55467" w:rsidRPr="00A55467" w:rsidRDefault="00A55467" w:rsidP="00A55467">
      <w:pPr>
        <w:spacing w:after="240"/>
        <w:jc w:val="center"/>
        <w:rPr>
          <w:rFonts w:ascii="Arial" w:hAnsi="Arial" w:cs="Arial"/>
          <w:b/>
          <w:sz w:val="28"/>
          <w:szCs w:val="28"/>
        </w:rPr>
      </w:pPr>
    </w:p>
    <w:p w14:paraId="53822F90" w14:textId="77777777" w:rsidR="00A55467" w:rsidRPr="00A55467" w:rsidRDefault="00A55467" w:rsidP="00A55467">
      <w:pPr>
        <w:spacing w:after="240"/>
        <w:rPr>
          <w:rFonts w:ascii="Arial" w:hAnsi="Arial" w:cs="Arial"/>
        </w:rPr>
      </w:pPr>
    </w:p>
    <w:p w14:paraId="446787AC" w14:textId="77777777" w:rsidR="00A55467" w:rsidRPr="00A55467" w:rsidRDefault="00A55467" w:rsidP="00A55467">
      <w:pPr>
        <w:spacing w:after="240"/>
        <w:rPr>
          <w:rFonts w:ascii="Arial" w:hAnsi="Arial" w:cs="Arial"/>
        </w:rPr>
      </w:pPr>
    </w:p>
    <w:p w14:paraId="52CC9B96" w14:textId="77777777" w:rsidR="00A55467" w:rsidRPr="00A55467" w:rsidRDefault="00A55467" w:rsidP="00A55467">
      <w:pPr>
        <w:spacing w:after="240"/>
        <w:rPr>
          <w:rFonts w:ascii="Arial" w:hAnsi="Arial" w:cs="Arial"/>
        </w:rPr>
      </w:pPr>
    </w:p>
    <w:p w14:paraId="0E79BBFC" w14:textId="77777777" w:rsidR="00A55467" w:rsidRPr="00A55467" w:rsidRDefault="00A55467" w:rsidP="00A55467">
      <w:pPr>
        <w:spacing w:after="240"/>
        <w:rPr>
          <w:rFonts w:ascii="Arial" w:hAnsi="Arial" w:cs="Arial"/>
        </w:rPr>
      </w:pPr>
    </w:p>
    <w:p w14:paraId="6F2D7B00" w14:textId="77777777" w:rsidR="00A55467" w:rsidRPr="00A55467" w:rsidRDefault="00A55467" w:rsidP="00A55467">
      <w:pPr>
        <w:spacing w:after="240"/>
        <w:rPr>
          <w:rFonts w:ascii="Arial" w:hAnsi="Arial" w:cs="Arial"/>
        </w:rPr>
      </w:pPr>
    </w:p>
    <w:p w14:paraId="3ED4A1A4" w14:textId="77777777" w:rsidR="00A55467" w:rsidRPr="00A55467" w:rsidRDefault="00A55467" w:rsidP="00A55467">
      <w:pPr>
        <w:spacing w:after="240"/>
        <w:rPr>
          <w:rFonts w:ascii="Arial" w:hAnsi="Arial" w:cs="Arial"/>
        </w:rPr>
      </w:pPr>
    </w:p>
    <w:p w14:paraId="7E49E71E" w14:textId="77777777" w:rsidR="00A55467" w:rsidRPr="00A55467" w:rsidRDefault="00A55467" w:rsidP="00A55467">
      <w:pPr>
        <w:rPr>
          <w:rFonts w:ascii="Arial" w:hAnsi="Arial" w:cs="Arial"/>
        </w:rPr>
      </w:pPr>
    </w:p>
    <w:p w14:paraId="7434623B" w14:textId="77777777" w:rsidR="00A55467" w:rsidRPr="00A55467" w:rsidRDefault="00A55467" w:rsidP="00A55467">
      <w:pPr>
        <w:rPr>
          <w:rFonts w:ascii="Arial" w:hAnsi="Arial" w:cs="Arial"/>
        </w:rPr>
      </w:pPr>
    </w:p>
    <w:p w14:paraId="18A966D9" w14:textId="77777777" w:rsidR="00A55467" w:rsidRPr="00A55467" w:rsidRDefault="00A55467" w:rsidP="00A55467">
      <w:pPr>
        <w:rPr>
          <w:rFonts w:ascii="Arial" w:hAnsi="Arial" w:cs="Arial"/>
        </w:rPr>
      </w:pPr>
    </w:p>
    <w:p w14:paraId="35DB5E96" w14:textId="77777777" w:rsidR="00A55467" w:rsidRPr="00A55467" w:rsidRDefault="00A55467" w:rsidP="00A55467">
      <w:pPr>
        <w:rPr>
          <w:rFonts w:ascii="Arial" w:hAnsi="Arial" w:cs="Arial"/>
        </w:rPr>
      </w:pPr>
      <w:r w:rsidRPr="00A55467">
        <w:rPr>
          <w:rFonts w:ascii="Arial" w:hAnsi="Arial" w:cs="Arial"/>
        </w:rPr>
        <w:br w:type="page"/>
      </w:r>
    </w:p>
    <w:p w14:paraId="3BC86C78" w14:textId="77777777" w:rsidR="00A55467" w:rsidRPr="00A55467" w:rsidRDefault="00A55467" w:rsidP="00A55467">
      <w:pPr>
        <w:rPr>
          <w:rFonts w:ascii="Arial" w:hAnsi="Arial" w:cs="Arial"/>
        </w:rPr>
      </w:pPr>
    </w:p>
    <w:p w14:paraId="12F6187B" w14:textId="77777777" w:rsidR="002C4FA2" w:rsidRDefault="002C4FA2" w:rsidP="002C4FA2">
      <w:pPr>
        <w:pStyle w:val="Body"/>
        <w:jc w:val="center"/>
        <w:rPr>
          <w:b/>
        </w:rPr>
      </w:pPr>
      <w:r w:rsidRPr="0034624F">
        <w:rPr>
          <w:b/>
        </w:rPr>
        <w:t>VERSION CONTROL</w:t>
      </w:r>
    </w:p>
    <w:p w14:paraId="0615D4D8" w14:textId="77777777" w:rsidR="002C4FA2" w:rsidRPr="002C4FA2" w:rsidRDefault="002C4FA2" w:rsidP="002C4FA2">
      <w:pPr>
        <w:pStyle w:val="Body"/>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410"/>
        <w:gridCol w:w="3680"/>
      </w:tblGrid>
      <w:tr w:rsidR="002C4FA2" w:rsidRPr="002C4FA2" w14:paraId="284E7A9B" w14:textId="77777777" w:rsidTr="00A84325">
        <w:tc>
          <w:tcPr>
            <w:tcW w:w="2410" w:type="dxa"/>
          </w:tcPr>
          <w:p w14:paraId="0E9311C0" w14:textId="77777777" w:rsidR="002C4FA2" w:rsidRPr="002C4FA2" w:rsidRDefault="002C4FA2" w:rsidP="00A84325">
            <w:pPr>
              <w:tabs>
                <w:tab w:val="left" w:pos="737"/>
              </w:tabs>
              <w:jc w:val="center"/>
              <w:rPr>
                <w:rFonts w:ascii="Arial" w:hAnsi="Arial" w:cs="Arial"/>
                <w:b/>
                <w:sz w:val="20"/>
                <w:szCs w:val="20"/>
              </w:rPr>
            </w:pPr>
            <w:r w:rsidRPr="002C4FA2">
              <w:rPr>
                <w:rFonts w:ascii="Arial" w:hAnsi="Arial" w:cs="Arial"/>
                <w:b/>
                <w:sz w:val="20"/>
                <w:szCs w:val="20"/>
              </w:rPr>
              <w:t>VERSION NUMBER</w:t>
            </w:r>
          </w:p>
        </w:tc>
        <w:tc>
          <w:tcPr>
            <w:tcW w:w="2410" w:type="dxa"/>
          </w:tcPr>
          <w:p w14:paraId="3B1CBDD4" w14:textId="77777777" w:rsidR="002C4FA2" w:rsidRPr="002C4FA2" w:rsidRDefault="002C4FA2" w:rsidP="00A84325">
            <w:pPr>
              <w:tabs>
                <w:tab w:val="left" w:pos="737"/>
              </w:tabs>
              <w:jc w:val="center"/>
              <w:rPr>
                <w:rFonts w:ascii="Arial" w:hAnsi="Arial" w:cs="Arial"/>
                <w:b/>
                <w:sz w:val="20"/>
                <w:szCs w:val="20"/>
              </w:rPr>
            </w:pPr>
            <w:r w:rsidRPr="002C4FA2">
              <w:rPr>
                <w:rFonts w:ascii="Arial" w:hAnsi="Arial" w:cs="Arial"/>
                <w:b/>
                <w:sz w:val="20"/>
                <w:szCs w:val="20"/>
              </w:rPr>
              <w:t>DATE</w:t>
            </w:r>
          </w:p>
          <w:p w14:paraId="58AB4801" w14:textId="77777777" w:rsidR="002C4FA2" w:rsidRPr="002C4FA2" w:rsidRDefault="002C4FA2" w:rsidP="00A84325">
            <w:pPr>
              <w:tabs>
                <w:tab w:val="left" w:pos="737"/>
              </w:tabs>
              <w:jc w:val="center"/>
              <w:rPr>
                <w:rFonts w:ascii="Arial" w:hAnsi="Arial" w:cs="Arial"/>
                <w:b/>
                <w:sz w:val="20"/>
                <w:szCs w:val="20"/>
              </w:rPr>
            </w:pPr>
          </w:p>
        </w:tc>
        <w:tc>
          <w:tcPr>
            <w:tcW w:w="3680" w:type="dxa"/>
          </w:tcPr>
          <w:p w14:paraId="3DF62DF9" w14:textId="77777777" w:rsidR="002C4FA2" w:rsidRPr="002C4FA2" w:rsidRDefault="002C4FA2" w:rsidP="00A84325">
            <w:pPr>
              <w:tabs>
                <w:tab w:val="left" w:pos="737"/>
              </w:tabs>
              <w:jc w:val="center"/>
              <w:rPr>
                <w:rFonts w:ascii="Arial" w:hAnsi="Arial" w:cs="Arial"/>
                <w:b/>
                <w:sz w:val="20"/>
                <w:szCs w:val="20"/>
              </w:rPr>
            </w:pPr>
            <w:r w:rsidRPr="002C4FA2">
              <w:rPr>
                <w:rFonts w:ascii="Arial" w:hAnsi="Arial" w:cs="Arial"/>
                <w:b/>
                <w:sz w:val="20"/>
                <w:szCs w:val="20"/>
              </w:rPr>
              <w:t>COMMENT</w:t>
            </w:r>
          </w:p>
        </w:tc>
      </w:tr>
      <w:tr w:rsidR="002C4FA2" w:rsidRPr="002C4FA2" w14:paraId="11C90138" w14:textId="77777777" w:rsidTr="00A843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410" w:type="dxa"/>
            <w:tcBorders>
              <w:top w:val="single" w:sz="4" w:space="0" w:color="auto"/>
              <w:left w:val="single" w:sz="4" w:space="0" w:color="auto"/>
              <w:bottom w:val="single" w:sz="4" w:space="0" w:color="auto"/>
              <w:right w:val="single" w:sz="4" w:space="0" w:color="auto"/>
            </w:tcBorders>
          </w:tcPr>
          <w:p w14:paraId="65C25B48" w14:textId="77777777" w:rsidR="002C4FA2" w:rsidRPr="002953B6" w:rsidRDefault="002C4FA2" w:rsidP="00A84325">
            <w:pPr>
              <w:tabs>
                <w:tab w:val="left" w:pos="737"/>
              </w:tabs>
              <w:ind w:firstLine="100"/>
              <w:rPr>
                <w:rFonts w:ascii="Arial" w:hAnsi="Arial" w:cs="Arial"/>
                <w:sz w:val="20"/>
                <w:szCs w:val="20"/>
              </w:rPr>
            </w:pPr>
            <w:r w:rsidRPr="002953B6">
              <w:rPr>
                <w:rFonts w:ascii="Arial" w:hAnsi="Arial" w:cs="Arial"/>
                <w:sz w:val="20"/>
                <w:szCs w:val="20"/>
              </w:rPr>
              <w:t>0.1</w:t>
            </w:r>
          </w:p>
        </w:tc>
        <w:tc>
          <w:tcPr>
            <w:tcW w:w="2410" w:type="dxa"/>
            <w:tcBorders>
              <w:top w:val="single" w:sz="4" w:space="0" w:color="auto"/>
              <w:left w:val="single" w:sz="4" w:space="0" w:color="auto"/>
              <w:bottom w:val="single" w:sz="4" w:space="0" w:color="auto"/>
              <w:right w:val="single" w:sz="4" w:space="0" w:color="auto"/>
            </w:tcBorders>
          </w:tcPr>
          <w:p w14:paraId="6C34C43A" w14:textId="77777777" w:rsidR="002C4FA2" w:rsidRPr="002953B6" w:rsidRDefault="00395092" w:rsidP="00A84325">
            <w:pPr>
              <w:tabs>
                <w:tab w:val="left" w:pos="737"/>
              </w:tabs>
              <w:ind w:firstLine="122"/>
              <w:rPr>
                <w:rFonts w:ascii="Arial" w:hAnsi="Arial" w:cs="Arial"/>
                <w:sz w:val="20"/>
                <w:szCs w:val="20"/>
              </w:rPr>
            </w:pPr>
            <w:r w:rsidRPr="002953B6">
              <w:rPr>
                <w:rFonts w:ascii="Arial" w:hAnsi="Arial" w:cs="Arial"/>
                <w:sz w:val="20"/>
                <w:szCs w:val="20"/>
              </w:rPr>
              <w:t xml:space="preserve">27 </w:t>
            </w:r>
            <w:r w:rsidR="002C4FA2" w:rsidRPr="002953B6">
              <w:rPr>
                <w:rFonts w:ascii="Arial" w:hAnsi="Arial" w:cs="Arial"/>
                <w:sz w:val="20"/>
                <w:szCs w:val="20"/>
              </w:rPr>
              <w:t>July 2016</w:t>
            </w:r>
          </w:p>
          <w:p w14:paraId="3F58D490" w14:textId="77777777" w:rsidR="002C4FA2" w:rsidRPr="002953B6" w:rsidRDefault="002C4FA2" w:rsidP="00A84325">
            <w:pPr>
              <w:tabs>
                <w:tab w:val="left" w:pos="737"/>
              </w:tabs>
              <w:ind w:firstLine="122"/>
              <w:rPr>
                <w:rFonts w:ascii="Arial" w:hAnsi="Arial" w:cs="Arial"/>
                <w:sz w:val="20"/>
                <w:szCs w:val="20"/>
              </w:rPr>
            </w:pPr>
          </w:p>
        </w:tc>
        <w:tc>
          <w:tcPr>
            <w:tcW w:w="3680" w:type="dxa"/>
            <w:tcBorders>
              <w:top w:val="single" w:sz="4" w:space="0" w:color="auto"/>
              <w:left w:val="single" w:sz="4" w:space="0" w:color="auto"/>
              <w:bottom w:val="single" w:sz="4" w:space="0" w:color="auto"/>
              <w:right w:val="single" w:sz="4" w:space="0" w:color="auto"/>
            </w:tcBorders>
          </w:tcPr>
          <w:p w14:paraId="4DDF7CF1" w14:textId="77777777" w:rsidR="002C4FA2" w:rsidRPr="002953B6" w:rsidRDefault="002C4FA2" w:rsidP="00A84325">
            <w:pPr>
              <w:tabs>
                <w:tab w:val="left" w:pos="737"/>
              </w:tabs>
              <w:ind w:left="136" w:hanging="20"/>
              <w:rPr>
                <w:rFonts w:ascii="Arial" w:hAnsi="Arial" w:cs="Arial"/>
                <w:sz w:val="20"/>
                <w:szCs w:val="20"/>
              </w:rPr>
            </w:pPr>
            <w:r w:rsidRPr="002953B6">
              <w:rPr>
                <w:rFonts w:ascii="Arial" w:hAnsi="Arial" w:cs="Arial"/>
                <w:sz w:val="20"/>
                <w:szCs w:val="20"/>
              </w:rPr>
              <w:t xml:space="preserve">Preliminary </w:t>
            </w:r>
            <w:r w:rsidR="00FF1F49" w:rsidRPr="002953B6">
              <w:rPr>
                <w:rFonts w:ascii="Arial" w:hAnsi="Arial" w:cs="Arial"/>
                <w:sz w:val="20"/>
                <w:szCs w:val="20"/>
              </w:rPr>
              <w:t xml:space="preserve">draft </w:t>
            </w:r>
            <w:r w:rsidRPr="002953B6">
              <w:rPr>
                <w:rFonts w:ascii="Arial" w:hAnsi="Arial" w:cs="Arial"/>
                <w:sz w:val="20"/>
                <w:szCs w:val="20"/>
              </w:rPr>
              <w:t>template version made available for general comment</w:t>
            </w:r>
          </w:p>
        </w:tc>
      </w:tr>
      <w:tr w:rsidR="00CE363E" w:rsidRPr="006A4524" w14:paraId="634263F8" w14:textId="77777777" w:rsidTr="00BE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410" w:type="dxa"/>
            <w:tcBorders>
              <w:top w:val="single" w:sz="4" w:space="0" w:color="auto"/>
              <w:left w:val="single" w:sz="4" w:space="0" w:color="auto"/>
              <w:bottom w:val="single" w:sz="4" w:space="0" w:color="auto"/>
              <w:right w:val="single" w:sz="4" w:space="0" w:color="auto"/>
            </w:tcBorders>
          </w:tcPr>
          <w:p w14:paraId="1618E9D0" w14:textId="77777777" w:rsidR="00CE363E" w:rsidRPr="002953B6" w:rsidRDefault="00CE363E" w:rsidP="00BE7DC9">
            <w:pPr>
              <w:tabs>
                <w:tab w:val="left" w:pos="737"/>
              </w:tabs>
              <w:ind w:firstLine="100"/>
              <w:rPr>
                <w:rFonts w:ascii="Arial" w:hAnsi="Arial" w:cs="Arial"/>
                <w:sz w:val="20"/>
                <w:szCs w:val="20"/>
              </w:rPr>
            </w:pPr>
            <w:r w:rsidRPr="002953B6">
              <w:rPr>
                <w:rFonts w:ascii="Arial" w:hAnsi="Arial" w:cs="Arial"/>
                <w:sz w:val="20"/>
                <w:szCs w:val="20"/>
              </w:rPr>
              <w:t>0.2</w:t>
            </w:r>
          </w:p>
        </w:tc>
        <w:tc>
          <w:tcPr>
            <w:tcW w:w="2410" w:type="dxa"/>
            <w:tcBorders>
              <w:top w:val="single" w:sz="4" w:space="0" w:color="auto"/>
              <w:left w:val="single" w:sz="4" w:space="0" w:color="auto"/>
              <w:bottom w:val="single" w:sz="4" w:space="0" w:color="auto"/>
              <w:right w:val="single" w:sz="4" w:space="0" w:color="auto"/>
            </w:tcBorders>
          </w:tcPr>
          <w:p w14:paraId="54CE97BE" w14:textId="5B67B750" w:rsidR="00CE363E" w:rsidRPr="002953B6" w:rsidRDefault="00A803B3" w:rsidP="00BE7DC9">
            <w:pPr>
              <w:tabs>
                <w:tab w:val="left" w:pos="737"/>
              </w:tabs>
              <w:ind w:firstLine="122"/>
              <w:rPr>
                <w:rFonts w:ascii="Arial" w:hAnsi="Arial" w:cs="Arial"/>
                <w:sz w:val="20"/>
                <w:szCs w:val="20"/>
              </w:rPr>
            </w:pPr>
            <w:r w:rsidRPr="002953B6">
              <w:rPr>
                <w:rFonts w:ascii="Arial" w:hAnsi="Arial" w:cs="Arial"/>
                <w:sz w:val="20"/>
                <w:szCs w:val="20"/>
              </w:rPr>
              <w:t>2 September 2016</w:t>
            </w:r>
          </w:p>
        </w:tc>
        <w:tc>
          <w:tcPr>
            <w:tcW w:w="3680" w:type="dxa"/>
            <w:tcBorders>
              <w:top w:val="single" w:sz="4" w:space="0" w:color="auto"/>
              <w:left w:val="single" w:sz="4" w:space="0" w:color="auto"/>
              <w:bottom w:val="single" w:sz="4" w:space="0" w:color="auto"/>
              <w:right w:val="single" w:sz="4" w:space="0" w:color="auto"/>
            </w:tcBorders>
          </w:tcPr>
          <w:p w14:paraId="14A0434B" w14:textId="77777777" w:rsidR="00CE363E" w:rsidRPr="002953B6" w:rsidRDefault="00CE363E" w:rsidP="00BE7DC9">
            <w:pPr>
              <w:tabs>
                <w:tab w:val="left" w:pos="737"/>
              </w:tabs>
              <w:ind w:left="136" w:hanging="20"/>
              <w:rPr>
                <w:rFonts w:ascii="Arial" w:hAnsi="Arial" w:cs="Arial"/>
                <w:sz w:val="20"/>
                <w:szCs w:val="20"/>
              </w:rPr>
            </w:pPr>
            <w:r w:rsidRPr="002953B6">
              <w:rPr>
                <w:rFonts w:ascii="Arial" w:hAnsi="Arial" w:cs="Arial"/>
                <w:sz w:val="20"/>
                <w:szCs w:val="20"/>
              </w:rPr>
              <w:t>Uplifted draft, following feedback, made available for final comment</w:t>
            </w:r>
          </w:p>
        </w:tc>
      </w:tr>
      <w:tr w:rsidR="00BB5D9D" w:rsidRPr="006A4524" w14:paraId="18986AF9" w14:textId="77777777" w:rsidTr="00BE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410" w:type="dxa"/>
            <w:tcBorders>
              <w:top w:val="single" w:sz="4" w:space="0" w:color="auto"/>
              <w:left w:val="single" w:sz="4" w:space="0" w:color="auto"/>
              <w:bottom w:val="single" w:sz="4" w:space="0" w:color="auto"/>
              <w:right w:val="single" w:sz="4" w:space="0" w:color="auto"/>
            </w:tcBorders>
          </w:tcPr>
          <w:p w14:paraId="01753238" w14:textId="55A538F4" w:rsidR="00BB5D9D" w:rsidRPr="002953B6" w:rsidRDefault="00BB5D9D" w:rsidP="00BE7DC9">
            <w:pPr>
              <w:tabs>
                <w:tab w:val="left" w:pos="737"/>
              </w:tabs>
              <w:ind w:firstLine="100"/>
              <w:rPr>
                <w:rFonts w:ascii="Arial" w:hAnsi="Arial" w:cs="Arial"/>
                <w:sz w:val="20"/>
                <w:szCs w:val="20"/>
              </w:rPr>
            </w:pPr>
            <w:r w:rsidRPr="002953B6">
              <w:rPr>
                <w:rFonts w:ascii="Arial" w:hAnsi="Arial" w:cs="Arial"/>
                <w:sz w:val="20"/>
                <w:szCs w:val="20"/>
              </w:rPr>
              <w:t>0.3</w:t>
            </w:r>
          </w:p>
        </w:tc>
        <w:tc>
          <w:tcPr>
            <w:tcW w:w="2410" w:type="dxa"/>
            <w:tcBorders>
              <w:top w:val="single" w:sz="4" w:space="0" w:color="auto"/>
              <w:left w:val="single" w:sz="4" w:space="0" w:color="auto"/>
              <w:bottom w:val="single" w:sz="4" w:space="0" w:color="auto"/>
              <w:right w:val="single" w:sz="4" w:space="0" w:color="auto"/>
            </w:tcBorders>
          </w:tcPr>
          <w:p w14:paraId="081451C8" w14:textId="7A63D5CE" w:rsidR="00BB5D9D" w:rsidRPr="002953B6" w:rsidRDefault="00B35428" w:rsidP="00240102">
            <w:pPr>
              <w:tabs>
                <w:tab w:val="left" w:pos="737"/>
              </w:tabs>
              <w:ind w:left="142" w:hanging="20"/>
              <w:rPr>
                <w:rFonts w:ascii="Arial" w:hAnsi="Arial" w:cs="Arial"/>
                <w:sz w:val="20"/>
                <w:szCs w:val="20"/>
              </w:rPr>
            </w:pPr>
            <w:r w:rsidRPr="002953B6">
              <w:rPr>
                <w:rFonts w:ascii="Arial" w:hAnsi="Arial" w:cs="Arial"/>
                <w:sz w:val="20"/>
                <w:szCs w:val="20"/>
              </w:rPr>
              <w:t xml:space="preserve">25 </w:t>
            </w:r>
            <w:r w:rsidR="00BB5D9D" w:rsidRPr="002953B6">
              <w:rPr>
                <w:rFonts w:ascii="Arial" w:hAnsi="Arial" w:cs="Arial"/>
                <w:sz w:val="20"/>
                <w:szCs w:val="20"/>
              </w:rPr>
              <w:t>October 2016</w:t>
            </w:r>
            <w:r w:rsidR="00240102" w:rsidRPr="002953B6">
              <w:rPr>
                <w:rFonts w:ascii="Arial" w:hAnsi="Arial" w:cs="Arial"/>
                <w:sz w:val="20"/>
                <w:szCs w:val="20"/>
              </w:rPr>
              <w:t xml:space="preserve"> plus 14 November 2016 update to 3.5.2</w:t>
            </w:r>
          </w:p>
        </w:tc>
        <w:tc>
          <w:tcPr>
            <w:tcW w:w="3680" w:type="dxa"/>
            <w:tcBorders>
              <w:top w:val="single" w:sz="4" w:space="0" w:color="auto"/>
              <w:left w:val="single" w:sz="4" w:space="0" w:color="auto"/>
              <w:bottom w:val="single" w:sz="4" w:space="0" w:color="auto"/>
              <w:right w:val="single" w:sz="4" w:space="0" w:color="auto"/>
            </w:tcBorders>
          </w:tcPr>
          <w:p w14:paraId="0E922B6B" w14:textId="33B2F916" w:rsidR="00BB5D9D" w:rsidRPr="002953B6" w:rsidRDefault="00BB5D9D" w:rsidP="00BE7DC9">
            <w:pPr>
              <w:tabs>
                <w:tab w:val="left" w:pos="737"/>
              </w:tabs>
              <w:ind w:left="136" w:hanging="20"/>
              <w:rPr>
                <w:rFonts w:ascii="Arial" w:hAnsi="Arial" w:cs="Arial"/>
                <w:sz w:val="20"/>
                <w:szCs w:val="20"/>
              </w:rPr>
            </w:pPr>
            <w:r w:rsidRPr="002953B6">
              <w:rPr>
                <w:rFonts w:ascii="Arial" w:hAnsi="Arial" w:cs="Arial"/>
                <w:sz w:val="20"/>
                <w:szCs w:val="20"/>
              </w:rPr>
              <w:t xml:space="preserve">Uplifted following local body and supplier feedback </w:t>
            </w:r>
          </w:p>
        </w:tc>
      </w:tr>
      <w:tr w:rsidR="00ED0289" w:rsidRPr="006A4524" w14:paraId="44B9BA01" w14:textId="77777777" w:rsidTr="00BE7D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2410" w:type="dxa"/>
            <w:tcBorders>
              <w:top w:val="single" w:sz="4" w:space="0" w:color="auto"/>
              <w:left w:val="single" w:sz="4" w:space="0" w:color="auto"/>
              <w:bottom w:val="single" w:sz="4" w:space="0" w:color="auto"/>
              <w:right w:val="single" w:sz="4" w:space="0" w:color="auto"/>
            </w:tcBorders>
          </w:tcPr>
          <w:p w14:paraId="679B8FA4" w14:textId="24219966" w:rsidR="00ED0289" w:rsidRPr="002953B6" w:rsidRDefault="00ED0289" w:rsidP="00BE7DC9">
            <w:pPr>
              <w:tabs>
                <w:tab w:val="left" w:pos="737"/>
              </w:tabs>
              <w:ind w:firstLine="100"/>
              <w:rPr>
                <w:rFonts w:ascii="Arial" w:hAnsi="Arial" w:cs="Arial"/>
                <w:sz w:val="20"/>
                <w:szCs w:val="20"/>
              </w:rPr>
            </w:pPr>
            <w:r>
              <w:rPr>
                <w:rFonts w:ascii="Arial" w:hAnsi="Arial" w:cs="Arial"/>
                <w:sz w:val="20"/>
                <w:szCs w:val="20"/>
              </w:rPr>
              <w:t>1.0</w:t>
            </w:r>
          </w:p>
        </w:tc>
        <w:tc>
          <w:tcPr>
            <w:tcW w:w="2410" w:type="dxa"/>
            <w:tcBorders>
              <w:top w:val="single" w:sz="4" w:space="0" w:color="auto"/>
              <w:left w:val="single" w:sz="4" w:space="0" w:color="auto"/>
              <w:bottom w:val="single" w:sz="4" w:space="0" w:color="auto"/>
              <w:right w:val="single" w:sz="4" w:space="0" w:color="auto"/>
            </w:tcBorders>
          </w:tcPr>
          <w:p w14:paraId="55E27386" w14:textId="38069A26" w:rsidR="00ED0289" w:rsidRPr="002953B6" w:rsidRDefault="00ED0289" w:rsidP="00240102">
            <w:pPr>
              <w:tabs>
                <w:tab w:val="left" w:pos="737"/>
              </w:tabs>
              <w:ind w:left="142" w:hanging="20"/>
              <w:rPr>
                <w:rFonts w:ascii="Arial" w:hAnsi="Arial" w:cs="Arial"/>
                <w:sz w:val="20"/>
                <w:szCs w:val="20"/>
              </w:rPr>
            </w:pPr>
            <w:r>
              <w:rPr>
                <w:rFonts w:ascii="Arial" w:hAnsi="Arial" w:cs="Arial"/>
                <w:sz w:val="20"/>
                <w:szCs w:val="20"/>
              </w:rPr>
              <w:t>16 November 2016</w:t>
            </w:r>
          </w:p>
        </w:tc>
        <w:tc>
          <w:tcPr>
            <w:tcW w:w="3680" w:type="dxa"/>
            <w:tcBorders>
              <w:top w:val="single" w:sz="4" w:space="0" w:color="auto"/>
              <w:left w:val="single" w:sz="4" w:space="0" w:color="auto"/>
              <w:bottom w:val="single" w:sz="4" w:space="0" w:color="auto"/>
              <w:right w:val="single" w:sz="4" w:space="0" w:color="auto"/>
            </w:tcBorders>
          </w:tcPr>
          <w:p w14:paraId="70547134" w14:textId="77777777" w:rsidR="00ED0289" w:rsidRDefault="00ED0289" w:rsidP="00BE7DC9">
            <w:pPr>
              <w:tabs>
                <w:tab w:val="left" w:pos="737"/>
              </w:tabs>
              <w:ind w:left="136" w:hanging="20"/>
              <w:rPr>
                <w:rFonts w:ascii="Arial" w:hAnsi="Arial" w:cs="Arial"/>
                <w:sz w:val="20"/>
                <w:szCs w:val="20"/>
              </w:rPr>
            </w:pPr>
            <w:r>
              <w:rPr>
                <w:rFonts w:ascii="Arial" w:hAnsi="Arial" w:cs="Arial"/>
                <w:sz w:val="20"/>
                <w:szCs w:val="20"/>
              </w:rPr>
              <w:t>Baselined Version 1.0</w:t>
            </w:r>
          </w:p>
          <w:p w14:paraId="6B76B990" w14:textId="77777777" w:rsidR="00ED0289" w:rsidRPr="002953B6" w:rsidRDefault="00ED0289" w:rsidP="00BE7DC9">
            <w:pPr>
              <w:tabs>
                <w:tab w:val="left" w:pos="737"/>
              </w:tabs>
              <w:ind w:left="136" w:hanging="20"/>
              <w:rPr>
                <w:rFonts w:ascii="Arial" w:hAnsi="Arial" w:cs="Arial"/>
                <w:sz w:val="20"/>
                <w:szCs w:val="20"/>
              </w:rPr>
            </w:pPr>
          </w:p>
        </w:tc>
      </w:tr>
    </w:tbl>
    <w:p w14:paraId="674088C0" w14:textId="7287CA14" w:rsidR="002C4FA2" w:rsidRDefault="002C4FA2" w:rsidP="002C4FA2"/>
    <w:p w14:paraId="31CB0B90" w14:textId="77777777" w:rsidR="00A55467" w:rsidRPr="002C4FA2" w:rsidRDefault="002C4FA2" w:rsidP="00A55467">
      <w:pPr>
        <w:rPr>
          <w:b/>
        </w:rPr>
      </w:pPr>
      <w:r>
        <w:rPr>
          <w:b/>
        </w:rPr>
        <w:br w:type="page"/>
      </w:r>
      <w:bookmarkStart w:id="0" w:name="_GoBack"/>
      <w:bookmarkEnd w:id="0"/>
    </w:p>
    <w:p w14:paraId="558756AC" w14:textId="77777777" w:rsidR="00A55467" w:rsidRPr="00A55467" w:rsidRDefault="00A55467" w:rsidP="00A55467">
      <w:pPr>
        <w:spacing w:after="240"/>
        <w:jc w:val="center"/>
        <w:rPr>
          <w:rFonts w:ascii="Arial" w:hAnsi="Arial" w:cs="Arial"/>
        </w:rPr>
      </w:pPr>
      <w:r w:rsidRPr="00A55467">
        <w:rPr>
          <w:rFonts w:ascii="Arial" w:hAnsi="Arial" w:cs="Arial"/>
          <w:b/>
        </w:rPr>
        <w:lastRenderedPageBreak/>
        <w:t>CONTENTS</w:t>
      </w:r>
    </w:p>
    <w:p w14:paraId="4C23D573" w14:textId="77777777" w:rsidR="002953B6" w:rsidRDefault="00A55467">
      <w:pPr>
        <w:pStyle w:val="TOC1"/>
        <w:rPr>
          <w:rFonts w:asciiTheme="minorHAnsi" w:eastAsiaTheme="minorEastAsia" w:hAnsiTheme="minorHAnsi" w:cstheme="minorBidi"/>
          <w:noProof/>
          <w:sz w:val="22"/>
          <w:szCs w:val="22"/>
        </w:rPr>
      </w:pPr>
      <w:r w:rsidRPr="00A55467">
        <w:fldChar w:fldCharType="begin"/>
      </w:r>
      <w:r w:rsidRPr="00A55467">
        <w:instrText xml:space="preserve"> TOC \f </w:instrText>
      </w:r>
      <w:r w:rsidRPr="00A55467">
        <w:fldChar w:fldCharType="separate"/>
      </w:r>
      <w:r w:rsidR="002953B6">
        <w:rPr>
          <w:noProof/>
        </w:rPr>
        <w:t>1</w:t>
      </w:r>
      <w:r w:rsidR="002953B6">
        <w:rPr>
          <w:rFonts w:asciiTheme="minorHAnsi" w:eastAsiaTheme="minorEastAsia" w:hAnsiTheme="minorHAnsi" w:cstheme="minorBidi"/>
          <w:noProof/>
          <w:sz w:val="22"/>
          <w:szCs w:val="22"/>
        </w:rPr>
        <w:tab/>
      </w:r>
      <w:r w:rsidR="002953B6">
        <w:rPr>
          <w:noProof/>
        </w:rPr>
        <w:t>AUTHORITY'S SERVICE REQUIREMENTS</w:t>
      </w:r>
      <w:r w:rsidR="002953B6">
        <w:rPr>
          <w:noProof/>
        </w:rPr>
        <w:tab/>
      </w:r>
      <w:r w:rsidR="002953B6">
        <w:rPr>
          <w:noProof/>
        </w:rPr>
        <w:fldChar w:fldCharType="begin"/>
      </w:r>
      <w:r w:rsidR="002953B6">
        <w:rPr>
          <w:noProof/>
        </w:rPr>
        <w:instrText xml:space="preserve"> PAGEREF _Toc467008160 \h </w:instrText>
      </w:r>
      <w:r w:rsidR="002953B6">
        <w:rPr>
          <w:noProof/>
        </w:rPr>
      </w:r>
      <w:r w:rsidR="002953B6">
        <w:rPr>
          <w:noProof/>
        </w:rPr>
        <w:fldChar w:fldCharType="separate"/>
      </w:r>
      <w:r w:rsidR="002953B6">
        <w:rPr>
          <w:noProof/>
        </w:rPr>
        <w:t>7</w:t>
      </w:r>
      <w:r w:rsidR="002953B6">
        <w:rPr>
          <w:noProof/>
        </w:rPr>
        <w:fldChar w:fldCharType="end"/>
      </w:r>
    </w:p>
    <w:p w14:paraId="15C07D83" w14:textId="77777777" w:rsidR="002953B6" w:rsidRDefault="002953B6">
      <w:pPr>
        <w:pStyle w:val="TOC1"/>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STATE AID REQUIREMENTS</w:t>
      </w:r>
      <w:r>
        <w:rPr>
          <w:noProof/>
        </w:rPr>
        <w:tab/>
      </w:r>
      <w:r>
        <w:rPr>
          <w:noProof/>
        </w:rPr>
        <w:fldChar w:fldCharType="begin"/>
      </w:r>
      <w:r>
        <w:rPr>
          <w:noProof/>
        </w:rPr>
        <w:instrText xml:space="preserve"> PAGEREF _Toc467008161 \h </w:instrText>
      </w:r>
      <w:r>
        <w:rPr>
          <w:noProof/>
        </w:rPr>
      </w:r>
      <w:r>
        <w:rPr>
          <w:noProof/>
        </w:rPr>
        <w:fldChar w:fldCharType="separate"/>
      </w:r>
      <w:r>
        <w:rPr>
          <w:noProof/>
        </w:rPr>
        <w:t>7</w:t>
      </w:r>
      <w:r>
        <w:rPr>
          <w:noProof/>
        </w:rPr>
        <w:fldChar w:fldCharType="end"/>
      </w:r>
    </w:p>
    <w:p w14:paraId="149BD12D" w14:textId="77777777" w:rsidR="002953B6" w:rsidRDefault="002953B6">
      <w:pPr>
        <w:pStyle w:val="TOC1"/>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SOLUTION REQUIREMENTS</w:t>
      </w:r>
      <w:r>
        <w:rPr>
          <w:noProof/>
        </w:rPr>
        <w:tab/>
      </w:r>
      <w:r>
        <w:rPr>
          <w:noProof/>
        </w:rPr>
        <w:fldChar w:fldCharType="begin"/>
      </w:r>
      <w:r>
        <w:rPr>
          <w:noProof/>
        </w:rPr>
        <w:instrText xml:space="preserve"> PAGEREF _Toc467008162 \h </w:instrText>
      </w:r>
      <w:r>
        <w:rPr>
          <w:noProof/>
        </w:rPr>
      </w:r>
      <w:r>
        <w:rPr>
          <w:noProof/>
        </w:rPr>
        <w:fldChar w:fldCharType="separate"/>
      </w:r>
      <w:r>
        <w:rPr>
          <w:noProof/>
        </w:rPr>
        <w:t>8</w:t>
      </w:r>
      <w:r>
        <w:rPr>
          <w:noProof/>
        </w:rPr>
        <w:fldChar w:fldCharType="end"/>
      </w:r>
    </w:p>
    <w:p w14:paraId="38B462DF" w14:textId="77777777" w:rsidR="002953B6" w:rsidRDefault="002953B6">
      <w:pPr>
        <w:pStyle w:val="TOC1"/>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SERVICE LEVEL CATEGORY</w:t>
      </w:r>
      <w:r>
        <w:rPr>
          <w:noProof/>
        </w:rPr>
        <w:tab/>
      </w:r>
      <w:r>
        <w:rPr>
          <w:noProof/>
        </w:rPr>
        <w:fldChar w:fldCharType="begin"/>
      </w:r>
      <w:r>
        <w:rPr>
          <w:noProof/>
        </w:rPr>
        <w:instrText xml:space="preserve"> PAGEREF _Toc467008163 \h </w:instrText>
      </w:r>
      <w:r>
        <w:rPr>
          <w:noProof/>
        </w:rPr>
      </w:r>
      <w:r>
        <w:rPr>
          <w:noProof/>
        </w:rPr>
        <w:fldChar w:fldCharType="separate"/>
      </w:r>
      <w:r>
        <w:rPr>
          <w:noProof/>
        </w:rPr>
        <w:t>10</w:t>
      </w:r>
      <w:r>
        <w:rPr>
          <w:noProof/>
        </w:rPr>
        <w:fldChar w:fldCharType="end"/>
      </w:r>
    </w:p>
    <w:p w14:paraId="7B41CF56" w14:textId="77777777" w:rsidR="002953B6" w:rsidRDefault="002953B6">
      <w:pPr>
        <w:pStyle w:val="TOC1"/>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OPERATIONS</w:t>
      </w:r>
      <w:r>
        <w:rPr>
          <w:noProof/>
        </w:rPr>
        <w:tab/>
      </w:r>
      <w:r>
        <w:rPr>
          <w:noProof/>
        </w:rPr>
        <w:fldChar w:fldCharType="begin"/>
      </w:r>
      <w:r>
        <w:rPr>
          <w:noProof/>
        </w:rPr>
        <w:instrText xml:space="preserve"> PAGEREF _Toc467008164 \h </w:instrText>
      </w:r>
      <w:r>
        <w:rPr>
          <w:noProof/>
        </w:rPr>
      </w:r>
      <w:r>
        <w:rPr>
          <w:noProof/>
        </w:rPr>
        <w:fldChar w:fldCharType="separate"/>
      </w:r>
      <w:r>
        <w:rPr>
          <w:noProof/>
        </w:rPr>
        <w:t>11</w:t>
      </w:r>
      <w:r>
        <w:rPr>
          <w:noProof/>
        </w:rPr>
        <w:fldChar w:fldCharType="end"/>
      </w:r>
    </w:p>
    <w:p w14:paraId="26BC1DA4" w14:textId="77777777" w:rsidR="002953B6" w:rsidRDefault="002953B6">
      <w:pPr>
        <w:pStyle w:val="TOC1"/>
        <w:rPr>
          <w:rFonts w:asciiTheme="minorHAnsi" w:eastAsiaTheme="minorEastAsia" w:hAnsiTheme="minorHAnsi" w:cstheme="minorBidi"/>
          <w:noProof/>
          <w:sz w:val="22"/>
          <w:szCs w:val="22"/>
        </w:rPr>
      </w:pPr>
      <w:r>
        <w:rPr>
          <w:noProof/>
        </w:rPr>
        <w:t>7</w:t>
      </w:r>
      <w:r>
        <w:rPr>
          <w:rFonts w:asciiTheme="minorHAnsi" w:eastAsiaTheme="minorEastAsia" w:hAnsiTheme="minorHAnsi" w:cstheme="minorBidi"/>
          <w:noProof/>
          <w:sz w:val="22"/>
          <w:szCs w:val="22"/>
        </w:rPr>
        <w:tab/>
      </w:r>
      <w:r>
        <w:rPr>
          <w:noProof/>
        </w:rPr>
        <w:t>PROJECT DELIVERY</w:t>
      </w:r>
      <w:r>
        <w:rPr>
          <w:noProof/>
        </w:rPr>
        <w:tab/>
      </w:r>
      <w:r>
        <w:rPr>
          <w:noProof/>
        </w:rPr>
        <w:fldChar w:fldCharType="begin"/>
      </w:r>
      <w:r>
        <w:rPr>
          <w:noProof/>
        </w:rPr>
        <w:instrText xml:space="preserve"> PAGEREF _Toc467008165 \h </w:instrText>
      </w:r>
      <w:r>
        <w:rPr>
          <w:noProof/>
        </w:rPr>
      </w:r>
      <w:r>
        <w:rPr>
          <w:noProof/>
        </w:rPr>
        <w:fldChar w:fldCharType="separate"/>
      </w:r>
      <w:r>
        <w:rPr>
          <w:noProof/>
        </w:rPr>
        <w:t>12</w:t>
      </w:r>
      <w:r>
        <w:rPr>
          <w:noProof/>
        </w:rPr>
        <w:fldChar w:fldCharType="end"/>
      </w:r>
    </w:p>
    <w:p w14:paraId="19C9D8C0" w14:textId="77777777" w:rsidR="002953B6" w:rsidRDefault="002953B6">
      <w:pPr>
        <w:pStyle w:val="TOC1"/>
        <w:rPr>
          <w:rFonts w:asciiTheme="minorHAnsi" w:eastAsiaTheme="minorEastAsia" w:hAnsiTheme="minorHAnsi" w:cstheme="minorBidi"/>
          <w:noProof/>
          <w:sz w:val="22"/>
          <w:szCs w:val="22"/>
        </w:rPr>
      </w:pPr>
      <w:r>
        <w:rPr>
          <w:noProof/>
        </w:rPr>
        <w:t>8</w:t>
      </w:r>
      <w:r>
        <w:rPr>
          <w:rFonts w:asciiTheme="minorHAnsi" w:eastAsiaTheme="minorEastAsia" w:hAnsiTheme="minorHAnsi" w:cstheme="minorBidi"/>
          <w:noProof/>
          <w:sz w:val="22"/>
          <w:szCs w:val="22"/>
        </w:rPr>
        <w:tab/>
      </w:r>
      <w:r>
        <w:rPr>
          <w:noProof/>
        </w:rPr>
        <w:t>SUSTAINABILITY</w:t>
      </w:r>
      <w:r>
        <w:rPr>
          <w:noProof/>
        </w:rPr>
        <w:tab/>
      </w:r>
      <w:r>
        <w:rPr>
          <w:noProof/>
        </w:rPr>
        <w:fldChar w:fldCharType="begin"/>
      </w:r>
      <w:r>
        <w:rPr>
          <w:noProof/>
        </w:rPr>
        <w:instrText xml:space="preserve"> PAGEREF _Toc467008166 \h </w:instrText>
      </w:r>
      <w:r>
        <w:rPr>
          <w:noProof/>
        </w:rPr>
      </w:r>
      <w:r>
        <w:rPr>
          <w:noProof/>
        </w:rPr>
        <w:fldChar w:fldCharType="separate"/>
      </w:r>
      <w:r>
        <w:rPr>
          <w:noProof/>
        </w:rPr>
        <w:t>14</w:t>
      </w:r>
      <w:r>
        <w:rPr>
          <w:noProof/>
        </w:rPr>
        <w:fldChar w:fldCharType="end"/>
      </w:r>
    </w:p>
    <w:p w14:paraId="6F8CEBC1" w14:textId="77777777" w:rsidR="002953B6" w:rsidRDefault="002953B6">
      <w:pPr>
        <w:pStyle w:val="TOC1"/>
        <w:rPr>
          <w:rFonts w:asciiTheme="minorHAnsi" w:eastAsiaTheme="minorEastAsia" w:hAnsiTheme="minorHAnsi" w:cstheme="minorBidi"/>
          <w:noProof/>
          <w:sz w:val="22"/>
          <w:szCs w:val="22"/>
        </w:rPr>
      </w:pPr>
      <w:r>
        <w:rPr>
          <w:noProof/>
        </w:rPr>
        <w:t>9</w:t>
      </w:r>
      <w:r>
        <w:rPr>
          <w:rFonts w:asciiTheme="minorHAnsi" w:eastAsiaTheme="minorEastAsia" w:hAnsiTheme="minorHAnsi" w:cstheme="minorBidi"/>
          <w:noProof/>
          <w:sz w:val="22"/>
          <w:szCs w:val="22"/>
        </w:rPr>
        <w:tab/>
      </w:r>
      <w:r>
        <w:rPr>
          <w:noProof/>
        </w:rPr>
        <w:t>DELIVERING TAKE-UP</w:t>
      </w:r>
      <w:r>
        <w:rPr>
          <w:noProof/>
        </w:rPr>
        <w:tab/>
      </w:r>
      <w:r>
        <w:rPr>
          <w:noProof/>
        </w:rPr>
        <w:fldChar w:fldCharType="begin"/>
      </w:r>
      <w:r>
        <w:rPr>
          <w:noProof/>
        </w:rPr>
        <w:instrText xml:space="preserve"> PAGEREF _Toc467008167 \h </w:instrText>
      </w:r>
      <w:r>
        <w:rPr>
          <w:noProof/>
        </w:rPr>
      </w:r>
      <w:r>
        <w:rPr>
          <w:noProof/>
        </w:rPr>
        <w:fldChar w:fldCharType="separate"/>
      </w:r>
      <w:r>
        <w:rPr>
          <w:noProof/>
        </w:rPr>
        <w:t>14</w:t>
      </w:r>
      <w:r>
        <w:rPr>
          <w:noProof/>
        </w:rPr>
        <w:fldChar w:fldCharType="end"/>
      </w:r>
    </w:p>
    <w:p w14:paraId="0C3D3930" w14:textId="77777777" w:rsidR="002953B6" w:rsidRDefault="002953B6">
      <w:pPr>
        <w:pStyle w:val="TOC1"/>
        <w:rPr>
          <w:rFonts w:asciiTheme="minorHAnsi" w:eastAsiaTheme="minorEastAsia" w:hAnsiTheme="minorHAnsi" w:cstheme="minorBidi"/>
          <w:noProof/>
          <w:sz w:val="22"/>
          <w:szCs w:val="22"/>
        </w:rPr>
      </w:pPr>
      <w:r>
        <w:rPr>
          <w:noProof/>
        </w:rPr>
        <w:t>10</w:t>
      </w:r>
      <w:r>
        <w:rPr>
          <w:rFonts w:asciiTheme="minorHAnsi" w:eastAsiaTheme="minorEastAsia" w:hAnsiTheme="minorHAnsi" w:cstheme="minorBidi"/>
          <w:noProof/>
          <w:sz w:val="22"/>
          <w:szCs w:val="22"/>
        </w:rPr>
        <w:tab/>
      </w:r>
      <w:r>
        <w:rPr>
          <w:noProof/>
        </w:rPr>
        <w:t>SOLUTION COMPONENT REQUIREMENTS</w:t>
      </w:r>
      <w:r>
        <w:rPr>
          <w:noProof/>
        </w:rPr>
        <w:tab/>
      </w:r>
      <w:r>
        <w:rPr>
          <w:noProof/>
        </w:rPr>
        <w:fldChar w:fldCharType="begin"/>
      </w:r>
      <w:r>
        <w:rPr>
          <w:noProof/>
        </w:rPr>
        <w:instrText xml:space="preserve"> PAGEREF _Toc467008168 \h </w:instrText>
      </w:r>
      <w:r>
        <w:rPr>
          <w:noProof/>
        </w:rPr>
      </w:r>
      <w:r>
        <w:rPr>
          <w:noProof/>
        </w:rPr>
        <w:fldChar w:fldCharType="separate"/>
      </w:r>
      <w:r>
        <w:rPr>
          <w:noProof/>
        </w:rPr>
        <w:t>15</w:t>
      </w:r>
      <w:r>
        <w:rPr>
          <w:noProof/>
        </w:rPr>
        <w:fldChar w:fldCharType="end"/>
      </w:r>
    </w:p>
    <w:p w14:paraId="23C79379" w14:textId="77777777" w:rsidR="002953B6" w:rsidRDefault="002953B6">
      <w:pPr>
        <w:pStyle w:val="TOC1"/>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WHOLESALE ACCESS PRODUCTS AND SERVICES</w:t>
      </w:r>
      <w:r>
        <w:rPr>
          <w:noProof/>
        </w:rPr>
        <w:tab/>
      </w:r>
      <w:r>
        <w:rPr>
          <w:noProof/>
        </w:rPr>
        <w:fldChar w:fldCharType="begin"/>
      </w:r>
      <w:r>
        <w:rPr>
          <w:noProof/>
        </w:rPr>
        <w:instrText xml:space="preserve"> PAGEREF _Toc467008169 \h </w:instrText>
      </w:r>
      <w:r>
        <w:rPr>
          <w:noProof/>
        </w:rPr>
      </w:r>
      <w:r>
        <w:rPr>
          <w:noProof/>
        </w:rPr>
        <w:fldChar w:fldCharType="separate"/>
      </w:r>
      <w:r>
        <w:rPr>
          <w:noProof/>
        </w:rPr>
        <w:t>16</w:t>
      </w:r>
      <w:r>
        <w:rPr>
          <w:noProof/>
        </w:rPr>
        <w:fldChar w:fldCharType="end"/>
      </w:r>
    </w:p>
    <w:p w14:paraId="0DCCC3CF" w14:textId="77777777" w:rsidR="00A55467" w:rsidRPr="00A55467" w:rsidRDefault="00A55467" w:rsidP="00A55467">
      <w:pPr>
        <w:tabs>
          <w:tab w:val="right" w:pos="8500"/>
        </w:tabs>
        <w:spacing w:after="240"/>
        <w:ind w:left="851" w:right="567" w:hanging="851"/>
        <w:rPr>
          <w:rFonts w:ascii="Arial" w:hAnsi="Arial" w:cs="Arial"/>
        </w:rPr>
      </w:pPr>
      <w:r w:rsidRPr="00A55467">
        <w:rPr>
          <w:rFonts w:ascii="Arial" w:hAnsi="Arial" w:cs="Arial"/>
        </w:rPr>
        <w:fldChar w:fldCharType="end"/>
      </w:r>
    </w:p>
    <w:p w14:paraId="0380A542" w14:textId="77777777" w:rsidR="00A55467" w:rsidRPr="00A55467" w:rsidRDefault="00A55467" w:rsidP="00A55467">
      <w:pPr>
        <w:rPr>
          <w:rFonts w:ascii="Arial" w:hAnsi="Arial" w:cs="Arial"/>
        </w:rPr>
      </w:pPr>
      <w:r w:rsidRPr="00A55467">
        <w:rPr>
          <w:rFonts w:ascii="Arial" w:hAnsi="Arial" w:cs="Arial"/>
        </w:rPr>
        <w:br w:type="page"/>
      </w:r>
    </w:p>
    <w:p w14:paraId="79508C45" w14:textId="77777777" w:rsidR="00A55467" w:rsidRPr="009C2550" w:rsidRDefault="00A55467" w:rsidP="00A55467">
      <w:pPr>
        <w:spacing w:after="240"/>
        <w:jc w:val="center"/>
        <w:rPr>
          <w:rFonts w:ascii="Arial" w:hAnsi="Arial" w:cs="Arial"/>
          <w:sz w:val="20"/>
          <w:szCs w:val="20"/>
        </w:rPr>
      </w:pPr>
      <w:r w:rsidRPr="009C2550">
        <w:rPr>
          <w:rFonts w:ascii="Arial" w:hAnsi="Arial" w:cs="Arial"/>
          <w:b/>
          <w:sz w:val="20"/>
          <w:szCs w:val="20"/>
        </w:rPr>
        <w:lastRenderedPageBreak/>
        <w:t>SCHEDULE 2 – SERVICE REQUIREMENTS</w:t>
      </w:r>
    </w:p>
    <w:p w14:paraId="22223538" w14:textId="77777777" w:rsidR="00A55467" w:rsidRPr="009C2550" w:rsidRDefault="00A55467" w:rsidP="00A55467">
      <w:pPr>
        <w:numPr>
          <w:ilvl w:val="0"/>
          <w:numId w:val="2"/>
        </w:numPr>
        <w:spacing w:after="240"/>
        <w:ind w:hanging="720"/>
        <w:jc w:val="both"/>
        <w:rPr>
          <w:rFonts w:ascii="Arial" w:hAnsi="Arial" w:cs="Arial"/>
          <w:b/>
          <w:smallCaps/>
          <w:sz w:val="20"/>
          <w:szCs w:val="20"/>
        </w:rPr>
      </w:pPr>
      <w:bookmarkStart w:id="1" w:name="h.30j0zll" w:colFirst="0" w:colLast="0"/>
      <w:bookmarkStart w:id="2" w:name="_Ref407615612"/>
      <w:bookmarkStart w:id="3" w:name="_Ref412764487"/>
      <w:bookmarkEnd w:id="1"/>
      <w:r w:rsidRPr="009C2550">
        <w:rPr>
          <w:rFonts w:ascii="Arial" w:hAnsi="Arial" w:cs="Arial"/>
          <w:b/>
          <w:smallCaps/>
          <w:sz w:val="20"/>
          <w:szCs w:val="20"/>
        </w:rPr>
        <w:t>BACKGROUND</w:t>
      </w:r>
      <w:bookmarkEnd w:id="2"/>
      <w:bookmarkEnd w:id="3"/>
    </w:p>
    <w:p w14:paraId="15606C74" w14:textId="77777777" w:rsidR="00A55467" w:rsidRPr="009C2550" w:rsidRDefault="00A55467" w:rsidP="00A55467">
      <w:pPr>
        <w:spacing w:after="240"/>
        <w:ind w:left="720"/>
        <w:rPr>
          <w:rFonts w:ascii="Arial" w:hAnsi="Arial" w:cs="Arial"/>
          <w:sz w:val="20"/>
          <w:szCs w:val="20"/>
        </w:rPr>
      </w:pPr>
      <w:r w:rsidRPr="009C2550">
        <w:rPr>
          <w:rFonts w:ascii="Arial" w:hAnsi="Arial" w:cs="Arial"/>
          <w:sz w:val="20"/>
          <w:szCs w:val="20"/>
        </w:rPr>
        <w:t>This Schedule 2 sets out the Service Requirements for the purpose of this Contract.</w:t>
      </w:r>
    </w:p>
    <w:p w14:paraId="2F2D6014" w14:textId="77777777" w:rsidR="00A55467" w:rsidRPr="009C2550" w:rsidRDefault="00A55467" w:rsidP="00A55467">
      <w:pPr>
        <w:numPr>
          <w:ilvl w:val="0"/>
          <w:numId w:val="2"/>
        </w:numPr>
        <w:spacing w:after="240"/>
        <w:ind w:hanging="720"/>
        <w:jc w:val="both"/>
        <w:rPr>
          <w:rFonts w:ascii="Arial" w:hAnsi="Arial" w:cs="Arial"/>
          <w:smallCaps/>
          <w:sz w:val="20"/>
          <w:szCs w:val="20"/>
        </w:rPr>
      </w:pPr>
      <w:bookmarkStart w:id="4" w:name="h.1fob9te" w:colFirst="0" w:colLast="0"/>
      <w:bookmarkEnd w:id="4"/>
      <w:r w:rsidRPr="009C2550">
        <w:rPr>
          <w:rFonts w:ascii="Arial" w:hAnsi="Arial" w:cs="Arial"/>
          <w:b/>
          <w:smallCaps/>
          <w:sz w:val="20"/>
          <w:szCs w:val="20"/>
        </w:rPr>
        <w:t>SERVICE REQUIREMENTS</w:t>
      </w:r>
    </w:p>
    <w:p w14:paraId="7ACBB31B" w14:textId="77777777" w:rsidR="00A55467" w:rsidRPr="009C2550" w:rsidRDefault="00A55467" w:rsidP="00835439">
      <w:pPr>
        <w:spacing w:after="240"/>
        <w:ind w:left="709"/>
        <w:jc w:val="both"/>
        <w:rPr>
          <w:rFonts w:ascii="Arial" w:hAnsi="Arial" w:cs="Arial"/>
          <w:sz w:val="20"/>
          <w:szCs w:val="20"/>
        </w:rPr>
      </w:pPr>
      <w:r w:rsidRPr="009C2550">
        <w:rPr>
          <w:rFonts w:ascii="Arial" w:hAnsi="Arial" w:cs="Arial"/>
          <w:sz w:val="20"/>
          <w:szCs w:val="20"/>
        </w:rPr>
        <w:t xml:space="preserve">The Service Requirements are set out </w:t>
      </w:r>
      <w:r w:rsidR="00835439" w:rsidRPr="009C2550">
        <w:rPr>
          <w:rFonts w:ascii="Arial" w:hAnsi="Arial" w:cs="Arial"/>
          <w:sz w:val="20"/>
          <w:szCs w:val="20"/>
        </w:rPr>
        <w:t>below in paragraphs 1 - 1</w:t>
      </w:r>
      <w:r w:rsidR="00AC39C7">
        <w:rPr>
          <w:rFonts w:ascii="Arial" w:hAnsi="Arial" w:cs="Arial"/>
          <w:sz w:val="20"/>
          <w:szCs w:val="20"/>
        </w:rPr>
        <w:t>1</w:t>
      </w:r>
      <w:r w:rsidR="00835439" w:rsidRPr="009C2550">
        <w:rPr>
          <w:rFonts w:ascii="Arial" w:hAnsi="Arial" w:cs="Arial"/>
          <w:sz w:val="20"/>
          <w:szCs w:val="20"/>
        </w:rPr>
        <w:t xml:space="preserve"> of this Schedule</w:t>
      </w:r>
      <w:r w:rsidRPr="009C2550">
        <w:rPr>
          <w:rFonts w:ascii="Arial" w:hAnsi="Arial" w:cs="Arial"/>
          <w:sz w:val="20"/>
          <w:szCs w:val="20"/>
        </w:rPr>
        <w:t>.</w:t>
      </w:r>
    </w:p>
    <w:p w14:paraId="73A31CD3" w14:textId="77777777" w:rsidR="00A55467" w:rsidRPr="009C2550" w:rsidRDefault="00A55467" w:rsidP="00A55467">
      <w:pPr>
        <w:numPr>
          <w:ilvl w:val="0"/>
          <w:numId w:val="2"/>
        </w:numPr>
        <w:spacing w:after="240"/>
        <w:ind w:hanging="720"/>
        <w:jc w:val="both"/>
        <w:rPr>
          <w:rFonts w:ascii="Arial" w:hAnsi="Arial" w:cs="Arial"/>
          <w:smallCaps/>
          <w:sz w:val="20"/>
          <w:szCs w:val="20"/>
        </w:rPr>
      </w:pPr>
      <w:r w:rsidRPr="009C2550">
        <w:rPr>
          <w:rFonts w:ascii="Arial" w:hAnsi="Arial" w:cs="Arial"/>
          <w:b/>
          <w:smallCaps/>
          <w:sz w:val="20"/>
          <w:szCs w:val="20"/>
        </w:rPr>
        <w:t>COMPLIANCE MATRIX</w:t>
      </w:r>
    </w:p>
    <w:p w14:paraId="5395BAF8" w14:textId="77777777" w:rsidR="00A55467" w:rsidRPr="009C2550" w:rsidRDefault="00A55467" w:rsidP="00A55467">
      <w:pPr>
        <w:numPr>
          <w:ilvl w:val="1"/>
          <w:numId w:val="2"/>
        </w:numPr>
        <w:spacing w:after="240"/>
        <w:ind w:left="709" w:hanging="709"/>
        <w:jc w:val="both"/>
        <w:rPr>
          <w:rFonts w:ascii="Arial" w:hAnsi="Arial" w:cs="Arial"/>
          <w:sz w:val="20"/>
          <w:szCs w:val="20"/>
        </w:rPr>
      </w:pPr>
      <w:r w:rsidRPr="009C2550">
        <w:rPr>
          <w:rFonts w:ascii="Arial" w:hAnsi="Arial" w:cs="Arial"/>
          <w:sz w:val="20"/>
          <w:szCs w:val="20"/>
        </w:rPr>
        <w:t>The Compliance Matrix comprises two matrices which shall be set out in Schedule 3.1 (Supplier Solution):</w:t>
      </w:r>
    </w:p>
    <w:p w14:paraId="3232A0B9" w14:textId="77777777" w:rsidR="00A55467" w:rsidRPr="009C2550" w:rsidRDefault="00A55467" w:rsidP="00A55467">
      <w:pPr>
        <w:numPr>
          <w:ilvl w:val="2"/>
          <w:numId w:val="2"/>
        </w:numPr>
        <w:spacing w:after="240"/>
        <w:ind w:left="1560" w:hanging="851"/>
        <w:jc w:val="both"/>
        <w:rPr>
          <w:rFonts w:ascii="Arial" w:hAnsi="Arial" w:cs="Arial"/>
          <w:sz w:val="20"/>
          <w:szCs w:val="20"/>
        </w:rPr>
      </w:pPr>
      <w:r w:rsidRPr="009C2550">
        <w:rPr>
          <w:rFonts w:ascii="Arial" w:hAnsi="Arial" w:cs="Arial"/>
          <w:sz w:val="20"/>
          <w:szCs w:val="20"/>
        </w:rPr>
        <w:t xml:space="preserve">a matrix confirming full, partial or non-compliance for the overall </w:t>
      </w:r>
      <w:r w:rsidR="00AA1752">
        <w:rPr>
          <w:rFonts w:ascii="Arial" w:hAnsi="Arial" w:cs="Arial"/>
          <w:sz w:val="20"/>
          <w:szCs w:val="20"/>
        </w:rPr>
        <w:t xml:space="preserve">Supplier </w:t>
      </w:r>
      <w:r w:rsidRPr="009C2550">
        <w:rPr>
          <w:rFonts w:ascii="Arial" w:hAnsi="Arial" w:cs="Arial"/>
          <w:sz w:val="20"/>
          <w:szCs w:val="20"/>
        </w:rPr>
        <w:t>Solution against the Service Requirements; and</w:t>
      </w:r>
    </w:p>
    <w:p w14:paraId="5B4CB0DF" w14:textId="77777777" w:rsidR="00A55467" w:rsidRPr="009C2550" w:rsidRDefault="00A55467" w:rsidP="00A55467">
      <w:pPr>
        <w:numPr>
          <w:ilvl w:val="2"/>
          <w:numId w:val="2"/>
        </w:numPr>
        <w:spacing w:after="240"/>
        <w:ind w:left="1560" w:hanging="851"/>
        <w:jc w:val="both"/>
        <w:rPr>
          <w:rFonts w:ascii="Arial" w:hAnsi="Arial" w:cs="Arial"/>
          <w:sz w:val="20"/>
          <w:szCs w:val="20"/>
        </w:rPr>
      </w:pPr>
      <w:r w:rsidRPr="009C2550">
        <w:rPr>
          <w:rFonts w:ascii="Arial" w:hAnsi="Arial" w:cs="Arial"/>
          <w:sz w:val="20"/>
          <w:szCs w:val="20"/>
        </w:rPr>
        <w:t>a matrix confirming full, partial or non-compliance for individual Solution Components against the Service Requirements.</w:t>
      </w:r>
    </w:p>
    <w:p w14:paraId="282A48C9" w14:textId="77777777" w:rsidR="00A55467" w:rsidRPr="009C2550" w:rsidRDefault="00A55467" w:rsidP="00A55467">
      <w:pPr>
        <w:numPr>
          <w:ilvl w:val="0"/>
          <w:numId w:val="2"/>
        </w:numPr>
        <w:spacing w:after="240"/>
        <w:ind w:hanging="720"/>
        <w:jc w:val="both"/>
        <w:rPr>
          <w:rFonts w:ascii="Arial" w:hAnsi="Arial" w:cs="Arial"/>
          <w:b/>
          <w:smallCaps/>
          <w:sz w:val="20"/>
          <w:szCs w:val="20"/>
        </w:rPr>
      </w:pPr>
      <w:bookmarkStart w:id="5" w:name="h.3znysh7" w:colFirst="0" w:colLast="0"/>
      <w:bookmarkStart w:id="6" w:name="_Ref339031475"/>
      <w:bookmarkStart w:id="7" w:name="_Ref412764146"/>
      <w:bookmarkEnd w:id="5"/>
      <w:r w:rsidRPr="009C2550">
        <w:rPr>
          <w:rFonts w:ascii="Arial" w:hAnsi="Arial" w:cs="Arial"/>
          <w:b/>
          <w:smallCaps/>
          <w:sz w:val="20"/>
          <w:szCs w:val="20"/>
        </w:rPr>
        <w:t>SERVICE REQUIREMENTS</w:t>
      </w:r>
      <w:bookmarkEnd w:id="6"/>
      <w:r w:rsidRPr="009C2550">
        <w:rPr>
          <w:rFonts w:ascii="Arial" w:hAnsi="Arial" w:cs="Arial"/>
          <w:b/>
          <w:smallCaps/>
          <w:sz w:val="20"/>
          <w:szCs w:val="20"/>
        </w:rPr>
        <w:t xml:space="preserve"> GLOSSARY</w:t>
      </w:r>
      <w:bookmarkEnd w:id="7"/>
    </w:p>
    <w:p w14:paraId="7936FE77" w14:textId="77777777" w:rsidR="00A55467" w:rsidRPr="009C2550" w:rsidRDefault="00A55467" w:rsidP="00A55467">
      <w:pPr>
        <w:numPr>
          <w:ilvl w:val="1"/>
          <w:numId w:val="2"/>
        </w:numPr>
        <w:spacing w:after="240"/>
        <w:ind w:left="709" w:hanging="709"/>
        <w:jc w:val="both"/>
        <w:rPr>
          <w:rFonts w:ascii="Arial" w:hAnsi="Arial" w:cs="Arial"/>
          <w:sz w:val="20"/>
          <w:szCs w:val="20"/>
        </w:rPr>
      </w:pPr>
      <w:r w:rsidRPr="009C2550">
        <w:rPr>
          <w:rFonts w:ascii="Arial" w:hAnsi="Arial" w:cs="Arial"/>
          <w:sz w:val="20"/>
          <w:szCs w:val="20"/>
        </w:rPr>
        <w:t xml:space="preserve">Capitalised terms in this Schedule 2 that are not defined in Schedule 1 (Definitions) shall have the following meanings: </w:t>
      </w:r>
    </w:p>
    <w:tbl>
      <w:tblPr>
        <w:tblW w:w="808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5"/>
        <w:gridCol w:w="6304"/>
        <w:gridCol w:w="6"/>
      </w:tblGrid>
      <w:tr w:rsidR="00A55467" w:rsidRPr="006E75A3" w14:paraId="416FD2B3" w14:textId="77777777" w:rsidTr="00100646">
        <w:trPr>
          <w:gridAfter w:val="1"/>
          <w:wAfter w:w="6" w:type="dxa"/>
        </w:trPr>
        <w:tc>
          <w:tcPr>
            <w:tcW w:w="1775" w:type="dxa"/>
          </w:tcPr>
          <w:p w14:paraId="4DCD04F4" w14:textId="77777777" w:rsidR="00A55467" w:rsidRPr="00C2602D" w:rsidRDefault="00A55467" w:rsidP="0098019E">
            <w:pPr>
              <w:spacing w:before="60" w:after="60"/>
              <w:rPr>
                <w:rFonts w:ascii="Arial" w:hAnsi="Arial" w:cs="Arial"/>
                <w:sz w:val="20"/>
                <w:szCs w:val="20"/>
              </w:rPr>
            </w:pPr>
            <w:r w:rsidRPr="00C2602D">
              <w:rPr>
                <w:rFonts w:ascii="Arial" w:hAnsi="Arial" w:cs="Arial"/>
                <w:b/>
                <w:sz w:val="20"/>
                <w:szCs w:val="20"/>
              </w:rPr>
              <w:t>Adds</w:t>
            </w:r>
          </w:p>
        </w:tc>
        <w:tc>
          <w:tcPr>
            <w:tcW w:w="6304" w:type="dxa"/>
          </w:tcPr>
          <w:p w14:paraId="4D43E9DE" w14:textId="77777777" w:rsidR="00A55467" w:rsidRPr="006E75A3" w:rsidRDefault="00A55467" w:rsidP="0098019E">
            <w:pPr>
              <w:spacing w:before="60" w:after="60"/>
              <w:rPr>
                <w:rFonts w:ascii="Arial" w:hAnsi="Arial" w:cs="Arial"/>
                <w:sz w:val="20"/>
                <w:szCs w:val="20"/>
              </w:rPr>
            </w:pPr>
            <w:r w:rsidRPr="006E75A3">
              <w:rPr>
                <w:rFonts w:ascii="Arial" w:hAnsi="Arial" w:cs="Arial"/>
                <w:sz w:val="20"/>
                <w:szCs w:val="20"/>
              </w:rPr>
              <w:t>provision of additional services to an End User;</w:t>
            </w:r>
          </w:p>
        </w:tc>
      </w:tr>
      <w:tr w:rsidR="00A55467" w:rsidRPr="006E75A3" w14:paraId="07A04E35" w14:textId="77777777" w:rsidTr="00100646">
        <w:trPr>
          <w:gridAfter w:val="1"/>
          <w:wAfter w:w="6" w:type="dxa"/>
        </w:trPr>
        <w:tc>
          <w:tcPr>
            <w:tcW w:w="1775" w:type="dxa"/>
          </w:tcPr>
          <w:p w14:paraId="79F2E9D3" w14:textId="77777777" w:rsidR="00A55467" w:rsidRPr="00C2602D" w:rsidRDefault="00A55467" w:rsidP="0098019E">
            <w:pPr>
              <w:spacing w:before="60" w:after="60"/>
              <w:rPr>
                <w:rFonts w:ascii="Arial" w:hAnsi="Arial" w:cs="Arial"/>
                <w:sz w:val="20"/>
                <w:szCs w:val="20"/>
              </w:rPr>
            </w:pPr>
            <w:r w:rsidRPr="00C2602D">
              <w:rPr>
                <w:rFonts w:ascii="Arial" w:hAnsi="Arial" w:cs="Arial"/>
                <w:b/>
                <w:sz w:val="20"/>
                <w:szCs w:val="20"/>
              </w:rPr>
              <w:t>ALA</w:t>
            </w:r>
          </w:p>
        </w:tc>
        <w:tc>
          <w:tcPr>
            <w:tcW w:w="6304" w:type="dxa"/>
          </w:tcPr>
          <w:p w14:paraId="77014AD2" w14:textId="77777777" w:rsidR="00A55467" w:rsidRPr="006E75A3" w:rsidRDefault="00A55467" w:rsidP="0098019E">
            <w:pPr>
              <w:spacing w:before="60" w:after="60"/>
              <w:rPr>
                <w:rFonts w:ascii="Arial" w:hAnsi="Arial" w:cs="Arial"/>
                <w:sz w:val="20"/>
                <w:szCs w:val="20"/>
              </w:rPr>
            </w:pPr>
            <w:r w:rsidRPr="006E75A3">
              <w:rPr>
                <w:rFonts w:ascii="Arial" w:hAnsi="Arial" w:cs="Arial"/>
                <w:sz w:val="20"/>
                <w:szCs w:val="20"/>
              </w:rPr>
              <w:t>Active Line Access, as defined by NICC;</w:t>
            </w:r>
          </w:p>
        </w:tc>
      </w:tr>
      <w:tr w:rsidR="00A55467" w:rsidRPr="006E75A3" w14:paraId="123E78B3" w14:textId="77777777" w:rsidTr="00100646">
        <w:trPr>
          <w:gridAfter w:val="1"/>
          <w:wAfter w:w="6" w:type="dxa"/>
        </w:trPr>
        <w:tc>
          <w:tcPr>
            <w:tcW w:w="1775" w:type="dxa"/>
          </w:tcPr>
          <w:p w14:paraId="2BE4FABB" w14:textId="77777777" w:rsidR="00A55467" w:rsidRPr="00C2602D" w:rsidRDefault="00A55467" w:rsidP="0098019E">
            <w:pPr>
              <w:spacing w:before="60" w:after="60"/>
              <w:rPr>
                <w:rFonts w:ascii="Arial" w:hAnsi="Arial" w:cs="Arial"/>
                <w:sz w:val="20"/>
                <w:szCs w:val="20"/>
              </w:rPr>
            </w:pPr>
            <w:r w:rsidRPr="00C2602D">
              <w:rPr>
                <w:rFonts w:ascii="Arial" w:hAnsi="Arial" w:cs="Arial"/>
                <w:b/>
                <w:sz w:val="20"/>
                <w:szCs w:val="20"/>
              </w:rPr>
              <w:t>Automated Retail Online Platform</w:t>
            </w:r>
          </w:p>
        </w:tc>
        <w:tc>
          <w:tcPr>
            <w:tcW w:w="6304" w:type="dxa"/>
          </w:tcPr>
          <w:p w14:paraId="0A73A99C" w14:textId="77777777" w:rsidR="00A55467" w:rsidRPr="006E75A3" w:rsidRDefault="00A55467" w:rsidP="0098019E">
            <w:pPr>
              <w:spacing w:before="60" w:after="60"/>
              <w:rPr>
                <w:rFonts w:ascii="Arial" w:hAnsi="Arial" w:cs="Arial"/>
                <w:sz w:val="20"/>
                <w:szCs w:val="20"/>
              </w:rPr>
            </w:pPr>
            <w:r w:rsidRPr="006E75A3">
              <w:rPr>
                <w:rFonts w:ascii="Arial" w:hAnsi="Arial" w:cs="Arial"/>
                <w:sz w:val="20"/>
                <w:szCs w:val="20"/>
              </w:rPr>
              <w:t>a range of interfaces, systems and processes with allow Retail Service Providers to deliver, maintain, cease or transfer an End User's retail broadband service, through the inputs needed to build a broadband access service;</w:t>
            </w:r>
          </w:p>
        </w:tc>
      </w:tr>
      <w:tr w:rsidR="00A55467" w:rsidRPr="006E75A3" w14:paraId="0E936821" w14:textId="77777777" w:rsidTr="00100646">
        <w:trPr>
          <w:gridAfter w:val="1"/>
          <w:wAfter w:w="6" w:type="dxa"/>
        </w:trPr>
        <w:tc>
          <w:tcPr>
            <w:tcW w:w="1775" w:type="dxa"/>
            <w:tcBorders>
              <w:top w:val="single" w:sz="4" w:space="0" w:color="000000"/>
              <w:left w:val="single" w:sz="4" w:space="0" w:color="000000"/>
              <w:bottom w:val="single" w:sz="4" w:space="0" w:color="000000"/>
              <w:right w:val="single" w:sz="4" w:space="0" w:color="000000"/>
            </w:tcBorders>
          </w:tcPr>
          <w:p w14:paraId="01A93942" w14:textId="77777777" w:rsidR="00A55467" w:rsidRPr="00C2602D" w:rsidRDefault="00A55467" w:rsidP="0098019E">
            <w:pPr>
              <w:spacing w:before="60" w:after="60"/>
              <w:rPr>
                <w:rFonts w:ascii="Arial" w:hAnsi="Arial" w:cs="Arial"/>
                <w:sz w:val="20"/>
                <w:szCs w:val="20"/>
              </w:rPr>
            </w:pPr>
            <w:r w:rsidRPr="00C2602D">
              <w:rPr>
                <w:rFonts w:ascii="Arial" w:hAnsi="Arial" w:cs="Arial"/>
                <w:b/>
                <w:sz w:val="20"/>
                <w:szCs w:val="20"/>
              </w:rPr>
              <w:t>B2B</w:t>
            </w:r>
          </w:p>
        </w:tc>
        <w:tc>
          <w:tcPr>
            <w:tcW w:w="6304" w:type="dxa"/>
            <w:tcBorders>
              <w:top w:val="single" w:sz="4" w:space="0" w:color="000000"/>
              <w:left w:val="single" w:sz="4" w:space="0" w:color="000000"/>
              <w:bottom w:val="single" w:sz="4" w:space="0" w:color="000000"/>
              <w:right w:val="single" w:sz="4" w:space="0" w:color="000000"/>
            </w:tcBorders>
          </w:tcPr>
          <w:p w14:paraId="54063E5D" w14:textId="77777777" w:rsidR="00A55467" w:rsidRPr="006E75A3" w:rsidRDefault="00A55467" w:rsidP="0098019E">
            <w:pPr>
              <w:spacing w:before="60" w:after="60"/>
              <w:rPr>
                <w:rFonts w:ascii="Arial" w:hAnsi="Arial" w:cs="Arial"/>
                <w:sz w:val="20"/>
                <w:szCs w:val="20"/>
              </w:rPr>
            </w:pPr>
            <w:r w:rsidRPr="006E75A3">
              <w:rPr>
                <w:rFonts w:ascii="Arial" w:hAnsi="Arial" w:cs="Arial"/>
                <w:sz w:val="20"/>
                <w:szCs w:val="20"/>
              </w:rPr>
              <w:t xml:space="preserve">Business to </w:t>
            </w:r>
            <w:r w:rsidR="00D6660B" w:rsidRPr="006E75A3">
              <w:rPr>
                <w:rFonts w:ascii="Arial" w:hAnsi="Arial" w:cs="Arial"/>
                <w:sz w:val="20"/>
                <w:szCs w:val="20"/>
              </w:rPr>
              <w:t>b</w:t>
            </w:r>
            <w:r w:rsidRPr="006E75A3">
              <w:rPr>
                <w:rFonts w:ascii="Arial" w:hAnsi="Arial" w:cs="Arial"/>
                <w:sz w:val="20"/>
                <w:szCs w:val="20"/>
              </w:rPr>
              <w:t>usiness</w:t>
            </w:r>
            <w:r w:rsidR="00D6660B" w:rsidRPr="006E75A3">
              <w:rPr>
                <w:rFonts w:ascii="Arial" w:hAnsi="Arial" w:cs="Arial"/>
                <w:sz w:val="20"/>
                <w:szCs w:val="20"/>
              </w:rPr>
              <w:t>;</w:t>
            </w:r>
          </w:p>
        </w:tc>
      </w:tr>
      <w:tr w:rsidR="00A55467" w:rsidRPr="006E75A3" w14:paraId="74B2854C" w14:textId="77777777" w:rsidTr="00100646">
        <w:trPr>
          <w:gridAfter w:val="1"/>
          <w:wAfter w:w="6" w:type="dxa"/>
        </w:trPr>
        <w:tc>
          <w:tcPr>
            <w:tcW w:w="1775" w:type="dxa"/>
            <w:tcBorders>
              <w:top w:val="single" w:sz="4" w:space="0" w:color="000000"/>
              <w:left w:val="single" w:sz="4" w:space="0" w:color="000000"/>
              <w:bottom w:val="single" w:sz="4" w:space="0" w:color="000000"/>
              <w:right w:val="single" w:sz="4" w:space="0" w:color="000000"/>
            </w:tcBorders>
          </w:tcPr>
          <w:p w14:paraId="480E7FF9" w14:textId="77777777" w:rsidR="00A55467" w:rsidRPr="00C2602D" w:rsidRDefault="00A55467" w:rsidP="0098019E">
            <w:pPr>
              <w:spacing w:before="60" w:after="60"/>
              <w:rPr>
                <w:rFonts w:ascii="Arial" w:hAnsi="Arial" w:cs="Arial"/>
                <w:sz w:val="20"/>
                <w:szCs w:val="20"/>
              </w:rPr>
            </w:pPr>
            <w:r w:rsidRPr="00C2602D">
              <w:rPr>
                <w:rFonts w:ascii="Arial" w:hAnsi="Arial" w:cs="Arial"/>
                <w:b/>
                <w:sz w:val="20"/>
                <w:szCs w:val="20"/>
              </w:rPr>
              <w:t>BSS</w:t>
            </w:r>
          </w:p>
        </w:tc>
        <w:tc>
          <w:tcPr>
            <w:tcW w:w="6304" w:type="dxa"/>
            <w:tcBorders>
              <w:top w:val="single" w:sz="4" w:space="0" w:color="000000"/>
              <w:left w:val="single" w:sz="4" w:space="0" w:color="000000"/>
              <w:bottom w:val="single" w:sz="4" w:space="0" w:color="000000"/>
              <w:right w:val="single" w:sz="4" w:space="0" w:color="000000"/>
            </w:tcBorders>
          </w:tcPr>
          <w:p w14:paraId="6F503FF5" w14:textId="77777777" w:rsidR="00A55467" w:rsidRPr="006E75A3" w:rsidRDefault="00A55467" w:rsidP="0098019E">
            <w:pPr>
              <w:spacing w:before="60" w:after="60"/>
              <w:rPr>
                <w:rFonts w:ascii="Arial" w:hAnsi="Arial" w:cs="Arial"/>
                <w:sz w:val="20"/>
                <w:szCs w:val="20"/>
              </w:rPr>
            </w:pPr>
            <w:r w:rsidRPr="006E75A3">
              <w:rPr>
                <w:rFonts w:ascii="Arial" w:hAnsi="Arial" w:cs="Arial"/>
                <w:sz w:val="20"/>
                <w:szCs w:val="20"/>
              </w:rPr>
              <w:t>the Supplier's business support systems which comprise software applications that support the RSP to the extent provided for in this Schedule 2;</w:t>
            </w:r>
          </w:p>
        </w:tc>
      </w:tr>
      <w:tr w:rsidR="00A55467" w:rsidRPr="006E75A3" w14:paraId="504E18C7" w14:textId="77777777" w:rsidTr="00100646">
        <w:trPr>
          <w:gridAfter w:val="1"/>
          <w:wAfter w:w="6" w:type="dxa"/>
        </w:trPr>
        <w:tc>
          <w:tcPr>
            <w:tcW w:w="1775" w:type="dxa"/>
            <w:tcBorders>
              <w:top w:val="single" w:sz="4" w:space="0" w:color="000000"/>
              <w:left w:val="single" w:sz="4" w:space="0" w:color="000000"/>
              <w:bottom w:val="single" w:sz="4" w:space="0" w:color="000000"/>
              <w:right w:val="single" w:sz="4" w:space="0" w:color="000000"/>
            </w:tcBorders>
          </w:tcPr>
          <w:p w14:paraId="7FB0B901" w14:textId="77777777" w:rsidR="00A55467" w:rsidRPr="00C2602D" w:rsidRDefault="00A55467" w:rsidP="0098019E">
            <w:pPr>
              <w:spacing w:before="60" w:after="60"/>
              <w:rPr>
                <w:rFonts w:ascii="Arial" w:hAnsi="Arial" w:cs="Arial"/>
                <w:sz w:val="20"/>
                <w:szCs w:val="20"/>
              </w:rPr>
            </w:pPr>
            <w:r w:rsidRPr="00C2602D">
              <w:rPr>
                <w:rFonts w:ascii="Arial" w:hAnsi="Arial" w:cs="Arial"/>
                <w:b/>
                <w:sz w:val="20"/>
                <w:szCs w:val="20"/>
              </w:rPr>
              <w:t>Busy Hour Committed Rate</w:t>
            </w:r>
          </w:p>
          <w:p w14:paraId="39B65A11" w14:textId="77777777" w:rsidR="00A55467" w:rsidRPr="00C2602D" w:rsidRDefault="00A55467" w:rsidP="0098019E">
            <w:pPr>
              <w:spacing w:before="60" w:after="60"/>
              <w:rPr>
                <w:rFonts w:ascii="Arial" w:hAnsi="Arial" w:cs="Arial"/>
                <w:sz w:val="20"/>
                <w:szCs w:val="20"/>
              </w:rPr>
            </w:pPr>
          </w:p>
        </w:tc>
        <w:tc>
          <w:tcPr>
            <w:tcW w:w="6304" w:type="dxa"/>
            <w:tcBorders>
              <w:top w:val="single" w:sz="4" w:space="0" w:color="000000"/>
              <w:left w:val="single" w:sz="4" w:space="0" w:color="000000"/>
              <w:bottom w:val="single" w:sz="4" w:space="0" w:color="000000"/>
              <w:right w:val="single" w:sz="4" w:space="0" w:color="000000"/>
            </w:tcBorders>
          </w:tcPr>
          <w:p w14:paraId="23AA1E03" w14:textId="77777777" w:rsidR="00A55467" w:rsidRPr="006E75A3" w:rsidRDefault="00A55467" w:rsidP="003512F7">
            <w:pPr>
              <w:spacing w:before="60" w:after="60"/>
              <w:rPr>
                <w:rFonts w:ascii="Arial" w:hAnsi="Arial" w:cs="Arial"/>
                <w:sz w:val="20"/>
                <w:szCs w:val="20"/>
              </w:rPr>
            </w:pPr>
            <w:r w:rsidRPr="006E75A3">
              <w:rPr>
                <w:rFonts w:ascii="Arial" w:hAnsi="Arial" w:cs="Arial"/>
                <w:sz w:val="20"/>
                <w:szCs w:val="20"/>
              </w:rPr>
              <w:t xml:space="preserve">the applicable minimum Service Frame (as defined by NICC ND 1030) throughput rate that each Retail Service Provider shall be able to </w:t>
            </w:r>
            <w:r w:rsidR="003512F7" w:rsidRPr="006E75A3">
              <w:rPr>
                <w:rFonts w:ascii="Arial" w:hAnsi="Arial" w:cs="Arial"/>
                <w:sz w:val="20"/>
                <w:szCs w:val="20"/>
              </w:rPr>
              <w:t xml:space="preserve">obtain </w:t>
            </w:r>
            <w:r w:rsidRPr="006E75A3">
              <w:rPr>
                <w:rFonts w:ascii="Arial" w:hAnsi="Arial" w:cs="Arial"/>
                <w:sz w:val="20"/>
                <w:szCs w:val="20"/>
              </w:rPr>
              <w:t xml:space="preserve">on a wholesale basis </w:t>
            </w:r>
            <w:r w:rsidR="00520BE5" w:rsidRPr="006E75A3">
              <w:rPr>
                <w:rFonts w:ascii="Arial" w:hAnsi="Arial" w:cs="Arial"/>
                <w:sz w:val="20"/>
                <w:szCs w:val="20"/>
              </w:rPr>
              <w:t xml:space="preserve">and make available to End User Premises </w:t>
            </w:r>
            <w:r w:rsidRPr="006E75A3">
              <w:rPr>
                <w:rFonts w:ascii="Arial" w:hAnsi="Arial" w:cs="Arial"/>
                <w:sz w:val="20"/>
                <w:szCs w:val="20"/>
              </w:rPr>
              <w:t>for at least 90% of the time during the busiest (i.e. highest total traffic load) three (3) hours of each day during the Term;</w:t>
            </w:r>
          </w:p>
        </w:tc>
      </w:tr>
      <w:tr w:rsidR="00B51EDF" w:rsidRPr="006E75A3" w14:paraId="2EE9355F" w14:textId="77777777" w:rsidTr="00B51EDF">
        <w:tblPrEx>
          <w:tblLook w:val="04A0" w:firstRow="1" w:lastRow="0" w:firstColumn="1" w:lastColumn="0" w:noHBand="0" w:noVBand="1"/>
        </w:tblPrEx>
        <w:tc>
          <w:tcPr>
            <w:tcW w:w="1775" w:type="dxa"/>
            <w:tcBorders>
              <w:top w:val="single" w:sz="4" w:space="0" w:color="000000"/>
              <w:left w:val="single" w:sz="4" w:space="0" w:color="000000"/>
              <w:bottom w:val="single" w:sz="4" w:space="0" w:color="000000"/>
              <w:right w:val="single" w:sz="4" w:space="0" w:color="000000"/>
            </w:tcBorders>
          </w:tcPr>
          <w:p w14:paraId="3CF148A2" w14:textId="00B99FB0" w:rsidR="00B51EDF" w:rsidRPr="00C2602D" w:rsidDel="00B51EDF" w:rsidRDefault="00B51EDF">
            <w:pPr>
              <w:rPr>
                <w:rFonts w:ascii="Arial" w:hAnsi="Arial" w:cs="Arial"/>
                <w:b/>
                <w:sz w:val="20"/>
                <w:szCs w:val="20"/>
              </w:rPr>
            </w:pPr>
            <w:r>
              <w:rPr>
                <w:rFonts w:ascii="Arial" w:hAnsi="Arial" w:cs="Arial"/>
                <w:b/>
                <w:sz w:val="20"/>
                <w:szCs w:val="20"/>
              </w:rPr>
              <w:t xml:space="preserve">Community Contribution Scheme </w:t>
            </w:r>
          </w:p>
        </w:tc>
        <w:tc>
          <w:tcPr>
            <w:tcW w:w="6310" w:type="dxa"/>
            <w:gridSpan w:val="2"/>
            <w:tcBorders>
              <w:top w:val="single" w:sz="4" w:space="0" w:color="000000"/>
              <w:left w:val="single" w:sz="4" w:space="0" w:color="000000"/>
              <w:bottom w:val="single" w:sz="4" w:space="0" w:color="000000"/>
              <w:right w:val="single" w:sz="4" w:space="0" w:color="000000"/>
            </w:tcBorders>
          </w:tcPr>
          <w:p w14:paraId="0F7C4ED7" w14:textId="19E34ED6" w:rsidR="00B51EDF" w:rsidRPr="00F27530" w:rsidDel="00B51EDF" w:rsidRDefault="00DF0711" w:rsidP="00DF0711">
            <w:pPr>
              <w:rPr>
                <w:rFonts w:ascii="Arial" w:hAnsi="Arial" w:cs="Arial"/>
                <w:sz w:val="20"/>
                <w:szCs w:val="20"/>
              </w:rPr>
            </w:pPr>
            <w:r>
              <w:rPr>
                <w:rFonts w:ascii="Arial" w:hAnsi="Arial" w:cs="Arial"/>
                <w:sz w:val="20"/>
                <w:szCs w:val="20"/>
              </w:rPr>
              <w:t>a</w:t>
            </w:r>
            <w:r w:rsidR="00B51EDF">
              <w:rPr>
                <w:rFonts w:ascii="Arial" w:hAnsi="Arial" w:cs="Arial"/>
                <w:sz w:val="20"/>
                <w:szCs w:val="20"/>
              </w:rPr>
              <w:t xml:space="preserve"> contribution of funding made by a community and provided to </w:t>
            </w:r>
            <w:r>
              <w:rPr>
                <w:rFonts w:ascii="Arial" w:hAnsi="Arial" w:cs="Arial"/>
                <w:sz w:val="20"/>
                <w:szCs w:val="20"/>
              </w:rPr>
              <w:t>the</w:t>
            </w:r>
            <w:r w:rsidR="00B51EDF">
              <w:rPr>
                <w:rFonts w:ascii="Arial" w:hAnsi="Arial" w:cs="Arial"/>
                <w:sz w:val="20"/>
                <w:szCs w:val="20"/>
              </w:rPr>
              <w:t xml:space="preserve"> Authority wh</w:t>
            </w:r>
            <w:r>
              <w:rPr>
                <w:rFonts w:ascii="Arial" w:hAnsi="Arial" w:cs="Arial"/>
                <w:sz w:val="20"/>
                <w:szCs w:val="20"/>
              </w:rPr>
              <w:t>ich</w:t>
            </w:r>
            <w:r w:rsidR="00B51EDF">
              <w:rPr>
                <w:rFonts w:ascii="Arial" w:hAnsi="Arial" w:cs="Arial"/>
                <w:sz w:val="20"/>
                <w:szCs w:val="20"/>
              </w:rPr>
              <w:t xml:space="preserve"> then procures an extension to the Network for the provision of NGA Broadband, Ultrafast Broadband or Gigabit Broadband services which benefit that Community through this Contract</w:t>
            </w:r>
            <w:r>
              <w:rPr>
                <w:rFonts w:ascii="Arial" w:hAnsi="Arial" w:cs="Arial"/>
                <w:sz w:val="20"/>
                <w:szCs w:val="20"/>
              </w:rPr>
              <w:t>;</w:t>
            </w:r>
          </w:p>
        </w:tc>
      </w:tr>
      <w:tr w:rsidR="002120FF" w:rsidRPr="006E75A3" w14:paraId="20A552B2" w14:textId="77777777" w:rsidTr="002120FF">
        <w:trPr>
          <w:gridAfter w:val="1"/>
          <w:wAfter w:w="6" w:type="dxa"/>
        </w:trPr>
        <w:tc>
          <w:tcPr>
            <w:tcW w:w="1775" w:type="dxa"/>
            <w:tcBorders>
              <w:top w:val="single" w:sz="4" w:space="0" w:color="000000"/>
              <w:left w:val="single" w:sz="4" w:space="0" w:color="000000"/>
              <w:bottom w:val="single" w:sz="4" w:space="0" w:color="000000"/>
              <w:right w:val="single" w:sz="4" w:space="0" w:color="000000"/>
            </w:tcBorders>
          </w:tcPr>
          <w:p w14:paraId="7AD1F423" w14:textId="05F351E9" w:rsidR="002120FF" w:rsidRPr="00C2602D" w:rsidRDefault="002120FF" w:rsidP="002120FF">
            <w:pPr>
              <w:spacing w:before="60" w:after="60"/>
              <w:rPr>
                <w:rFonts w:ascii="Arial" w:hAnsi="Arial" w:cs="Arial"/>
                <w:sz w:val="20"/>
                <w:szCs w:val="20"/>
              </w:rPr>
            </w:pPr>
            <w:r>
              <w:rPr>
                <w:rFonts w:ascii="Arial" w:hAnsi="Arial" w:cs="Arial"/>
                <w:b/>
                <w:sz w:val="20"/>
                <w:szCs w:val="20"/>
              </w:rPr>
              <w:t>Gigabit</w:t>
            </w:r>
            <w:r w:rsidRPr="00C2602D">
              <w:rPr>
                <w:rFonts w:ascii="Arial" w:hAnsi="Arial" w:cs="Arial"/>
                <w:b/>
                <w:sz w:val="20"/>
                <w:szCs w:val="20"/>
              </w:rPr>
              <w:t xml:space="preserve"> Broadband</w:t>
            </w:r>
          </w:p>
        </w:tc>
        <w:tc>
          <w:tcPr>
            <w:tcW w:w="6304" w:type="dxa"/>
            <w:tcBorders>
              <w:top w:val="single" w:sz="4" w:space="0" w:color="000000"/>
              <w:left w:val="single" w:sz="4" w:space="0" w:color="000000"/>
              <w:bottom w:val="single" w:sz="4" w:space="0" w:color="000000"/>
              <w:right w:val="single" w:sz="4" w:space="0" w:color="000000"/>
            </w:tcBorders>
          </w:tcPr>
          <w:p w14:paraId="638FD9D9" w14:textId="616B2ADD" w:rsidR="002120FF" w:rsidRPr="006E75A3" w:rsidRDefault="002120FF" w:rsidP="002120FF">
            <w:pPr>
              <w:spacing w:before="60" w:after="60"/>
              <w:rPr>
                <w:rFonts w:ascii="Arial" w:hAnsi="Arial" w:cs="Arial"/>
                <w:sz w:val="20"/>
                <w:szCs w:val="20"/>
              </w:rPr>
            </w:pPr>
            <w:r>
              <w:rPr>
                <w:rFonts w:ascii="Arial" w:hAnsi="Arial" w:cs="Arial"/>
                <w:sz w:val="20"/>
                <w:szCs w:val="20"/>
              </w:rPr>
              <w:t>gigabit</w:t>
            </w:r>
            <w:r w:rsidRPr="006E75A3">
              <w:rPr>
                <w:rFonts w:ascii="Arial" w:hAnsi="Arial" w:cs="Arial"/>
                <w:sz w:val="20"/>
                <w:szCs w:val="20"/>
              </w:rPr>
              <w:t xml:space="preserve"> download speeds of at least 100</w:t>
            </w:r>
            <w:r>
              <w:rPr>
                <w:rFonts w:ascii="Arial" w:hAnsi="Arial" w:cs="Arial"/>
                <w:sz w:val="20"/>
                <w:szCs w:val="20"/>
              </w:rPr>
              <w:t>0</w:t>
            </w:r>
            <w:r w:rsidRPr="006E75A3">
              <w:rPr>
                <w:rFonts w:ascii="Arial" w:hAnsi="Arial" w:cs="Arial"/>
                <w:sz w:val="20"/>
                <w:szCs w:val="20"/>
              </w:rPr>
              <w:t>Mbps delivered across an NGA network</w:t>
            </w:r>
            <w:r>
              <w:rPr>
                <w:rFonts w:ascii="Arial" w:hAnsi="Arial" w:cs="Arial"/>
                <w:sz w:val="20"/>
                <w:szCs w:val="20"/>
              </w:rPr>
              <w:t>;</w:t>
            </w:r>
          </w:p>
        </w:tc>
      </w:tr>
      <w:tr w:rsidR="00A55467" w:rsidRPr="006E75A3" w14:paraId="5D8E8521" w14:textId="77777777" w:rsidTr="00100646">
        <w:trPr>
          <w:gridAfter w:val="1"/>
          <w:wAfter w:w="6" w:type="dxa"/>
        </w:trPr>
        <w:tc>
          <w:tcPr>
            <w:tcW w:w="1775" w:type="dxa"/>
            <w:tcBorders>
              <w:top w:val="single" w:sz="4" w:space="0" w:color="000000"/>
              <w:left w:val="single" w:sz="4" w:space="0" w:color="000000"/>
              <w:bottom w:val="single" w:sz="4" w:space="0" w:color="000000"/>
              <w:right w:val="single" w:sz="4" w:space="0" w:color="000000"/>
            </w:tcBorders>
          </w:tcPr>
          <w:p w14:paraId="73BED1AA" w14:textId="77777777" w:rsidR="00A55467" w:rsidRPr="00C2602D" w:rsidRDefault="00A55467" w:rsidP="0098019E">
            <w:pPr>
              <w:spacing w:before="60" w:after="60"/>
              <w:rPr>
                <w:rFonts w:ascii="Arial" w:hAnsi="Arial" w:cs="Arial"/>
                <w:sz w:val="20"/>
                <w:szCs w:val="20"/>
              </w:rPr>
            </w:pPr>
            <w:r w:rsidRPr="00C2602D">
              <w:rPr>
                <w:rFonts w:ascii="Arial" w:hAnsi="Arial" w:cs="Arial"/>
                <w:b/>
                <w:sz w:val="20"/>
                <w:szCs w:val="20"/>
              </w:rPr>
              <w:t>IEEE</w:t>
            </w:r>
          </w:p>
        </w:tc>
        <w:tc>
          <w:tcPr>
            <w:tcW w:w="6304" w:type="dxa"/>
            <w:tcBorders>
              <w:top w:val="single" w:sz="4" w:space="0" w:color="000000"/>
              <w:left w:val="single" w:sz="4" w:space="0" w:color="000000"/>
              <w:bottom w:val="single" w:sz="4" w:space="0" w:color="000000"/>
              <w:right w:val="single" w:sz="4" w:space="0" w:color="000000"/>
            </w:tcBorders>
          </w:tcPr>
          <w:p w14:paraId="7A7E6250" w14:textId="77777777" w:rsidR="00A55467" w:rsidRPr="006E75A3" w:rsidRDefault="00A55467" w:rsidP="0098019E">
            <w:pPr>
              <w:spacing w:before="60" w:after="60"/>
              <w:rPr>
                <w:rFonts w:ascii="Arial" w:hAnsi="Arial" w:cs="Arial"/>
                <w:sz w:val="20"/>
                <w:szCs w:val="20"/>
                <w:lang w:val="en-GB"/>
              </w:rPr>
            </w:pPr>
            <w:r w:rsidRPr="006E75A3">
              <w:rPr>
                <w:rFonts w:ascii="Arial" w:hAnsi="Arial" w:cs="Arial"/>
                <w:sz w:val="20"/>
                <w:szCs w:val="20"/>
                <w:lang w:val="en-GB"/>
              </w:rPr>
              <w:t xml:space="preserve">the </w:t>
            </w:r>
            <w:r w:rsidRPr="006E75A3">
              <w:rPr>
                <w:rFonts w:ascii="Arial" w:hAnsi="Arial" w:cs="Arial"/>
                <w:sz w:val="20"/>
                <w:szCs w:val="20"/>
              </w:rPr>
              <w:t>Institute of Electrical and Electronic Engineering;</w:t>
            </w:r>
          </w:p>
        </w:tc>
      </w:tr>
      <w:tr w:rsidR="00A55467" w:rsidRPr="006E75A3" w14:paraId="3D51E8C0" w14:textId="77777777" w:rsidTr="00100646">
        <w:trPr>
          <w:gridAfter w:val="1"/>
          <w:wAfter w:w="6" w:type="dxa"/>
        </w:trPr>
        <w:tc>
          <w:tcPr>
            <w:tcW w:w="1775" w:type="dxa"/>
            <w:tcBorders>
              <w:top w:val="single" w:sz="4" w:space="0" w:color="000000"/>
              <w:left w:val="single" w:sz="4" w:space="0" w:color="000000"/>
              <w:bottom w:val="single" w:sz="4" w:space="0" w:color="000000"/>
              <w:right w:val="single" w:sz="4" w:space="0" w:color="000000"/>
            </w:tcBorders>
          </w:tcPr>
          <w:p w14:paraId="3F963CBF" w14:textId="77777777" w:rsidR="00A55467" w:rsidRPr="00C2602D" w:rsidRDefault="00A55467" w:rsidP="0098019E">
            <w:pPr>
              <w:spacing w:before="60" w:after="60"/>
              <w:rPr>
                <w:rFonts w:ascii="Arial" w:hAnsi="Arial" w:cs="Arial"/>
                <w:sz w:val="20"/>
                <w:szCs w:val="20"/>
              </w:rPr>
            </w:pPr>
            <w:r w:rsidRPr="00C2602D">
              <w:rPr>
                <w:rFonts w:ascii="Arial" w:hAnsi="Arial" w:cs="Arial"/>
                <w:b/>
                <w:sz w:val="20"/>
                <w:szCs w:val="20"/>
              </w:rPr>
              <w:t>IETF</w:t>
            </w:r>
          </w:p>
        </w:tc>
        <w:tc>
          <w:tcPr>
            <w:tcW w:w="6304" w:type="dxa"/>
            <w:tcBorders>
              <w:top w:val="single" w:sz="4" w:space="0" w:color="000000"/>
              <w:left w:val="single" w:sz="4" w:space="0" w:color="000000"/>
              <w:bottom w:val="single" w:sz="4" w:space="0" w:color="000000"/>
              <w:right w:val="single" w:sz="4" w:space="0" w:color="000000"/>
            </w:tcBorders>
          </w:tcPr>
          <w:p w14:paraId="01A54B99" w14:textId="77777777" w:rsidR="00A55467" w:rsidRPr="006E75A3" w:rsidRDefault="00A55467" w:rsidP="0098019E">
            <w:pPr>
              <w:spacing w:before="60" w:after="60"/>
              <w:rPr>
                <w:rFonts w:ascii="Arial" w:hAnsi="Arial" w:cs="Arial"/>
                <w:sz w:val="20"/>
                <w:szCs w:val="20"/>
              </w:rPr>
            </w:pPr>
            <w:r w:rsidRPr="006E75A3">
              <w:rPr>
                <w:rFonts w:ascii="Arial" w:hAnsi="Arial" w:cs="Arial"/>
                <w:sz w:val="20"/>
                <w:szCs w:val="20"/>
              </w:rPr>
              <w:t>the Internet Engineering Task Force;</w:t>
            </w:r>
          </w:p>
        </w:tc>
      </w:tr>
      <w:tr w:rsidR="00A55467" w:rsidRPr="006E75A3" w14:paraId="607B77A0" w14:textId="77777777" w:rsidTr="00100646">
        <w:trPr>
          <w:gridAfter w:val="1"/>
          <w:wAfter w:w="6" w:type="dxa"/>
        </w:trPr>
        <w:tc>
          <w:tcPr>
            <w:tcW w:w="1775" w:type="dxa"/>
            <w:tcBorders>
              <w:top w:val="single" w:sz="4" w:space="0" w:color="000000"/>
              <w:left w:val="single" w:sz="4" w:space="0" w:color="000000"/>
              <w:bottom w:val="single" w:sz="4" w:space="0" w:color="000000"/>
              <w:right w:val="single" w:sz="4" w:space="0" w:color="000000"/>
            </w:tcBorders>
          </w:tcPr>
          <w:p w14:paraId="0A5AE220" w14:textId="77777777" w:rsidR="00A55467" w:rsidRPr="00C2602D" w:rsidRDefault="00A55467" w:rsidP="0098019E">
            <w:pPr>
              <w:spacing w:before="60" w:after="60"/>
              <w:rPr>
                <w:rFonts w:ascii="Arial" w:hAnsi="Arial" w:cs="Arial"/>
                <w:sz w:val="20"/>
                <w:szCs w:val="20"/>
              </w:rPr>
            </w:pPr>
            <w:r w:rsidRPr="00C2602D">
              <w:rPr>
                <w:rFonts w:ascii="Arial" w:hAnsi="Arial" w:cs="Arial"/>
                <w:b/>
                <w:sz w:val="20"/>
                <w:szCs w:val="20"/>
              </w:rPr>
              <w:lastRenderedPageBreak/>
              <w:t>Industry Standards</w:t>
            </w:r>
          </w:p>
        </w:tc>
        <w:tc>
          <w:tcPr>
            <w:tcW w:w="6304" w:type="dxa"/>
            <w:tcBorders>
              <w:top w:val="single" w:sz="4" w:space="0" w:color="000000"/>
              <w:left w:val="single" w:sz="4" w:space="0" w:color="000000"/>
              <w:bottom w:val="single" w:sz="4" w:space="0" w:color="000000"/>
              <w:right w:val="single" w:sz="4" w:space="0" w:color="000000"/>
            </w:tcBorders>
          </w:tcPr>
          <w:p w14:paraId="5BA1926E" w14:textId="1CEE59E3" w:rsidR="00A55467" w:rsidRPr="006E75A3" w:rsidRDefault="00A55467" w:rsidP="00D04C3E">
            <w:pPr>
              <w:spacing w:before="60" w:after="60"/>
              <w:rPr>
                <w:rFonts w:ascii="Arial" w:hAnsi="Arial" w:cs="Arial"/>
                <w:sz w:val="20"/>
                <w:szCs w:val="20"/>
              </w:rPr>
            </w:pPr>
            <w:r w:rsidRPr="006E75A3">
              <w:rPr>
                <w:rFonts w:ascii="Arial" w:hAnsi="Arial" w:cs="Arial"/>
                <w:sz w:val="20"/>
                <w:szCs w:val="20"/>
              </w:rPr>
              <w:t>manufacturers’ and industry bodies’ standards, whether open or proprietary, as well as all relevant British, European and international standards</w:t>
            </w:r>
            <w:bookmarkStart w:id="8" w:name="_Ref456346484"/>
            <w:r w:rsidRPr="006E75A3">
              <w:rPr>
                <w:rFonts w:ascii="Arial" w:hAnsi="Arial" w:cs="Arial"/>
                <w:sz w:val="20"/>
                <w:szCs w:val="20"/>
                <w:vertAlign w:val="superscript"/>
              </w:rPr>
              <w:footnoteReference w:id="1"/>
            </w:r>
            <w:bookmarkEnd w:id="8"/>
            <w:r w:rsidRPr="006E75A3">
              <w:rPr>
                <w:rFonts w:ascii="Arial" w:hAnsi="Arial" w:cs="Arial"/>
                <w:sz w:val="20"/>
                <w:szCs w:val="20"/>
              </w:rPr>
              <w:t>;</w:t>
            </w:r>
          </w:p>
        </w:tc>
      </w:tr>
      <w:tr w:rsidR="00A55467" w:rsidRPr="006E75A3" w14:paraId="4630E329" w14:textId="77777777" w:rsidTr="00100646">
        <w:trPr>
          <w:gridAfter w:val="1"/>
          <w:wAfter w:w="6" w:type="dxa"/>
        </w:trPr>
        <w:tc>
          <w:tcPr>
            <w:tcW w:w="1775" w:type="dxa"/>
            <w:tcBorders>
              <w:top w:val="single" w:sz="4" w:space="0" w:color="000000"/>
              <w:left w:val="single" w:sz="4" w:space="0" w:color="000000"/>
              <w:bottom w:val="single" w:sz="4" w:space="0" w:color="000000"/>
              <w:right w:val="single" w:sz="4" w:space="0" w:color="000000"/>
            </w:tcBorders>
          </w:tcPr>
          <w:p w14:paraId="7BA92404" w14:textId="77777777" w:rsidR="00A55467" w:rsidRPr="00C2602D" w:rsidRDefault="00A55467" w:rsidP="0098019E">
            <w:pPr>
              <w:spacing w:before="60" w:after="60"/>
              <w:rPr>
                <w:rFonts w:ascii="Arial" w:hAnsi="Arial" w:cs="Arial"/>
                <w:sz w:val="20"/>
                <w:szCs w:val="20"/>
              </w:rPr>
            </w:pPr>
            <w:r w:rsidRPr="00C2602D">
              <w:rPr>
                <w:rFonts w:ascii="Arial" w:hAnsi="Arial" w:cs="Arial"/>
                <w:b/>
                <w:sz w:val="20"/>
                <w:szCs w:val="20"/>
              </w:rPr>
              <w:t>ISO</w:t>
            </w:r>
          </w:p>
        </w:tc>
        <w:tc>
          <w:tcPr>
            <w:tcW w:w="6304" w:type="dxa"/>
            <w:tcBorders>
              <w:top w:val="single" w:sz="4" w:space="0" w:color="000000"/>
              <w:left w:val="single" w:sz="4" w:space="0" w:color="000000"/>
              <w:bottom w:val="single" w:sz="4" w:space="0" w:color="000000"/>
              <w:right w:val="single" w:sz="4" w:space="0" w:color="000000"/>
            </w:tcBorders>
          </w:tcPr>
          <w:p w14:paraId="22D7A710" w14:textId="77777777" w:rsidR="00A55467" w:rsidRPr="006E75A3" w:rsidRDefault="00A55467" w:rsidP="0098019E">
            <w:pPr>
              <w:spacing w:before="60" w:after="60"/>
              <w:rPr>
                <w:rFonts w:ascii="Arial" w:hAnsi="Arial" w:cs="Arial"/>
                <w:sz w:val="20"/>
                <w:szCs w:val="20"/>
              </w:rPr>
            </w:pPr>
            <w:r w:rsidRPr="006E75A3">
              <w:rPr>
                <w:rFonts w:ascii="Arial" w:hAnsi="Arial" w:cs="Arial"/>
                <w:sz w:val="20"/>
                <w:szCs w:val="20"/>
              </w:rPr>
              <w:t>the International Standards Organisation;</w:t>
            </w:r>
          </w:p>
        </w:tc>
      </w:tr>
      <w:tr w:rsidR="00A55467" w:rsidRPr="006E75A3" w14:paraId="5E49F495" w14:textId="77777777" w:rsidTr="00100646">
        <w:trPr>
          <w:gridAfter w:val="1"/>
          <w:wAfter w:w="6" w:type="dxa"/>
        </w:trPr>
        <w:tc>
          <w:tcPr>
            <w:tcW w:w="1775" w:type="dxa"/>
            <w:tcBorders>
              <w:top w:val="single" w:sz="4" w:space="0" w:color="000000"/>
              <w:left w:val="single" w:sz="4" w:space="0" w:color="000000"/>
              <w:bottom w:val="single" w:sz="4" w:space="0" w:color="000000"/>
              <w:right w:val="single" w:sz="4" w:space="0" w:color="000000"/>
            </w:tcBorders>
          </w:tcPr>
          <w:p w14:paraId="5C876745" w14:textId="77777777" w:rsidR="00A55467" w:rsidRPr="00C2602D" w:rsidRDefault="00A55467" w:rsidP="0098019E">
            <w:pPr>
              <w:spacing w:before="60" w:after="60"/>
              <w:rPr>
                <w:rFonts w:ascii="Arial" w:hAnsi="Arial" w:cs="Arial"/>
                <w:sz w:val="20"/>
                <w:szCs w:val="20"/>
              </w:rPr>
            </w:pPr>
            <w:r w:rsidRPr="00C2602D">
              <w:rPr>
                <w:rFonts w:ascii="Arial" w:hAnsi="Arial" w:cs="Arial"/>
                <w:b/>
                <w:sz w:val="20"/>
                <w:szCs w:val="20"/>
              </w:rPr>
              <w:t>ITU</w:t>
            </w:r>
          </w:p>
        </w:tc>
        <w:tc>
          <w:tcPr>
            <w:tcW w:w="6304" w:type="dxa"/>
            <w:tcBorders>
              <w:top w:val="single" w:sz="4" w:space="0" w:color="000000"/>
              <w:left w:val="single" w:sz="4" w:space="0" w:color="000000"/>
              <w:bottom w:val="single" w:sz="4" w:space="0" w:color="000000"/>
              <w:right w:val="single" w:sz="4" w:space="0" w:color="000000"/>
            </w:tcBorders>
          </w:tcPr>
          <w:p w14:paraId="5191B7EE" w14:textId="77777777" w:rsidR="00A55467" w:rsidRPr="006E75A3" w:rsidRDefault="00A55467" w:rsidP="0098019E">
            <w:pPr>
              <w:spacing w:before="60" w:after="60"/>
              <w:rPr>
                <w:rFonts w:ascii="Arial" w:hAnsi="Arial" w:cs="Arial"/>
                <w:sz w:val="20"/>
                <w:szCs w:val="20"/>
              </w:rPr>
            </w:pPr>
            <w:r w:rsidRPr="006E75A3">
              <w:rPr>
                <w:rFonts w:ascii="Arial" w:hAnsi="Arial" w:cs="Arial"/>
                <w:sz w:val="20"/>
                <w:szCs w:val="20"/>
              </w:rPr>
              <w:t>the International Telecommunication Union;</w:t>
            </w:r>
          </w:p>
        </w:tc>
      </w:tr>
      <w:tr w:rsidR="00A55467" w:rsidRPr="006E75A3" w14:paraId="2DE9931C" w14:textId="77777777" w:rsidTr="00100646">
        <w:trPr>
          <w:gridAfter w:val="1"/>
          <w:wAfter w:w="6" w:type="dxa"/>
        </w:trPr>
        <w:tc>
          <w:tcPr>
            <w:tcW w:w="1775" w:type="dxa"/>
            <w:tcBorders>
              <w:top w:val="single" w:sz="4" w:space="0" w:color="000000"/>
              <w:left w:val="single" w:sz="4" w:space="0" w:color="000000"/>
              <w:bottom w:val="single" w:sz="4" w:space="0" w:color="000000"/>
              <w:right w:val="single" w:sz="4" w:space="0" w:color="000000"/>
            </w:tcBorders>
          </w:tcPr>
          <w:p w14:paraId="5638F123" w14:textId="77777777" w:rsidR="00A55467" w:rsidRPr="00C2602D" w:rsidRDefault="00A55467" w:rsidP="0098019E">
            <w:pPr>
              <w:spacing w:before="60" w:after="60"/>
              <w:rPr>
                <w:rFonts w:ascii="Arial" w:hAnsi="Arial" w:cs="Arial"/>
                <w:sz w:val="20"/>
                <w:szCs w:val="20"/>
              </w:rPr>
            </w:pPr>
            <w:r w:rsidRPr="00C2602D">
              <w:rPr>
                <w:rFonts w:ascii="Arial" w:hAnsi="Arial" w:cs="Arial"/>
                <w:b/>
                <w:sz w:val="20"/>
                <w:szCs w:val="20"/>
              </w:rPr>
              <w:t>Lead-to-Cash Process</w:t>
            </w:r>
          </w:p>
        </w:tc>
        <w:tc>
          <w:tcPr>
            <w:tcW w:w="6304" w:type="dxa"/>
            <w:tcBorders>
              <w:top w:val="single" w:sz="4" w:space="0" w:color="000000"/>
              <w:left w:val="single" w:sz="4" w:space="0" w:color="000000"/>
              <w:bottom w:val="single" w:sz="4" w:space="0" w:color="000000"/>
              <w:right w:val="single" w:sz="4" w:space="0" w:color="000000"/>
            </w:tcBorders>
          </w:tcPr>
          <w:p w14:paraId="6187B2F7" w14:textId="77777777" w:rsidR="00A55467" w:rsidRPr="006E75A3" w:rsidRDefault="00A55467" w:rsidP="0098019E">
            <w:pPr>
              <w:spacing w:before="60" w:after="60"/>
              <w:rPr>
                <w:rFonts w:ascii="Arial" w:hAnsi="Arial" w:cs="Arial"/>
                <w:sz w:val="20"/>
                <w:szCs w:val="20"/>
              </w:rPr>
            </w:pPr>
            <w:r w:rsidRPr="006E75A3">
              <w:rPr>
                <w:rFonts w:ascii="Arial" w:hAnsi="Arial" w:cs="Arial"/>
                <w:sz w:val="20"/>
                <w:szCs w:val="20"/>
              </w:rPr>
              <w:t>process which starts with a sales dialogue between a buyer and supplier which establishes that a product or service will meet the buyer's needs and ends when this need is fulfilled, the service is available to use and the supplier has been paid;</w:t>
            </w:r>
          </w:p>
        </w:tc>
      </w:tr>
      <w:tr w:rsidR="001F4E71" w:rsidRPr="006E75A3" w14:paraId="3EE530C1" w14:textId="77777777" w:rsidTr="00100646">
        <w:trPr>
          <w:gridAfter w:val="1"/>
          <w:wAfter w:w="6" w:type="dxa"/>
        </w:trPr>
        <w:tc>
          <w:tcPr>
            <w:tcW w:w="1775" w:type="dxa"/>
            <w:tcBorders>
              <w:top w:val="single" w:sz="4" w:space="0" w:color="000000"/>
              <w:left w:val="single" w:sz="4" w:space="0" w:color="000000"/>
              <w:bottom w:val="single" w:sz="4" w:space="0" w:color="000000"/>
              <w:right w:val="single" w:sz="4" w:space="0" w:color="000000"/>
            </w:tcBorders>
          </w:tcPr>
          <w:p w14:paraId="74BD69CB" w14:textId="77777777" w:rsidR="001F4E71" w:rsidRPr="00C2602D" w:rsidRDefault="001F4E71" w:rsidP="0098019E">
            <w:pPr>
              <w:spacing w:before="60" w:after="60"/>
              <w:rPr>
                <w:rFonts w:ascii="Arial" w:hAnsi="Arial" w:cs="Arial"/>
                <w:b/>
                <w:sz w:val="20"/>
                <w:szCs w:val="20"/>
              </w:rPr>
            </w:pPr>
            <w:r w:rsidRPr="00C2602D">
              <w:rPr>
                <w:rFonts w:ascii="Arial" w:hAnsi="Arial" w:cs="Arial"/>
                <w:b/>
                <w:sz w:val="20"/>
                <w:szCs w:val="20"/>
              </w:rPr>
              <w:t>Local Community Project</w:t>
            </w:r>
          </w:p>
        </w:tc>
        <w:tc>
          <w:tcPr>
            <w:tcW w:w="6304" w:type="dxa"/>
            <w:tcBorders>
              <w:top w:val="single" w:sz="4" w:space="0" w:color="000000"/>
              <w:left w:val="single" w:sz="4" w:space="0" w:color="000000"/>
              <w:bottom w:val="single" w:sz="4" w:space="0" w:color="000000"/>
              <w:right w:val="single" w:sz="4" w:space="0" w:color="000000"/>
            </w:tcBorders>
          </w:tcPr>
          <w:p w14:paraId="21907BAC" w14:textId="77777777" w:rsidR="001F4E71" w:rsidRPr="006E75A3" w:rsidRDefault="001F4E71" w:rsidP="0098019E">
            <w:pPr>
              <w:spacing w:before="60" w:after="60"/>
              <w:rPr>
                <w:rFonts w:ascii="Arial" w:hAnsi="Arial" w:cs="Arial"/>
                <w:sz w:val="20"/>
                <w:szCs w:val="20"/>
              </w:rPr>
            </w:pPr>
            <w:r w:rsidRPr="006E75A3">
              <w:rPr>
                <w:rFonts w:ascii="Arial" w:hAnsi="Arial" w:cs="Arial"/>
                <w:sz w:val="20"/>
                <w:szCs w:val="20"/>
              </w:rPr>
              <w:t>a project being delivered pursuant to paragraph 4 of these Service Requirements;</w:t>
            </w:r>
          </w:p>
        </w:tc>
      </w:tr>
      <w:tr w:rsidR="00A55467" w:rsidRPr="006E75A3" w14:paraId="3A69CD91" w14:textId="77777777" w:rsidTr="00100646">
        <w:trPr>
          <w:gridAfter w:val="1"/>
          <w:wAfter w:w="6" w:type="dxa"/>
        </w:trPr>
        <w:tc>
          <w:tcPr>
            <w:tcW w:w="1775" w:type="dxa"/>
            <w:tcBorders>
              <w:top w:val="single" w:sz="4" w:space="0" w:color="000000"/>
              <w:left w:val="single" w:sz="4" w:space="0" w:color="000000"/>
              <w:bottom w:val="single" w:sz="4" w:space="0" w:color="000000"/>
              <w:right w:val="single" w:sz="4" w:space="0" w:color="000000"/>
            </w:tcBorders>
          </w:tcPr>
          <w:p w14:paraId="798C2996" w14:textId="77777777" w:rsidR="00A55467" w:rsidRPr="00C2602D" w:rsidRDefault="00A55467" w:rsidP="0098019E">
            <w:pPr>
              <w:spacing w:before="60" w:after="60"/>
              <w:rPr>
                <w:rFonts w:ascii="Arial" w:hAnsi="Arial" w:cs="Arial"/>
                <w:sz w:val="20"/>
                <w:szCs w:val="20"/>
              </w:rPr>
            </w:pPr>
            <w:r w:rsidRPr="00C2602D">
              <w:rPr>
                <w:rFonts w:ascii="Arial" w:hAnsi="Arial" w:cs="Arial"/>
                <w:b/>
                <w:sz w:val="20"/>
                <w:szCs w:val="20"/>
              </w:rPr>
              <w:t>Local Community Requirements</w:t>
            </w:r>
          </w:p>
        </w:tc>
        <w:tc>
          <w:tcPr>
            <w:tcW w:w="6304" w:type="dxa"/>
            <w:tcBorders>
              <w:top w:val="single" w:sz="4" w:space="0" w:color="000000"/>
              <w:left w:val="single" w:sz="4" w:space="0" w:color="000000"/>
              <w:bottom w:val="single" w:sz="4" w:space="0" w:color="000000"/>
              <w:right w:val="single" w:sz="4" w:space="0" w:color="000000"/>
            </w:tcBorders>
          </w:tcPr>
          <w:p w14:paraId="112458A8" w14:textId="77777777" w:rsidR="00A55467" w:rsidRPr="006E75A3" w:rsidRDefault="00A55467" w:rsidP="0098019E">
            <w:pPr>
              <w:spacing w:before="60" w:after="60"/>
              <w:rPr>
                <w:rFonts w:ascii="Arial" w:hAnsi="Arial" w:cs="Arial"/>
                <w:sz w:val="20"/>
                <w:szCs w:val="20"/>
              </w:rPr>
            </w:pPr>
            <w:r w:rsidRPr="006E75A3">
              <w:rPr>
                <w:rFonts w:ascii="Arial" w:hAnsi="Arial" w:cs="Arial"/>
                <w:sz w:val="20"/>
                <w:szCs w:val="20"/>
              </w:rPr>
              <w:t>a set of requirements defined by a community from time to time during the Term in respect of a project attracting a capital contribution from the Authority.  A Local Community Requirement will only be eligible for Authority capital contribution in the event that the proposed solution seeks to deploy NGA qualifying technologies and meets the requirements of the Commission Decision;</w:t>
            </w:r>
          </w:p>
        </w:tc>
      </w:tr>
      <w:tr w:rsidR="00A55467" w:rsidRPr="006E75A3" w14:paraId="55044889" w14:textId="77777777" w:rsidTr="00100646">
        <w:trPr>
          <w:gridAfter w:val="1"/>
          <w:wAfter w:w="6" w:type="dxa"/>
        </w:trPr>
        <w:tc>
          <w:tcPr>
            <w:tcW w:w="1775" w:type="dxa"/>
            <w:tcBorders>
              <w:top w:val="single" w:sz="4" w:space="0" w:color="000000"/>
              <w:left w:val="single" w:sz="4" w:space="0" w:color="000000"/>
              <w:bottom w:val="single" w:sz="4" w:space="0" w:color="000000"/>
              <w:right w:val="single" w:sz="4" w:space="0" w:color="000000"/>
            </w:tcBorders>
          </w:tcPr>
          <w:p w14:paraId="080017C9" w14:textId="77777777" w:rsidR="00A55467" w:rsidRPr="00C2602D" w:rsidRDefault="00A55467" w:rsidP="0098019E">
            <w:pPr>
              <w:spacing w:before="60" w:after="60"/>
              <w:rPr>
                <w:rFonts w:ascii="Arial" w:hAnsi="Arial" w:cs="Arial"/>
                <w:sz w:val="20"/>
                <w:szCs w:val="20"/>
              </w:rPr>
            </w:pPr>
            <w:r w:rsidRPr="00C2602D">
              <w:rPr>
                <w:rFonts w:ascii="Arial" w:hAnsi="Arial" w:cs="Arial"/>
                <w:b/>
                <w:sz w:val="20"/>
                <w:szCs w:val="20"/>
              </w:rPr>
              <w:t>MACD</w:t>
            </w:r>
          </w:p>
        </w:tc>
        <w:tc>
          <w:tcPr>
            <w:tcW w:w="6304" w:type="dxa"/>
            <w:tcBorders>
              <w:top w:val="single" w:sz="4" w:space="0" w:color="000000"/>
              <w:left w:val="single" w:sz="4" w:space="0" w:color="000000"/>
              <w:bottom w:val="single" w:sz="4" w:space="0" w:color="000000"/>
              <w:right w:val="single" w:sz="4" w:space="0" w:color="000000"/>
            </w:tcBorders>
          </w:tcPr>
          <w:p w14:paraId="069D20E9" w14:textId="77777777" w:rsidR="00A55467" w:rsidRPr="006E75A3" w:rsidRDefault="00A55467" w:rsidP="0098019E">
            <w:pPr>
              <w:spacing w:before="60" w:after="60"/>
              <w:rPr>
                <w:rFonts w:ascii="Arial" w:hAnsi="Arial" w:cs="Arial"/>
                <w:sz w:val="20"/>
                <w:szCs w:val="20"/>
              </w:rPr>
            </w:pPr>
            <w:r w:rsidRPr="006E75A3">
              <w:rPr>
                <w:rFonts w:ascii="Arial" w:hAnsi="Arial" w:cs="Arial"/>
                <w:sz w:val="20"/>
                <w:szCs w:val="20"/>
              </w:rPr>
              <w:t>Moves, Adds, changes and disconnects;</w:t>
            </w:r>
          </w:p>
        </w:tc>
      </w:tr>
      <w:tr w:rsidR="00A55467" w:rsidRPr="006E75A3" w14:paraId="41C73664" w14:textId="77777777" w:rsidTr="00100646">
        <w:trPr>
          <w:gridAfter w:val="1"/>
          <w:wAfter w:w="6" w:type="dxa"/>
        </w:trPr>
        <w:tc>
          <w:tcPr>
            <w:tcW w:w="1775" w:type="dxa"/>
            <w:tcBorders>
              <w:top w:val="single" w:sz="4" w:space="0" w:color="000000"/>
              <w:left w:val="single" w:sz="4" w:space="0" w:color="000000"/>
              <w:bottom w:val="single" w:sz="4" w:space="0" w:color="000000"/>
              <w:right w:val="single" w:sz="4" w:space="0" w:color="000000"/>
            </w:tcBorders>
          </w:tcPr>
          <w:p w14:paraId="205F8AF6" w14:textId="77777777" w:rsidR="00A55467" w:rsidRPr="00C2602D" w:rsidRDefault="00A55467" w:rsidP="0098019E">
            <w:pPr>
              <w:spacing w:before="60" w:after="60"/>
              <w:rPr>
                <w:rFonts w:ascii="Arial" w:hAnsi="Arial" w:cs="Arial"/>
                <w:sz w:val="20"/>
                <w:szCs w:val="20"/>
              </w:rPr>
            </w:pPr>
            <w:r w:rsidRPr="00C2602D">
              <w:rPr>
                <w:rFonts w:ascii="Arial" w:hAnsi="Arial" w:cs="Arial"/>
                <w:b/>
                <w:sz w:val="20"/>
                <w:szCs w:val="20"/>
              </w:rPr>
              <w:t>Mbps</w:t>
            </w:r>
          </w:p>
        </w:tc>
        <w:tc>
          <w:tcPr>
            <w:tcW w:w="6304" w:type="dxa"/>
            <w:tcBorders>
              <w:top w:val="single" w:sz="4" w:space="0" w:color="000000"/>
              <w:left w:val="single" w:sz="4" w:space="0" w:color="000000"/>
              <w:bottom w:val="single" w:sz="4" w:space="0" w:color="000000"/>
              <w:right w:val="single" w:sz="4" w:space="0" w:color="000000"/>
            </w:tcBorders>
          </w:tcPr>
          <w:p w14:paraId="0C62B505" w14:textId="77777777" w:rsidR="00A55467" w:rsidRPr="006E75A3" w:rsidRDefault="00A55467" w:rsidP="0098019E">
            <w:pPr>
              <w:spacing w:before="60" w:after="60"/>
              <w:rPr>
                <w:rFonts w:ascii="Arial" w:hAnsi="Arial" w:cs="Arial"/>
                <w:sz w:val="20"/>
                <w:szCs w:val="20"/>
              </w:rPr>
            </w:pPr>
            <w:r w:rsidRPr="006E75A3">
              <w:rPr>
                <w:rFonts w:ascii="Arial" w:hAnsi="Arial" w:cs="Arial"/>
                <w:sz w:val="20"/>
                <w:szCs w:val="20"/>
              </w:rPr>
              <w:t>megabits per second;</w:t>
            </w:r>
          </w:p>
        </w:tc>
      </w:tr>
      <w:tr w:rsidR="00A55467" w:rsidRPr="006E75A3" w14:paraId="3A159EBE" w14:textId="77777777" w:rsidTr="00100646">
        <w:trPr>
          <w:gridAfter w:val="1"/>
          <w:wAfter w:w="6" w:type="dxa"/>
        </w:trPr>
        <w:tc>
          <w:tcPr>
            <w:tcW w:w="1775" w:type="dxa"/>
            <w:tcBorders>
              <w:top w:val="single" w:sz="4" w:space="0" w:color="000000"/>
              <w:left w:val="single" w:sz="4" w:space="0" w:color="000000"/>
              <w:bottom w:val="single" w:sz="4" w:space="0" w:color="000000"/>
              <w:right w:val="single" w:sz="4" w:space="0" w:color="000000"/>
            </w:tcBorders>
          </w:tcPr>
          <w:p w14:paraId="127E6F4D" w14:textId="77777777" w:rsidR="00A55467" w:rsidRPr="00C2602D" w:rsidRDefault="00A55467" w:rsidP="0098019E">
            <w:pPr>
              <w:spacing w:before="60" w:after="60"/>
              <w:rPr>
                <w:rFonts w:ascii="Arial" w:hAnsi="Arial" w:cs="Arial"/>
                <w:sz w:val="20"/>
                <w:szCs w:val="20"/>
              </w:rPr>
            </w:pPr>
            <w:r w:rsidRPr="00C2602D">
              <w:rPr>
                <w:rFonts w:ascii="Arial" w:hAnsi="Arial" w:cs="Arial"/>
                <w:b/>
                <w:sz w:val="20"/>
                <w:szCs w:val="20"/>
              </w:rPr>
              <w:t>Minimum Service Requirements</w:t>
            </w:r>
          </w:p>
        </w:tc>
        <w:tc>
          <w:tcPr>
            <w:tcW w:w="6304" w:type="dxa"/>
            <w:tcBorders>
              <w:top w:val="single" w:sz="4" w:space="0" w:color="000000"/>
              <w:left w:val="single" w:sz="4" w:space="0" w:color="000000"/>
              <w:bottom w:val="single" w:sz="4" w:space="0" w:color="000000"/>
              <w:right w:val="single" w:sz="4" w:space="0" w:color="000000"/>
            </w:tcBorders>
          </w:tcPr>
          <w:p w14:paraId="17808FB4" w14:textId="77777777" w:rsidR="00A55467" w:rsidRPr="006E75A3" w:rsidRDefault="00A55467" w:rsidP="0098019E">
            <w:pPr>
              <w:spacing w:before="60" w:after="60"/>
              <w:rPr>
                <w:rFonts w:ascii="Arial" w:hAnsi="Arial" w:cs="Arial"/>
                <w:sz w:val="20"/>
                <w:szCs w:val="20"/>
              </w:rPr>
            </w:pPr>
            <w:r w:rsidRPr="006E75A3">
              <w:rPr>
                <w:rFonts w:ascii="Arial" w:hAnsi="Arial" w:cs="Arial"/>
                <w:sz w:val="20"/>
                <w:szCs w:val="20"/>
              </w:rPr>
              <w:t xml:space="preserve">those minimum requirements specified at paragraphs </w:t>
            </w:r>
            <w:r w:rsidRPr="006E75A3">
              <w:rPr>
                <w:rFonts w:ascii="Arial" w:hAnsi="Arial" w:cs="Arial"/>
                <w:sz w:val="20"/>
                <w:szCs w:val="20"/>
              </w:rPr>
              <w:fldChar w:fldCharType="begin"/>
            </w:r>
            <w:r w:rsidRPr="006E75A3">
              <w:rPr>
                <w:rFonts w:ascii="Arial" w:hAnsi="Arial" w:cs="Arial"/>
                <w:sz w:val="20"/>
                <w:szCs w:val="20"/>
              </w:rPr>
              <w:instrText xml:space="preserve"> REF _Ref455591081 \r \h  \* MERGEFORMAT </w:instrText>
            </w:r>
            <w:r w:rsidRPr="006E75A3">
              <w:rPr>
                <w:rFonts w:ascii="Arial" w:hAnsi="Arial" w:cs="Arial"/>
                <w:sz w:val="20"/>
                <w:szCs w:val="20"/>
              </w:rPr>
            </w:r>
            <w:r w:rsidRPr="006E75A3">
              <w:rPr>
                <w:rFonts w:ascii="Arial" w:hAnsi="Arial" w:cs="Arial"/>
                <w:sz w:val="20"/>
                <w:szCs w:val="20"/>
              </w:rPr>
              <w:fldChar w:fldCharType="separate"/>
            </w:r>
            <w:r w:rsidR="002953B6">
              <w:rPr>
                <w:rFonts w:ascii="Arial" w:hAnsi="Arial" w:cs="Arial"/>
                <w:sz w:val="20"/>
                <w:szCs w:val="20"/>
              </w:rPr>
              <w:t>5.1.1</w:t>
            </w:r>
            <w:r w:rsidRPr="006E75A3">
              <w:rPr>
                <w:rFonts w:ascii="Arial" w:hAnsi="Arial" w:cs="Arial"/>
                <w:sz w:val="20"/>
                <w:szCs w:val="20"/>
              </w:rPr>
              <w:fldChar w:fldCharType="end"/>
            </w:r>
            <w:r w:rsidRPr="006E75A3">
              <w:rPr>
                <w:rFonts w:ascii="Arial" w:hAnsi="Arial" w:cs="Arial"/>
                <w:sz w:val="20"/>
                <w:szCs w:val="20"/>
              </w:rPr>
              <w:t xml:space="preserve"> and </w:t>
            </w:r>
            <w:r w:rsidRPr="006E75A3">
              <w:rPr>
                <w:rFonts w:ascii="Arial" w:hAnsi="Arial" w:cs="Arial"/>
                <w:sz w:val="20"/>
                <w:szCs w:val="20"/>
              </w:rPr>
              <w:fldChar w:fldCharType="begin"/>
            </w:r>
            <w:r w:rsidRPr="006E75A3">
              <w:rPr>
                <w:rFonts w:ascii="Arial" w:hAnsi="Arial" w:cs="Arial"/>
                <w:sz w:val="20"/>
                <w:szCs w:val="20"/>
              </w:rPr>
              <w:instrText xml:space="preserve"> REF _Ref455591088 \r \h  \* MERGEFORMAT </w:instrText>
            </w:r>
            <w:r w:rsidRPr="006E75A3">
              <w:rPr>
                <w:rFonts w:ascii="Arial" w:hAnsi="Arial" w:cs="Arial"/>
                <w:sz w:val="20"/>
                <w:szCs w:val="20"/>
              </w:rPr>
            </w:r>
            <w:r w:rsidRPr="006E75A3">
              <w:rPr>
                <w:rFonts w:ascii="Arial" w:hAnsi="Arial" w:cs="Arial"/>
                <w:sz w:val="20"/>
                <w:szCs w:val="20"/>
              </w:rPr>
              <w:fldChar w:fldCharType="separate"/>
            </w:r>
            <w:r w:rsidR="002953B6">
              <w:rPr>
                <w:rFonts w:ascii="Arial" w:hAnsi="Arial" w:cs="Arial"/>
                <w:sz w:val="20"/>
                <w:szCs w:val="20"/>
              </w:rPr>
              <w:t>5.1.2</w:t>
            </w:r>
            <w:r w:rsidRPr="006E75A3">
              <w:rPr>
                <w:rFonts w:ascii="Arial" w:hAnsi="Arial" w:cs="Arial"/>
                <w:sz w:val="20"/>
                <w:szCs w:val="20"/>
              </w:rPr>
              <w:fldChar w:fldCharType="end"/>
            </w:r>
            <w:r w:rsidRPr="006E75A3">
              <w:rPr>
                <w:rFonts w:ascii="Arial" w:hAnsi="Arial" w:cs="Arial"/>
                <w:sz w:val="20"/>
                <w:szCs w:val="20"/>
              </w:rPr>
              <w:t xml:space="preserve"> of </w:t>
            </w:r>
            <w:r w:rsidR="00207C3E" w:rsidRPr="006E75A3">
              <w:rPr>
                <w:rFonts w:ascii="Arial" w:hAnsi="Arial" w:cs="Arial"/>
                <w:sz w:val="20"/>
                <w:szCs w:val="20"/>
              </w:rPr>
              <w:t xml:space="preserve">this </w:t>
            </w:r>
            <w:r w:rsidRPr="006E75A3">
              <w:rPr>
                <w:rFonts w:ascii="Arial" w:hAnsi="Arial" w:cs="Arial"/>
                <w:sz w:val="20"/>
                <w:szCs w:val="20"/>
              </w:rPr>
              <w:t>Schedule 2;</w:t>
            </w:r>
          </w:p>
        </w:tc>
      </w:tr>
      <w:tr w:rsidR="00A55467" w:rsidRPr="006E75A3" w14:paraId="580017E5" w14:textId="77777777" w:rsidTr="00100646">
        <w:trPr>
          <w:gridAfter w:val="1"/>
          <w:wAfter w:w="6" w:type="dxa"/>
        </w:trPr>
        <w:tc>
          <w:tcPr>
            <w:tcW w:w="1775" w:type="dxa"/>
            <w:tcBorders>
              <w:top w:val="single" w:sz="4" w:space="0" w:color="000000"/>
              <w:left w:val="single" w:sz="4" w:space="0" w:color="000000"/>
              <w:bottom w:val="single" w:sz="4" w:space="0" w:color="000000"/>
              <w:right w:val="single" w:sz="4" w:space="0" w:color="000000"/>
            </w:tcBorders>
          </w:tcPr>
          <w:p w14:paraId="6A77BB42" w14:textId="77777777" w:rsidR="00A55467" w:rsidRPr="00C2602D" w:rsidRDefault="00A55467" w:rsidP="0098019E">
            <w:pPr>
              <w:spacing w:before="60" w:after="60"/>
              <w:rPr>
                <w:rFonts w:ascii="Arial" w:hAnsi="Arial" w:cs="Arial"/>
                <w:sz w:val="20"/>
                <w:szCs w:val="20"/>
              </w:rPr>
            </w:pPr>
            <w:r w:rsidRPr="00C2602D">
              <w:rPr>
                <w:rFonts w:ascii="Arial" w:hAnsi="Arial" w:cs="Arial"/>
                <w:b/>
                <w:sz w:val="20"/>
                <w:szCs w:val="20"/>
              </w:rPr>
              <w:t>Moves</w:t>
            </w:r>
          </w:p>
        </w:tc>
        <w:tc>
          <w:tcPr>
            <w:tcW w:w="6304" w:type="dxa"/>
            <w:tcBorders>
              <w:top w:val="single" w:sz="4" w:space="0" w:color="000000"/>
              <w:left w:val="single" w:sz="4" w:space="0" w:color="000000"/>
              <w:bottom w:val="single" w:sz="4" w:space="0" w:color="000000"/>
              <w:right w:val="single" w:sz="4" w:space="0" w:color="000000"/>
            </w:tcBorders>
          </w:tcPr>
          <w:p w14:paraId="0E57C3D2" w14:textId="77777777" w:rsidR="00A55467" w:rsidRPr="006E75A3" w:rsidRDefault="00A55467" w:rsidP="0098019E">
            <w:pPr>
              <w:spacing w:before="60" w:after="60"/>
              <w:rPr>
                <w:rFonts w:ascii="Arial" w:hAnsi="Arial" w:cs="Arial"/>
                <w:sz w:val="20"/>
                <w:szCs w:val="20"/>
              </w:rPr>
            </w:pPr>
            <w:r w:rsidRPr="006E75A3">
              <w:rPr>
                <w:rFonts w:ascii="Arial" w:hAnsi="Arial" w:cs="Arial"/>
                <w:sz w:val="20"/>
                <w:szCs w:val="20"/>
              </w:rPr>
              <w:t>refers to an End User that requests to be moved from one RSP to another RSP and/or is moving from one home/office location to a different location;</w:t>
            </w:r>
          </w:p>
        </w:tc>
      </w:tr>
      <w:tr w:rsidR="00A55467" w:rsidRPr="006E75A3" w14:paraId="29F2C29C" w14:textId="77777777" w:rsidTr="00100646">
        <w:trPr>
          <w:gridAfter w:val="1"/>
          <w:wAfter w:w="6" w:type="dxa"/>
        </w:trPr>
        <w:tc>
          <w:tcPr>
            <w:tcW w:w="1775" w:type="dxa"/>
            <w:tcBorders>
              <w:top w:val="single" w:sz="4" w:space="0" w:color="000000"/>
              <w:left w:val="single" w:sz="4" w:space="0" w:color="000000"/>
              <w:bottom w:val="single" w:sz="4" w:space="0" w:color="000000"/>
              <w:right w:val="single" w:sz="4" w:space="0" w:color="000000"/>
            </w:tcBorders>
          </w:tcPr>
          <w:p w14:paraId="16A18668" w14:textId="77777777" w:rsidR="00A55467" w:rsidRPr="00C2602D" w:rsidRDefault="00A55467" w:rsidP="0098019E">
            <w:pPr>
              <w:spacing w:before="60" w:after="60"/>
              <w:rPr>
                <w:rFonts w:ascii="Arial" w:hAnsi="Arial" w:cs="Arial"/>
                <w:sz w:val="20"/>
                <w:szCs w:val="20"/>
              </w:rPr>
            </w:pPr>
            <w:r w:rsidRPr="00C2602D">
              <w:rPr>
                <w:rFonts w:ascii="Arial" w:hAnsi="Arial" w:cs="Arial"/>
                <w:b/>
                <w:sz w:val="20"/>
                <w:szCs w:val="20"/>
              </w:rPr>
              <w:t>National Competence Centre or NCC</w:t>
            </w:r>
          </w:p>
        </w:tc>
        <w:tc>
          <w:tcPr>
            <w:tcW w:w="6304" w:type="dxa"/>
            <w:tcBorders>
              <w:top w:val="single" w:sz="4" w:space="0" w:color="000000"/>
              <w:left w:val="single" w:sz="4" w:space="0" w:color="000000"/>
              <w:bottom w:val="single" w:sz="4" w:space="0" w:color="000000"/>
              <w:right w:val="single" w:sz="4" w:space="0" w:color="000000"/>
            </w:tcBorders>
          </w:tcPr>
          <w:p w14:paraId="4DAE11EE" w14:textId="77777777" w:rsidR="00A55467" w:rsidRPr="006E75A3" w:rsidRDefault="00A55467" w:rsidP="0098019E">
            <w:pPr>
              <w:spacing w:before="60" w:after="60"/>
              <w:rPr>
                <w:rFonts w:ascii="Arial" w:hAnsi="Arial" w:cs="Arial"/>
                <w:sz w:val="20"/>
                <w:szCs w:val="20"/>
              </w:rPr>
            </w:pPr>
            <w:r w:rsidRPr="006E75A3">
              <w:rPr>
                <w:rFonts w:ascii="Arial" w:hAnsi="Arial" w:cs="Arial"/>
                <w:sz w:val="20"/>
                <w:szCs w:val="20"/>
              </w:rPr>
              <w:t>the national competence centre established by the UK in accordance with the Commission Decision;</w:t>
            </w:r>
          </w:p>
        </w:tc>
      </w:tr>
      <w:tr w:rsidR="00A55467" w:rsidRPr="006E75A3" w14:paraId="7AC238F1" w14:textId="77777777" w:rsidTr="00100646">
        <w:trPr>
          <w:gridAfter w:val="1"/>
          <w:wAfter w:w="6" w:type="dxa"/>
        </w:trPr>
        <w:tc>
          <w:tcPr>
            <w:tcW w:w="1775" w:type="dxa"/>
            <w:tcBorders>
              <w:top w:val="single" w:sz="4" w:space="0" w:color="000000"/>
              <w:left w:val="single" w:sz="4" w:space="0" w:color="000000"/>
              <w:bottom w:val="single" w:sz="4" w:space="0" w:color="000000"/>
              <w:right w:val="single" w:sz="4" w:space="0" w:color="000000"/>
            </w:tcBorders>
          </w:tcPr>
          <w:p w14:paraId="6120AAC5" w14:textId="77777777" w:rsidR="00A55467" w:rsidRPr="00C2602D" w:rsidRDefault="00A55467" w:rsidP="0098019E">
            <w:pPr>
              <w:spacing w:before="60" w:after="60"/>
              <w:rPr>
                <w:rFonts w:ascii="Arial" w:hAnsi="Arial" w:cs="Arial"/>
                <w:sz w:val="20"/>
                <w:szCs w:val="20"/>
              </w:rPr>
            </w:pPr>
            <w:r w:rsidRPr="00C2602D">
              <w:rPr>
                <w:rFonts w:ascii="Arial" w:hAnsi="Arial" w:cs="Arial"/>
                <w:b/>
                <w:sz w:val="20"/>
                <w:szCs w:val="20"/>
              </w:rPr>
              <w:t>NGA (Next Generation Access)</w:t>
            </w:r>
          </w:p>
        </w:tc>
        <w:tc>
          <w:tcPr>
            <w:tcW w:w="6304" w:type="dxa"/>
            <w:tcBorders>
              <w:top w:val="single" w:sz="4" w:space="0" w:color="000000"/>
              <w:left w:val="single" w:sz="4" w:space="0" w:color="000000"/>
              <w:bottom w:val="single" w:sz="4" w:space="0" w:color="000000"/>
              <w:right w:val="single" w:sz="4" w:space="0" w:color="000000"/>
            </w:tcBorders>
          </w:tcPr>
          <w:p w14:paraId="3D442813" w14:textId="77777777" w:rsidR="00A55467" w:rsidRPr="006E75A3" w:rsidRDefault="00A55467" w:rsidP="0098019E">
            <w:pPr>
              <w:spacing w:before="60" w:after="60"/>
              <w:rPr>
                <w:rFonts w:ascii="Arial" w:hAnsi="Arial" w:cs="Arial"/>
                <w:sz w:val="20"/>
                <w:szCs w:val="20"/>
              </w:rPr>
            </w:pPr>
            <w:r w:rsidRPr="006E75A3">
              <w:rPr>
                <w:rFonts w:ascii="Arial" w:hAnsi="Arial" w:cs="Arial"/>
                <w:sz w:val="20"/>
                <w:szCs w:val="20"/>
              </w:rPr>
              <w:t>networks that have the following characteristics: (i) deliver services reliably at a very high speed per subscriber through optical (or equivalent technology) backhaul sufficiently close to user premises to guarantee the actual delivery of the very high speed; (ii) support a variety of advanced digital services including converged all-IP services; and (iii) have substantially higher upload speeds (compared to basic broadband networks).  In this context NGA broadband networks must be capable of delivering access line speeds of at least 30 Mbps;</w:t>
            </w:r>
          </w:p>
        </w:tc>
      </w:tr>
      <w:tr w:rsidR="00A55467" w:rsidRPr="006E75A3" w14:paraId="7D550C2F" w14:textId="77777777" w:rsidTr="00100646">
        <w:trPr>
          <w:gridAfter w:val="1"/>
          <w:wAfter w:w="6" w:type="dxa"/>
        </w:trPr>
        <w:tc>
          <w:tcPr>
            <w:tcW w:w="1775" w:type="dxa"/>
            <w:tcBorders>
              <w:top w:val="single" w:sz="4" w:space="0" w:color="000000"/>
              <w:left w:val="single" w:sz="4" w:space="0" w:color="000000"/>
              <w:bottom w:val="single" w:sz="4" w:space="0" w:color="000000"/>
              <w:right w:val="single" w:sz="4" w:space="0" w:color="000000"/>
            </w:tcBorders>
          </w:tcPr>
          <w:p w14:paraId="080F5FCE" w14:textId="77777777" w:rsidR="00A55467" w:rsidRPr="00C2602D" w:rsidRDefault="00A55467" w:rsidP="0098019E">
            <w:pPr>
              <w:spacing w:before="60" w:after="60"/>
              <w:rPr>
                <w:rFonts w:ascii="Arial" w:hAnsi="Arial" w:cs="Arial"/>
                <w:sz w:val="20"/>
                <w:szCs w:val="20"/>
              </w:rPr>
            </w:pPr>
            <w:r w:rsidRPr="00C2602D">
              <w:rPr>
                <w:rFonts w:ascii="Arial" w:hAnsi="Arial" w:cs="Arial"/>
                <w:b/>
                <w:sz w:val="20"/>
                <w:szCs w:val="20"/>
              </w:rPr>
              <w:t>NICC</w:t>
            </w:r>
          </w:p>
        </w:tc>
        <w:tc>
          <w:tcPr>
            <w:tcW w:w="6304" w:type="dxa"/>
            <w:tcBorders>
              <w:top w:val="single" w:sz="4" w:space="0" w:color="000000"/>
              <w:left w:val="single" w:sz="4" w:space="0" w:color="000000"/>
              <w:bottom w:val="single" w:sz="4" w:space="0" w:color="000000"/>
              <w:right w:val="single" w:sz="4" w:space="0" w:color="000000"/>
            </w:tcBorders>
          </w:tcPr>
          <w:p w14:paraId="50DB04D4" w14:textId="77777777" w:rsidR="00A55467" w:rsidRPr="006E75A3" w:rsidRDefault="00A55467" w:rsidP="0098019E">
            <w:pPr>
              <w:spacing w:before="60" w:after="60"/>
              <w:rPr>
                <w:rFonts w:ascii="Arial" w:hAnsi="Arial" w:cs="Arial"/>
                <w:sz w:val="20"/>
                <w:szCs w:val="20"/>
              </w:rPr>
            </w:pPr>
            <w:r w:rsidRPr="006E75A3">
              <w:rPr>
                <w:rFonts w:ascii="Arial" w:hAnsi="Arial" w:cs="Arial"/>
                <w:sz w:val="20"/>
                <w:szCs w:val="20"/>
              </w:rPr>
              <w:t>NICC Standards Limited, being</w:t>
            </w:r>
            <w:r w:rsidRPr="006E75A3">
              <w:rPr>
                <w:rFonts w:ascii="Arial" w:hAnsi="Arial" w:cs="Arial"/>
                <w:color w:val="666666"/>
                <w:sz w:val="20"/>
                <w:szCs w:val="20"/>
              </w:rPr>
              <w:t xml:space="preserve"> </w:t>
            </w:r>
            <w:r w:rsidRPr="006E75A3">
              <w:rPr>
                <w:rFonts w:ascii="Arial" w:hAnsi="Arial" w:cs="Arial"/>
                <w:sz w:val="20"/>
                <w:szCs w:val="20"/>
              </w:rPr>
              <w:t>a technical forum for the UK communications sector that develops interoperability standards for public communications networks and services in the UK.  It is an independent organisation owned and run by its members;</w:t>
            </w:r>
          </w:p>
        </w:tc>
      </w:tr>
      <w:tr w:rsidR="00A55467" w:rsidRPr="006E75A3" w14:paraId="1E60444E" w14:textId="77777777" w:rsidTr="00100646">
        <w:trPr>
          <w:gridAfter w:val="1"/>
          <w:wAfter w:w="6" w:type="dxa"/>
        </w:trPr>
        <w:tc>
          <w:tcPr>
            <w:tcW w:w="1775" w:type="dxa"/>
            <w:tcBorders>
              <w:top w:val="single" w:sz="4" w:space="0" w:color="000000"/>
              <w:left w:val="single" w:sz="4" w:space="0" w:color="000000"/>
              <w:bottom w:val="single" w:sz="4" w:space="0" w:color="000000"/>
              <w:right w:val="single" w:sz="4" w:space="0" w:color="000000"/>
            </w:tcBorders>
          </w:tcPr>
          <w:p w14:paraId="42C158BE" w14:textId="77777777" w:rsidR="00A55467" w:rsidRPr="00C2602D" w:rsidRDefault="00A55467" w:rsidP="0098019E">
            <w:pPr>
              <w:spacing w:before="60" w:after="60"/>
              <w:rPr>
                <w:rFonts w:ascii="Arial" w:hAnsi="Arial" w:cs="Arial"/>
                <w:sz w:val="20"/>
                <w:szCs w:val="20"/>
              </w:rPr>
            </w:pPr>
            <w:r w:rsidRPr="00C2602D">
              <w:rPr>
                <w:rFonts w:ascii="Arial" w:hAnsi="Arial" w:cs="Arial"/>
                <w:b/>
                <w:sz w:val="20"/>
                <w:szCs w:val="20"/>
              </w:rPr>
              <w:lastRenderedPageBreak/>
              <w:t>NICC ALA Specifications</w:t>
            </w:r>
          </w:p>
        </w:tc>
        <w:tc>
          <w:tcPr>
            <w:tcW w:w="6304" w:type="dxa"/>
            <w:tcBorders>
              <w:top w:val="single" w:sz="4" w:space="0" w:color="000000"/>
              <w:left w:val="single" w:sz="4" w:space="0" w:color="000000"/>
              <w:bottom w:val="single" w:sz="4" w:space="0" w:color="000000"/>
              <w:right w:val="single" w:sz="4" w:space="0" w:color="000000"/>
            </w:tcBorders>
          </w:tcPr>
          <w:p w14:paraId="0E7639A2" w14:textId="77777777" w:rsidR="00A55467" w:rsidRPr="006E75A3" w:rsidRDefault="00A55467" w:rsidP="0098019E">
            <w:pPr>
              <w:spacing w:before="60" w:after="60"/>
              <w:rPr>
                <w:rFonts w:ascii="Arial" w:hAnsi="Arial" w:cs="Arial"/>
                <w:sz w:val="20"/>
                <w:szCs w:val="20"/>
              </w:rPr>
            </w:pPr>
            <w:r w:rsidRPr="006E75A3">
              <w:rPr>
                <w:rFonts w:ascii="Arial" w:hAnsi="Arial" w:cs="Arial"/>
                <w:sz w:val="20"/>
                <w:szCs w:val="20"/>
              </w:rPr>
              <w:t>[1] ND1030 Ethernet ALA Service Definition</w:t>
            </w:r>
          </w:p>
          <w:p w14:paraId="688DAFB3" w14:textId="77777777" w:rsidR="00A55467" w:rsidRPr="006E75A3" w:rsidRDefault="00A55467" w:rsidP="0098019E">
            <w:pPr>
              <w:spacing w:before="60" w:after="60"/>
              <w:rPr>
                <w:rFonts w:ascii="Arial" w:hAnsi="Arial" w:cs="Arial"/>
                <w:sz w:val="20"/>
                <w:szCs w:val="20"/>
              </w:rPr>
            </w:pPr>
            <w:r w:rsidRPr="006E75A3">
              <w:rPr>
                <w:rFonts w:ascii="Arial" w:hAnsi="Arial" w:cs="Arial"/>
                <w:sz w:val="20"/>
                <w:szCs w:val="20"/>
              </w:rPr>
              <w:t>[2] ND1031 ALA UNI Specification</w:t>
            </w:r>
          </w:p>
          <w:p w14:paraId="1E9A5A8B" w14:textId="77777777" w:rsidR="00A55467" w:rsidRPr="006E75A3" w:rsidRDefault="00A55467" w:rsidP="0098019E">
            <w:pPr>
              <w:spacing w:before="60" w:after="60"/>
              <w:rPr>
                <w:rFonts w:ascii="Arial" w:hAnsi="Arial" w:cs="Arial"/>
                <w:sz w:val="20"/>
                <w:szCs w:val="20"/>
              </w:rPr>
            </w:pPr>
            <w:r w:rsidRPr="006E75A3">
              <w:rPr>
                <w:rFonts w:ascii="Arial" w:hAnsi="Arial" w:cs="Arial"/>
                <w:sz w:val="20"/>
                <w:szCs w:val="20"/>
              </w:rPr>
              <w:t>[3] ND1036 ALA NNI Specification</w:t>
            </w:r>
          </w:p>
          <w:p w14:paraId="22904B48" w14:textId="77777777" w:rsidR="00A55467" w:rsidRPr="006E75A3" w:rsidRDefault="00A55467" w:rsidP="0098019E">
            <w:pPr>
              <w:spacing w:before="60" w:after="60"/>
              <w:rPr>
                <w:rFonts w:ascii="Arial" w:hAnsi="Arial" w:cs="Arial"/>
                <w:sz w:val="20"/>
                <w:szCs w:val="20"/>
              </w:rPr>
            </w:pPr>
            <w:r w:rsidRPr="006E75A3">
              <w:rPr>
                <w:rFonts w:ascii="Arial" w:hAnsi="Arial" w:cs="Arial"/>
                <w:sz w:val="20"/>
                <w:szCs w:val="20"/>
              </w:rPr>
              <w:t>[4] ND1642 Requirements for Ethernet Interconnect and Ethernet ALA</w:t>
            </w:r>
          </w:p>
          <w:p w14:paraId="14A4D942" w14:textId="77777777" w:rsidR="00A55467" w:rsidRPr="006E75A3" w:rsidRDefault="00A55467" w:rsidP="0098019E">
            <w:pPr>
              <w:spacing w:before="60" w:after="60"/>
              <w:rPr>
                <w:rFonts w:ascii="Arial" w:hAnsi="Arial" w:cs="Arial"/>
                <w:sz w:val="20"/>
                <w:szCs w:val="20"/>
              </w:rPr>
            </w:pPr>
            <w:r w:rsidRPr="006E75A3">
              <w:rPr>
                <w:rFonts w:ascii="Arial" w:hAnsi="Arial" w:cs="Arial"/>
                <w:sz w:val="20"/>
                <w:szCs w:val="20"/>
              </w:rPr>
              <w:t xml:space="preserve">[5] ND 1644 </w:t>
            </w:r>
            <w:hyperlink r:id="rId9">
              <w:r w:rsidRPr="006E75A3">
                <w:rPr>
                  <w:rFonts w:ascii="Arial" w:hAnsi="Arial" w:cs="Arial"/>
                  <w:sz w:val="20"/>
                  <w:szCs w:val="20"/>
                </w:rPr>
                <w:t>Architecture for Ethernet Active Line Access (ALA)</w:t>
              </w:r>
            </w:hyperlink>
          </w:p>
          <w:p w14:paraId="132F7320" w14:textId="77777777" w:rsidR="00A55467" w:rsidRPr="006E75A3" w:rsidRDefault="00A55467" w:rsidP="0098019E">
            <w:pPr>
              <w:spacing w:before="60" w:after="60"/>
              <w:rPr>
                <w:rFonts w:ascii="Arial" w:hAnsi="Arial" w:cs="Arial"/>
                <w:sz w:val="20"/>
                <w:szCs w:val="20"/>
              </w:rPr>
            </w:pPr>
            <w:r w:rsidRPr="006E75A3">
              <w:rPr>
                <w:rFonts w:ascii="Arial" w:hAnsi="Arial" w:cs="Arial"/>
                <w:sz w:val="20"/>
                <w:szCs w:val="20"/>
              </w:rPr>
              <w:t xml:space="preserve">[6] ND 1704 </w:t>
            </w:r>
            <w:hyperlink r:id="rId10">
              <w:r w:rsidRPr="006E75A3">
                <w:rPr>
                  <w:rFonts w:ascii="Arial" w:hAnsi="Arial" w:cs="Arial"/>
                  <w:sz w:val="20"/>
                  <w:szCs w:val="20"/>
                </w:rPr>
                <w:t>End to End Network Performance Rules and Objectives for the Interconnect of NGNs</w:t>
              </w:r>
            </w:hyperlink>
            <w:r w:rsidRPr="006E75A3">
              <w:rPr>
                <w:rFonts w:ascii="Arial" w:hAnsi="Arial" w:cs="Arial"/>
                <w:sz w:val="20"/>
                <w:szCs w:val="20"/>
              </w:rPr>
              <w:t>;</w:t>
            </w:r>
          </w:p>
        </w:tc>
      </w:tr>
      <w:tr w:rsidR="00A55467" w:rsidRPr="006E75A3" w14:paraId="375585F8" w14:textId="77777777" w:rsidTr="00100646">
        <w:trPr>
          <w:gridAfter w:val="1"/>
          <w:wAfter w:w="6" w:type="dxa"/>
        </w:trPr>
        <w:tc>
          <w:tcPr>
            <w:tcW w:w="1775" w:type="dxa"/>
            <w:tcBorders>
              <w:top w:val="single" w:sz="4" w:space="0" w:color="000000"/>
              <w:left w:val="single" w:sz="4" w:space="0" w:color="000000"/>
              <w:bottom w:val="single" w:sz="4" w:space="0" w:color="000000"/>
              <w:right w:val="single" w:sz="4" w:space="0" w:color="000000"/>
            </w:tcBorders>
          </w:tcPr>
          <w:p w14:paraId="6E292838" w14:textId="77777777" w:rsidR="00A55467" w:rsidRPr="00C2602D" w:rsidRDefault="00A55467" w:rsidP="0098019E">
            <w:pPr>
              <w:spacing w:before="60" w:after="60"/>
              <w:rPr>
                <w:rFonts w:ascii="Arial" w:hAnsi="Arial" w:cs="Arial"/>
                <w:sz w:val="20"/>
                <w:szCs w:val="20"/>
              </w:rPr>
            </w:pPr>
            <w:r w:rsidRPr="00C2602D">
              <w:rPr>
                <w:rFonts w:ascii="Arial" w:hAnsi="Arial" w:cs="Arial"/>
                <w:b/>
                <w:sz w:val="20"/>
                <w:szCs w:val="20"/>
              </w:rPr>
              <w:t>NICC B2B Specifications</w:t>
            </w:r>
          </w:p>
        </w:tc>
        <w:tc>
          <w:tcPr>
            <w:tcW w:w="6304" w:type="dxa"/>
            <w:tcBorders>
              <w:top w:val="single" w:sz="4" w:space="0" w:color="000000"/>
              <w:left w:val="single" w:sz="4" w:space="0" w:color="000000"/>
              <w:bottom w:val="single" w:sz="4" w:space="0" w:color="000000"/>
              <w:right w:val="single" w:sz="4" w:space="0" w:color="000000"/>
            </w:tcBorders>
          </w:tcPr>
          <w:p w14:paraId="3BF8DBEA" w14:textId="77777777" w:rsidR="00A55467" w:rsidRPr="006E75A3" w:rsidRDefault="00A55467" w:rsidP="0098019E">
            <w:pPr>
              <w:spacing w:before="60" w:after="60"/>
              <w:rPr>
                <w:rFonts w:ascii="Arial" w:hAnsi="Arial" w:cs="Arial"/>
                <w:sz w:val="20"/>
                <w:szCs w:val="20"/>
              </w:rPr>
            </w:pPr>
            <w:r w:rsidRPr="006E75A3">
              <w:rPr>
                <w:rFonts w:ascii="Arial" w:hAnsi="Arial" w:cs="Arial"/>
                <w:sz w:val="20"/>
                <w:szCs w:val="20"/>
              </w:rPr>
              <w:t xml:space="preserve">[1] ND 1421 </w:t>
            </w:r>
            <w:hyperlink r:id="rId11">
              <w:r w:rsidRPr="006E75A3">
                <w:rPr>
                  <w:rFonts w:ascii="Arial" w:hAnsi="Arial" w:cs="Arial"/>
                  <w:sz w:val="20"/>
                  <w:szCs w:val="20"/>
                </w:rPr>
                <w:t>NICC B2B User Story Approach</w:t>
              </w:r>
            </w:hyperlink>
          </w:p>
          <w:p w14:paraId="55196551" w14:textId="77777777" w:rsidR="00A55467" w:rsidRPr="006E75A3" w:rsidRDefault="00A55467" w:rsidP="0098019E">
            <w:pPr>
              <w:spacing w:before="60" w:after="60"/>
              <w:rPr>
                <w:rFonts w:ascii="Arial" w:hAnsi="Arial" w:cs="Arial"/>
                <w:sz w:val="20"/>
                <w:szCs w:val="20"/>
              </w:rPr>
            </w:pPr>
            <w:r w:rsidRPr="006E75A3">
              <w:rPr>
                <w:rFonts w:ascii="Arial" w:hAnsi="Arial" w:cs="Arial"/>
                <w:sz w:val="20"/>
                <w:szCs w:val="20"/>
              </w:rPr>
              <w:t xml:space="preserve">[2] ND 1422 </w:t>
            </w:r>
            <w:hyperlink r:id="rId12">
              <w:r w:rsidRPr="006E75A3">
                <w:rPr>
                  <w:rFonts w:ascii="Arial" w:hAnsi="Arial" w:cs="Arial"/>
                  <w:sz w:val="20"/>
                  <w:szCs w:val="20"/>
                </w:rPr>
                <w:t>NICC B2B Best Practice</w:t>
              </w:r>
            </w:hyperlink>
          </w:p>
          <w:p w14:paraId="4A50AEF0" w14:textId="77777777" w:rsidR="00A55467" w:rsidRPr="006E75A3" w:rsidRDefault="00A55467" w:rsidP="0098019E">
            <w:pPr>
              <w:spacing w:before="60" w:after="60"/>
              <w:rPr>
                <w:rFonts w:ascii="Arial" w:hAnsi="Arial" w:cs="Arial"/>
                <w:sz w:val="20"/>
                <w:szCs w:val="20"/>
              </w:rPr>
            </w:pPr>
            <w:r w:rsidRPr="006E75A3">
              <w:rPr>
                <w:rFonts w:ascii="Arial" w:hAnsi="Arial" w:cs="Arial"/>
                <w:sz w:val="20"/>
                <w:szCs w:val="20"/>
              </w:rPr>
              <w:t xml:space="preserve">[3] ND1427 </w:t>
            </w:r>
            <w:hyperlink r:id="rId13">
              <w:r w:rsidRPr="006E75A3">
                <w:rPr>
                  <w:rFonts w:ascii="Arial" w:hAnsi="Arial" w:cs="Arial"/>
                  <w:sz w:val="20"/>
                  <w:szCs w:val="20"/>
                </w:rPr>
                <w:t>B2B Location &amp; Address Identification Principles</w:t>
              </w:r>
            </w:hyperlink>
          </w:p>
          <w:p w14:paraId="14541737" w14:textId="77777777" w:rsidR="00A55467" w:rsidRPr="006E75A3" w:rsidRDefault="00A55467" w:rsidP="0098019E">
            <w:pPr>
              <w:spacing w:before="60" w:after="60"/>
              <w:rPr>
                <w:rFonts w:ascii="Arial" w:hAnsi="Arial" w:cs="Arial"/>
                <w:sz w:val="20"/>
                <w:szCs w:val="20"/>
              </w:rPr>
            </w:pPr>
            <w:r w:rsidRPr="006E75A3">
              <w:rPr>
                <w:rFonts w:ascii="Arial" w:hAnsi="Arial" w:cs="Arial"/>
                <w:sz w:val="20"/>
                <w:szCs w:val="20"/>
              </w:rPr>
              <w:t xml:space="preserve">[4] ND 1429 </w:t>
            </w:r>
            <w:hyperlink r:id="rId14">
              <w:r w:rsidRPr="006E75A3">
                <w:rPr>
                  <w:rFonts w:ascii="Arial" w:hAnsi="Arial" w:cs="Arial"/>
                  <w:sz w:val="20"/>
                  <w:szCs w:val="20"/>
                </w:rPr>
                <w:t>Guidelines on Tools for Structuring B2B Specifications</w:t>
              </w:r>
            </w:hyperlink>
          </w:p>
          <w:p w14:paraId="790B4D47" w14:textId="77777777" w:rsidR="00A55467" w:rsidRPr="006E75A3" w:rsidRDefault="00A55467" w:rsidP="0098019E">
            <w:pPr>
              <w:spacing w:before="60" w:after="60"/>
              <w:rPr>
                <w:rFonts w:ascii="Arial" w:hAnsi="Arial" w:cs="Arial"/>
                <w:sz w:val="20"/>
                <w:szCs w:val="20"/>
              </w:rPr>
            </w:pPr>
            <w:r w:rsidRPr="006E75A3">
              <w:rPr>
                <w:rFonts w:ascii="Arial" w:hAnsi="Arial" w:cs="Arial"/>
                <w:sz w:val="20"/>
                <w:szCs w:val="20"/>
              </w:rPr>
              <w:t xml:space="preserve">[5] ND 1430 </w:t>
            </w:r>
            <w:hyperlink r:id="rId15">
              <w:r w:rsidRPr="006E75A3">
                <w:rPr>
                  <w:rFonts w:ascii="Arial" w:hAnsi="Arial" w:cs="Arial"/>
                  <w:sz w:val="20"/>
                  <w:szCs w:val="20"/>
                </w:rPr>
                <w:t>B2B Designers and Developers Guide</w:t>
              </w:r>
            </w:hyperlink>
          </w:p>
          <w:p w14:paraId="41A094C1" w14:textId="77777777" w:rsidR="00A55467" w:rsidRPr="006E75A3" w:rsidRDefault="00A55467" w:rsidP="0098019E">
            <w:pPr>
              <w:spacing w:before="60" w:after="60"/>
              <w:rPr>
                <w:rFonts w:ascii="Arial" w:hAnsi="Arial" w:cs="Arial"/>
                <w:sz w:val="20"/>
                <w:szCs w:val="20"/>
              </w:rPr>
            </w:pPr>
            <w:r w:rsidRPr="006E75A3">
              <w:rPr>
                <w:rFonts w:ascii="Arial" w:hAnsi="Arial" w:cs="Arial"/>
                <w:sz w:val="20"/>
                <w:szCs w:val="20"/>
              </w:rPr>
              <w:t xml:space="preserve">[6] ND 1507 </w:t>
            </w:r>
            <w:hyperlink r:id="rId16">
              <w:r w:rsidRPr="006E75A3">
                <w:rPr>
                  <w:rFonts w:ascii="Arial" w:hAnsi="Arial" w:cs="Arial"/>
                  <w:sz w:val="20"/>
                  <w:szCs w:val="20"/>
                </w:rPr>
                <w:t>NICC B2B Interface Framework Document</w:t>
              </w:r>
            </w:hyperlink>
          </w:p>
          <w:p w14:paraId="4877829C" w14:textId="77777777" w:rsidR="00A55467" w:rsidRPr="006E75A3" w:rsidRDefault="00A55467" w:rsidP="0098019E">
            <w:pPr>
              <w:spacing w:before="60" w:after="60"/>
              <w:rPr>
                <w:rFonts w:ascii="Arial" w:hAnsi="Arial" w:cs="Arial"/>
                <w:sz w:val="20"/>
                <w:szCs w:val="20"/>
              </w:rPr>
            </w:pPr>
            <w:r w:rsidRPr="006E75A3">
              <w:rPr>
                <w:rFonts w:ascii="Arial" w:hAnsi="Arial" w:cs="Arial"/>
                <w:sz w:val="20"/>
                <w:szCs w:val="20"/>
              </w:rPr>
              <w:t xml:space="preserve">[7] ND 1508 </w:t>
            </w:r>
            <w:hyperlink r:id="rId17">
              <w:r w:rsidRPr="006E75A3">
                <w:rPr>
                  <w:rFonts w:ascii="Arial" w:hAnsi="Arial" w:cs="Arial"/>
                  <w:sz w:val="20"/>
                  <w:szCs w:val="20"/>
                </w:rPr>
                <w:t>Trouble</w:t>
              </w:r>
              <w:r w:rsidR="00207C3E" w:rsidRPr="006E75A3">
                <w:rPr>
                  <w:rFonts w:ascii="Arial" w:hAnsi="Arial" w:cs="Arial"/>
                  <w:sz w:val="20"/>
                  <w:szCs w:val="20"/>
                </w:rPr>
                <w:t>-</w:t>
              </w:r>
              <w:r w:rsidRPr="006E75A3">
                <w:rPr>
                  <w:rFonts w:ascii="Arial" w:hAnsi="Arial" w:cs="Arial"/>
                  <w:sz w:val="20"/>
                  <w:szCs w:val="20"/>
                </w:rPr>
                <w:t>To</w:t>
              </w:r>
              <w:r w:rsidR="00207C3E" w:rsidRPr="006E75A3">
                <w:rPr>
                  <w:rFonts w:ascii="Arial" w:hAnsi="Arial" w:cs="Arial"/>
                  <w:sz w:val="20"/>
                  <w:szCs w:val="20"/>
                </w:rPr>
                <w:t>-</w:t>
              </w:r>
              <w:r w:rsidRPr="006E75A3">
                <w:rPr>
                  <w:rFonts w:ascii="Arial" w:hAnsi="Arial" w:cs="Arial"/>
                  <w:sz w:val="20"/>
                  <w:szCs w:val="20"/>
                </w:rPr>
                <w:t>Resolve (T2R) white paper proposal</w:t>
              </w:r>
            </w:hyperlink>
          </w:p>
          <w:p w14:paraId="2BDA73FD" w14:textId="77777777" w:rsidR="00A55467" w:rsidRPr="006E75A3" w:rsidRDefault="00A55467" w:rsidP="0098019E">
            <w:pPr>
              <w:spacing w:before="60" w:after="60"/>
              <w:rPr>
                <w:rFonts w:ascii="Arial" w:hAnsi="Arial" w:cs="Arial"/>
                <w:sz w:val="20"/>
                <w:szCs w:val="20"/>
              </w:rPr>
            </w:pPr>
            <w:r w:rsidRPr="006E75A3">
              <w:rPr>
                <w:rFonts w:ascii="Arial" w:hAnsi="Arial" w:cs="Arial"/>
                <w:sz w:val="20"/>
                <w:szCs w:val="20"/>
              </w:rPr>
              <w:t xml:space="preserve">[8] ND 1509 </w:t>
            </w:r>
            <w:hyperlink r:id="rId18">
              <w:r w:rsidRPr="006E75A3">
                <w:rPr>
                  <w:rFonts w:ascii="Arial" w:hAnsi="Arial" w:cs="Arial"/>
                  <w:sz w:val="20"/>
                  <w:szCs w:val="20"/>
                </w:rPr>
                <w:t>B2B Trouble-To-Resolve (T2R) International Gap Analysis</w:t>
              </w:r>
            </w:hyperlink>
          </w:p>
          <w:p w14:paraId="76A0782A" w14:textId="77777777" w:rsidR="00A55467" w:rsidRPr="006E75A3" w:rsidRDefault="00A55467" w:rsidP="0098019E">
            <w:pPr>
              <w:spacing w:before="60" w:after="60"/>
              <w:rPr>
                <w:rFonts w:ascii="Arial" w:hAnsi="Arial" w:cs="Arial"/>
                <w:sz w:val="20"/>
                <w:szCs w:val="20"/>
              </w:rPr>
            </w:pPr>
            <w:r w:rsidRPr="006E75A3">
              <w:rPr>
                <w:rFonts w:ascii="Arial" w:hAnsi="Arial" w:cs="Arial"/>
                <w:sz w:val="20"/>
                <w:szCs w:val="20"/>
              </w:rPr>
              <w:t xml:space="preserve">[9] ND 1510 </w:t>
            </w:r>
            <w:hyperlink r:id="rId19">
              <w:r w:rsidRPr="006E75A3">
                <w:rPr>
                  <w:rFonts w:ascii="Arial" w:hAnsi="Arial" w:cs="Arial"/>
                  <w:sz w:val="20"/>
                  <w:szCs w:val="20"/>
                </w:rPr>
                <w:t>Lead-To-Cash (L2C) White Paper Proposal</w:t>
              </w:r>
            </w:hyperlink>
          </w:p>
          <w:p w14:paraId="052ED980" w14:textId="77777777" w:rsidR="00A55467" w:rsidRPr="006E75A3" w:rsidRDefault="00A55467" w:rsidP="0098019E">
            <w:pPr>
              <w:spacing w:before="60" w:after="60"/>
              <w:rPr>
                <w:rFonts w:ascii="Arial" w:hAnsi="Arial" w:cs="Arial"/>
                <w:sz w:val="20"/>
                <w:szCs w:val="20"/>
              </w:rPr>
            </w:pPr>
            <w:r w:rsidRPr="006E75A3">
              <w:rPr>
                <w:rFonts w:ascii="Arial" w:hAnsi="Arial" w:cs="Arial"/>
                <w:sz w:val="20"/>
                <w:szCs w:val="20"/>
              </w:rPr>
              <w:t xml:space="preserve">[10] ND 1617 </w:t>
            </w:r>
            <w:hyperlink r:id="rId20">
              <w:r w:rsidRPr="006E75A3">
                <w:rPr>
                  <w:rFonts w:ascii="Arial" w:hAnsi="Arial" w:cs="Arial"/>
                  <w:sz w:val="20"/>
                  <w:szCs w:val="20"/>
                </w:rPr>
                <w:t>Automated Business to Business (B2B</w:t>
              </w:r>
              <w:r w:rsidR="00395092" w:rsidRPr="006E75A3">
                <w:rPr>
                  <w:rFonts w:ascii="Arial" w:hAnsi="Arial" w:cs="Arial"/>
                  <w:sz w:val="20"/>
                  <w:szCs w:val="20"/>
                </w:rPr>
                <w:t>)</w:t>
              </w:r>
              <w:r w:rsidRPr="006E75A3">
                <w:rPr>
                  <w:rFonts w:ascii="Arial" w:hAnsi="Arial" w:cs="Arial"/>
                  <w:sz w:val="20"/>
                  <w:szCs w:val="20"/>
                </w:rPr>
                <w:t xml:space="preserve"> Transactions: Architecture and Principles</w:t>
              </w:r>
            </w:hyperlink>
          </w:p>
          <w:p w14:paraId="715AA8E3" w14:textId="77777777" w:rsidR="00A55467" w:rsidRPr="006E75A3" w:rsidRDefault="00A55467" w:rsidP="0098019E">
            <w:pPr>
              <w:spacing w:before="60" w:after="60"/>
              <w:rPr>
                <w:rFonts w:ascii="Arial" w:hAnsi="Arial" w:cs="Arial"/>
                <w:sz w:val="20"/>
                <w:szCs w:val="20"/>
              </w:rPr>
            </w:pPr>
            <w:r w:rsidRPr="006E75A3">
              <w:rPr>
                <w:rFonts w:ascii="Arial" w:hAnsi="Arial" w:cs="Arial"/>
                <w:sz w:val="20"/>
                <w:szCs w:val="20"/>
              </w:rPr>
              <w:t xml:space="preserve">[11] ND 1618 </w:t>
            </w:r>
            <w:hyperlink r:id="rId21">
              <w:r w:rsidRPr="006E75A3">
                <w:rPr>
                  <w:rFonts w:ascii="Arial" w:hAnsi="Arial" w:cs="Arial"/>
                  <w:sz w:val="20"/>
                  <w:szCs w:val="20"/>
                </w:rPr>
                <w:t>Profile for ebXML Messaging Service 2.0 Gateways</w:t>
              </w:r>
            </w:hyperlink>
          </w:p>
          <w:p w14:paraId="3E0DFECE" w14:textId="77777777" w:rsidR="00A55467" w:rsidRPr="006E75A3" w:rsidRDefault="00A55467" w:rsidP="0098019E">
            <w:pPr>
              <w:spacing w:before="60" w:after="60"/>
              <w:rPr>
                <w:rFonts w:ascii="Arial" w:hAnsi="Arial" w:cs="Arial"/>
                <w:sz w:val="20"/>
                <w:szCs w:val="20"/>
              </w:rPr>
            </w:pPr>
            <w:r w:rsidRPr="006E75A3">
              <w:rPr>
                <w:rFonts w:ascii="Arial" w:hAnsi="Arial" w:cs="Arial"/>
                <w:sz w:val="20"/>
                <w:szCs w:val="20"/>
              </w:rPr>
              <w:t xml:space="preserve">[12] ND 1622 </w:t>
            </w:r>
            <w:hyperlink r:id="rId22">
              <w:r w:rsidRPr="006E75A3">
                <w:rPr>
                  <w:rFonts w:ascii="Arial" w:hAnsi="Arial" w:cs="Arial"/>
                  <w:sz w:val="20"/>
                  <w:szCs w:val="20"/>
                </w:rPr>
                <w:t>NICC B2B Interface Requirements Document</w:t>
              </w:r>
            </w:hyperlink>
          </w:p>
          <w:p w14:paraId="39F505DE" w14:textId="77777777" w:rsidR="00A55467" w:rsidRPr="006E75A3" w:rsidRDefault="00A55467" w:rsidP="0098019E">
            <w:pPr>
              <w:spacing w:before="60" w:after="60"/>
              <w:rPr>
                <w:rFonts w:ascii="Arial" w:hAnsi="Arial" w:cs="Arial"/>
                <w:sz w:val="20"/>
                <w:szCs w:val="20"/>
              </w:rPr>
            </w:pPr>
            <w:r w:rsidRPr="006E75A3">
              <w:rPr>
                <w:rFonts w:ascii="Arial" w:hAnsi="Arial" w:cs="Arial"/>
                <w:sz w:val="20"/>
                <w:szCs w:val="20"/>
              </w:rPr>
              <w:t xml:space="preserve">[13] ND 1623 </w:t>
            </w:r>
            <w:hyperlink r:id="rId23">
              <w:r w:rsidRPr="006E75A3">
                <w:rPr>
                  <w:rFonts w:ascii="Arial" w:hAnsi="Arial" w:cs="Arial"/>
                  <w:sz w:val="20"/>
                  <w:szCs w:val="20"/>
                </w:rPr>
                <w:t>B2B Trouble-To-Resolve (T2R) User Story Requirements</w:t>
              </w:r>
            </w:hyperlink>
          </w:p>
          <w:p w14:paraId="07EEF81C" w14:textId="77777777" w:rsidR="00A55467" w:rsidRPr="006E75A3" w:rsidRDefault="00A55467" w:rsidP="0098019E">
            <w:pPr>
              <w:spacing w:before="60" w:after="60"/>
              <w:rPr>
                <w:rFonts w:ascii="Arial" w:hAnsi="Arial" w:cs="Arial"/>
                <w:sz w:val="20"/>
                <w:szCs w:val="20"/>
              </w:rPr>
            </w:pPr>
            <w:r w:rsidRPr="006E75A3">
              <w:rPr>
                <w:rFonts w:ascii="Arial" w:hAnsi="Arial" w:cs="Arial"/>
                <w:sz w:val="20"/>
                <w:szCs w:val="20"/>
              </w:rPr>
              <w:t xml:space="preserve">[14] ND1624 </w:t>
            </w:r>
            <w:hyperlink r:id="rId24">
              <w:r w:rsidRPr="006E75A3">
                <w:rPr>
                  <w:rFonts w:ascii="Arial" w:hAnsi="Arial" w:cs="Arial"/>
                  <w:sz w:val="20"/>
                  <w:szCs w:val="20"/>
                </w:rPr>
                <w:t>B2B Lead-to-Cash (L2C) User Story Requirements</w:t>
              </w:r>
            </w:hyperlink>
          </w:p>
          <w:p w14:paraId="75B0F135" w14:textId="77777777" w:rsidR="00A55467" w:rsidRPr="006E75A3" w:rsidRDefault="00A55467" w:rsidP="0098019E">
            <w:pPr>
              <w:spacing w:before="60" w:after="60"/>
              <w:rPr>
                <w:rFonts w:ascii="Arial" w:hAnsi="Arial" w:cs="Arial"/>
                <w:sz w:val="20"/>
                <w:szCs w:val="20"/>
              </w:rPr>
            </w:pPr>
            <w:r w:rsidRPr="006E75A3">
              <w:rPr>
                <w:rFonts w:ascii="Arial" w:hAnsi="Arial" w:cs="Arial"/>
                <w:sz w:val="20"/>
                <w:szCs w:val="20"/>
              </w:rPr>
              <w:t xml:space="preserve">[15] ND 1626 </w:t>
            </w:r>
            <w:hyperlink r:id="rId25">
              <w:r w:rsidRPr="006E75A3">
                <w:rPr>
                  <w:rFonts w:ascii="Arial" w:hAnsi="Arial" w:cs="Arial"/>
                  <w:sz w:val="20"/>
                  <w:szCs w:val="20"/>
                </w:rPr>
                <w:t>NICC B2B Trouble-To-Resolve (T2R) Interface Standard</w:t>
              </w:r>
            </w:hyperlink>
          </w:p>
          <w:p w14:paraId="20227072" w14:textId="77777777" w:rsidR="00A55467" w:rsidRPr="006E75A3" w:rsidRDefault="00A55467" w:rsidP="0098019E">
            <w:pPr>
              <w:spacing w:before="60" w:after="60"/>
              <w:rPr>
                <w:rFonts w:ascii="Arial" w:hAnsi="Arial" w:cs="Arial"/>
                <w:sz w:val="20"/>
                <w:szCs w:val="20"/>
              </w:rPr>
            </w:pPr>
            <w:r w:rsidRPr="006E75A3">
              <w:rPr>
                <w:rFonts w:ascii="Arial" w:hAnsi="Arial" w:cs="Arial"/>
                <w:sz w:val="20"/>
                <w:szCs w:val="20"/>
              </w:rPr>
              <w:t>[16] ND 1627 B2B Lead-to-Cash (L2C) Interface Standard</w:t>
            </w:r>
          </w:p>
          <w:p w14:paraId="6440985C" w14:textId="77777777" w:rsidR="00A55467" w:rsidRPr="006E75A3" w:rsidRDefault="00A55467" w:rsidP="0098019E">
            <w:pPr>
              <w:spacing w:before="60" w:after="60"/>
              <w:rPr>
                <w:rFonts w:ascii="Arial" w:hAnsi="Arial" w:cs="Arial"/>
                <w:sz w:val="20"/>
                <w:szCs w:val="20"/>
              </w:rPr>
            </w:pPr>
            <w:r w:rsidRPr="006E75A3">
              <w:rPr>
                <w:rFonts w:ascii="Arial" w:hAnsi="Arial" w:cs="Arial"/>
                <w:sz w:val="20"/>
                <w:szCs w:val="20"/>
              </w:rPr>
              <w:t xml:space="preserve">[17] ND 1637 </w:t>
            </w:r>
            <w:hyperlink r:id="rId26">
              <w:r w:rsidRPr="006E75A3">
                <w:rPr>
                  <w:rFonts w:ascii="Arial" w:hAnsi="Arial" w:cs="Arial"/>
                  <w:sz w:val="20"/>
                  <w:szCs w:val="20"/>
                </w:rPr>
                <w:t>B2B Trouble-To-Resolve (T2R) XML Standard</w:t>
              </w:r>
            </w:hyperlink>
          </w:p>
          <w:p w14:paraId="1D21DE30" w14:textId="77777777" w:rsidR="00A55467" w:rsidRPr="006E75A3" w:rsidRDefault="00A55467" w:rsidP="0098019E">
            <w:pPr>
              <w:spacing w:before="60" w:after="60"/>
              <w:rPr>
                <w:rFonts w:ascii="Arial" w:hAnsi="Arial" w:cs="Arial"/>
                <w:sz w:val="20"/>
                <w:szCs w:val="20"/>
              </w:rPr>
            </w:pPr>
            <w:r w:rsidRPr="006E75A3">
              <w:rPr>
                <w:rFonts w:ascii="Arial" w:hAnsi="Arial" w:cs="Arial"/>
                <w:sz w:val="20"/>
                <w:szCs w:val="20"/>
              </w:rPr>
              <w:t xml:space="preserve">[18] ND 1641 </w:t>
            </w:r>
            <w:hyperlink r:id="rId27">
              <w:r w:rsidRPr="006E75A3">
                <w:rPr>
                  <w:rFonts w:ascii="Arial" w:hAnsi="Arial" w:cs="Arial"/>
                  <w:sz w:val="20"/>
                  <w:szCs w:val="20"/>
                </w:rPr>
                <w:t>L2C XML Schema</w:t>
              </w:r>
            </w:hyperlink>
          </w:p>
        </w:tc>
      </w:tr>
      <w:tr w:rsidR="00A55467" w:rsidRPr="006E75A3" w14:paraId="5C9114C9" w14:textId="77777777" w:rsidTr="00100646">
        <w:trPr>
          <w:gridAfter w:val="1"/>
          <w:wAfter w:w="6" w:type="dxa"/>
        </w:trPr>
        <w:tc>
          <w:tcPr>
            <w:tcW w:w="1775" w:type="dxa"/>
            <w:tcBorders>
              <w:top w:val="single" w:sz="4" w:space="0" w:color="000000"/>
              <w:left w:val="single" w:sz="4" w:space="0" w:color="000000"/>
              <w:bottom w:val="single" w:sz="4" w:space="0" w:color="000000"/>
              <w:right w:val="single" w:sz="4" w:space="0" w:color="000000"/>
            </w:tcBorders>
          </w:tcPr>
          <w:p w14:paraId="67014D37" w14:textId="77777777" w:rsidR="00A55467" w:rsidRPr="00C2602D" w:rsidRDefault="00A55467" w:rsidP="0098019E">
            <w:pPr>
              <w:spacing w:before="60" w:after="60"/>
              <w:rPr>
                <w:rFonts w:ascii="Arial" w:hAnsi="Arial" w:cs="Arial"/>
                <w:sz w:val="20"/>
                <w:szCs w:val="20"/>
              </w:rPr>
            </w:pPr>
            <w:r w:rsidRPr="00C2602D">
              <w:rPr>
                <w:rFonts w:ascii="Arial" w:hAnsi="Arial" w:cs="Arial"/>
                <w:b/>
                <w:sz w:val="20"/>
                <w:szCs w:val="20"/>
              </w:rPr>
              <w:t>Ofcom</w:t>
            </w:r>
          </w:p>
        </w:tc>
        <w:tc>
          <w:tcPr>
            <w:tcW w:w="6304" w:type="dxa"/>
            <w:tcBorders>
              <w:top w:val="single" w:sz="4" w:space="0" w:color="000000"/>
              <w:left w:val="single" w:sz="4" w:space="0" w:color="000000"/>
              <w:bottom w:val="single" w:sz="4" w:space="0" w:color="000000"/>
              <w:right w:val="single" w:sz="4" w:space="0" w:color="000000"/>
            </w:tcBorders>
          </w:tcPr>
          <w:p w14:paraId="37FC13D1" w14:textId="77777777" w:rsidR="00A55467" w:rsidRPr="006E75A3" w:rsidRDefault="00A55467" w:rsidP="0098019E">
            <w:pPr>
              <w:spacing w:before="60" w:after="60"/>
              <w:rPr>
                <w:rFonts w:ascii="Arial" w:hAnsi="Arial" w:cs="Arial"/>
                <w:sz w:val="20"/>
                <w:szCs w:val="20"/>
              </w:rPr>
            </w:pPr>
            <w:r w:rsidRPr="006E75A3">
              <w:rPr>
                <w:rFonts w:ascii="Arial" w:hAnsi="Arial" w:cs="Arial"/>
                <w:sz w:val="20"/>
                <w:szCs w:val="20"/>
              </w:rPr>
              <w:t>the national regulatory authority for the telecommunication industries in the United Kingdom;</w:t>
            </w:r>
          </w:p>
        </w:tc>
      </w:tr>
      <w:tr w:rsidR="00A55467" w:rsidRPr="006E75A3" w14:paraId="7C442EE6" w14:textId="77777777" w:rsidTr="00100646">
        <w:trPr>
          <w:gridAfter w:val="1"/>
          <w:wAfter w:w="6" w:type="dxa"/>
        </w:trPr>
        <w:tc>
          <w:tcPr>
            <w:tcW w:w="1775" w:type="dxa"/>
            <w:tcBorders>
              <w:top w:val="single" w:sz="4" w:space="0" w:color="000000"/>
              <w:left w:val="single" w:sz="4" w:space="0" w:color="000000"/>
              <w:bottom w:val="single" w:sz="4" w:space="0" w:color="000000"/>
              <w:right w:val="single" w:sz="4" w:space="0" w:color="000000"/>
            </w:tcBorders>
          </w:tcPr>
          <w:p w14:paraId="44D75762" w14:textId="77777777" w:rsidR="00A55467" w:rsidRPr="00C2602D" w:rsidRDefault="00A55467" w:rsidP="0098019E">
            <w:pPr>
              <w:spacing w:before="60" w:after="60"/>
              <w:rPr>
                <w:rFonts w:ascii="Arial" w:hAnsi="Arial" w:cs="Arial"/>
                <w:sz w:val="20"/>
                <w:szCs w:val="20"/>
              </w:rPr>
            </w:pPr>
            <w:r w:rsidRPr="00C2602D">
              <w:rPr>
                <w:rFonts w:ascii="Arial" w:hAnsi="Arial" w:cs="Arial"/>
                <w:b/>
                <w:sz w:val="20"/>
                <w:szCs w:val="20"/>
              </w:rPr>
              <w:t>Open Access</w:t>
            </w:r>
          </w:p>
        </w:tc>
        <w:tc>
          <w:tcPr>
            <w:tcW w:w="6304" w:type="dxa"/>
            <w:tcBorders>
              <w:top w:val="single" w:sz="4" w:space="0" w:color="000000"/>
              <w:left w:val="single" w:sz="4" w:space="0" w:color="000000"/>
              <w:bottom w:val="single" w:sz="4" w:space="0" w:color="000000"/>
              <w:right w:val="single" w:sz="4" w:space="0" w:color="000000"/>
            </w:tcBorders>
          </w:tcPr>
          <w:p w14:paraId="144027D1" w14:textId="77777777" w:rsidR="00A55467" w:rsidRPr="006E75A3" w:rsidRDefault="00A55467" w:rsidP="0098019E">
            <w:pPr>
              <w:spacing w:before="60" w:after="60"/>
              <w:rPr>
                <w:rFonts w:ascii="Arial" w:hAnsi="Arial" w:cs="Arial"/>
                <w:sz w:val="20"/>
                <w:szCs w:val="20"/>
              </w:rPr>
            </w:pPr>
            <w:r w:rsidRPr="006E75A3">
              <w:rPr>
                <w:rFonts w:ascii="Arial" w:hAnsi="Arial" w:cs="Arial"/>
                <w:sz w:val="20"/>
                <w:szCs w:val="20"/>
              </w:rPr>
              <w:t>separation of access to the network from delivery of services, where the owner or operator of the network allows other communication providers to make use of the facilities for the provision of Wholesale Access Products and Services on commercial terms which are non-discriminatory between the other communication providers;</w:t>
            </w:r>
          </w:p>
        </w:tc>
      </w:tr>
      <w:tr w:rsidR="00A55467" w:rsidRPr="006E75A3" w14:paraId="0047214D" w14:textId="77777777" w:rsidTr="00100646">
        <w:trPr>
          <w:gridAfter w:val="1"/>
          <w:wAfter w:w="6" w:type="dxa"/>
        </w:trPr>
        <w:tc>
          <w:tcPr>
            <w:tcW w:w="1775" w:type="dxa"/>
            <w:tcBorders>
              <w:top w:val="single" w:sz="4" w:space="0" w:color="000000"/>
              <w:left w:val="single" w:sz="4" w:space="0" w:color="000000"/>
              <w:bottom w:val="single" w:sz="4" w:space="0" w:color="000000"/>
              <w:right w:val="single" w:sz="4" w:space="0" w:color="000000"/>
            </w:tcBorders>
          </w:tcPr>
          <w:p w14:paraId="5EC833AD" w14:textId="77777777" w:rsidR="00A55467" w:rsidRPr="00C2602D" w:rsidRDefault="00A55467" w:rsidP="0098019E">
            <w:pPr>
              <w:spacing w:before="60" w:after="60"/>
              <w:rPr>
                <w:rFonts w:ascii="Arial" w:hAnsi="Arial" w:cs="Arial"/>
                <w:sz w:val="20"/>
                <w:szCs w:val="20"/>
              </w:rPr>
            </w:pPr>
            <w:r w:rsidRPr="00C2602D">
              <w:rPr>
                <w:rFonts w:ascii="Arial" w:hAnsi="Arial" w:cs="Arial"/>
                <w:b/>
                <w:sz w:val="20"/>
                <w:szCs w:val="20"/>
              </w:rPr>
              <w:t>OSS</w:t>
            </w:r>
          </w:p>
        </w:tc>
        <w:tc>
          <w:tcPr>
            <w:tcW w:w="6304" w:type="dxa"/>
            <w:tcBorders>
              <w:top w:val="single" w:sz="4" w:space="0" w:color="000000"/>
              <w:left w:val="single" w:sz="4" w:space="0" w:color="000000"/>
              <w:bottom w:val="single" w:sz="4" w:space="0" w:color="000000"/>
              <w:right w:val="single" w:sz="4" w:space="0" w:color="000000"/>
            </w:tcBorders>
          </w:tcPr>
          <w:p w14:paraId="41735315" w14:textId="77777777" w:rsidR="00A55467" w:rsidRPr="006E75A3" w:rsidRDefault="00A55467" w:rsidP="0098019E">
            <w:pPr>
              <w:spacing w:before="60" w:after="60"/>
              <w:rPr>
                <w:rFonts w:ascii="Arial" w:hAnsi="Arial" w:cs="Arial"/>
                <w:sz w:val="20"/>
                <w:szCs w:val="20"/>
              </w:rPr>
            </w:pPr>
            <w:r w:rsidRPr="006E75A3">
              <w:rPr>
                <w:rFonts w:ascii="Arial" w:hAnsi="Arial" w:cs="Arial"/>
                <w:sz w:val="20"/>
                <w:szCs w:val="20"/>
              </w:rPr>
              <w:t>operational support system which</w:t>
            </w:r>
            <w:r w:rsidRPr="006E75A3">
              <w:rPr>
                <w:rFonts w:ascii="Arial" w:hAnsi="Arial" w:cs="Arial"/>
                <w:sz w:val="20"/>
                <w:szCs w:val="20"/>
                <w:lang w:val="en-GB"/>
              </w:rPr>
              <w:t xml:space="preserve"> comprises software applications (and occasionally hardware) that support back-office activities in a telecommunications service provider's network including processes such as maintaining network inventory, provisioning services (the process of preparing and equipping a network to allow it to provide services to its users), configuring network components, and managing faults. The OSS layer contains the infrastructure for technical network management;</w:t>
            </w:r>
          </w:p>
        </w:tc>
      </w:tr>
      <w:tr w:rsidR="00A55467" w:rsidRPr="006E75A3" w14:paraId="5EF52C56" w14:textId="77777777" w:rsidTr="00100646">
        <w:trPr>
          <w:gridAfter w:val="1"/>
          <w:wAfter w:w="6" w:type="dxa"/>
        </w:trPr>
        <w:tc>
          <w:tcPr>
            <w:tcW w:w="1775" w:type="dxa"/>
            <w:tcBorders>
              <w:top w:val="single" w:sz="4" w:space="0" w:color="000000"/>
              <w:left w:val="single" w:sz="4" w:space="0" w:color="000000"/>
              <w:bottom w:val="single" w:sz="4" w:space="0" w:color="000000"/>
              <w:right w:val="single" w:sz="4" w:space="0" w:color="000000"/>
            </w:tcBorders>
          </w:tcPr>
          <w:p w14:paraId="43D54430" w14:textId="77777777" w:rsidR="00A55467" w:rsidRPr="00C2602D" w:rsidRDefault="00A55467" w:rsidP="0098019E">
            <w:pPr>
              <w:spacing w:before="60" w:after="60"/>
              <w:rPr>
                <w:rFonts w:ascii="Arial" w:hAnsi="Arial" w:cs="Arial"/>
                <w:sz w:val="20"/>
                <w:szCs w:val="20"/>
              </w:rPr>
            </w:pPr>
            <w:r w:rsidRPr="00C2602D">
              <w:rPr>
                <w:rFonts w:ascii="Arial" w:hAnsi="Arial" w:cs="Arial"/>
                <w:b/>
                <w:sz w:val="20"/>
                <w:szCs w:val="20"/>
              </w:rPr>
              <w:t>PSN or Public Sector Network</w:t>
            </w:r>
          </w:p>
        </w:tc>
        <w:tc>
          <w:tcPr>
            <w:tcW w:w="6304" w:type="dxa"/>
            <w:tcBorders>
              <w:top w:val="single" w:sz="4" w:space="0" w:color="000000"/>
              <w:left w:val="single" w:sz="4" w:space="0" w:color="000000"/>
              <w:bottom w:val="single" w:sz="4" w:space="0" w:color="000000"/>
              <w:right w:val="single" w:sz="4" w:space="0" w:color="000000"/>
            </w:tcBorders>
          </w:tcPr>
          <w:p w14:paraId="67A5CEA3" w14:textId="77777777" w:rsidR="00A55467" w:rsidRPr="006E75A3" w:rsidRDefault="00A55467" w:rsidP="0098019E">
            <w:pPr>
              <w:spacing w:before="60" w:after="60"/>
              <w:rPr>
                <w:rFonts w:ascii="Arial" w:hAnsi="Arial" w:cs="Arial"/>
                <w:sz w:val="20"/>
                <w:szCs w:val="20"/>
              </w:rPr>
            </w:pPr>
            <w:r w:rsidRPr="006E75A3">
              <w:rPr>
                <w:rFonts w:ascii="Arial" w:hAnsi="Arial" w:cs="Arial"/>
                <w:sz w:val="20"/>
                <w:szCs w:val="20"/>
              </w:rPr>
              <w:t>a network to support Local Bodies which is compliant with CESG 2-2-2 assurance;</w:t>
            </w:r>
          </w:p>
        </w:tc>
      </w:tr>
      <w:tr w:rsidR="00A55467" w:rsidRPr="006E75A3" w14:paraId="6B03A650" w14:textId="77777777" w:rsidTr="00100646">
        <w:trPr>
          <w:gridAfter w:val="1"/>
          <w:wAfter w:w="6" w:type="dxa"/>
        </w:trPr>
        <w:tc>
          <w:tcPr>
            <w:tcW w:w="1775" w:type="dxa"/>
            <w:tcBorders>
              <w:top w:val="single" w:sz="4" w:space="0" w:color="000000"/>
              <w:left w:val="single" w:sz="4" w:space="0" w:color="000000"/>
              <w:bottom w:val="single" w:sz="4" w:space="0" w:color="000000"/>
              <w:right w:val="single" w:sz="4" w:space="0" w:color="000000"/>
            </w:tcBorders>
          </w:tcPr>
          <w:p w14:paraId="7EB2D95F" w14:textId="77777777" w:rsidR="00A55467" w:rsidRPr="00C2602D" w:rsidRDefault="00A55467" w:rsidP="0098019E">
            <w:pPr>
              <w:spacing w:before="60" w:after="60"/>
              <w:rPr>
                <w:rFonts w:ascii="Arial" w:hAnsi="Arial" w:cs="Arial"/>
                <w:sz w:val="20"/>
                <w:szCs w:val="20"/>
              </w:rPr>
            </w:pPr>
            <w:r w:rsidRPr="00C2602D">
              <w:rPr>
                <w:rFonts w:ascii="Arial" w:hAnsi="Arial" w:cs="Arial"/>
                <w:b/>
                <w:sz w:val="20"/>
                <w:szCs w:val="20"/>
              </w:rPr>
              <w:t>Public Enterprise Network</w:t>
            </w:r>
          </w:p>
        </w:tc>
        <w:tc>
          <w:tcPr>
            <w:tcW w:w="6304" w:type="dxa"/>
            <w:tcBorders>
              <w:top w:val="single" w:sz="4" w:space="0" w:color="000000"/>
              <w:left w:val="single" w:sz="4" w:space="0" w:color="000000"/>
              <w:bottom w:val="single" w:sz="4" w:space="0" w:color="000000"/>
              <w:right w:val="single" w:sz="4" w:space="0" w:color="000000"/>
            </w:tcBorders>
          </w:tcPr>
          <w:p w14:paraId="2E4A1490" w14:textId="77777777" w:rsidR="00A55467" w:rsidRPr="006E75A3" w:rsidRDefault="00A55467" w:rsidP="0098019E">
            <w:pPr>
              <w:spacing w:before="60" w:after="60"/>
              <w:rPr>
                <w:rFonts w:ascii="Arial" w:hAnsi="Arial" w:cs="Arial"/>
                <w:sz w:val="20"/>
                <w:szCs w:val="20"/>
              </w:rPr>
            </w:pPr>
            <w:r w:rsidRPr="006E75A3">
              <w:rPr>
                <w:rFonts w:ascii="Arial" w:hAnsi="Arial" w:cs="Arial"/>
                <w:sz w:val="20"/>
                <w:szCs w:val="20"/>
              </w:rPr>
              <w:t>a network carrying voice and data traffic between public sector offices and which provides access to and from other networks. This may include access to the public switched telephone network (PSTN) and the public internet;</w:t>
            </w:r>
          </w:p>
        </w:tc>
      </w:tr>
      <w:tr w:rsidR="00A55467" w:rsidRPr="006E75A3" w14:paraId="7179AE52" w14:textId="77777777" w:rsidTr="00100646">
        <w:trPr>
          <w:gridAfter w:val="1"/>
          <w:wAfter w:w="6" w:type="dxa"/>
        </w:trPr>
        <w:tc>
          <w:tcPr>
            <w:tcW w:w="1775" w:type="dxa"/>
            <w:tcBorders>
              <w:top w:val="single" w:sz="4" w:space="0" w:color="000000"/>
              <w:left w:val="single" w:sz="4" w:space="0" w:color="000000"/>
              <w:bottom w:val="single" w:sz="4" w:space="0" w:color="000000"/>
              <w:right w:val="single" w:sz="4" w:space="0" w:color="000000"/>
            </w:tcBorders>
          </w:tcPr>
          <w:p w14:paraId="06102847" w14:textId="77777777" w:rsidR="00A55467" w:rsidRPr="00C2602D" w:rsidRDefault="00A55467" w:rsidP="0098019E">
            <w:pPr>
              <w:spacing w:before="60" w:after="60"/>
              <w:rPr>
                <w:rFonts w:ascii="Arial" w:hAnsi="Arial" w:cs="Arial"/>
                <w:sz w:val="20"/>
                <w:szCs w:val="20"/>
              </w:rPr>
            </w:pPr>
            <w:r w:rsidRPr="00C2602D">
              <w:rPr>
                <w:rFonts w:ascii="Arial" w:hAnsi="Arial" w:cs="Arial"/>
                <w:b/>
                <w:sz w:val="20"/>
                <w:szCs w:val="20"/>
              </w:rPr>
              <w:lastRenderedPageBreak/>
              <w:t>SOGE</w:t>
            </w:r>
          </w:p>
        </w:tc>
        <w:tc>
          <w:tcPr>
            <w:tcW w:w="6304" w:type="dxa"/>
            <w:tcBorders>
              <w:top w:val="single" w:sz="4" w:space="0" w:color="000000"/>
              <w:left w:val="single" w:sz="4" w:space="0" w:color="000000"/>
              <w:bottom w:val="single" w:sz="4" w:space="0" w:color="000000"/>
              <w:right w:val="single" w:sz="4" w:space="0" w:color="000000"/>
            </w:tcBorders>
          </w:tcPr>
          <w:p w14:paraId="34E5DDC5" w14:textId="77777777" w:rsidR="00A55467" w:rsidRPr="006E75A3" w:rsidRDefault="00A55467" w:rsidP="0098019E">
            <w:pPr>
              <w:spacing w:before="60" w:after="60"/>
              <w:rPr>
                <w:rFonts w:ascii="Arial" w:hAnsi="Arial" w:cs="Arial"/>
                <w:sz w:val="20"/>
                <w:szCs w:val="20"/>
              </w:rPr>
            </w:pPr>
            <w:r w:rsidRPr="006E75A3">
              <w:rPr>
                <w:rFonts w:ascii="Arial" w:hAnsi="Arial" w:cs="Arial"/>
                <w:sz w:val="20"/>
                <w:szCs w:val="20"/>
              </w:rPr>
              <w:t>Sustainable operations on the Government Estate;</w:t>
            </w:r>
          </w:p>
        </w:tc>
      </w:tr>
      <w:tr w:rsidR="00A55467" w:rsidRPr="006E75A3" w14:paraId="4B666585" w14:textId="77777777" w:rsidTr="00100646">
        <w:trPr>
          <w:gridAfter w:val="1"/>
          <w:wAfter w:w="6" w:type="dxa"/>
        </w:trPr>
        <w:tc>
          <w:tcPr>
            <w:tcW w:w="1775" w:type="dxa"/>
            <w:tcBorders>
              <w:top w:val="single" w:sz="4" w:space="0" w:color="000000"/>
              <w:left w:val="single" w:sz="4" w:space="0" w:color="000000"/>
              <w:bottom w:val="single" w:sz="4" w:space="0" w:color="000000"/>
              <w:right w:val="single" w:sz="4" w:space="0" w:color="000000"/>
            </w:tcBorders>
          </w:tcPr>
          <w:p w14:paraId="6421853C" w14:textId="77777777" w:rsidR="00A55467" w:rsidRPr="00C2602D" w:rsidRDefault="00A55467" w:rsidP="0098019E">
            <w:pPr>
              <w:spacing w:before="60" w:after="60"/>
              <w:rPr>
                <w:rFonts w:ascii="Arial" w:hAnsi="Arial" w:cs="Arial"/>
                <w:sz w:val="20"/>
                <w:szCs w:val="20"/>
              </w:rPr>
            </w:pPr>
            <w:r w:rsidRPr="00C2602D">
              <w:rPr>
                <w:rFonts w:ascii="Arial" w:hAnsi="Arial" w:cs="Arial"/>
                <w:b/>
                <w:sz w:val="20"/>
                <w:szCs w:val="20"/>
              </w:rPr>
              <w:t>Step Change</w:t>
            </w:r>
          </w:p>
        </w:tc>
        <w:tc>
          <w:tcPr>
            <w:tcW w:w="6304" w:type="dxa"/>
            <w:tcBorders>
              <w:top w:val="single" w:sz="4" w:space="0" w:color="000000"/>
              <w:left w:val="single" w:sz="4" w:space="0" w:color="000000"/>
              <w:bottom w:val="single" w:sz="4" w:space="0" w:color="000000"/>
              <w:right w:val="single" w:sz="4" w:space="0" w:color="000000"/>
            </w:tcBorders>
          </w:tcPr>
          <w:p w14:paraId="75013BF7" w14:textId="77777777" w:rsidR="00A55467" w:rsidRPr="006E75A3" w:rsidRDefault="00E8514E" w:rsidP="0098019E">
            <w:pPr>
              <w:spacing w:before="60" w:after="60"/>
              <w:rPr>
                <w:rFonts w:ascii="Arial" w:hAnsi="Arial" w:cs="Arial"/>
                <w:sz w:val="20"/>
                <w:szCs w:val="20"/>
              </w:rPr>
            </w:pPr>
            <w:r w:rsidRPr="006E75A3">
              <w:rPr>
                <w:rFonts w:ascii="Arial" w:hAnsi="Arial" w:cs="Arial"/>
                <w:sz w:val="20"/>
                <w:szCs w:val="20"/>
              </w:rPr>
              <w:t xml:space="preserve">change </w:t>
            </w:r>
            <w:r w:rsidR="00A55467" w:rsidRPr="006E75A3">
              <w:rPr>
                <w:rFonts w:ascii="Arial" w:hAnsi="Arial" w:cs="Arial"/>
                <w:sz w:val="20"/>
                <w:szCs w:val="20"/>
              </w:rPr>
              <w:t>meeting the requirements of paragraphs 59 – 62 of the Commission Decision;</w:t>
            </w:r>
          </w:p>
        </w:tc>
      </w:tr>
      <w:tr w:rsidR="00A55467" w:rsidRPr="006E75A3" w14:paraId="79991DF8" w14:textId="77777777" w:rsidTr="00100646">
        <w:trPr>
          <w:gridAfter w:val="1"/>
          <w:wAfter w:w="6" w:type="dxa"/>
        </w:trPr>
        <w:tc>
          <w:tcPr>
            <w:tcW w:w="1775" w:type="dxa"/>
            <w:tcBorders>
              <w:top w:val="single" w:sz="4" w:space="0" w:color="000000"/>
              <w:left w:val="single" w:sz="4" w:space="0" w:color="000000"/>
              <w:bottom w:val="single" w:sz="4" w:space="0" w:color="000000"/>
              <w:right w:val="single" w:sz="4" w:space="0" w:color="000000"/>
            </w:tcBorders>
          </w:tcPr>
          <w:p w14:paraId="325183A6" w14:textId="77777777" w:rsidR="00A55467" w:rsidRPr="00C2602D" w:rsidRDefault="00A55467" w:rsidP="0098019E">
            <w:pPr>
              <w:spacing w:before="60" w:after="60"/>
              <w:rPr>
                <w:rFonts w:ascii="Arial" w:hAnsi="Arial" w:cs="Arial"/>
                <w:sz w:val="20"/>
                <w:szCs w:val="20"/>
              </w:rPr>
            </w:pPr>
            <w:r w:rsidRPr="00C2602D">
              <w:rPr>
                <w:rFonts w:ascii="Arial" w:hAnsi="Arial" w:cs="Arial"/>
                <w:b/>
                <w:sz w:val="20"/>
                <w:szCs w:val="20"/>
              </w:rPr>
              <w:t>Symmetrical</w:t>
            </w:r>
          </w:p>
        </w:tc>
        <w:tc>
          <w:tcPr>
            <w:tcW w:w="6304" w:type="dxa"/>
            <w:tcBorders>
              <w:top w:val="single" w:sz="4" w:space="0" w:color="000000"/>
              <w:left w:val="single" w:sz="4" w:space="0" w:color="000000"/>
              <w:bottom w:val="single" w:sz="4" w:space="0" w:color="000000"/>
              <w:right w:val="single" w:sz="4" w:space="0" w:color="000000"/>
            </w:tcBorders>
          </w:tcPr>
          <w:p w14:paraId="7C343318" w14:textId="77777777" w:rsidR="00A55467" w:rsidRPr="006E75A3" w:rsidRDefault="00A55467" w:rsidP="0098019E">
            <w:pPr>
              <w:spacing w:before="60" w:after="60"/>
              <w:rPr>
                <w:rFonts w:ascii="Arial" w:hAnsi="Arial" w:cs="Arial"/>
                <w:sz w:val="20"/>
                <w:szCs w:val="20"/>
              </w:rPr>
            </w:pPr>
            <w:r w:rsidRPr="006E75A3">
              <w:rPr>
                <w:rFonts w:ascii="Arial" w:hAnsi="Arial" w:cs="Arial"/>
                <w:sz w:val="20"/>
                <w:szCs w:val="20"/>
              </w:rPr>
              <w:t>the capability of the network devices to transmit and receive data at equal rates;</w:t>
            </w:r>
          </w:p>
        </w:tc>
      </w:tr>
      <w:tr w:rsidR="00A55467" w:rsidRPr="006E75A3" w14:paraId="4F285FB3" w14:textId="77777777" w:rsidTr="00100646">
        <w:trPr>
          <w:gridAfter w:val="1"/>
          <w:wAfter w:w="6" w:type="dxa"/>
        </w:trPr>
        <w:tc>
          <w:tcPr>
            <w:tcW w:w="1775" w:type="dxa"/>
            <w:tcBorders>
              <w:top w:val="single" w:sz="4" w:space="0" w:color="000000"/>
              <w:left w:val="single" w:sz="4" w:space="0" w:color="000000"/>
              <w:bottom w:val="single" w:sz="4" w:space="0" w:color="000000"/>
              <w:right w:val="single" w:sz="4" w:space="0" w:color="000000"/>
            </w:tcBorders>
          </w:tcPr>
          <w:p w14:paraId="021FB5D9" w14:textId="77777777" w:rsidR="00A55467" w:rsidRPr="00C2602D" w:rsidRDefault="00A84325" w:rsidP="00A84325">
            <w:pPr>
              <w:spacing w:before="60" w:after="60"/>
              <w:rPr>
                <w:rFonts w:ascii="Arial" w:hAnsi="Arial" w:cs="Arial"/>
                <w:sz w:val="20"/>
                <w:szCs w:val="20"/>
              </w:rPr>
            </w:pPr>
            <w:r w:rsidRPr="00C2602D">
              <w:rPr>
                <w:rFonts w:ascii="Arial" w:hAnsi="Arial" w:cs="Arial"/>
                <w:b/>
                <w:sz w:val="20"/>
                <w:szCs w:val="20"/>
              </w:rPr>
              <w:t>Ultrafast Broadband</w:t>
            </w:r>
          </w:p>
        </w:tc>
        <w:tc>
          <w:tcPr>
            <w:tcW w:w="6304" w:type="dxa"/>
            <w:tcBorders>
              <w:top w:val="single" w:sz="4" w:space="0" w:color="000000"/>
              <w:left w:val="single" w:sz="4" w:space="0" w:color="000000"/>
              <w:bottom w:val="single" w:sz="4" w:space="0" w:color="000000"/>
              <w:right w:val="single" w:sz="4" w:space="0" w:color="000000"/>
            </w:tcBorders>
          </w:tcPr>
          <w:p w14:paraId="158FF7F6" w14:textId="77777777" w:rsidR="00A55467" w:rsidRPr="006E75A3" w:rsidRDefault="00A55467" w:rsidP="0098019E">
            <w:pPr>
              <w:spacing w:before="60" w:after="60"/>
              <w:rPr>
                <w:rFonts w:ascii="Arial" w:hAnsi="Arial" w:cs="Arial"/>
                <w:sz w:val="20"/>
                <w:szCs w:val="20"/>
              </w:rPr>
            </w:pPr>
            <w:r w:rsidRPr="006E75A3">
              <w:rPr>
                <w:rFonts w:ascii="Arial" w:hAnsi="Arial" w:cs="Arial"/>
                <w:sz w:val="20"/>
                <w:szCs w:val="20"/>
              </w:rPr>
              <w:t>ultrafast download speeds of at least 100Mbps delivered across an NGA network.</w:t>
            </w:r>
          </w:p>
        </w:tc>
      </w:tr>
    </w:tbl>
    <w:p w14:paraId="5AEC43DF" w14:textId="77777777" w:rsidR="00A55467" w:rsidRPr="00E24719" w:rsidRDefault="00A55467" w:rsidP="00A55467">
      <w:pPr>
        <w:numPr>
          <w:ilvl w:val="1"/>
          <w:numId w:val="2"/>
        </w:numPr>
        <w:spacing w:before="240" w:after="240"/>
        <w:ind w:left="851" w:hanging="851"/>
        <w:jc w:val="both"/>
        <w:rPr>
          <w:rFonts w:ascii="Arial" w:hAnsi="Arial" w:cs="Arial"/>
          <w:sz w:val="20"/>
          <w:szCs w:val="20"/>
        </w:rPr>
      </w:pPr>
      <w:r w:rsidRPr="00E24719">
        <w:rPr>
          <w:rFonts w:ascii="Arial" w:hAnsi="Arial" w:cs="Arial"/>
          <w:sz w:val="20"/>
          <w:szCs w:val="20"/>
        </w:rPr>
        <w:t>Words and phrases defined in the NICC ALA and NICC B2B specifications (as the same may be updated or amended from time to time) shall have the same meanings in this Contract.</w:t>
      </w:r>
    </w:p>
    <w:p w14:paraId="34F4A6CB" w14:textId="77777777" w:rsidR="00A55467" w:rsidRPr="00A55467" w:rsidRDefault="00A55467" w:rsidP="00A55467">
      <w:pPr>
        <w:rPr>
          <w:rFonts w:ascii="Arial" w:hAnsi="Arial" w:cs="Arial"/>
        </w:rPr>
      </w:pPr>
    </w:p>
    <w:p w14:paraId="28AF78FD" w14:textId="77777777" w:rsidR="00A55467" w:rsidRPr="00A55467" w:rsidRDefault="00A55467" w:rsidP="00A55467">
      <w:pPr>
        <w:spacing w:after="240"/>
        <w:jc w:val="center"/>
        <w:rPr>
          <w:rFonts w:ascii="Arial" w:hAnsi="Arial" w:cs="Arial"/>
        </w:rPr>
      </w:pPr>
      <w:r w:rsidRPr="00A55467">
        <w:rPr>
          <w:rFonts w:ascii="Arial" w:hAnsi="Arial" w:cs="Arial"/>
          <w:b/>
        </w:rPr>
        <w:t xml:space="preserve">SERVICE REQUIREMENTS </w:t>
      </w:r>
    </w:p>
    <w:bookmarkStart w:id="9" w:name="h.2et92p0" w:colFirst="0" w:colLast="0"/>
    <w:bookmarkEnd w:id="9"/>
    <w:p w14:paraId="6EC14112" w14:textId="77777777" w:rsidR="00A55467" w:rsidRPr="00A55467" w:rsidRDefault="00A55467" w:rsidP="00A55467">
      <w:pPr>
        <w:pStyle w:val="Level1"/>
        <w:keepNext/>
        <w:rPr>
          <w:rStyle w:val="Level1asHeadingtext"/>
        </w:rPr>
      </w:pPr>
      <w:r w:rsidRPr="00A55467">
        <w:rPr>
          <w:rStyle w:val="Level1asHeadingtext"/>
        </w:rPr>
        <w:fldChar w:fldCharType="begin"/>
      </w:r>
      <w:r w:rsidRPr="00A55467">
        <w:instrText xml:space="preserve">  TC "</w:instrText>
      </w:r>
      <w:r w:rsidRPr="00A55467">
        <w:fldChar w:fldCharType="begin"/>
      </w:r>
      <w:r w:rsidRPr="00A55467">
        <w:instrText xml:space="preserve"> REF _Ref425577269 \r </w:instrText>
      </w:r>
      <w:r>
        <w:instrText xml:space="preserve"> \* MERGEFORMAT </w:instrText>
      </w:r>
      <w:r w:rsidRPr="00A55467">
        <w:fldChar w:fldCharType="separate"/>
      </w:r>
      <w:bookmarkStart w:id="10" w:name="_Toc467008160"/>
      <w:r w:rsidR="002953B6">
        <w:instrText>1</w:instrText>
      </w:r>
      <w:r w:rsidRPr="00A55467">
        <w:fldChar w:fldCharType="end"/>
      </w:r>
      <w:r w:rsidRPr="00A55467">
        <w:tab/>
        <w:instrText>AUTHORITY'S SERVICE REQUIREMENTS</w:instrText>
      </w:r>
      <w:bookmarkEnd w:id="10"/>
      <w:r w:rsidRPr="00A55467">
        <w:instrText xml:space="preserve">" \l1 </w:instrText>
      </w:r>
      <w:r w:rsidRPr="00A55467">
        <w:rPr>
          <w:rStyle w:val="Level1asHeadingtext"/>
        </w:rPr>
        <w:fldChar w:fldCharType="end"/>
      </w:r>
      <w:bookmarkStart w:id="11" w:name="_Ref425577269"/>
      <w:r w:rsidRPr="00A55467">
        <w:rPr>
          <w:rStyle w:val="Level1asHeadingtext"/>
        </w:rPr>
        <w:t>Authority's Service Requirements</w:t>
      </w:r>
      <w:bookmarkEnd w:id="11"/>
    </w:p>
    <w:p w14:paraId="06EA5477" w14:textId="77777777" w:rsidR="00A55467" w:rsidRPr="00A55467" w:rsidRDefault="00A55467" w:rsidP="00A55467">
      <w:pPr>
        <w:pStyle w:val="Level2"/>
      </w:pPr>
      <w:r w:rsidRPr="00A55467">
        <w:t xml:space="preserve">This section sets out the Authority's Service Requirements for the Deployed Services. </w:t>
      </w:r>
    </w:p>
    <w:p w14:paraId="66B715B2" w14:textId="77777777" w:rsidR="00A55467" w:rsidRPr="00A55467" w:rsidRDefault="00A55467" w:rsidP="00A55467">
      <w:pPr>
        <w:pStyle w:val="Level2"/>
      </w:pPr>
      <w:r w:rsidRPr="00A55467">
        <w:t xml:space="preserve">There are </w:t>
      </w:r>
      <w:r w:rsidR="00857992">
        <w:t xml:space="preserve">a number of types of </w:t>
      </w:r>
      <w:r w:rsidRPr="00A55467">
        <w:t>requirements</w:t>
      </w:r>
      <w:r w:rsidR="00857992">
        <w:t>, including</w:t>
      </w:r>
      <w:r w:rsidRPr="00A55467">
        <w:t>:</w:t>
      </w:r>
    </w:p>
    <w:p w14:paraId="18C83DE9" w14:textId="77777777" w:rsidR="00A55467" w:rsidRPr="00A55467" w:rsidRDefault="00A55467" w:rsidP="00A55467">
      <w:pPr>
        <w:pStyle w:val="Level3"/>
      </w:pPr>
      <w:r w:rsidRPr="00A55467">
        <w:t xml:space="preserve">State aid Requirements - requirements that </w:t>
      </w:r>
      <w:r w:rsidR="00857992">
        <w:t>specifically relate</w:t>
      </w:r>
      <w:r w:rsidRPr="00A55467">
        <w:t xml:space="preserve"> to compl</w:t>
      </w:r>
      <w:r w:rsidR="00857992">
        <w:t>iance</w:t>
      </w:r>
      <w:r w:rsidRPr="00A55467">
        <w:t xml:space="preserve"> with the Commission Decision (this is not exhaustive of all Commission Decision compliance requirements);</w:t>
      </w:r>
    </w:p>
    <w:p w14:paraId="54FBCADE" w14:textId="77777777" w:rsidR="00A55467" w:rsidRPr="00A55467" w:rsidRDefault="00A55467" w:rsidP="00A55467">
      <w:pPr>
        <w:pStyle w:val="Level3"/>
      </w:pPr>
      <w:r w:rsidRPr="00A55467">
        <w:t>Solution Requirements – those requirements that define the Supplier Solution based on Solution Components;</w:t>
      </w:r>
    </w:p>
    <w:p w14:paraId="5AA27B77" w14:textId="77777777" w:rsidR="00A55467" w:rsidRPr="00A55467" w:rsidRDefault="00A55467" w:rsidP="00A55467">
      <w:pPr>
        <w:pStyle w:val="Level3"/>
      </w:pPr>
      <w:r w:rsidRPr="00A55467">
        <w:t>Solution Component Requirements – those requirements that relate to the Solution Components that underpin the Wholesale Access Products and Services and the Supplier Solution; and</w:t>
      </w:r>
    </w:p>
    <w:p w14:paraId="266775C0" w14:textId="77777777" w:rsidR="00A55467" w:rsidRPr="00A55467" w:rsidRDefault="00A55467" w:rsidP="00A55467">
      <w:pPr>
        <w:pStyle w:val="Level3"/>
      </w:pPr>
      <w:r w:rsidRPr="00A55467">
        <w:t>Wholesale Access Products and Services Requirements – those requirements that define a minimum set of products and services that shall be retailed by Retail Service Providers.</w:t>
      </w:r>
    </w:p>
    <w:bookmarkStart w:id="12" w:name="h.tyjcwt" w:colFirst="0" w:colLast="0"/>
    <w:bookmarkEnd w:id="12"/>
    <w:p w14:paraId="6A1D0157" w14:textId="77777777" w:rsidR="00A55467" w:rsidRPr="00A55467" w:rsidRDefault="00A55467" w:rsidP="00A55467">
      <w:pPr>
        <w:pStyle w:val="Level1"/>
        <w:keepNext/>
        <w:rPr>
          <w:rStyle w:val="Level1asHeadingtext"/>
        </w:rPr>
      </w:pPr>
      <w:r w:rsidRPr="00A55467">
        <w:rPr>
          <w:rStyle w:val="Level1asHeadingtext"/>
        </w:rPr>
        <w:fldChar w:fldCharType="begin"/>
      </w:r>
      <w:r w:rsidRPr="00A55467">
        <w:instrText xml:space="preserve">  TC "</w:instrText>
      </w:r>
      <w:r w:rsidRPr="00A55467">
        <w:fldChar w:fldCharType="begin"/>
      </w:r>
      <w:r w:rsidRPr="00A55467">
        <w:instrText xml:space="preserve"> REF _Ref425577285 \r </w:instrText>
      </w:r>
      <w:r>
        <w:instrText xml:space="preserve"> \* MERGEFORMAT </w:instrText>
      </w:r>
      <w:r w:rsidRPr="00A55467">
        <w:fldChar w:fldCharType="separate"/>
      </w:r>
      <w:bookmarkStart w:id="13" w:name="_Toc467008161"/>
      <w:r w:rsidR="002953B6">
        <w:instrText>2</w:instrText>
      </w:r>
      <w:r w:rsidRPr="00A55467">
        <w:fldChar w:fldCharType="end"/>
      </w:r>
      <w:r w:rsidRPr="00A55467">
        <w:tab/>
        <w:instrText>STATE AID REQUIREMENTS</w:instrText>
      </w:r>
      <w:bookmarkEnd w:id="13"/>
      <w:r w:rsidRPr="00A55467">
        <w:instrText xml:space="preserve">" \l1 </w:instrText>
      </w:r>
      <w:r w:rsidRPr="00A55467">
        <w:rPr>
          <w:rStyle w:val="Level1asHeadingtext"/>
        </w:rPr>
        <w:fldChar w:fldCharType="end"/>
      </w:r>
      <w:bookmarkStart w:id="14" w:name="_Ref425577285"/>
      <w:r w:rsidRPr="00A55467">
        <w:rPr>
          <w:rStyle w:val="Level1asHeadingtext"/>
        </w:rPr>
        <w:t>State aid Requirements</w:t>
      </w:r>
      <w:bookmarkEnd w:id="14"/>
    </w:p>
    <w:p w14:paraId="75C96874" w14:textId="77777777" w:rsidR="00A55467" w:rsidRPr="00A55467" w:rsidRDefault="00A55467" w:rsidP="00A55467">
      <w:pPr>
        <w:pStyle w:val="Level2"/>
      </w:pPr>
      <w:r w:rsidRPr="00A55467">
        <w:t>The Supplier Solution must be compliant with the Commission Decision.</w:t>
      </w:r>
      <w:r w:rsidR="007313D7" w:rsidRPr="00A55467">
        <w:t xml:space="preserve"> </w:t>
      </w:r>
    </w:p>
    <w:p w14:paraId="4AB92207" w14:textId="77777777" w:rsidR="00A55467" w:rsidRPr="00A55467" w:rsidRDefault="00A55467" w:rsidP="00A55467">
      <w:pPr>
        <w:pStyle w:val="Level2"/>
      </w:pPr>
      <w:r w:rsidRPr="00A55467">
        <w:t>The Supplier Solution must comprise and, in accordance with the Service Requirements, provide Next Generation Access infrastructure utilising qualifying NGA technologies capable of delivering broadband services with a download speed of at least 30 Mbps.</w:t>
      </w:r>
    </w:p>
    <w:p w14:paraId="3B5B31FF" w14:textId="77777777" w:rsidR="00A55467" w:rsidRPr="00A55467" w:rsidRDefault="00A55467" w:rsidP="00A55467">
      <w:pPr>
        <w:pStyle w:val="Level2"/>
      </w:pPr>
      <w:r w:rsidRPr="00A55467">
        <w:t>The Supplier Solution must deliver a Network which represents a Step Change in terms of broadband availability. Step Change can be achieved by demonstration of all the following:</w:t>
      </w:r>
    </w:p>
    <w:p w14:paraId="3499DA1B" w14:textId="77777777" w:rsidR="00A55467" w:rsidRPr="00DE3315" w:rsidRDefault="00A55467" w:rsidP="00A55467">
      <w:pPr>
        <w:pStyle w:val="Level3"/>
      </w:pPr>
      <w:r w:rsidRPr="00DE3315">
        <w:t>Speeds have to be at least doubled by the intervention and substantially higher upload speeds provided when compared with existing upload and download speeds;</w:t>
      </w:r>
    </w:p>
    <w:p w14:paraId="0D5108D1" w14:textId="77777777" w:rsidR="00A55467" w:rsidRPr="00A55467" w:rsidRDefault="00A55467" w:rsidP="00A55467">
      <w:pPr>
        <w:pStyle w:val="Level3"/>
      </w:pPr>
      <w:r w:rsidRPr="00A55467">
        <w:t>Significant new investments in the broadband network are undertaken (i.e. investments that must include civil works and installation of new passive elements); and</w:t>
      </w:r>
    </w:p>
    <w:p w14:paraId="78CBE694" w14:textId="77777777" w:rsidR="00A55467" w:rsidRPr="00A55467" w:rsidRDefault="00A55467" w:rsidP="00A55467">
      <w:pPr>
        <w:pStyle w:val="Level3"/>
      </w:pPr>
      <w:r w:rsidRPr="00A55467">
        <w:lastRenderedPageBreak/>
        <w:t>The new infrastructure brings significant new capabilities to the market in terms of broadband service availability, capacity and speeds and / or competition.</w:t>
      </w:r>
    </w:p>
    <w:p w14:paraId="4159C5DC" w14:textId="77777777" w:rsidR="00A55467" w:rsidRPr="00A55467" w:rsidRDefault="00A55467" w:rsidP="00A55467">
      <w:pPr>
        <w:pStyle w:val="Level2"/>
      </w:pPr>
      <w:r w:rsidRPr="00A55467">
        <w:t xml:space="preserve">The Wholesale Access Products and Services made available by the Supplier shall comply with the requirements of the Commission Decision recognising that the specific requirements vary depending on the specific configuration of the network and the qualifying technologies utilised. </w:t>
      </w:r>
    </w:p>
    <w:p w14:paraId="2C0859C5" w14:textId="77777777" w:rsidR="00A55467" w:rsidRPr="00A55467" w:rsidRDefault="00A55467" w:rsidP="00A55467">
      <w:pPr>
        <w:pStyle w:val="Level2"/>
      </w:pPr>
      <w:r w:rsidRPr="00A55467">
        <w:t>The Supplier must provide:</w:t>
      </w:r>
    </w:p>
    <w:p w14:paraId="5768B408" w14:textId="77777777" w:rsidR="00A55467" w:rsidRPr="00A55467" w:rsidRDefault="00A55467" w:rsidP="00A55467">
      <w:pPr>
        <w:pStyle w:val="Level3"/>
      </w:pPr>
      <w:r w:rsidRPr="00A55467">
        <w:t>Open Access to the Network;</w:t>
      </w:r>
    </w:p>
    <w:p w14:paraId="66CF6C19" w14:textId="728316C4" w:rsidR="00A55467" w:rsidRPr="00A55467" w:rsidRDefault="00A55467" w:rsidP="00A55467">
      <w:pPr>
        <w:pStyle w:val="Level3"/>
      </w:pPr>
      <w:r w:rsidRPr="00A55467">
        <w:t xml:space="preserve">Wholesale Access Products and Services on an open, fair, </w:t>
      </w:r>
      <w:r w:rsidR="0012710E">
        <w:t xml:space="preserve">reasonable, </w:t>
      </w:r>
      <w:r w:rsidRPr="00A55467">
        <w:t xml:space="preserve">equal and non-discriminatory basis, as further described in </w:t>
      </w:r>
      <w:r w:rsidR="00E50FAD">
        <w:t>p</w:t>
      </w:r>
      <w:r w:rsidRPr="00A55467">
        <w:t>aragraph 5 of this Schedule 2. The pricing of these Wholesale Access Products and Services shall be benchmarked in accordance with Schedule 5.2 (Wholesale Access Pricing)</w:t>
      </w:r>
      <w:r w:rsidR="007A510D">
        <w:t>, which benchmarking process shall be applied in a manner consistent with Paragraphs 134 to</w:t>
      </w:r>
      <w:r w:rsidR="007A510D" w:rsidRPr="00A55467">
        <w:t xml:space="preserve"> 1</w:t>
      </w:r>
      <w:r w:rsidR="007A510D">
        <w:t>38</w:t>
      </w:r>
      <w:r w:rsidR="007A510D" w:rsidRPr="00A55467">
        <w:t xml:space="preserve"> </w:t>
      </w:r>
      <w:r w:rsidR="007A510D">
        <w:t>of the Commission Decision</w:t>
      </w:r>
      <w:r w:rsidRPr="00A55467">
        <w:t>.</w:t>
      </w:r>
    </w:p>
    <w:p w14:paraId="3E72E914" w14:textId="77777777" w:rsidR="00A55467" w:rsidRPr="00A55467" w:rsidRDefault="00A55467" w:rsidP="00A55467">
      <w:pPr>
        <w:pStyle w:val="Level2"/>
      </w:pPr>
      <w:r w:rsidRPr="00A55467">
        <w:t xml:space="preserve">The Supplier Solution should seek to utilise existing infrastructure and facilities where </w:t>
      </w:r>
      <w:r w:rsidR="00E8514E">
        <w:t>it</w:t>
      </w:r>
      <w:r w:rsidR="00E8514E" w:rsidRPr="00A55467">
        <w:t xml:space="preserve"> </w:t>
      </w:r>
      <w:r w:rsidRPr="00A55467">
        <w:t xml:space="preserve">is </w:t>
      </w:r>
      <w:r w:rsidR="00151359">
        <w:t xml:space="preserve">technically feasible, </w:t>
      </w:r>
      <w:r w:rsidRPr="00A55467">
        <w:t>cost effective and commercially viable to do so</w:t>
      </w:r>
      <w:r w:rsidR="00E8514E">
        <w:t>. T</w:t>
      </w:r>
      <w:r w:rsidRPr="00A55467">
        <w:t>his can be achieved through:</w:t>
      </w:r>
    </w:p>
    <w:p w14:paraId="5964709E" w14:textId="77777777" w:rsidR="00A55467" w:rsidRPr="00A55467" w:rsidRDefault="00A55467" w:rsidP="00A55467">
      <w:pPr>
        <w:pStyle w:val="Level3"/>
      </w:pPr>
      <w:r w:rsidRPr="00A55467">
        <w:t>Use of own infrastructure;</w:t>
      </w:r>
    </w:p>
    <w:p w14:paraId="7D413AC1" w14:textId="77777777" w:rsidR="00A55467" w:rsidRPr="00A55467" w:rsidRDefault="00A55467" w:rsidP="00A55467">
      <w:pPr>
        <w:pStyle w:val="Level3"/>
      </w:pPr>
      <w:r w:rsidRPr="00A55467">
        <w:t>Use of another supplier’s infrastructure;</w:t>
      </w:r>
    </w:p>
    <w:p w14:paraId="4A780AC1" w14:textId="77777777" w:rsidR="00A55467" w:rsidRPr="00A55467" w:rsidRDefault="00A55467" w:rsidP="00A55467">
      <w:pPr>
        <w:pStyle w:val="Level3"/>
      </w:pPr>
      <w:r w:rsidRPr="00A55467">
        <w:t>Use of other utilities infrastructure;</w:t>
      </w:r>
    </w:p>
    <w:p w14:paraId="7A4165B4" w14:textId="77777777" w:rsidR="00A55467" w:rsidRPr="00A55467" w:rsidRDefault="00A55467" w:rsidP="00A55467">
      <w:pPr>
        <w:pStyle w:val="Level3"/>
      </w:pPr>
      <w:r w:rsidRPr="00A55467">
        <w:t>Use of Authority assets where identified in Schedule 4.2 (Authority Assets).</w:t>
      </w:r>
    </w:p>
    <w:p w14:paraId="39E79131" w14:textId="77777777" w:rsidR="00A55467" w:rsidRPr="00A55467" w:rsidRDefault="00A55467" w:rsidP="00A55467">
      <w:pPr>
        <w:pStyle w:val="Body2"/>
      </w:pPr>
      <w:r w:rsidRPr="00A55467">
        <w:t>The Supplier shall on request by the Authority confirm the extent that it is</w:t>
      </w:r>
      <w:r w:rsidR="00237599">
        <w:t xml:space="preserve"> currently reusing</w:t>
      </w:r>
      <w:r w:rsidRPr="00A55467">
        <w:t xml:space="preserve"> and will reuse existing infrastructure and facilities as part of the Supplier Solution.</w:t>
      </w:r>
    </w:p>
    <w:bookmarkStart w:id="15" w:name="h.3dy6vkm" w:colFirst="0" w:colLast="0"/>
    <w:bookmarkEnd w:id="15"/>
    <w:p w14:paraId="03B9E6BC" w14:textId="77777777" w:rsidR="00A55467" w:rsidRPr="00A55467" w:rsidRDefault="00A55467" w:rsidP="00A55467">
      <w:pPr>
        <w:pStyle w:val="Level1"/>
        <w:keepNext/>
        <w:rPr>
          <w:rStyle w:val="Level1asHeadingtext"/>
        </w:rPr>
      </w:pPr>
      <w:r w:rsidRPr="00A55467">
        <w:rPr>
          <w:rStyle w:val="Level1asHeadingtext"/>
        </w:rPr>
        <w:fldChar w:fldCharType="begin"/>
      </w:r>
      <w:r w:rsidRPr="00A55467">
        <w:instrText xml:space="preserve">  TC "</w:instrText>
      </w:r>
      <w:r w:rsidRPr="00A55467">
        <w:fldChar w:fldCharType="begin"/>
      </w:r>
      <w:r w:rsidRPr="00A55467">
        <w:instrText xml:space="preserve"> REF _Ref425577331 \r </w:instrText>
      </w:r>
      <w:r>
        <w:instrText xml:space="preserve"> \* MERGEFORMAT </w:instrText>
      </w:r>
      <w:r w:rsidRPr="00A55467">
        <w:fldChar w:fldCharType="separate"/>
      </w:r>
      <w:bookmarkStart w:id="16" w:name="_Toc467008162"/>
      <w:r w:rsidR="002953B6">
        <w:instrText>3</w:instrText>
      </w:r>
      <w:r w:rsidRPr="00A55467">
        <w:fldChar w:fldCharType="end"/>
      </w:r>
      <w:r w:rsidRPr="00A55467">
        <w:tab/>
        <w:instrText>SOLUTION REQUIREMENTS</w:instrText>
      </w:r>
      <w:bookmarkEnd w:id="16"/>
      <w:r w:rsidRPr="00A55467">
        <w:instrText xml:space="preserve">" \l1 </w:instrText>
      </w:r>
      <w:r w:rsidRPr="00A55467">
        <w:rPr>
          <w:rStyle w:val="Level1asHeadingtext"/>
        </w:rPr>
        <w:fldChar w:fldCharType="end"/>
      </w:r>
      <w:bookmarkStart w:id="17" w:name="_Ref425577331"/>
      <w:bookmarkStart w:id="18" w:name="_Ref409477188"/>
      <w:bookmarkStart w:id="19" w:name="_Ref412764557"/>
      <w:r w:rsidRPr="00A55467">
        <w:rPr>
          <w:rStyle w:val="Level1asHeadingtext"/>
        </w:rPr>
        <w:t>Solution Requirements</w:t>
      </w:r>
      <w:bookmarkEnd w:id="17"/>
      <w:bookmarkEnd w:id="18"/>
      <w:bookmarkEnd w:id="19"/>
    </w:p>
    <w:p w14:paraId="0DD57D49" w14:textId="77777777" w:rsidR="00A55467" w:rsidRPr="00A55467" w:rsidRDefault="00A55467" w:rsidP="00A55467">
      <w:pPr>
        <w:pStyle w:val="Level2"/>
      </w:pPr>
      <w:r w:rsidRPr="00A55467">
        <w:t>The Supplier Solution shall be an Open Access Network which supports the UK's broadband policy objectives by providing Retail Service Providers the Wholesale Access Products and Services through Solution Components that can support Take-up.</w:t>
      </w:r>
    </w:p>
    <w:p w14:paraId="61A6219F" w14:textId="15411A09" w:rsidR="00D04C3E" w:rsidRPr="00D04C3E" w:rsidRDefault="00A55467" w:rsidP="00C30AC4">
      <w:pPr>
        <w:pStyle w:val="Level2"/>
        <w:rPr>
          <w:b/>
        </w:rPr>
      </w:pPr>
      <w:bookmarkStart w:id="20" w:name="_Ref459967032"/>
      <w:r w:rsidRPr="00A55467">
        <w:t>The Supplier Solution must</w:t>
      </w:r>
      <w:r w:rsidR="003C661F">
        <w:t xml:space="preserve"> </w:t>
      </w:r>
      <w:r w:rsidRPr="00A55467">
        <w:t>provide NGA Broadband</w:t>
      </w:r>
      <w:r w:rsidR="002120FF">
        <w:t>,</w:t>
      </w:r>
      <w:r w:rsidR="002F0642" w:rsidRPr="00A55467">
        <w:t xml:space="preserve"> Ultrafast Broadband</w:t>
      </w:r>
      <w:r w:rsidR="003C661F">
        <w:t xml:space="preserve"> </w:t>
      </w:r>
      <w:r w:rsidR="002120FF">
        <w:t xml:space="preserve">and Gigabit Broadband </w:t>
      </w:r>
      <w:r w:rsidR="002F0642">
        <w:t>to</w:t>
      </w:r>
      <w:r w:rsidR="00D04C3E">
        <w:t>:</w:t>
      </w:r>
      <w:bookmarkEnd w:id="20"/>
    </w:p>
    <w:p w14:paraId="5C3C1D6B" w14:textId="34F36438" w:rsidR="00D04C3E" w:rsidRPr="00D04C3E" w:rsidRDefault="00BB5D9D" w:rsidP="00D04C3E">
      <w:pPr>
        <w:pStyle w:val="Level3"/>
        <w:rPr>
          <w:b/>
        </w:rPr>
      </w:pPr>
      <w:r>
        <w:t xml:space="preserve">the </w:t>
      </w:r>
      <w:r w:rsidR="003C661F">
        <w:t>volumes</w:t>
      </w:r>
      <w:r w:rsidR="002F0642" w:rsidRPr="00A55467">
        <w:t xml:space="preserve"> </w:t>
      </w:r>
      <w:r w:rsidR="003C661F">
        <w:t xml:space="preserve">of </w:t>
      </w:r>
      <w:r w:rsidR="002F0642" w:rsidRPr="00A55467">
        <w:t xml:space="preserve">End User Premises </w:t>
      </w:r>
      <w:r w:rsidR="00D04C3E">
        <w:t xml:space="preserve">designated per </w:t>
      </w:r>
      <w:r w:rsidR="00C24448">
        <w:t>S</w:t>
      </w:r>
      <w:r w:rsidR="003C661F">
        <w:t xml:space="preserve">peed </w:t>
      </w:r>
      <w:r w:rsidR="00C24448">
        <w:t>C</w:t>
      </w:r>
      <w:r w:rsidR="003C661F">
        <w:t>ategor</w:t>
      </w:r>
      <w:r w:rsidR="00C30AC4">
        <w:t>y</w:t>
      </w:r>
      <w:r w:rsidR="00665763">
        <w:t xml:space="preserve"> (being Speed Categories within the ranges of NGA</w:t>
      </w:r>
      <w:r w:rsidR="005330B8">
        <w:t xml:space="preserve">, </w:t>
      </w:r>
      <w:r w:rsidR="00665763">
        <w:t>Ultrafast Broadband</w:t>
      </w:r>
      <w:r w:rsidR="005330B8">
        <w:t xml:space="preserve"> or Gigabit Broadband as applicable</w:t>
      </w:r>
      <w:r w:rsidR="00665763">
        <w:t>)</w:t>
      </w:r>
      <w:r w:rsidR="00ED73BA">
        <w:t xml:space="preserve"> - cumulative level criteria</w:t>
      </w:r>
      <w:r w:rsidR="00D04C3E">
        <w:t>; and</w:t>
      </w:r>
    </w:p>
    <w:p w14:paraId="33649CAC" w14:textId="1FD0895A" w:rsidR="00D04C3E" w:rsidRPr="00D04C3E" w:rsidRDefault="00BB5D9D" w:rsidP="00D04C3E">
      <w:pPr>
        <w:pStyle w:val="Level3"/>
        <w:rPr>
          <w:b/>
        </w:rPr>
      </w:pPr>
      <w:r>
        <w:t xml:space="preserve">those </w:t>
      </w:r>
      <w:r w:rsidR="00D04C3E">
        <w:t>identified End User Premises</w:t>
      </w:r>
      <w:r w:rsidR="00665763">
        <w:t xml:space="preserve"> designated </w:t>
      </w:r>
      <w:r w:rsidR="00FE5CDB">
        <w:t xml:space="preserve">to Speed Categories </w:t>
      </w:r>
      <w:r w:rsidR="00665763">
        <w:t>within the ranges of NGA</w:t>
      </w:r>
      <w:r w:rsidR="005330B8">
        <w:t>,</w:t>
      </w:r>
      <w:r w:rsidR="00665763">
        <w:t xml:space="preserve"> Ultrafast Broadband</w:t>
      </w:r>
      <w:r w:rsidR="005330B8">
        <w:t xml:space="preserve"> or Gigabit Broadband (as applicable)</w:t>
      </w:r>
      <w:r w:rsidR="00ED73BA">
        <w:t xml:space="preserve"> </w:t>
      </w:r>
      <w:r w:rsidR="009A41BB">
        <w:t>-</w:t>
      </w:r>
      <w:r w:rsidR="00ED73BA">
        <w:t xml:space="preserve"> identified NGA End User Premises level criteria</w:t>
      </w:r>
      <w:r w:rsidR="00D04C3E">
        <w:t>,</w:t>
      </w:r>
    </w:p>
    <w:p w14:paraId="52341BD5" w14:textId="6F8878C8" w:rsidR="00A55467" w:rsidRPr="00C30AC4" w:rsidRDefault="002F0642" w:rsidP="00D04C3E">
      <w:pPr>
        <w:pStyle w:val="Level3"/>
        <w:numPr>
          <w:ilvl w:val="0"/>
          <w:numId w:val="0"/>
        </w:numPr>
        <w:ind w:left="851"/>
        <w:rPr>
          <w:b/>
        </w:rPr>
      </w:pPr>
      <w:r w:rsidRPr="00A55467">
        <w:t>as set out in the S</w:t>
      </w:r>
      <w:r>
        <w:t xml:space="preserve">peed and </w:t>
      </w:r>
      <w:r w:rsidRPr="00A55467">
        <w:t>C</w:t>
      </w:r>
      <w:r>
        <w:t xml:space="preserve">overage </w:t>
      </w:r>
      <w:r w:rsidRPr="00A55467">
        <w:t>T</w:t>
      </w:r>
      <w:r>
        <w:t>emplate</w:t>
      </w:r>
      <w:r w:rsidR="003C661F">
        <w:t xml:space="preserve">, including </w:t>
      </w:r>
      <w:r w:rsidR="00D04C3E">
        <w:t xml:space="preserve">providing the allocated speeds specified in that Speed and Coverage Template to those identified End User Premises </w:t>
      </w:r>
      <w:r w:rsidR="003C661F">
        <w:t>with</w:t>
      </w:r>
      <w:r w:rsidR="00D04C3E">
        <w:t>in</w:t>
      </w:r>
      <w:r w:rsidR="003C661F">
        <w:t xml:space="preserve"> </w:t>
      </w:r>
      <w:r w:rsidR="00C30AC4">
        <w:t>any</w:t>
      </w:r>
      <w:r w:rsidR="003C661F">
        <w:t xml:space="preserve"> </w:t>
      </w:r>
      <w:r w:rsidR="00C30AC4">
        <w:t>designated P</w:t>
      </w:r>
      <w:r w:rsidR="003C661F">
        <w:t xml:space="preserve">riority </w:t>
      </w:r>
      <w:r w:rsidR="00C30AC4">
        <w:t>A</w:t>
      </w:r>
      <w:r w:rsidR="003C661F">
        <w:t>rea</w:t>
      </w:r>
      <w:r w:rsidR="00C30AC4">
        <w:t>s</w:t>
      </w:r>
      <w:r w:rsidR="003C661F">
        <w:t>.</w:t>
      </w:r>
    </w:p>
    <w:p w14:paraId="4601EA71" w14:textId="77777777" w:rsidR="00A55467" w:rsidRPr="00A55467" w:rsidRDefault="00A55467" w:rsidP="00A55467">
      <w:pPr>
        <w:pStyle w:val="Level2"/>
      </w:pPr>
      <w:r w:rsidRPr="00A55467">
        <w:t xml:space="preserve">The Supplier shall </w:t>
      </w:r>
      <w:r w:rsidR="00DF30FC">
        <w:t xml:space="preserve">(i) </w:t>
      </w:r>
      <w:r w:rsidR="00136B5C">
        <w:t xml:space="preserve">work with the Authority </w:t>
      </w:r>
      <w:r w:rsidR="00DF30FC">
        <w:t xml:space="preserve">and Programme Authority; and (ii) </w:t>
      </w:r>
      <w:r w:rsidR="00136B5C">
        <w:t xml:space="preserve">co-operate </w:t>
      </w:r>
      <w:r w:rsidRPr="00A55467">
        <w:t>with other suppliers</w:t>
      </w:r>
      <w:r w:rsidR="00136B5C">
        <w:t xml:space="preserve"> and </w:t>
      </w:r>
      <w:r w:rsidRPr="00A55467">
        <w:t>utility providers</w:t>
      </w:r>
      <w:r w:rsidR="00DF30FC">
        <w:t>,</w:t>
      </w:r>
      <w:r w:rsidRPr="00A55467">
        <w:t xml:space="preserve"> to </w:t>
      </w:r>
      <w:r w:rsidR="00136B5C">
        <w:t xml:space="preserve">ensure </w:t>
      </w:r>
      <w:r w:rsidRPr="00A55467">
        <w:t xml:space="preserve">delivery of </w:t>
      </w:r>
      <w:r w:rsidR="00DF30FC">
        <w:t>the Supplier's</w:t>
      </w:r>
      <w:r w:rsidRPr="00A55467">
        <w:t xml:space="preserve"> Solution and to </w:t>
      </w:r>
      <w:r w:rsidR="00DF30FC">
        <w:t>enable</w:t>
      </w:r>
      <w:r w:rsidR="00DF30FC" w:rsidRPr="00A55467">
        <w:t xml:space="preserve"> </w:t>
      </w:r>
      <w:r w:rsidRPr="00A55467">
        <w:t xml:space="preserve">the </w:t>
      </w:r>
      <w:r w:rsidR="00D33554">
        <w:t xml:space="preserve">efficient delivery of </w:t>
      </w:r>
      <w:r w:rsidRPr="00A55467">
        <w:t xml:space="preserve"> other related or interfacing publicly </w:t>
      </w:r>
      <w:r w:rsidRPr="00A55467">
        <w:lastRenderedPageBreak/>
        <w:t xml:space="preserve">subsidised </w:t>
      </w:r>
      <w:r w:rsidR="00D33554">
        <w:t xml:space="preserve">broadband network </w:t>
      </w:r>
      <w:r w:rsidRPr="00A55467">
        <w:t>programmes</w:t>
      </w:r>
      <w:r w:rsidR="00DF30FC">
        <w:t xml:space="preserve"> (supporting the UK Government's broadband policy objectives)</w:t>
      </w:r>
      <w:r w:rsidRPr="00A55467">
        <w:t>.</w:t>
      </w:r>
    </w:p>
    <w:p w14:paraId="528BBCBA" w14:textId="77777777" w:rsidR="00A55467" w:rsidRPr="00A55467" w:rsidRDefault="00A55467" w:rsidP="00A55467">
      <w:pPr>
        <w:pStyle w:val="Level2"/>
      </w:pPr>
      <w:r w:rsidRPr="00A55467">
        <w:t>The Supplier Solution shall provide wholesale access network services from Handover Points to End User network termination points, supporting the provision of Wholesale Access Products and Services in the Coverage Area.</w:t>
      </w:r>
    </w:p>
    <w:p w14:paraId="55D416F1" w14:textId="15C3A090" w:rsidR="00A55467" w:rsidRPr="00F25EFE" w:rsidRDefault="00A55467" w:rsidP="00A55467">
      <w:pPr>
        <w:pStyle w:val="Level2"/>
      </w:pPr>
      <w:r w:rsidRPr="00F25EFE">
        <w:t xml:space="preserve">The Supplier shall implement, operate and maintain the Supplier Solution to provide Wholesale Access Products and Services delivering to </w:t>
      </w:r>
      <w:r w:rsidR="001D4FB8" w:rsidRPr="00F25EFE">
        <w:t xml:space="preserve">the End User Premises </w:t>
      </w:r>
      <w:r w:rsidRPr="00F25EFE">
        <w:t>specified in the Speed and Coverage Template:</w:t>
      </w:r>
    </w:p>
    <w:p w14:paraId="4481008E" w14:textId="6A15A0BC" w:rsidR="00A55467" w:rsidRPr="00C2654A" w:rsidRDefault="00A55467" w:rsidP="00A55467">
      <w:pPr>
        <w:pStyle w:val="Level3"/>
      </w:pPr>
      <w:bookmarkStart w:id="21" w:name="_Ref456349161"/>
      <w:r w:rsidRPr="004D0E7D">
        <w:t xml:space="preserve">the corresponding level of Access Line Speed </w:t>
      </w:r>
      <w:r w:rsidR="004D0E7D" w:rsidRPr="00DD04F5">
        <w:t xml:space="preserve">provided under paragraph </w:t>
      </w:r>
      <w:r w:rsidR="004D0E7D" w:rsidRPr="00DD04F5">
        <w:fldChar w:fldCharType="begin"/>
      </w:r>
      <w:r w:rsidR="004D0E7D" w:rsidRPr="00DD04F5">
        <w:instrText xml:space="preserve"> REF _Ref459967032 \r \h </w:instrText>
      </w:r>
      <w:r w:rsidR="004D0E7D">
        <w:instrText xml:space="preserve"> \* MERGEFORMAT </w:instrText>
      </w:r>
      <w:r w:rsidR="004D0E7D" w:rsidRPr="00DD04F5">
        <w:fldChar w:fldCharType="separate"/>
      </w:r>
      <w:r w:rsidR="002953B6">
        <w:t>3.2</w:t>
      </w:r>
      <w:r w:rsidR="004D0E7D" w:rsidRPr="00DD04F5">
        <w:fldChar w:fldCharType="end"/>
      </w:r>
      <w:r w:rsidRPr="00C2654A">
        <w:t>;</w:t>
      </w:r>
      <w:bookmarkEnd w:id="21"/>
    </w:p>
    <w:p w14:paraId="23FF1BBC" w14:textId="0E67FCDA" w:rsidR="00A55467" w:rsidRPr="00F25EFE" w:rsidRDefault="004D5001" w:rsidP="00A55467">
      <w:pPr>
        <w:pStyle w:val="Level3"/>
      </w:pPr>
      <w:r>
        <w:t xml:space="preserve">a minimum of a doubling of </w:t>
      </w:r>
      <w:r w:rsidR="00240102">
        <w:t xml:space="preserve">download speeds </w:t>
      </w:r>
      <w:r w:rsidR="00083AE9">
        <w:t xml:space="preserve">overall </w:t>
      </w:r>
      <w:r w:rsidR="00240102">
        <w:t xml:space="preserve">across the Network when compared to the existing speed category data in the Speed and Coverage Template and substantially higher upload speeds </w:t>
      </w:r>
      <w:r w:rsidR="00083AE9">
        <w:t xml:space="preserve">overall </w:t>
      </w:r>
      <w:r w:rsidR="00240102">
        <w:t>across the Network when compared with the Ofcom reference data published at the time the Authority issued the ITT</w:t>
      </w:r>
      <w:r w:rsidR="00A55467" w:rsidRPr="00F25EFE">
        <w:t>;</w:t>
      </w:r>
    </w:p>
    <w:p w14:paraId="0CD7AE1A" w14:textId="77777777" w:rsidR="00A55467" w:rsidRPr="00F25EFE" w:rsidRDefault="002823AC" w:rsidP="00A55467">
      <w:pPr>
        <w:pStyle w:val="Level3"/>
      </w:pPr>
      <w:r>
        <w:t xml:space="preserve">a minimum </w:t>
      </w:r>
      <w:r w:rsidR="00A55467" w:rsidRPr="00F25EFE">
        <w:t>Busy Hour Committed Rate for</w:t>
      </w:r>
      <w:r>
        <w:t xml:space="preserve"> each End User Premise of 15Mbps</w:t>
      </w:r>
      <w:r w:rsidR="00F7623A" w:rsidRPr="00F25EFE">
        <w:t>;</w:t>
      </w:r>
    </w:p>
    <w:p w14:paraId="326A2532" w14:textId="0C35CBD6" w:rsidR="00D04C3E" w:rsidRDefault="00A55467" w:rsidP="006704B8">
      <w:pPr>
        <w:pStyle w:val="Level3"/>
      </w:pPr>
      <w:bookmarkStart w:id="22" w:name="_Ref456363165"/>
      <w:r w:rsidRPr="00A55467">
        <w:t xml:space="preserve">the capability </w:t>
      </w:r>
      <w:r w:rsidR="00C2654A">
        <w:t xml:space="preserve">(without requiring the Supplier to mandate this to Retail Service Providers) </w:t>
      </w:r>
      <w:r w:rsidRPr="00A55467">
        <w:t>for an installation to be completed by a Retail Service Provider based on a Retail Service Provider</w:t>
      </w:r>
      <w:r w:rsidR="004B76A3">
        <w:t>'</w:t>
      </w:r>
      <w:r w:rsidRPr="00A55467">
        <w:t>s standard installation charges</w:t>
      </w:r>
      <w:r w:rsidR="00A00292">
        <w:t xml:space="preserve">, with no excess </w:t>
      </w:r>
      <w:r w:rsidR="00D04C3E">
        <w:t xml:space="preserve">installation </w:t>
      </w:r>
      <w:r w:rsidR="00A00292">
        <w:t xml:space="preserve">charges payable by the Retail Service Provider </w:t>
      </w:r>
      <w:r w:rsidR="00D04C3E">
        <w:t>to the Supplier</w:t>
      </w:r>
      <w:r w:rsidR="006704B8">
        <w:t>;</w:t>
      </w:r>
    </w:p>
    <w:p w14:paraId="0A753B53" w14:textId="6213E59E" w:rsidR="00A55467" w:rsidRPr="00A55467" w:rsidRDefault="006704B8" w:rsidP="006704B8">
      <w:pPr>
        <w:pStyle w:val="Level3"/>
      </w:pPr>
      <w:bookmarkStart w:id="23" w:name="_Ref456711237"/>
      <w:r>
        <w:t>ensur</w:t>
      </w:r>
      <w:r w:rsidR="00237599">
        <w:t>ing that</w:t>
      </w:r>
      <w:r>
        <w:t xml:space="preserve"> capacity is ma</w:t>
      </w:r>
      <w:r w:rsidR="00D04C3E">
        <w:t>naged</w:t>
      </w:r>
      <w:r>
        <w:t xml:space="preserve"> for the duration of the Term so that any End User Premises can place an order with a Retail Service Provider </w:t>
      </w:r>
      <w:r w:rsidR="00A00292">
        <w:t>which can be provisioned</w:t>
      </w:r>
      <w:r w:rsidR="00A00292" w:rsidRPr="00A00292">
        <w:t xml:space="preserve"> </w:t>
      </w:r>
      <w:r>
        <w:t xml:space="preserve">in accordance with the Service Levels set out in paragraph </w:t>
      </w:r>
      <w:r w:rsidR="00D04C3E">
        <w:fldChar w:fldCharType="begin"/>
      </w:r>
      <w:r w:rsidR="00D04C3E">
        <w:instrText xml:space="preserve"> REF _Ref455591088 \r \h </w:instrText>
      </w:r>
      <w:r w:rsidR="00D04C3E">
        <w:fldChar w:fldCharType="separate"/>
      </w:r>
      <w:r w:rsidR="002953B6">
        <w:t>5.1.2</w:t>
      </w:r>
      <w:r w:rsidR="00D04C3E">
        <w:fldChar w:fldCharType="end"/>
      </w:r>
      <w:r>
        <w:t>;</w:t>
      </w:r>
      <w:bookmarkEnd w:id="22"/>
      <w:bookmarkEnd w:id="23"/>
    </w:p>
    <w:p w14:paraId="4E7183A4" w14:textId="25795FBF" w:rsidR="0078017F" w:rsidRDefault="00A55467" w:rsidP="0078017F">
      <w:pPr>
        <w:pStyle w:val="Level3"/>
      </w:pPr>
      <w:r w:rsidRPr="00A55467">
        <w:t xml:space="preserve">ensuring that </w:t>
      </w:r>
      <w:r w:rsidR="00ED4DFA">
        <w:t xml:space="preserve">the service provided to </w:t>
      </w:r>
      <w:r w:rsidR="00D04C3E">
        <w:t>the</w:t>
      </w:r>
      <w:r w:rsidR="00D04C3E" w:rsidRPr="00A55467">
        <w:t xml:space="preserve"> </w:t>
      </w:r>
      <w:r w:rsidRPr="00A55467">
        <w:t>End User Premise</w:t>
      </w:r>
      <w:r w:rsidR="006018DF">
        <w:t>s</w:t>
      </w:r>
      <w:r w:rsidRPr="00A55467">
        <w:t xml:space="preserve"> continues to meet the criteria set out in</w:t>
      </w:r>
      <w:r w:rsidR="00197C41">
        <w:t xml:space="preserve"> paragraphs</w:t>
      </w:r>
      <w:r w:rsidRPr="00A55467">
        <w:t xml:space="preserve"> </w:t>
      </w:r>
      <w:r w:rsidRPr="00A55467">
        <w:fldChar w:fldCharType="begin"/>
      </w:r>
      <w:r w:rsidRPr="00A55467">
        <w:instrText xml:space="preserve"> REF _Ref456349161 \w </w:instrText>
      </w:r>
      <w:r>
        <w:instrText xml:space="preserve"> \* MERGEFORMAT </w:instrText>
      </w:r>
      <w:r w:rsidRPr="00A55467">
        <w:fldChar w:fldCharType="separate"/>
      </w:r>
      <w:r w:rsidR="002953B6">
        <w:t>3.5.1</w:t>
      </w:r>
      <w:r w:rsidRPr="00A55467">
        <w:fldChar w:fldCharType="end"/>
      </w:r>
      <w:r w:rsidRPr="00A55467">
        <w:t xml:space="preserve"> to </w:t>
      </w:r>
      <w:r w:rsidR="00D04C3E">
        <w:fldChar w:fldCharType="begin"/>
      </w:r>
      <w:r w:rsidR="00D04C3E">
        <w:instrText xml:space="preserve"> REF _Ref456711237 \r \h </w:instrText>
      </w:r>
      <w:r w:rsidR="00D04C3E">
        <w:fldChar w:fldCharType="separate"/>
      </w:r>
      <w:r w:rsidR="002953B6">
        <w:t>3.5.5</w:t>
      </w:r>
      <w:r w:rsidR="00D04C3E">
        <w:fldChar w:fldCharType="end"/>
      </w:r>
      <w:r w:rsidR="004021F6">
        <w:t xml:space="preserve"> </w:t>
      </w:r>
      <w:r w:rsidRPr="00A55467">
        <w:t>for the duration of the Term following Achievement of the corresponding Milestone Type M2 under which each relevant End User Premises is served</w:t>
      </w:r>
      <w:r w:rsidR="0078017F">
        <w:t>; and</w:t>
      </w:r>
    </w:p>
    <w:p w14:paraId="73D41606" w14:textId="3C5AD6D7" w:rsidR="00A55467" w:rsidRDefault="00237599" w:rsidP="0078017F">
      <w:pPr>
        <w:pStyle w:val="Level3"/>
      </w:pPr>
      <w:r>
        <w:t xml:space="preserve">such that </w:t>
      </w:r>
      <w:r w:rsidR="0098019E" w:rsidRPr="002D5544">
        <w:t xml:space="preserve">Wholesale Access Products and Services </w:t>
      </w:r>
      <w:r>
        <w:t xml:space="preserve">are provided </w:t>
      </w:r>
      <w:r w:rsidR="0098019E" w:rsidRPr="002D5544">
        <w:t>at charges which allow Retail Service Providers to provide affordable</w:t>
      </w:r>
      <w:r w:rsidR="0098019E" w:rsidRPr="002D5544" w:rsidDel="00CA1573">
        <w:t xml:space="preserve"> </w:t>
      </w:r>
      <w:r w:rsidR="007C423D">
        <w:t>NGA</w:t>
      </w:r>
      <w:r w:rsidR="005330B8">
        <w:t>,</w:t>
      </w:r>
      <w:r w:rsidR="0098019E" w:rsidRPr="002D5544">
        <w:t xml:space="preserve"> </w:t>
      </w:r>
      <w:r w:rsidR="007C423D">
        <w:t>Ultrafast</w:t>
      </w:r>
      <w:r w:rsidR="0098019E" w:rsidRPr="002D5544">
        <w:t xml:space="preserve"> </w:t>
      </w:r>
      <w:r>
        <w:t>B</w:t>
      </w:r>
      <w:r w:rsidR="0098019E" w:rsidRPr="002D5544">
        <w:t xml:space="preserve">roadband </w:t>
      </w:r>
      <w:r w:rsidR="005330B8">
        <w:t xml:space="preserve">and Gigabit Broadband </w:t>
      </w:r>
      <w:r w:rsidR="0098019E" w:rsidRPr="002D5544">
        <w:t>services to End Users</w:t>
      </w:r>
      <w:r w:rsidR="00A55467" w:rsidRPr="00A55467">
        <w:t>.</w:t>
      </w:r>
    </w:p>
    <w:p w14:paraId="6C073844" w14:textId="77777777" w:rsidR="00615324" w:rsidRPr="003B089B" w:rsidRDefault="00615324" w:rsidP="006704B8">
      <w:pPr>
        <w:pStyle w:val="Level1"/>
        <w:rPr>
          <w:rStyle w:val="Level1asHeadingtext"/>
          <w:rFonts w:asciiTheme="minorHAnsi" w:eastAsiaTheme="minorHAnsi" w:hAnsiTheme="minorHAnsi" w:cstheme="minorBidi"/>
          <w:sz w:val="22"/>
          <w:szCs w:val="22"/>
          <w:lang w:val="en-US" w:eastAsia="en-US"/>
        </w:rPr>
      </w:pPr>
      <w:r w:rsidRPr="002D5544">
        <w:rPr>
          <w:rStyle w:val="Level1asHeadingtext"/>
        </w:rPr>
        <w:t>Community Network Requirements</w:t>
      </w:r>
    </w:p>
    <w:p w14:paraId="6C066935" w14:textId="77777777" w:rsidR="00615324" w:rsidRPr="002D5544" w:rsidRDefault="00615324" w:rsidP="003B089B">
      <w:pPr>
        <w:pStyle w:val="Level2"/>
      </w:pPr>
      <w:bookmarkStart w:id="24" w:name="_Ref316464811"/>
      <w:r w:rsidRPr="002D5544">
        <w:t xml:space="preserve">The following requirements apply only where the Authority has included </w:t>
      </w:r>
      <w:r>
        <w:t>a specific Local C</w:t>
      </w:r>
      <w:r w:rsidRPr="002D5544">
        <w:t xml:space="preserve">ommunity </w:t>
      </w:r>
      <w:r>
        <w:t xml:space="preserve">Project </w:t>
      </w:r>
      <w:r w:rsidRPr="002D5544">
        <w:t>requirement as part of the Service Requirements for this Contract. The following establishes the associated minimum requirements to be met by the Supplier.</w:t>
      </w:r>
      <w:bookmarkEnd w:id="24"/>
      <w:r w:rsidRPr="002D5544">
        <w:t xml:space="preserve"> </w:t>
      </w:r>
    </w:p>
    <w:p w14:paraId="4CFF14A8" w14:textId="77777777" w:rsidR="00615324" w:rsidRPr="002D5544" w:rsidRDefault="00615324" w:rsidP="00615324">
      <w:pPr>
        <w:pStyle w:val="Level2"/>
      </w:pPr>
      <w:r w:rsidRPr="002D5544">
        <w:t>The Supplier shall provide, subject to the Change Control Procedure, a network access and data transport components service, as agreed with the Authority, to communities requesting to extend Wholesale Access Products and Services connectivity and/</w:t>
      </w:r>
      <w:r>
        <w:t>or to increase Access Line S</w:t>
      </w:r>
      <w:r w:rsidRPr="002D5544">
        <w:t xml:space="preserve">peeds, beyond the Supplier's originally planned Supplier Solution provided that such change falls within the Commission Decision. </w:t>
      </w:r>
    </w:p>
    <w:p w14:paraId="70C85B5A" w14:textId="65BEB173" w:rsidR="00615324" w:rsidRPr="002D5544" w:rsidRDefault="00615324" w:rsidP="00615324">
      <w:pPr>
        <w:pStyle w:val="Level2"/>
      </w:pPr>
      <w:r w:rsidRPr="002D5544">
        <w:t xml:space="preserve">The Supplier shall support extensions to the Supplier Solution by offering and supporting a </w:t>
      </w:r>
      <w:r w:rsidR="00A23895">
        <w:t xml:space="preserve">Local Community Project. </w:t>
      </w:r>
      <w:r w:rsidRPr="002D5544">
        <w:t>Additionally, upon reasonable request, the Supplier may also support extensions to its NGA proposa</w:t>
      </w:r>
      <w:r w:rsidR="003465F8">
        <w:t>ls by supporting a</w:t>
      </w:r>
      <w:r w:rsidR="00A23895">
        <w:t xml:space="preserve"> Community </w:t>
      </w:r>
      <w:r w:rsidR="002C6F97">
        <w:t>Contribution Scheme</w:t>
      </w:r>
      <w:r w:rsidRPr="002D5544">
        <w:t>.</w:t>
      </w:r>
    </w:p>
    <w:p w14:paraId="5165823B" w14:textId="77777777" w:rsidR="00615324" w:rsidRPr="002D5544" w:rsidRDefault="00615324" w:rsidP="0096594D">
      <w:pPr>
        <w:pStyle w:val="Level2"/>
      </w:pPr>
      <w:bookmarkStart w:id="25" w:name="_Ref316464820"/>
      <w:r w:rsidRPr="002D5544">
        <w:lastRenderedPageBreak/>
        <w:t>The Supplier shall identify and provide connectivity to nominated points, where the local community (for example, a local authority, residential groups, local businesses) provides, builds and maintains its own access network. This is described as a community backhaul solution.</w:t>
      </w:r>
      <w:bookmarkEnd w:id="25"/>
      <w:r w:rsidRPr="002D5544">
        <w:t xml:space="preserve"> </w:t>
      </w:r>
    </w:p>
    <w:p w14:paraId="3E41F90F" w14:textId="77777777" w:rsidR="007D7C8F" w:rsidRDefault="00A55467" w:rsidP="007D7C8F">
      <w:pPr>
        <w:pStyle w:val="Level2"/>
      </w:pPr>
      <w:r w:rsidRPr="00A55467">
        <w:t>The Supplier shall in respect of any Local Community Project</w:t>
      </w:r>
      <w:r w:rsidR="006704B8">
        <w:t>:</w:t>
      </w:r>
    </w:p>
    <w:p w14:paraId="03FC964F" w14:textId="77777777" w:rsidR="00A55467" w:rsidRPr="00A55467" w:rsidRDefault="00A55467" w:rsidP="007D7C8F">
      <w:pPr>
        <w:pStyle w:val="Level3"/>
      </w:pPr>
      <w:r w:rsidRPr="00A55467">
        <w:t xml:space="preserve">proactively and effectively engage, interact with and inform each local community to ensure a proper and successful delivery; </w:t>
      </w:r>
      <w:r w:rsidR="007D7C8F">
        <w:t>and</w:t>
      </w:r>
    </w:p>
    <w:p w14:paraId="0C1F10B8" w14:textId="29C62CC5" w:rsidR="00A55467" w:rsidRPr="00A55467" w:rsidRDefault="0010108D" w:rsidP="00A55467">
      <w:pPr>
        <w:pStyle w:val="Level3"/>
      </w:pPr>
      <w:r>
        <w:t>work with the local community to</w:t>
      </w:r>
      <w:r w:rsidR="00A55467" w:rsidRPr="00A55467">
        <w:t xml:space="preserve"> define </w:t>
      </w:r>
      <w:r>
        <w:t xml:space="preserve">a </w:t>
      </w:r>
      <w:r w:rsidR="00A55467" w:rsidRPr="00A55467">
        <w:t>set of Local Community Requirements</w:t>
      </w:r>
      <w:r w:rsidR="0096594D">
        <w:t xml:space="preserve"> subject to such </w:t>
      </w:r>
      <w:r w:rsidR="00B01738">
        <w:t>r</w:t>
      </w:r>
      <w:r w:rsidR="0096594D">
        <w:t>equirements being incorporated to this Contract via the Change Control Procedure</w:t>
      </w:r>
      <w:r w:rsidR="007D7C8F">
        <w:t>.</w:t>
      </w:r>
    </w:p>
    <w:p w14:paraId="1ED12947" w14:textId="77777777" w:rsidR="0096594D" w:rsidRDefault="0096594D" w:rsidP="00A55467">
      <w:pPr>
        <w:pStyle w:val="Level2"/>
      </w:pPr>
      <w:r w:rsidRPr="002D5544">
        <w:t xml:space="preserve">Nothing under </w:t>
      </w:r>
      <w:r>
        <w:t>this paragraph 4</w:t>
      </w:r>
      <w:r w:rsidRPr="002D5544">
        <w:t xml:space="preserve"> shall prevent a local community from sourcing services that are available outside of this Contract </w:t>
      </w:r>
      <w:r w:rsidR="00B01738">
        <w:t>and which</w:t>
      </w:r>
      <w:r w:rsidR="00B01738" w:rsidRPr="002D5544">
        <w:t xml:space="preserve"> </w:t>
      </w:r>
      <w:r w:rsidRPr="002D5544">
        <w:t>are capable of achieving similar objectives for the local community.</w:t>
      </w:r>
    </w:p>
    <w:p w14:paraId="3618CF43" w14:textId="77777777" w:rsidR="00A55467" w:rsidRPr="00CD403B" w:rsidRDefault="00A55467" w:rsidP="00CD403B">
      <w:pPr>
        <w:pStyle w:val="Level1"/>
        <w:keepNext/>
        <w:rPr>
          <w:rStyle w:val="Level1asHeadingtext"/>
        </w:rPr>
      </w:pPr>
      <w:r w:rsidRPr="00CD403B">
        <w:rPr>
          <w:rStyle w:val="Level1asHeadingtext"/>
        </w:rPr>
        <w:fldChar w:fldCharType="begin"/>
      </w:r>
      <w:r w:rsidRPr="00CD403B">
        <w:instrText xml:space="preserve">  TC "</w:instrText>
      </w:r>
      <w:r w:rsidR="00B93D9A">
        <w:fldChar w:fldCharType="begin"/>
      </w:r>
      <w:r w:rsidR="00B93D9A">
        <w:instrText xml:space="preserve"> REF _Ref425577363 \r  \* MERGEFORMAT </w:instrText>
      </w:r>
      <w:r w:rsidR="00B93D9A">
        <w:fldChar w:fldCharType="separate"/>
      </w:r>
      <w:bookmarkStart w:id="26" w:name="_Toc467008163"/>
      <w:r w:rsidR="002953B6">
        <w:instrText>5</w:instrText>
      </w:r>
      <w:r w:rsidR="00B93D9A">
        <w:fldChar w:fldCharType="end"/>
      </w:r>
      <w:r w:rsidRPr="00CD403B">
        <w:tab/>
        <w:instrText>SERVICE LEVEL CATEGORY</w:instrText>
      </w:r>
      <w:bookmarkEnd w:id="26"/>
      <w:r w:rsidRPr="00CD403B">
        <w:instrText xml:space="preserve">" \l1 </w:instrText>
      </w:r>
      <w:r w:rsidRPr="00CD403B">
        <w:rPr>
          <w:rStyle w:val="Level1asHeadingtext"/>
        </w:rPr>
        <w:fldChar w:fldCharType="end"/>
      </w:r>
      <w:bookmarkStart w:id="27" w:name="_Ref425577363"/>
      <w:r w:rsidRPr="00CD403B">
        <w:rPr>
          <w:rStyle w:val="Level1asHeadingtext"/>
        </w:rPr>
        <w:t>Service Level Category</w:t>
      </w:r>
      <w:bookmarkEnd w:id="27"/>
    </w:p>
    <w:p w14:paraId="70D40FFC" w14:textId="77777777" w:rsidR="00A55467" w:rsidRPr="00A55467" w:rsidRDefault="00A55467" w:rsidP="00A55467">
      <w:pPr>
        <w:pStyle w:val="Level2"/>
      </w:pPr>
      <w:bookmarkStart w:id="28" w:name="_Ref455498423"/>
      <w:r w:rsidRPr="00A55467">
        <w:t xml:space="preserve">The Supplier Solution shall at all times meet or exceed the following service levels </w:t>
      </w:r>
      <w:r w:rsidR="00CC5838">
        <w:t>set out in paragraphs 5.1.1 and 5.1.2</w:t>
      </w:r>
      <w:r w:rsidR="00B01738">
        <w:t>,</w:t>
      </w:r>
      <w:r w:rsidR="00CC5838">
        <w:t xml:space="preserve"> </w:t>
      </w:r>
      <w:r w:rsidRPr="00A55467">
        <w:t>which together constitute the Minimum Service Requirements:</w:t>
      </w:r>
      <w:bookmarkEnd w:id="28"/>
    </w:p>
    <w:p w14:paraId="12761DCD" w14:textId="77777777" w:rsidR="00A55467" w:rsidRPr="00A55467" w:rsidRDefault="00A55467" w:rsidP="00A55467">
      <w:pPr>
        <w:pStyle w:val="Level3"/>
      </w:pPr>
      <w:bookmarkStart w:id="29" w:name="_Ref455591081"/>
      <w:r w:rsidRPr="00A55467">
        <w:t>The Supplier shall provide minimum network availability and support for its Retail Service Providers which shall include:</w:t>
      </w:r>
      <w:bookmarkEnd w:id="29"/>
    </w:p>
    <w:p w14:paraId="586200A3" w14:textId="453A3D28" w:rsidR="00A55467" w:rsidRPr="00A55467" w:rsidRDefault="00A55467" w:rsidP="00A55467">
      <w:pPr>
        <w:pStyle w:val="Level4"/>
      </w:pPr>
      <w:r w:rsidRPr="00A55467">
        <w:t>Network availability of 99.5%, measured on a monthly basis and in accordance with Good Industry Practice;</w:t>
      </w:r>
    </w:p>
    <w:p w14:paraId="42BF4BC6" w14:textId="77777777" w:rsidR="00A55467" w:rsidRPr="00A55467" w:rsidRDefault="00A55467" w:rsidP="00A55467">
      <w:pPr>
        <w:pStyle w:val="Level4"/>
      </w:pPr>
      <w:r w:rsidRPr="00A55467">
        <w:t>Trouble to Resolve (T2R) (as defined in NICC ND1626) time of a maximum of two (2) Working Days; and</w:t>
      </w:r>
    </w:p>
    <w:p w14:paraId="3FCACD9C" w14:textId="77777777" w:rsidR="00A55467" w:rsidRPr="00A55467" w:rsidRDefault="00A55467" w:rsidP="00A55467">
      <w:pPr>
        <w:pStyle w:val="Level4"/>
      </w:pPr>
      <w:r w:rsidRPr="00A55467">
        <w:t>technical support and customer care hours – 0800 to 1800 7 days a week.</w:t>
      </w:r>
    </w:p>
    <w:p w14:paraId="52BDBA79" w14:textId="0AEFD4EF" w:rsidR="00D04C3E" w:rsidRDefault="00A55467" w:rsidP="00A55467">
      <w:pPr>
        <w:pStyle w:val="Level3"/>
      </w:pPr>
      <w:bookmarkStart w:id="30" w:name="h.1t3h5sf" w:colFirst="0" w:colLast="0"/>
      <w:bookmarkStart w:id="31" w:name="_Ref455591088"/>
      <w:bookmarkStart w:id="32" w:name="_Ref456362969"/>
      <w:bookmarkEnd w:id="30"/>
      <w:r w:rsidRPr="00A55467" w:rsidDel="00F7623A">
        <w:t xml:space="preserve">The Supplier Solution </w:t>
      </w:r>
      <w:r w:rsidR="00E50FAD">
        <w:t xml:space="preserve">for </w:t>
      </w:r>
      <w:r w:rsidR="00AC23A4">
        <w:t>NGA</w:t>
      </w:r>
      <w:r w:rsidR="005330B8">
        <w:t>,</w:t>
      </w:r>
      <w:r w:rsidR="00AC23A4">
        <w:t xml:space="preserve"> Ultrafast </w:t>
      </w:r>
      <w:r w:rsidR="005330B8">
        <w:t xml:space="preserve">Broadband and Gigabit Broadband </w:t>
      </w:r>
      <w:r w:rsidR="00E50FAD">
        <w:t>Wholesale Access Product and Service</w:t>
      </w:r>
      <w:r w:rsidR="00AC23A4">
        <w:t>s</w:t>
      </w:r>
      <w:r w:rsidR="00E50FAD">
        <w:t xml:space="preserve"> </w:t>
      </w:r>
      <w:r w:rsidRPr="00A55467" w:rsidDel="00F7623A">
        <w:t xml:space="preserve">shall </w:t>
      </w:r>
      <w:r w:rsidR="004021F6">
        <w:t xml:space="preserve">be deployed by the Supplier </w:t>
      </w:r>
      <w:r w:rsidR="0096594D">
        <w:t xml:space="preserve">in a manner that will ensure </w:t>
      </w:r>
      <w:r w:rsidR="00536822">
        <w:t xml:space="preserve">when </w:t>
      </w:r>
      <w:r w:rsidR="0096594D">
        <w:t xml:space="preserve">a retail service is </w:t>
      </w:r>
      <w:r w:rsidR="00536822">
        <w:t xml:space="preserve">requested by a </w:t>
      </w:r>
      <w:r w:rsidRPr="00A55467" w:rsidDel="00F7623A">
        <w:t>Retail Service Provider</w:t>
      </w:r>
      <w:r w:rsidR="0096594D">
        <w:t xml:space="preserve"> that such orders can be provisioned to</w:t>
      </w:r>
      <w:r w:rsidRPr="00A55467" w:rsidDel="00F7623A">
        <w:t xml:space="preserve"> End Users with order, installation and availability service levels, including as a minimum a provisioning order installation timescale </w:t>
      </w:r>
      <w:r w:rsidR="00E50FAD">
        <w:t xml:space="preserve">assessed separately on a per Wholesale Access Product and Service basis </w:t>
      </w:r>
      <w:r w:rsidRPr="00A55467" w:rsidDel="00F7623A">
        <w:t xml:space="preserve">of 90% of all orders completed in </w:t>
      </w:r>
      <w:r w:rsidR="00060856">
        <w:t>ten</w:t>
      </w:r>
      <w:r w:rsidRPr="00A55467" w:rsidDel="00F7623A">
        <w:t xml:space="preserve"> (</w:t>
      </w:r>
      <w:r w:rsidR="00060856">
        <w:t>10</w:t>
      </w:r>
      <w:r w:rsidRPr="00A55467" w:rsidDel="00F7623A">
        <w:t xml:space="preserve">) Working Days and 100% of all orders completed in twenty (20) Working Days, </w:t>
      </w:r>
      <w:r w:rsidRPr="00A55467">
        <w:t>as</w:t>
      </w:r>
      <w:r w:rsidRPr="00A55467" w:rsidDel="00F7623A">
        <w:t xml:space="preserve"> calculated on a monthly basis.</w:t>
      </w:r>
      <w:bookmarkEnd w:id="31"/>
      <w:bookmarkEnd w:id="32"/>
    </w:p>
    <w:p w14:paraId="623EBBFA" w14:textId="0660378F" w:rsidR="00A55467" w:rsidRPr="00A55467" w:rsidRDefault="00D04C3E" w:rsidP="00A55467">
      <w:pPr>
        <w:pStyle w:val="Level3"/>
      </w:pPr>
      <w:r w:rsidRPr="00A55467" w:rsidDel="00F7623A">
        <w:t xml:space="preserve">The Supplier Solution </w:t>
      </w:r>
      <w:r>
        <w:t xml:space="preserve">for Wholesale Access Product and Service in respect of </w:t>
      </w:r>
      <w:r w:rsidR="00AC23A4" w:rsidRPr="00DD04F5">
        <w:t>Wholesale P</w:t>
      </w:r>
      <w:r w:rsidRPr="00DD04F5">
        <w:t xml:space="preserve">assive </w:t>
      </w:r>
      <w:r w:rsidR="00AC23A4" w:rsidRPr="00DD04F5">
        <w:t>Products</w:t>
      </w:r>
      <w:r w:rsidRPr="00DD04F5">
        <w:t>,</w:t>
      </w:r>
      <w:r>
        <w:t xml:space="preserve"> shall ensure provision of such services in accordance with the corresponding order, installation and availability services levels as specified in the Wholesale Product Template. </w:t>
      </w:r>
    </w:p>
    <w:p w14:paraId="1BBE4BA7" w14:textId="77777777" w:rsidR="00A55467" w:rsidRPr="00A55467" w:rsidRDefault="00A55467" w:rsidP="00A55467">
      <w:pPr>
        <w:pStyle w:val="Level2"/>
      </w:pPr>
      <w:r w:rsidRPr="00A55467">
        <w:t xml:space="preserve">In order to enable the Retail Service Providers to support the End User experience, the Supplier shall back up the achievement of the Minimum Service Requirements with appropriate service credits or similar mechanisms </w:t>
      </w:r>
      <w:r w:rsidRPr="00F954B6">
        <w:t>to incentivise performance</w:t>
      </w:r>
      <w:r w:rsidRPr="00A55467">
        <w:t xml:space="preserve"> and compensate the Retail Service Providers in the event that the Supplier fails to achieve any of the Minimum Service Requirements.</w:t>
      </w:r>
    </w:p>
    <w:p w14:paraId="6E68F35F" w14:textId="77777777" w:rsidR="00A55467" w:rsidRPr="00A55467" w:rsidRDefault="00A55467" w:rsidP="00A55467">
      <w:pPr>
        <w:pStyle w:val="Level2"/>
      </w:pPr>
      <w:r w:rsidRPr="00A55467">
        <w:t xml:space="preserve">The Supplier Solution shall provide integrated network access and data transport components to End User Premises and Handover Points that comply with all relevant Industry Standards or achieve functions/performance levels that are equivalent to or </w:t>
      </w:r>
      <w:r w:rsidRPr="00A55467">
        <w:lastRenderedPageBreak/>
        <w:t>better than those provided for by such standards as are necessary to ensure interoperability.</w:t>
      </w:r>
    </w:p>
    <w:p w14:paraId="4B4D7C12" w14:textId="77777777" w:rsidR="00A55467" w:rsidRPr="00A55467" w:rsidRDefault="00A55467" w:rsidP="00A55467">
      <w:pPr>
        <w:pStyle w:val="Level2"/>
      </w:pPr>
      <w:r w:rsidRPr="00A55467">
        <w:t xml:space="preserve">The Supplier shall mitigate and minimise, in accordance with Good Industry Practice, the number of single points of failure within the Network. </w:t>
      </w:r>
    </w:p>
    <w:p w14:paraId="769DA26A" w14:textId="77777777" w:rsidR="00A55467" w:rsidRPr="00A55467" w:rsidRDefault="00A55467" w:rsidP="00A55467">
      <w:pPr>
        <w:pStyle w:val="Level2"/>
      </w:pPr>
      <w:r w:rsidRPr="00A55467">
        <w:t xml:space="preserve">The Supplier Solution shall be capable of enabling </w:t>
      </w:r>
      <w:r w:rsidR="00B01738">
        <w:t>s</w:t>
      </w:r>
      <w:r w:rsidRPr="00A55467">
        <w:t xml:space="preserve">ymmetrical services for RSPs. </w:t>
      </w:r>
    </w:p>
    <w:p w14:paraId="186CC195" w14:textId="77777777" w:rsidR="00A55467" w:rsidRPr="00A55467" w:rsidRDefault="00A55467" w:rsidP="00A55467">
      <w:pPr>
        <w:pStyle w:val="Level2"/>
      </w:pPr>
      <w:r w:rsidRPr="00A55467">
        <w:t>The Supplier shall consider potential future demand by itself and alternative operators in the infrastructure design of the Supplier Solution and the deployment of physical assets, and shall design the Supplier Solution accordingly in order to minimise the likelihood of unnecessary further creation of infrastructure assets by itself or alternative operators.</w:t>
      </w:r>
    </w:p>
    <w:p w14:paraId="1F4B3B63" w14:textId="77777777" w:rsidR="00A55467" w:rsidRPr="00A55467" w:rsidRDefault="00A55467" w:rsidP="00A55467">
      <w:pPr>
        <w:pStyle w:val="Level1"/>
        <w:keepNext/>
        <w:rPr>
          <w:rStyle w:val="Level1asHeadingtext"/>
        </w:rPr>
      </w:pPr>
      <w:r w:rsidRPr="00A55467">
        <w:rPr>
          <w:rStyle w:val="Level1asHeadingtext"/>
        </w:rPr>
        <w:fldChar w:fldCharType="begin"/>
      </w:r>
      <w:r w:rsidRPr="00A55467">
        <w:instrText xml:space="preserve">  TC "</w:instrText>
      </w:r>
      <w:r w:rsidRPr="00A55467">
        <w:fldChar w:fldCharType="begin"/>
      </w:r>
      <w:r w:rsidRPr="00A55467">
        <w:instrText xml:space="preserve"> REF _Ref425577394 \r </w:instrText>
      </w:r>
      <w:r>
        <w:instrText xml:space="preserve"> \* MERGEFORMAT </w:instrText>
      </w:r>
      <w:r w:rsidRPr="00A55467">
        <w:fldChar w:fldCharType="separate"/>
      </w:r>
      <w:bookmarkStart w:id="33" w:name="_Toc467008164"/>
      <w:r w:rsidR="002953B6">
        <w:instrText>6</w:instrText>
      </w:r>
      <w:r w:rsidRPr="00A55467">
        <w:fldChar w:fldCharType="end"/>
      </w:r>
      <w:r w:rsidRPr="00A55467">
        <w:tab/>
        <w:instrText>OPERATIONS</w:instrText>
      </w:r>
      <w:bookmarkEnd w:id="33"/>
      <w:r w:rsidRPr="00A55467">
        <w:instrText xml:space="preserve">" \l1 </w:instrText>
      </w:r>
      <w:r w:rsidRPr="00A55467">
        <w:rPr>
          <w:rStyle w:val="Level1asHeadingtext"/>
        </w:rPr>
        <w:fldChar w:fldCharType="end"/>
      </w:r>
      <w:bookmarkStart w:id="34" w:name="_Ref425577394"/>
      <w:r w:rsidRPr="00A55467">
        <w:rPr>
          <w:rStyle w:val="Level1asHeadingtext"/>
        </w:rPr>
        <w:t>Operations</w:t>
      </w:r>
      <w:bookmarkEnd w:id="34"/>
    </w:p>
    <w:p w14:paraId="2431F8AB" w14:textId="77777777" w:rsidR="00A55467" w:rsidRPr="00A55467" w:rsidRDefault="00A55467" w:rsidP="00A55467">
      <w:pPr>
        <w:pStyle w:val="Level2"/>
      </w:pPr>
      <w:r w:rsidRPr="00A55467">
        <w:t xml:space="preserve">The Supplier shall provide the same Automated Retail Online Platform (capable of handling volume transactions) for use by all Retail Service Providers.  Where the Supplier is developing new systems and associated processes, these shall align with an industry standard service management framework (e.g. FTM Framework, eTOM, ITIL). </w:t>
      </w:r>
    </w:p>
    <w:p w14:paraId="2C1D7856" w14:textId="77777777" w:rsidR="00A55467" w:rsidRPr="00A55467" w:rsidRDefault="00A55467" w:rsidP="00A55467">
      <w:pPr>
        <w:pStyle w:val="Level2"/>
      </w:pPr>
      <w:r w:rsidRPr="00A55467">
        <w:t>The Supplier shall provide a Lead-to-Cash Process to support Retail Service Providers which, as a minimum, shall include the following:</w:t>
      </w:r>
    </w:p>
    <w:p w14:paraId="019E4846" w14:textId="77777777" w:rsidR="00A55467" w:rsidRPr="00A55467" w:rsidRDefault="00A55467" w:rsidP="00A55467">
      <w:pPr>
        <w:pStyle w:val="Level3"/>
      </w:pPr>
      <w:r w:rsidRPr="00A55467">
        <w:t>order entry;</w:t>
      </w:r>
    </w:p>
    <w:p w14:paraId="30474E6B" w14:textId="77777777" w:rsidR="00A55467" w:rsidRPr="00A55467" w:rsidRDefault="00A55467" w:rsidP="00A55467">
      <w:pPr>
        <w:pStyle w:val="Level3"/>
      </w:pPr>
      <w:r w:rsidRPr="00A55467">
        <w:t>order fulfilment such as line testing;</w:t>
      </w:r>
    </w:p>
    <w:p w14:paraId="3A98200F" w14:textId="77777777" w:rsidR="00A55467" w:rsidRPr="00A55467" w:rsidRDefault="00A55467" w:rsidP="00A55467">
      <w:pPr>
        <w:pStyle w:val="Level3"/>
      </w:pPr>
      <w:r w:rsidRPr="00A55467">
        <w:t>distribution;</w:t>
      </w:r>
    </w:p>
    <w:p w14:paraId="7912C5D6" w14:textId="77777777" w:rsidR="00A55467" w:rsidRPr="00A55467" w:rsidRDefault="00A55467" w:rsidP="00A55467">
      <w:pPr>
        <w:pStyle w:val="Level3"/>
      </w:pPr>
      <w:r w:rsidRPr="00A55467">
        <w:t>billing and invoicing; and</w:t>
      </w:r>
    </w:p>
    <w:p w14:paraId="603C97EE" w14:textId="77777777" w:rsidR="00A55467" w:rsidRPr="00A55467" w:rsidRDefault="00A55467" w:rsidP="00A55467">
      <w:pPr>
        <w:pStyle w:val="Level3"/>
      </w:pPr>
      <w:r w:rsidRPr="00A55467">
        <w:t>buyer payment/collection.</w:t>
      </w:r>
    </w:p>
    <w:p w14:paraId="0F9D629A" w14:textId="77777777" w:rsidR="00A55467" w:rsidRPr="00A55467" w:rsidRDefault="00A55467" w:rsidP="00A55467">
      <w:pPr>
        <w:pStyle w:val="Level2"/>
      </w:pPr>
      <w:r w:rsidRPr="00A55467">
        <w:t>The Supplier Solution shall include capabilities so as to be able to service MACDs.</w:t>
      </w:r>
    </w:p>
    <w:p w14:paraId="23DC58F5" w14:textId="77777777" w:rsidR="00A55467" w:rsidRPr="00A55467" w:rsidRDefault="00A55467" w:rsidP="00A55467">
      <w:pPr>
        <w:pStyle w:val="Level2"/>
      </w:pPr>
      <w:r w:rsidRPr="00A55467">
        <w:t>The Supplier shall provide full OSS facilities to provide high quality and on-going operational management to Retail Service Providers, and which as a minimum shall include:</w:t>
      </w:r>
    </w:p>
    <w:p w14:paraId="574D6C85" w14:textId="77777777" w:rsidR="00A55467" w:rsidRPr="00A55467" w:rsidRDefault="00A55467" w:rsidP="00A55467">
      <w:pPr>
        <w:pStyle w:val="Level3"/>
      </w:pPr>
      <w:r w:rsidRPr="00A55467">
        <w:t>maintaining network inventory (including both physical and logical);</w:t>
      </w:r>
    </w:p>
    <w:p w14:paraId="50490906" w14:textId="77777777" w:rsidR="00A55467" w:rsidRPr="00A55467" w:rsidRDefault="00A55467" w:rsidP="00A55467">
      <w:pPr>
        <w:pStyle w:val="Level3"/>
      </w:pPr>
      <w:r w:rsidRPr="00A55467">
        <w:t>providing communications providers with location-based, capacity management information for all offered products on subsidised infrastructure;</w:t>
      </w:r>
    </w:p>
    <w:p w14:paraId="1CEC1BCD" w14:textId="77777777" w:rsidR="00A55467" w:rsidRPr="00A55467" w:rsidRDefault="00A55467" w:rsidP="00A55467">
      <w:pPr>
        <w:pStyle w:val="Level3"/>
      </w:pPr>
      <w:r w:rsidRPr="00A55467">
        <w:t>provisioning services;</w:t>
      </w:r>
    </w:p>
    <w:p w14:paraId="28F33B2D" w14:textId="77777777" w:rsidR="00A55467" w:rsidRPr="00A55467" w:rsidRDefault="00A55467" w:rsidP="00A55467">
      <w:pPr>
        <w:pStyle w:val="Level3"/>
      </w:pPr>
      <w:r w:rsidRPr="00A55467">
        <w:t>configuring network components;</w:t>
      </w:r>
    </w:p>
    <w:p w14:paraId="1631ED90" w14:textId="77777777" w:rsidR="00A55467" w:rsidRPr="00A55467" w:rsidRDefault="00A55467" w:rsidP="00A55467">
      <w:pPr>
        <w:pStyle w:val="Level3"/>
      </w:pPr>
      <w:r w:rsidRPr="00A55467">
        <w:t>monitoring and managing performance using relevant performance indicators;</w:t>
      </w:r>
    </w:p>
    <w:p w14:paraId="14737A57" w14:textId="77777777" w:rsidR="00A55467" w:rsidRPr="00A55467" w:rsidRDefault="00A55467" w:rsidP="00A55467">
      <w:pPr>
        <w:pStyle w:val="Level3"/>
      </w:pPr>
      <w:r w:rsidRPr="00A55467">
        <w:t>monitoring and managing faults;</w:t>
      </w:r>
    </w:p>
    <w:p w14:paraId="2D292AF5" w14:textId="77777777" w:rsidR="00A55467" w:rsidRPr="00A55467" w:rsidRDefault="00A55467" w:rsidP="00A55467">
      <w:pPr>
        <w:pStyle w:val="Level3"/>
      </w:pPr>
      <w:r w:rsidRPr="00A55467">
        <w:t>trouble-ticketing; and</w:t>
      </w:r>
    </w:p>
    <w:p w14:paraId="1F61BA32" w14:textId="77777777" w:rsidR="00A55467" w:rsidRPr="00A55467" w:rsidRDefault="00A55467" w:rsidP="00A55467">
      <w:pPr>
        <w:pStyle w:val="Level3"/>
      </w:pPr>
      <w:r w:rsidRPr="00A55467">
        <w:t>service assurance.</w:t>
      </w:r>
    </w:p>
    <w:p w14:paraId="0330C4B1" w14:textId="77777777" w:rsidR="00A55467" w:rsidRPr="00A55467" w:rsidRDefault="00A55467" w:rsidP="00A55467">
      <w:pPr>
        <w:pStyle w:val="Level2"/>
      </w:pPr>
      <w:r w:rsidRPr="00A55467">
        <w:lastRenderedPageBreak/>
        <w:t xml:space="preserve">The Supplier's OSS shall be designed so as to be capable of being scaled to manage increased Take-up delivered by Retail Service Providers as necessary to achieve the Minimum Service Requirements. All OSS/BSS Supplier systems that are not as at the date of this Contract capable of dealing with large volumes of operations shall be upgraded as part of the Deployed Services so as to become compliant with the NICC B2B specifications or equivalent Industry Standards. </w:t>
      </w:r>
    </w:p>
    <w:p w14:paraId="00F67A72" w14:textId="77777777" w:rsidR="00A55467" w:rsidRPr="00A55467" w:rsidRDefault="00A55467" w:rsidP="00A55467">
      <w:pPr>
        <w:pStyle w:val="Level2"/>
      </w:pPr>
      <w:bookmarkStart w:id="35" w:name="h.4d34og8" w:colFirst="0" w:colLast="0"/>
      <w:bookmarkStart w:id="36" w:name="_Ref344892635"/>
      <w:bookmarkEnd w:id="35"/>
      <w:r w:rsidRPr="00A55467">
        <w:t>The Supplier shall operate a BSS, which as a minimum shall include the following B2B processes:</w:t>
      </w:r>
      <w:bookmarkEnd w:id="36"/>
    </w:p>
    <w:p w14:paraId="0AC4071D" w14:textId="77777777" w:rsidR="00A55467" w:rsidRPr="00A55467" w:rsidRDefault="00A55467" w:rsidP="00A55467">
      <w:pPr>
        <w:pStyle w:val="Level3"/>
      </w:pPr>
      <w:r w:rsidRPr="00A55467">
        <w:t>RSP contact service;</w:t>
      </w:r>
    </w:p>
    <w:p w14:paraId="1D51A7A4" w14:textId="77777777" w:rsidR="00A55467" w:rsidRPr="00A55467" w:rsidRDefault="00A55467" w:rsidP="00A55467">
      <w:pPr>
        <w:pStyle w:val="Level3"/>
      </w:pPr>
      <w:r w:rsidRPr="00A55467">
        <w:t>customer relationship management;</w:t>
      </w:r>
    </w:p>
    <w:p w14:paraId="60990990" w14:textId="77777777" w:rsidR="00A55467" w:rsidRPr="00A55467" w:rsidRDefault="00A55467" w:rsidP="00A55467">
      <w:pPr>
        <w:pStyle w:val="Level3"/>
      </w:pPr>
      <w:r w:rsidRPr="00A55467">
        <w:t>order management;</w:t>
      </w:r>
    </w:p>
    <w:p w14:paraId="6A10B433" w14:textId="77777777" w:rsidR="00A55467" w:rsidRPr="00A55467" w:rsidRDefault="00A55467" w:rsidP="00A55467">
      <w:pPr>
        <w:pStyle w:val="Level3"/>
      </w:pPr>
      <w:r w:rsidRPr="00A55467">
        <w:t>order fulfilment;</w:t>
      </w:r>
    </w:p>
    <w:p w14:paraId="1DDDEF08" w14:textId="77777777" w:rsidR="00A55467" w:rsidRPr="00A55467" w:rsidRDefault="00A55467" w:rsidP="00A55467">
      <w:pPr>
        <w:pStyle w:val="Level3"/>
      </w:pPr>
      <w:r w:rsidRPr="00A55467">
        <w:t>service activation; and</w:t>
      </w:r>
    </w:p>
    <w:p w14:paraId="6627CBF6" w14:textId="77777777" w:rsidR="00A55467" w:rsidRPr="00A55467" w:rsidRDefault="00A55467" w:rsidP="00A55467">
      <w:pPr>
        <w:pStyle w:val="Level3"/>
      </w:pPr>
      <w:r w:rsidRPr="00A55467">
        <w:t>billing and invoicing.</w:t>
      </w:r>
    </w:p>
    <w:p w14:paraId="1FC89634" w14:textId="77777777" w:rsidR="00A55467" w:rsidRPr="00A55467" w:rsidRDefault="00A55467" w:rsidP="00A55467">
      <w:pPr>
        <w:pStyle w:val="Level2"/>
      </w:pPr>
      <w:r w:rsidRPr="00A55467">
        <w:t>The Supplier's BSS shall be designed so as to be capable of being scaled to manage increased Take-up delivered by Retail Service Providers whilst continuing to meet at least the Minimum Service Requirements.</w:t>
      </w:r>
    </w:p>
    <w:p w14:paraId="6D3709B3" w14:textId="77777777" w:rsidR="00A55467" w:rsidRPr="00A55467" w:rsidRDefault="00A55467" w:rsidP="00A55467">
      <w:pPr>
        <w:pStyle w:val="Level2"/>
      </w:pPr>
      <w:r w:rsidRPr="00A55467">
        <w:t>The Supplier shall provide a service management model which describes the processes and communication needed to address disputes with and complaints from Retail Service Providers, including a dispute escalation procedure.</w:t>
      </w:r>
    </w:p>
    <w:p w14:paraId="737C1CCC" w14:textId="77777777" w:rsidR="00A55467" w:rsidRPr="00A55467" w:rsidRDefault="00A55467" w:rsidP="00A55467">
      <w:pPr>
        <w:pStyle w:val="Level2"/>
      </w:pPr>
      <w:r w:rsidRPr="00A55467">
        <w:t>The Supplier shall have standard OSS and BSS processes and procedures for Retail Service Providers. These shall, as applicable, comply with the relevant NICC standards, or Industry Standards, or achieve functions/performance levels that are equivalent to or better than those standards.</w:t>
      </w:r>
    </w:p>
    <w:p w14:paraId="7B69B937" w14:textId="77777777" w:rsidR="00A55467" w:rsidRPr="00A55467" w:rsidRDefault="00A55467" w:rsidP="00A55467">
      <w:pPr>
        <w:pStyle w:val="Level2"/>
      </w:pPr>
      <w:r w:rsidRPr="00A55467">
        <w:t>The Supplier Solution shall enable RSPs using it to adhere to Ofcom's Approved Code of Practice for Complaints Handling as the same may be amended, updated or replaced from time to time.</w:t>
      </w:r>
    </w:p>
    <w:p w14:paraId="21F35D9B" w14:textId="77777777" w:rsidR="00A55467" w:rsidRPr="00A55467" w:rsidRDefault="00A55467" w:rsidP="00A55467">
      <w:pPr>
        <w:pStyle w:val="Level2"/>
      </w:pPr>
      <w:r w:rsidRPr="00A55467">
        <w:t>The Supplier shall report on Take Up, RSP availability, active wholesale connections and average end user pricing as set out in Schedule 6.4</w:t>
      </w:r>
      <w:r w:rsidR="00B01738">
        <w:t xml:space="preserve"> (Reports)</w:t>
      </w:r>
      <w:r w:rsidRPr="00A55467">
        <w:t xml:space="preserve">. </w:t>
      </w:r>
    </w:p>
    <w:p w14:paraId="105AC912" w14:textId="77777777" w:rsidR="00A55467" w:rsidRPr="00A55467" w:rsidRDefault="00A55467" w:rsidP="00A55467">
      <w:pPr>
        <w:pStyle w:val="Level1"/>
        <w:keepNext/>
        <w:rPr>
          <w:rStyle w:val="Level1asHeadingtext"/>
        </w:rPr>
      </w:pPr>
      <w:r w:rsidRPr="00A55467">
        <w:rPr>
          <w:rStyle w:val="Level1asHeadingtext"/>
        </w:rPr>
        <w:fldChar w:fldCharType="begin"/>
      </w:r>
      <w:r w:rsidRPr="00A55467">
        <w:instrText xml:space="preserve">  TC "</w:instrText>
      </w:r>
      <w:r w:rsidRPr="00A55467">
        <w:fldChar w:fldCharType="begin"/>
      </w:r>
      <w:r w:rsidRPr="00A55467">
        <w:instrText xml:space="preserve"> REF _Ref425577472 \r </w:instrText>
      </w:r>
      <w:r>
        <w:instrText xml:space="preserve"> \* MERGEFORMAT </w:instrText>
      </w:r>
      <w:r w:rsidRPr="00A55467">
        <w:fldChar w:fldCharType="separate"/>
      </w:r>
      <w:bookmarkStart w:id="37" w:name="_Toc467008165"/>
      <w:r w:rsidR="002953B6">
        <w:instrText>7</w:instrText>
      </w:r>
      <w:r w:rsidRPr="00A55467">
        <w:fldChar w:fldCharType="end"/>
      </w:r>
      <w:r w:rsidRPr="00A55467">
        <w:tab/>
        <w:instrText>PROJECT DELIVERY</w:instrText>
      </w:r>
      <w:bookmarkEnd w:id="37"/>
      <w:r w:rsidRPr="00A55467">
        <w:instrText xml:space="preserve">" \l1 </w:instrText>
      </w:r>
      <w:r w:rsidRPr="00A55467">
        <w:rPr>
          <w:rStyle w:val="Level1asHeadingtext"/>
        </w:rPr>
        <w:fldChar w:fldCharType="end"/>
      </w:r>
      <w:bookmarkStart w:id="38" w:name="_Ref425577472"/>
      <w:r w:rsidRPr="00A55467">
        <w:rPr>
          <w:rStyle w:val="Level1asHeadingtext"/>
        </w:rPr>
        <w:t>Project Delivery</w:t>
      </w:r>
      <w:bookmarkEnd w:id="38"/>
    </w:p>
    <w:p w14:paraId="05E06F24" w14:textId="77777777" w:rsidR="00A55467" w:rsidRPr="00A55467" w:rsidRDefault="00A55467" w:rsidP="00A55467">
      <w:pPr>
        <w:pStyle w:val="Level2"/>
      </w:pPr>
      <w:r w:rsidRPr="00A55467">
        <w:t>The Supplier shall roll out the Network and its Wholesale Access Products and Services in accordance with this Contract and in doing so shall:</w:t>
      </w:r>
    </w:p>
    <w:p w14:paraId="0E146304" w14:textId="77777777" w:rsidR="00A55467" w:rsidRPr="00A55467" w:rsidRDefault="00A55467" w:rsidP="00A55467">
      <w:pPr>
        <w:pStyle w:val="Level3"/>
      </w:pPr>
      <w:r w:rsidRPr="00A55467">
        <w:t>adopt a standard project management approach;</w:t>
      </w:r>
    </w:p>
    <w:p w14:paraId="3F274700" w14:textId="4A1C8872" w:rsidR="00A55467" w:rsidRDefault="00A55467" w:rsidP="00A55467">
      <w:pPr>
        <w:pStyle w:val="Level3"/>
      </w:pPr>
      <w:r w:rsidRPr="00A55467">
        <w:t>meet</w:t>
      </w:r>
      <w:r w:rsidR="00124875">
        <w:t>,</w:t>
      </w:r>
      <w:r w:rsidRPr="00A55467">
        <w:t xml:space="preserve"> communicate</w:t>
      </w:r>
      <w:r w:rsidR="00124875">
        <w:t xml:space="preserve"> and co-operate</w:t>
      </w:r>
      <w:r w:rsidRPr="00A55467">
        <w:t xml:space="preserve"> with the Authority </w:t>
      </w:r>
      <w:r w:rsidR="00124875">
        <w:t>as required in accordance with this Contract to allow the Authority to adequately understand progress of the project, achievement of Milestones and associated issues and risks</w:t>
      </w:r>
      <w:r w:rsidR="007D7C8F">
        <w:t>.</w:t>
      </w:r>
    </w:p>
    <w:p w14:paraId="60DBADD4" w14:textId="77777777" w:rsidR="00A55467" w:rsidRPr="00A55467" w:rsidRDefault="00A55467" w:rsidP="00A55467">
      <w:pPr>
        <w:pStyle w:val="Level2"/>
      </w:pPr>
      <w:r w:rsidRPr="00A55467">
        <w:t>The Supplier shall, where the Authority's investment includes European Regional Development Fund (ERDF) funds, meet standards required by ERDF as identified in Schedule 5.</w:t>
      </w:r>
      <w:r w:rsidR="00124875">
        <w:t>5</w:t>
      </w:r>
      <w:r w:rsidRPr="00A55467">
        <w:t xml:space="preserve"> (</w:t>
      </w:r>
      <w:r w:rsidR="00576356">
        <w:t xml:space="preserve">External </w:t>
      </w:r>
      <w:r w:rsidRPr="00A55467">
        <w:t xml:space="preserve">Funding) of this Contract. </w:t>
      </w:r>
    </w:p>
    <w:p w14:paraId="66A88E42" w14:textId="77777777" w:rsidR="00A55467" w:rsidRPr="00A55467" w:rsidRDefault="00A55467" w:rsidP="00A55467">
      <w:pPr>
        <w:pStyle w:val="Level2"/>
      </w:pPr>
      <w:r w:rsidRPr="00A55467">
        <w:t>The Supplier Solution shall include:</w:t>
      </w:r>
    </w:p>
    <w:p w14:paraId="6B66578F" w14:textId="77777777" w:rsidR="00A55467" w:rsidRPr="00A55467" w:rsidRDefault="00A55467" w:rsidP="00A55467">
      <w:pPr>
        <w:pStyle w:val="Level3"/>
      </w:pPr>
      <w:r w:rsidRPr="00A55467">
        <w:lastRenderedPageBreak/>
        <w:t>the agreed and defined Milestones for delivery of the Supplier Solution;</w:t>
      </w:r>
    </w:p>
    <w:p w14:paraId="503A0421" w14:textId="77777777" w:rsidR="00A55467" w:rsidRPr="00A55467" w:rsidRDefault="00A55467" w:rsidP="00A55467">
      <w:pPr>
        <w:pStyle w:val="Level3"/>
      </w:pPr>
      <w:r w:rsidRPr="00A55467">
        <w:t>the timetable for the preparation and delivery of the Supplier's detailed marketing strategy;</w:t>
      </w:r>
    </w:p>
    <w:p w14:paraId="5CBD5781" w14:textId="77777777" w:rsidR="003B089B" w:rsidRPr="00A55467" w:rsidRDefault="00A55467" w:rsidP="00A55467">
      <w:pPr>
        <w:pStyle w:val="Level3"/>
      </w:pPr>
      <w:r w:rsidRPr="00A55467">
        <w:t>the Supplier's change management process for change to the Project Plan, an example of which could be the rollout delivery phasing;</w:t>
      </w:r>
    </w:p>
    <w:p w14:paraId="66D2D0D2" w14:textId="77777777" w:rsidR="00A55467" w:rsidRPr="00A55467" w:rsidRDefault="00A55467" w:rsidP="00A55467">
      <w:pPr>
        <w:pStyle w:val="Level3"/>
      </w:pPr>
      <w:r w:rsidRPr="00A55467">
        <w:t>details of the Supplier's project management processes including its procedures, standards, tools and documentation that it will use to deliver its Supplier Solution;</w:t>
      </w:r>
    </w:p>
    <w:p w14:paraId="40A1E3C7" w14:textId="77777777" w:rsidR="00A55467" w:rsidRPr="00A55467" w:rsidRDefault="00A55467" w:rsidP="00A55467">
      <w:pPr>
        <w:pStyle w:val="Level3"/>
      </w:pPr>
      <w:r w:rsidRPr="00A55467">
        <w:t>details of the Supplier's quality management process, including standards, tools and key performance indicators that shall be used by the Supplier to deliver the Supplier Solution;</w:t>
      </w:r>
    </w:p>
    <w:p w14:paraId="1DAC1AD1" w14:textId="77777777" w:rsidR="00A55467" w:rsidRPr="00A55467" w:rsidRDefault="00A55467" w:rsidP="00A55467">
      <w:pPr>
        <w:pStyle w:val="Level3"/>
      </w:pPr>
      <w:r w:rsidRPr="00A55467">
        <w:t>the Supplier's project organisation and staffing including key roles and responsibilities</w:t>
      </w:r>
      <w:r w:rsidR="00156AE0">
        <w:t>;</w:t>
      </w:r>
    </w:p>
    <w:p w14:paraId="6E8D8F60" w14:textId="77777777" w:rsidR="00A55467" w:rsidRPr="00A55467" w:rsidRDefault="00A55467" w:rsidP="00A55467">
      <w:pPr>
        <w:pStyle w:val="Level3"/>
      </w:pPr>
      <w:r w:rsidRPr="00A55467">
        <w:t xml:space="preserve">the type of project team availability (on site / back office / remotely / on call, </w:t>
      </w:r>
      <w:r w:rsidR="00125965" w:rsidRPr="00A55467">
        <w:t>etc.</w:t>
      </w:r>
      <w:r w:rsidRPr="00A55467">
        <w:t>) during the various project phases;</w:t>
      </w:r>
    </w:p>
    <w:p w14:paraId="47C252B5" w14:textId="77777777" w:rsidR="00A55467" w:rsidRPr="00A55467" w:rsidRDefault="00A55467" w:rsidP="00A55467">
      <w:pPr>
        <w:pStyle w:val="Level3"/>
      </w:pPr>
      <w:r w:rsidRPr="00A55467">
        <w:t>a detailed project plan for each Phase including key planning information with respect to the design, build and testing of the Supplier Solution associated with each Milestone;</w:t>
      </w:r>
    </w:p>
    <w:p w14:paraId="04EBB4E9" w14:textId="77777777" w:rsidR="00A55467" w:rsidRPr="00A55467" w:rsidRDefault="00A55467" w:rsidP="00A55467">
      <w:pPr>
        <w:pStyle w:val="Level3"/>
      </w:pPr>
      <w:r w:rsidRPr="00A55467">
        <w:t>details of the Wholesale Access Product and Service documentation to be provided by the Supplier to Retail Service Providers and the Authority, such as functional and technical admin specifications and guides, training manuals, configuration and customisation manuals; and</w:t>
      </w:r>
    </w:p>
    <w:p w14:paraId="6188093D" w14:textId="77777777" w:rsidR="00A55467" w:rsidRPr="00A55467" w:rsidRDefault="00A55467" w:rsidP="00A55467">
      <w:pPr>
        <w:pStyle w:val="Level3"/>
      </w:pPr>
      <w:r w:rsidRPr="00A55467">
        <w:t>details of the Supplier's project finance management processes, including with respect to audit.</w:t>
      </w:r>
    </w:p>
    <w:p w14:paraId="3AD744A6" w14:textId="485F5C59" w:rsidR="00100646" w:rsidRDefault="00100646" w:rsidP="00100646">
      <w:pPr>
        <w:pStyle w:val="Level2"/>
      </w:pPr>
      <w:r>
        <w:t>T</w:t>
      </w:r>
      <w:r w:rsidRPr="00A55467">
        <w:t>he Supplier</w:t>
      </w:r>
      <w:r>
        <w:t xml:space="preserve"> shall produce and maintain suitable documentation, information and records such that it can at all times demonstrate to the Authority on request that the Supplier Solution will provide the required Network performance as specified in the Supplier Solution, which shall include:</w:t>
      </w:r>
    </w:p>
    <w:p w14:paraId="6F7165D3" w14:textId="77777777" w:rsidR="00100646" w:rsidRPr="00A55467" w:rsidRDefault="00100646" w:rsidP="00100646">
      <w:pPr>
        <w:pStyle w:val="Level4"/>
        <w:numPr>
          <w:ilvl w:val="0"/>
          <w:numId w:val="0"/>
        </w:numPr>
        <w:ind w:left="1702" w:hanging="851"/>
      </w:pPr>
      <w:r>
        <w:t>In the case of a fibre based solution:</w:t>
      </w:r>
    </w:p>
    <w:p w14:paraId="6C5C4177" w14:textId="2F7C06E4" w:rsidR="00100646" w:rsidRPr="00D04C3E" w:rsidRDefault="00100646" w:rsidP="00100646">
      <w:pPr>
        <w:pStyle w:val="Level3"/>
      </w:pPr>
      <w:r w:rsidRPr="00A55467">
        <w:t xml:space="preserve">A list </w:t>
      </w:r>
      <w:r w:rsidR="00153803">
        <w:t>of S</w:t>
      </w:r>
      <w:r w:rsidRPr="00D04C3E">
        <w:t>tructures to be built under the Supplier Solution;</w:t>
      </w:r>
    </w:p>
    <w:p w14:paraId="2A486F23" w14:textId="77777777" w:rsidR="00100646" w:rsidRPr="00D04C3E" w:rsidRDefault="00100646" w:rsidP="00100646">
      <w:pPr>
        <w:pStyle w:val="Level3"/>
      </w:pPr>
      <w:r w:rsidRPr="00D04C3E">
        <w:t>The network design, topology and element dimensioning;</w:t>
      </w:r>
    </w:p>
    <w:p w14:paraId="37DC63C3" w14:textId="3BF52346" w:rsidR="00100646" w:rsidRPr="00D04C3E" w:rsidRDefault="00100646" w:rsidP="00100646">
      <w:pPr>
        <w:pStyle w:val="Level3"/>
      </w:pPr>
      <w:r w:rsidRPr="00D04C3E">
        <w:t>The list of NGA white premises and</w:t>
      </w:r>
      <w:r w:rsidR="00153803">
        <w:t xml:space="preserve"> applicable postcodes for each S</w:t>
      </w:r>
      <w:r w:rsidRPr="00D04C3E">
        <w:t>tructure.</w:t>
      </w:r>
    </w:p>
    <w:p w14:paraId="1CEC05B6" w14:textId="77777777" w:rsidR="00100646" w:rsidRPr="00A55467" w:rsidRDefault="00100646" w:rsidP="00100646">
      <w:pPr>
        <w:pStyle w:val="Level4"/>
        <w:numPr>
          <w:ilvl w:val="0"/>
          <w:numId w:val="0"/>
        </w:numPr>
        <w:ind w:left="1702" w:hanging="851"/>
      </w:pPr>
      <w:r w:rsidRPr="00A55467">
        <w:t>In the case of a wireless based solution:</w:t>
      </w:r>
    </w:p>
    <w:p w14:paraId="25A3D0BD" w14:textId="77777777" w:rsidR="00100646" w:rsidRPr="00A55467" w:rsidRDefault="00100646" w:rsidP="00100646">
      <w:pPr>
        <w:pStyle w:val="Level3"/>
      </w:pPr>
      <w:r w:rsidRPr="00A55467">
        <w:t>The network design, topology and element dimensioning;</w:t>
      </w:r>
    </w:p>
    <w:p w14:paraId="188BB04A" w14:textId="77777777" w:rsidR="00100646" w:rsidRPr="00A55467" w:rsidRDefault="00100646" w:rsidP="00100646">
      <w:pPr>
        <w:pStyle w:val="Level3"/>
      </w:pPr>
      <w:r w:rsidRPr="00A55467">
        <w:t>Radio and interference plans that are specific to the proposed technologies;</w:t>
      </w:r>
    </w:p>
    <w:p w14:paraId="41F6C141" w14:textId="77777777" w:rsidR="00100646" w:rsidRPr="00A55467" w:rsidRDefault="00100646" w:rsidP="00100646">
      <w:pPr>
        <w:pStyle w:val="Level3"/>
      </w:pPr>
      <w:r w:rsidRPr="00A55467">
        <w:t>Frequency plan;</w:t>
      </w:r>
    </w:p>
    <w:p w14:paraId="3260A132" w14:textId="77777777" w:rsidR="00100646" w:rsidRPr="00A55467" w:rsidRDefault="00100646" w:rsidP="00100646">
      <w:pPr>
        <w:pStyle w:val="Level3"/>
      </w:pPr>
      <w:r w:rsidRPr="00A55467">
        <w:t>The list of NGA white Premises and applicable postcodes that will receive a</w:t>
      </w:r>
      <w:r>
        <w:t>n</w:t>
      </w:r>
      <w:r w:rsidRPr="00A55467">
        <w:t xml:space="preserve"> NGA solution.</w:t>
      </w:r>
    </w:p>
    <w:p w14:paraId="4014D90D" w14:textId="77777777" w:rsidR="00100646" w:rsidRPr="00A55467" w:rsidRDefault="00100646" w:rsidP="00100646">
      <w:pPr>
        <w:pStyle w:val="Level4"/>
        <w:numPr>
          <w:ilvl w:val="0"/>
          <w:numId w:val="0"/>
        </w:numPr>
        <w:ind w:left="851"/>
      </w:pPr>
      <w:r w:rsidRPr="00A55467">
        <w:t xml:space="preserve">In the case of other solutions, should include comparable </w:t>
      </w:r>
      <w:r>
        <w:t xml:space="preserve">documentation, </w:t>
      </w:r>
      <w:r w:rsidRPr="00A55467">
        <w:t xml:space="preserve">information </w:t>
      </w:r>
      <w:r>
        <w:t xml:space="preserve">and records </w:t>
      </w:r>
      <w:r w:rsidRPr="00A55467">
        <w:t>to that outlined above</w:t>
      </w:r>
      <w:r>
        <w:t>.</w:t>
      </w:r>
    </w:p>
    <w:p w14:paraId="7AD7920C" w14:textId="77777777" w:rsidR="00A55467" w:rsidRPr="00A55467" w:rsidRDefault="00A55467" w:rsidP="00A55467">
      <w:pPr>
        <w:pStyle w:val="Level2"/>
      </w:pPr>
      <w:r w:rsidRPr="00A55467">
        <w:lastRenderedPageBreak/>
        <w:t xml:space="preserve">During the term of this Contract the Supplier shall </w:t>
      </w:r>
      <w:r w:rsidR="008E5246">
        <w:t>provide</w:t>
      </w:r>
      <w:r w:rsidRPr="00A55467">
        <w:t xml:space="preserve"> assist</w:t>
      </w:r>
      <w:r w:rsidR="008E5246">
        <w:t xml:space="preserve">ance to </w:t>
      </w:r>
      <w:r w:rsidRPr="00A55467">
        <w:t xml:space="preserve">the Authority </w:t>
      </w:r>
      <w:r w:rsidR="008E5246">
        <w:t xml:space="preserve"> which may include</w:t>
      </w:r>
      <w:r w:rsidRPr="00A55467">
        <w:t xml:space="preserve">: </w:t>
      </w:r>
    </w:p>
    <w:p w14:paraId="3B0ADDC1" w14:textId="77777777" w:rsidR="00A55467" w:rsidRPr="00A55467" w:rsidRDefault="00A55467" w:rsidP="00A55467">
      <w:pPr>
        <w:pStyle w:val="Level3"/>
      </w:pPr>
      <w:r w:rsidRPr="00A55467">
        <w:t>test validation reports;</w:t>
      </w:r>
    </w:p>
    <w:p w14:paraId="2AEA17A5" w14:textId="77777777" w:rsidR="00A55467" w:rsidRPr="00A55467" w:rsidRDefault="00A55467" w:rsidP="00A55467">
      <w:pPr>
        <w:pStyle w:val="Level3"/>
      </w:pPr>
      <w:r w:rsidRPr="00A55467">
        <w:t>site visits;</w:t>
      </w:r>
    </w:p>
    <w:p w14:paraId="7199E94F" w14:textId="77777777" w:rsidR="00A55467" w:rsidRPr="00A55467" w:rsidRDefault="00A55467" w:rsidP="00A55467">
      <w:pPr>
        <w:pStyle w:val="Level3"/>
      </w:pPr>
      <w:r w:rsidRPr="00A55467">
        <w:t>systems/records review;</w:t>
      </w:r>
    </w:p>
    <w:p w14:paraId="389869C5" w14:textId="77777777" w:rsidR="00A55467" w:rsidRPr="00A55467" w:rsidRDefault="00A55467" w:rsidP="00A55467">
      <w:pPr>
        <w:pStyle w:val="Level3"/>
      </w:pPr>
      <w:r w:rsidRPr="00A55467">
        <w:t>field strength measurements and surveys;</w:t>
      </w:r>
    </w:p>
    <w:p w14:paraId="4A1E7DF6" w14:textId="77777777" w:rsidR="00A55467" w:rsidRPr="00A55467" w:rsidRDefault="00A55467" w:rsidP="00A55467">
      <w:pPr>
        <w:pStyle w:val="Level3"/>
      </w:pPr>
      <w:r w:rsidRPr="00A55467">
        <w:t>witnessing testing; and</w:t>
      </w:r>
    </w:p>
    <w:p w14:paraId="0ED32694" w14:textId="77777777" w:rsidR="00A55467" w:rsidRPr="00A55467" w:rsidRDefault="00A55467" w:rsidP="00A55467">
      <w:pPr>
        <w:pStyle w:val="Level3"/>
      </w:pPr>
      <w:r w:rsidRPr="00A55467">
        <w:t>End User visits.</w:t>
      </w:r>
    </w:p>
    <w:bookmarkStart w:id="39" w:name="h.17dp8vu" w:colFirst="0" w:colLast="0"/>
    <w:bookmarkEnd w:id="39"/>
    <w:p w14:paraId="557BB7EF" w14:textId="77777777" w:rsidR="00A55467" w:rsidRPr="00A55467" w:rsidRDefault="00A55467" w:rsidP="00A55467">
      <w:pPr>
        <w:pStyle w:val="Level1"/>
        <w:keepNext/>
        <w:rPr>
          <w:rStyle w:val="Level1asHeadingtext"/>
        </w:rPr>
      </w:pPr>
      <w:r w:rsidRPr="00A55467">
        <w:rPr>
          <w:rStyle w:val="Level1asHeadingtext"/>
        </w:rPr>
        <w:fldChar w:fldCharType="begin"/>
      </w:r>
      <w:r w:rsidRPr="00A55467">
        <w:instrText xml:space="preserve">  TC "</w:instrText>
      </w:r>
      <w:r w:rsidRPr="00A55467">
        <w:fldChar w:fldCharType="begin"/>
      </w:r>
      <w:r w:rsidRPr="00A55467">
        <w:instrText xml:space="preserve"> REF _Ref425577534 \r </w:instrText>
      </w:r>
      <w:r>
        <w:instrText xml:space="preserve"> \* MERGEFORMAT </w:instrText>
      </w:r>
      <w:r w:rsidRPr="00A55467">
        <w:fldChar w:fldCharType="separate"/>
      </w:r>
      <w:bookmarkStart w:id="40" w:name="_Toc467008166"/>
      <w:r w:rsidR="002953B6">
        <w:instrText>8</w:instrText>
      </w:r>
      <w:r w:rsidRPr="00A55467">
        <w:fldChar w:fldCharType="end"/>
      </w:r>
      <w:r w:rsidRPr="00A55467">
        <w:tab/>
        <w:instrText>SUSTAINABILITY</w:instrText>
      </w:r>
      <w:bookmarkEnd w:id="40"/>
      <w:r w:rsidRPr="00A55467">
        <w:instrText xml:space="preserve">" \l1 </w:instrText>
      </w:r>
      <w:r w:rsidRPr="00A55467">
        <w:rPr>
          <w:rStyle w:val="Level1asHeadingtext"/>
        </w:rPr>
        <w:fldChar w:fldCharType="end"/>
      </w:r>
      <w:bookmarkStart w:id="41" w:name="_Ref425577534"/>
      <w:r w:rsidRPr="00A55467">
        <w:rPr>
          <w:rStyle w:val="Level1asHeadingtext"/>
        </w:rPr>
        <w:t>SUSTAINABILITY</w:t>
      </w:r>
      <w:bookmarkEnd w:id="41"/>
    </w:p>
    <w:p w14:paraId="064C2033" w14:textId="77777777" w:rsidR="00A55467" w:rsidRPr="00A55467" w:rsidRDefault="00A55467" w:rsidP="00A55467">
      <w:pPr>
        <w:pStyle w:val="Body1"/>
      </w:pPr>
      <w:r w:rsidRPr="00A55467">
        <w:t>The Supplier shall as a minimum:</w:t>
      </w:r>
    </w:p>
    <w:p w14:paraId="317BE5DF" w14:textId="77777777" w:rsidR="00A55467" w:rsidRPr="00A55467" w:rsidRDefault="00A55467" w:rsidP="00A55467">
      <w:pPr>
        <w:pStyle w:val="Level3"/>
      </w:pPr>
      <w:r w:rsidRPr="00A55467">
        <w:t>roll out Deployed Services which are sustainable and comply with or exceed  the UK Government sustainability targets, including SOGE and 'Greening Government ICT';</w:t>
      </w:r>
    </w:p>
    <w:p w14:paraId="792E6F54" w14:textId="77777777" w:rsidR="00A55467" w:rsidRPr="00A55467" w:rsidRDefault="00A55467" w:rsidP="00A55467">
      <w:pPr>
        <w:pStyle w:val="Level3"/>
      </w:pPr>
      <w:r w:rsidRPr="00A55467">
        <w:t>ensure compliance with relevant environmental legislation; and</w:t>
      </w:r>
    </w:p>
    <w:p w14:paraId="0571E91F" w14:textId="77777777" w:rsidR="00A55467" w:rsidRPr="00A55467" w:rsidRDefault="00A55467" w:rsidP="00A55467">
      <w:pPr>
        <w:pStyle w:val="Level3"/>
      </w:pPr>
      <w:r w:rsidRPr="00A55467">
        <w:t>in association with the Authority develop, implement and operate the Supplier's plans to meet the Authority targets, as agreed with the Supplier, for sustainability in accordance with the Authority's ITT when developing the Supplier Solution.</w:t>
      </w:r>
    </w:p>
    <w:p w14:paraId="7E090A9F" w14:textId="77777777" w:rsidR="00A55467" w:rsidRPr="00A55467" w:rsidRDefault="00A55467" w:rsidP="00A55467">
      <w:pPr>
        <w:pStyle w:val="Level1"/>
        <w:keepNext/>
        <w:rPr>
          <w:rStyle w:val="Level1asHeadingtext"/>
        </w:rPr>
      </w:pPr>
      <w:r w:rsidRPr="00A55467">
        <w:rPr>
          <w:rStyle w:val="Level1asHeadingtext"/>
        </w:rPr>
        <w:fldChar w:fldCharType="begin"/>
      </w:r>
      <w:r w:rsidRPr="00A55467">
        <w:instrText xml:space="preserve">  TC "</w:instrText>
      </w:r>
      <w:r w:rsidRPr="00A55467">
        <w:fldChar w:fldCharType="begin"/>
      </w:r>
      <w:r w:rsidRPr="00A55467">
        <w:instrText xml:space="preserve"> REF _Ref425577550 \r </w:instrText>
      </w:r>
      <w:r>
        <w:instrText xml:space="preserve"> \* MERGEFORMAT </w:instrText>
      </w:r>
      <w:r w:rsidRPr="00A55467">
        <w:fldChar w:fldCharType="separate"/>
      </w:r>
      <w:bookmarkStart w:id="42" w:name="_Toc467008167"/>
      <w:r w:rsidR="002953B6">
        <w:instrText>9</w:instrText>
      </w:r>
      <w:r w:rsidRPr="00A55467">
        <w:fldChar w:fldCharType="end"/>
      </w:r>
      <w:r w:rsidRPr="00A55467">
        <w:tab/>
        <w:instrText>DELIVERING TAKE-UP</w:instrText>
      </w:r>
      <w:bookmarkEnd w:id="42"/>
      <w:r w:rsidRPr="00A55467">
        <w:instrText xml:space="preserve">" \l1 </w:instrText>
      </w:r>
      <w:r w:rsidRPr="00A55467">
        <w:rPr>
          <w:rStyle w:val="Level1asHeadingtext"/>
        </w:rPr>
        <w:fldChar w:fldCharType="end"/>
      </w:r>
      <w:bookmarkStart w:id="43" w:name="_Ref425577550"/>
      <w:r w:rsidRPr="00A55467">
        <w:rPr>
          <w:rStyle w:val="Level1asHeadingtext"/>
        </w:rPr>
        <w:t>DELIVERING TAKE-UP</w:t>
      </w:r>
      <w:bookmarkEnd w:id="43"/>
    </w:p>
    <w:p w14:paraId="3BE97717" w14:textId="1C390EFE" w:rsidR="00A55467" w:rsidRPr="00A55467" w:rsidRDefault="00A55467" w:rsidP="00A55467">
      <w:pPr>
        <w:pStyle w:val="Level2"/>
      </w:pPr>
      <w:r w:rsidRPr="00A55467">
        <w:t xml:space="preserve">The Supplier shall create and deliver within the timescales specified in the Project Plan a detailed </w:t>
      </w:r>
      <w:r w:rsidR="007503A5">
        <w:t>m</w:t>
      </w:r>
      <w:r w:rsidRPr="00A55467">
        <w:t xml:space="preserve">arketing </w:t>
      </w:r>
      <w:r w:rsidR="007503A5">
        <w:t>s</w:t>
      </w:r>
      <w:r w:rsidRPr="00A55467">
        <w:t xml:space="preserve">trategy </w:t>
      </w:r>
      <w:r w:rsidR="004D009C">
        <w:t xml:space="preserve">(including a programme of activities) </w:t>
      </w:r>
      <w:r w:rsidRPr="00A55467">
        <w:t>which supports the maximum Take-up during the term of this Contract for NGA</w:t>
      </w:r>
      <w:r w:rsidR="005330B8">
        <w:t>, Ultrafast</w:t>
      </w:r>
      <w:r w:rsidRPr="00A55467">
        <w:t xml:space="preserve"> Broadband and </w:t>
      </w:r>
      <w:r w:rsidR="005330B8">
        <w:t>Gigabit</w:t>
      </w:r>
      <w:r w:rsidRPr="00A55467">
        <w:t xml:space="preserve"> Broadband.  </w:t>
      </w:r>
    </w:p>
    <w:p w14:paraId="068A749E" w14:textId="77777777" w:rsidR="00A55467" w:rsidRPr="00A55467" w:rsidRDefault="00A55467" w:rsidP="00A55467">
      <w:pPr>
        <w:pStyle w:val="Level2"/>
      </w:pPr>
      <w:r w:rsidRPr="00A55467">
        <w:t xml:space="preserve">As a minimum the Supplier's </w:t>
      </w:r>
      <w:r w:rsidR="007503A5">
        <w:t>m</w:t>
      </w:r>
      <w:r w:rsidRPr="00A55467">
        <w:t xml:space="preserve">arketing </w:t>
      </w:r>
      <w:r w:rsidR="007503A5">
        <w:t>s</w:t>
      </w:r>
      <w:r w:rsidRPr="00A55467">
        <w:t>trategy shall provide for:</w:t>
      </w:r>
    </w:p>
    <w:p w14:paraId="08A87AEA" w14:textId="77777777" w:rsidR="00A55467" w:rsidRPr="00A55467" w:rsidRDefault="00A55467" w:rsidP="00A55467">
      <w:pPr>
        <w:pStyle w:val="Level3"/>
      </w:pPr>
      <w:r w:rsidRPr="00A55467">
        <w:t xml:space="preserve">white label generic unbranded marketing to encourage maximum business and residential take up; </w:t>
      </w:r>
    </w:p>
    <w:p w14:paraId="4280083F" w14:textId="42F5C6A9" w:rsidR="00A55467" w:rsidRPr="00A55467" w:rsidRDefault="00834ACA" w:rsidP="00A55467">
      <w:pPr>
        <w:pStyle w:val="Level3"/>
      </w:pPr>
      <w:r w:rsidRPr="00A55467">
        <w:t>white label generic unbranded marketing</w:t>
      </w:r>
      <w:r w:rsidR="00A55467" w:rsidRPr="00A55467">
        <w:t xml:space="preserve"> approaches for NGA</w:t>
      </w:r>
      <w:r w:rsidR="00DD04F5">
        <w:t>,</w:t>
      </w:r>
      <w:r w:rsidR="00A55467" w:rsidRPr="00A55467">
        <w:t xml:space="preserve"> </w:t>
      </w:r>
      <w:r w:rsidR="00DD04F5">
        <w:t xml:space="preserve">Ultrafast </w:t>
      </w:r>
      <w:r w:rsidR="00A55467" w:rsidRPr="00A55467">
        <w:t xml:space="preserve">Broadband and </w:t>
      </w:r>
      <w:r w:rsidR="00DD04F5">
        <w:t>Gigabit</w:t>
      </w:r>
      <w:r w:rsidR="00A55467" w:rsidRPr="00A55467">
        <w:t xml:space="preserve"> Broadband campaigns;</w:t>
      </w:r>
    </w:p>
    <w:p w14:paraId="44C93D4A" w14:textId="77777777" w:rsidR="00A55467" w:rsidRPr="00A55467" w:rsidRDefault="00A55467" w:rsidP="00A55467">
      <w:pPr>
        <w:pStyle w:val="Level3"/>
      </w:pPr>
      <w:r w:rsidRPr="00A55467">
        <w:t>the establishment of a marketing and account resource to support Take Up;</w:t>
      </w:r>
    </w:p>
    <w:p w14:paraId="77412901" w14:textId="69D30CB2" w:rsidR="00A55467" w:rsidRPr="00A55467" w:rsidRDefault="00A55467" w:rsidP="00A55467">
      <w:pPr>
        <w:pStyle w:val="Level3"/>
      </w:pPr>
      <w:r w:rsidRPr="00A55467">
        <w:t xml:space="preserve">a range of marketing communications channels (examples: web, newspaper, radio, brochures, stickers </w:t>
      </w:r>
      <w:r w:rsidR="00125965" w:rsidRPr="00A55467">
        <w:t>etc.</w:t>
      </w:r>
      <w:r w:rsidRPr="00A55467">
        <w:t>) to ensure maximum coverage of information during the NGA</w:t>
      </w:r>
      <w:r w:rsidR="00DD04F5">
        <w:t>,</w:t>
      </w:r>
      <w:r w:rsidRPr="00A55467">
        <w:t xml:space="preserve"> Ultrafast Broadband </w:t>
      </w:r>
      <w:r w:rsidR="00DD04F5">
        <w:t xml:space="preserve">and Gigabit Broadband </w:t>
      </w:r>
      <w:r w:rsidRPr="00A55467">
        <w:t>implementation.</w:t>
      </w:r>
    </w:p>
    <w:p w14:paraId="19CF0580" w14:textId="3417FC32" w:rsidR="00A55467" w:rsidRPr="00A55467" w:rsidRDefault="00A55467" w:rsidP="00A55467">
      <w:pPr>
        <w:pStyle w:val="Level2"/>
      </w:pPr>
      <w:r w:rsidRPr="00A55467">
        <w:t>The Supplier methodology for measuring both NGA</w:t>
      </w:r>
      <w:r w:rsidR="00DD04F5">
        <w:t xml:space="preserve">, </w:t>
      </w:r>
      <w:r w:rsidRPr="00A55467">
        <w:t xml:space="preserve">Ultrafast </w:t>
      </w:r>
      <w:r w:rsidR="00DD04F5">
        <w:t>B</w:t>
      </w:r>
      <w:r w:rsidRPr="00A55467">
        <w:t xml:space="preserve">roadband </w:t>
      </w:r>
      <w:r w:rsidR="00DD04F5">
        <w:t xml:space="preserve">and Gigabit Broadband </w:t>
      </w:r>
      <w:r w:rsidRPr="00A55467">
        <w:t>Take Up and how delivery will be validated and shared with the Authority is set out in Schedule 3.1</w:t>
      </w:r>
      <w:r w:rsidR="00370CED">
        <w:t xml:space="preserve"> (Supplier Solution)</w:t>
      </w:r>
      <w:r w:rsidRPr="00A55467">
        <w:t xml:space="preserve">. </w:t>
      </w:r>
    </w:p>
    <w:p w14:paraId="3612B5F9" w14:textId="77777777" w:rsidR="00A55467" w:rsidRPr="00A55467" w:rsidRDefault="00A55467" w:rsidP="00A55467">
      <w:pPr>
        <w:pStyle w:val="Level2"/>
      </w:pPr>
      <w:r w:rsidRPr="00A55467">
        <w:t xml:space="preserve">The Supplier shall provide reports on the adoption by RSPs of Wholesale Access Products and Services in accordance with Schedule 6.4 (Reports) in order to enable monitoring of the success of the </w:t>
      </w:r>
      <w:r w:rsidR="006D0D5E">
        <w:t>m</w:t>
      </w:r>
      <w:r w:rsidRPr="00A55467">
        <w:t xml:space="preserve">arketing </w:t>
      </w:r>
      <w:r w:rsidR="006D0D5E">
        <w:t>plan</w:t>
      </w:r>
      <w:r w:rsidRPr="00A55467">
        <w:t>.</w:t>
      </w:r>
    </w:p>
    <w:p w14:paraId="06DBED53" w14:textId="77777777" w:rsidR="00A55467" w:rsidRPr="00A55467" w:rsidRDefault="00A55467" w:rsidP="00A55467">
      <w:pPr>
        <w:pStyle w:val="Level2"/>
      </w:pPr>
      <w:r w:rsidRPr="00A55467">
        <w:lastRenderedPageBreak/>
        <w:t>The Supplier, together with the Authority, shall engage with local businesses, residents and communities to discuss an engagement and resourcing plan for Demand Stimulation in the identified target areas detailed in this Contract.</w:t>
      </w:r>
    </w:p>
    <w:p w14:paraId="3E2C30CA" w14:textId="77777777" w:rsidR="00A55467" w:rsidRPr="00A55467" w:rsidRDefault="00A55467" w:rsidP="00A55467">
      <w:pPr>
        <w:pStyle w:val="Level2"/>
      </w:pPr>
      <w:r w:rsidRPr="00A55467">
        <w:t>The Supplier shall conduct such additional Demand Stimulation activities as may be requested and funded jointly between the Parties.</w:t>
      </w:r>
    </w:p>
    <w:bookmarkStart w:id="44" w:name="h.3rdcrjn" w:colFirst="0" w:colLast="0"/>
    <w:bookmarkEnd w:id="44"/>
    <w:p w14:paraId="40589298" w14:textId="77777777" w:rsidR="00A55467" w:rsidRPr="00A55467" w:rsidRDefault="00A55467" w:rsidP="00A55467">
      <w:pPr>
        <w:pStyle w:val="Level1"/>
        <w:keepNext/>
        <w:rPr>
          <w:rStyle w:val="Level1asHeadingtext"/>
        </w:rPr>
      </w:pPr>
      <w:r w:rsidRPr="00A55467">
        <w:rPr>
          <w:rStyle w:val="Level1asHeadingtext"/>
        </w:rPr>
        <w:fldChar w:fldCharType="begin"/>
      </w:r>
      <w:r w:rsidRPr="00A55467">
        <w:instrText xml:space="preserve">  TC "</w:instrText>
      </w:r>
      <w:r w:rsidRPr="00A55467">
        <w:fldChar w:fldCharType="begin"/>
      </w:r>
      <w:r w:rsidRPr="00A55467">
        <w:instrText xml:space="preserve"> REF _Ref425577565 \r </w:instrText>
      </w:r>
      <w:r>
        <w:instrText xml:space="preserve"> \* MERGEFORMAT </w:instrText>
      </w:r>
      <w:r w:rsidRPr="00A55467">
        <w:fldChar w:fldCharType="separate"/>
      </w:r>
      <w:bookmarkStart w:id="45" w:name="_Toc467008168"/>
      <w:r w:rsidR="002953B6">
        <w:instrText>10</w:instrText>
      </w:r>
      <w:r w:rsidRPr="00A55467">
        <w:fldChar w:fldCharType="end"/>
      </w:r>
      <w:r w:rsidRPr="00A55467">
        <w:tab/>
        <w:instrText>SOLUTION COMPONENT REQUIREMENTS</w:instrText>
      </w:r>
      <w:bookmarkEnd w:id="45"/>
      <w:r w:rsidRPr="00A55467">
        <w:instrText xml:space="preserve">" \l1 </w:instrText>
      </w:r>
      <w:r w:rsidRPr="00A55467">
        <w:rPr>
          <w:rStyle w:val="Level1asHeadingtext"/>
        </w:rPr>
        <w:fldChar w:fldCharType="end"/>
      </w:r>
      <w:bookmarkStart w:id="46" w:name="_Ref425577565"/>
      <w:bookmarkStart w:id="47" w:name="_Ref409477185"/>
      <w:bookmarkStart w:id="48" w:name="_Ref409477672"/>
      <w:bookmarkStart w:id="49" w:name="_Ref412765106"/>
      <w:r w:rsidRPr="00A55467">
        <w:rPr>
          <w:rStyle w:val="Level1asHeadingtext"/>
        </w:rPr>
        <w:t>Solution Component Requirements</w:t>
      </w:r>
      <w:bookmarkEnd w:id="46"/>
      <w:bookmarkEnd w:id="47"/>
      <w:bookmarkEnd w:id="48"/>
      <w:bookmarkEnd w:id="49"/>
    </w:p>
    <w:p w14:paraId="20FCA990" w14:textId="77777777" w:rsidR="00A55467" w:rsidRPr="00A55467" w:rsidRDefault="00A55467" w:rsidP="00A55467">
      <w:pPr>
        <w:pStyle w:val="Body2"/>
      </w:pPr>
      <w:r w:rsidRPr="00A55467">
        <w:t xml:space="preserve">The following requirements relate to the Solution Components as detailed in the Solution Components Template as part of the Supplier Solution. </w:t>
      </w:r>
    </w:p>
    <w:p w14:paraId="1801B2B6" w14:textId="77777777" w:rsidR="00A55467" w:rsidRPr="00A55467" w:rsidRDefault="00A55467" w:rsidP="00A55467">
      <w:pPr>
        <w:pStyle w:val="Level2"/>
      </w:pPr>
      <w:bookmarkStart w:id="50" w:name="_Ref316465212"/>
      <w:r w:rsidRPr="00A55467">
        <w:t>The Solution Components shall have a lifespan and an upgrade path for the Term.</w:t>
      </w:r>
      <w:bookmarkStart w:id="51" w:name="h.26in1rg" w:colFirst="0" w:colLast="0"/>
      <w:bookmarkEnd w:id="50"/>
      <w:bookmarkEnd w:id="51"/>
      <w:r w:rsidRPr="00A55467">
        <w:t xml:space="preserve"> The Supplier shall report</w:t>
      </w:r>
      <w:r w:rsidR="00D7007C">
        <w:t xml:space="preserve"> (where applicable)</w:t>
      </w:r>
      <w:r w:rsidRPr="00A55467">
        <w:t xml:space="preserve"> on advances and opportunities for trials or piloting of new NGA qualifying technology through the  governance arrangements set out in Schedule 6.</w:t>
      </w:r>
      <w:r w:rsidR="006D0D5E">
        <w:t>1</w:t>
      </w:r>
      <w:r w:rsidR="00370CED">
        <w:t xml:space="preserve"> (Governance)</w:t>
      </w:r>
      <w:r w:rsidRPr="00A55467">
        <w:t>, for consideration for inclusion under this Contract (subject to Commission Decision and procurement constraints).</w:t>
      </w:r>
    </w:p>
    <w:p w14:paraId="1431A8D7" w14:textId="77777777" w:rsidR="00A55467" w:rsidRPr="00A55467" w:rsidRDefault="00A55467" w:rsidP="00A55467">
      <w:pPr>
        <w:pStyle w:val="Level2"/>
      </w:pPr>
      <w:r w:rsidRPr="00A55467">
        <w:t xml:space="preserve">The Solution Components, including data transport components, shall be upgradable so as to support increasing </w:t>
      </w:r>
      <w:r w:rsidR="00370CED" w:rsidRPr="00A55467">
        <w:t xml:space="preserve">Access Line Speeds </w:t>
      </w:r>
      <w:r w:rsidRPr="00A55467">
        <w:t xml:space="preserve">throughout the Term. </w:t>
      </w:r>
    </w:p>
    <w:p w14:paraId="502706D6" w14:textId="77777777" w:rsidR="00A55467" w:rsidRPr="00A55467" w:rsidRDefault="00A55467" w:rsidP="00A55467">
      <w:pPr>
        <w:pStyle w:val="Level2"/>
      </w:pPr>
      <w:r w:rsidRPr="00A55467">
        <w:t xml:space="preserve">The Solution Components when configured together shall be capable of providing Wholesale Access Products and Services that underpin the broadband products and services offered by Retail Service Providers in the marketplace as at the Effective Date.  </w:t>
      </w:r>
    </w:p>
    <w:p w14:paraId="043E2B91" w14:textId="77777777" w:rsidR="00A55467" w:rsidRPr="00A55467" w:rsidRDefault="00A55467" w:rsidP="00A55467">
      <w:pPr>
        <w:pStyle w:val="Level2"/>
      </w:pPr>
      <w:r w:rsidRPr="00A55467">
        <w:t>The Solution Components shall support the following ALA (as defined in ALA ND 1644) classes of service or the equivalent Industry Standard:</w:t>
      </w:r>
    </w:p>
    <w:p w14:paraId="601A1BC3" w14:textId="77777777" w:rsidR="00A55467" w:rsidRPr="00A55467" w:rsidRDefault="00A55467" w:rsidP="00A55467">
      <w:pPr>
        <w:pStyle w:val="Level3"/>
      </w:pPr>
      <w:r w:rsidRPr="00A55467">
        <w:t>Class A Real time, delay sensitive, applications (e.g. voice);</w:t>
      </w:r>
    </w:p>
    <w:p w14:paraId="64A7E99F" w14:textId="77777777" w:rsidR="00A55467" w:rsidRPr="00A55467" w:rsidRDefault="00A55467" w:rsidP="00A55467">
      <w:pPr>
        <w:pStyle w:val="Level3"/>
      </w:pPr>
      <w:r w:rsidRPr="00A55467">
        <w:t>Class B Streaming applications (e.g. video);</w:t>
      </w:r>
    </w:p>
    <w:p w14:paraId="18BA542D" w14:textId="77777777" w:rsidR="00A55467" w:rsidRPr="00A55467" w:rsidRDefault="00A55467" w:rsidP="00A55467">
      <w:pPr>
        <w:pStyle w:val="Level3"/>
      </w:pPr>
      <w:r w:rsidRPr="00A55467">
        <w:t>Class C Internet Data; and</w:t>
      </w:r>
    </w:p>
    <w:p w14:paraId="3F3C0CE7" w14:textId="77777777" w:rsidR="00A55467" w:rsidRPr="00A55467" w:rsidRDefault="00A55467" w:rsidP="00A55467">
      <w:pPr>
        <w:pStyle w:val="Level3"/>
      </w:pPr>
      <w:r w:rsidRPr="00A55467">
        <w:t>Class D Guest or 3rd party access,</w:t>
      </w:r>
    </w:p>
    <w:p w14:paraId="7DC7C97D" w14:textId="77777777" w:rsidR="00A55467" w:rsidRPr="00A55467" w:rsidRDefault="00A55467" w:rsidP="00A55467">
      <w:pPr>
        <w:pStyle w:val="Body2"/>
      </w:pPr>
      <w:r w:rsidRPr="00A55467">
        <w:t>having taken account of the packet loss, delay, round trip delay, jitter and wander characteristics inherent in the Supplier Solution. For QoE and QoS harmonisation, NICC ND 1030 recommendations will be used as a guideline.</w:t>
      </w:r>
    </w:p>
    <w:p w14:paraId="7489BCDD" w14:textId="77777777" w:rsidR="00A55467" w:rsidRPr="00A55467" w:rsidRDefault="00A55467" w:rsidP="00A55467">
      <w:pPr>
        <w:pStyle w:val="Level2"/>
      </w:pPr>
      <w:r w:rsidRPr="00A55467">
        <w:t>Throughout the Term the Supplier shall ensure all Solution Components comply with the applicable Industry Standards or achieve function/performance levels that are equivalent to or better than those standards.</w:t>
      </w:r>
    </w:p>
    <w:p w14:paraId="631F5F3F" w14:textId="77777777" w:rsidR="00A55467" w:rsidRPr="00A55467" w:rsidRDefault="00A55467" w:rsidP="00A55467">
      <w:pPr>
        <w:pStyle w:val="Level2"/>
      </w:pPr>
      <w:r w:rsidRPr="00A55467">
        <w:t>The Solution Components shall independently, and as part of the Supplier Solution, be capable of meeting the requirements for technical acceptance detailed in the Test Strategy.  These shall include, at a minimum:</w:t>
      </w:r>
    </w:p>
    <w:p w14:paraId="4595E28E" w14:textId="77777777" w:rsidR="00A55467" w:rsidRPr="00A55467" w:rsidRDefault="00A55467" w:rsidP="00A55467">
      <w:pPr>
        <w:pStyle w:val="Level3"/>
      </w:pPr>
      <w:r w:rsidRPr="00A55467">
        <w:t xml:space="preserve">interoperability tests; </w:t>
      </w:r>
    </w:p>
    <w:p w14:paraId="2221464B" w14:textId="77777777" w:rsidR="00A55467" w:rsidRPr="00A55467" w:rsidRDefault="00A55467" w:rsidP="00A55467">
      <w:pPr>
        <w:pStyle w:val="Level3"/>
      </w:pPr>
      <w:r w:rsidRPr="00A55467">
        <w:t>operations tests, including end to end testing of BSS, OSS and Network;</w:t>
      </w:r>
    </w:p>
    <w:p w14:paraId="71926384" w14:textId="77777777" w:rsidR="00A55467" w:rsidRPr="00A55467" w:rsidRDefault="00A55467" w:rsidP="00A55467">
      <w:pPr>
        <w:pStyle w:val="Level3"/>
      </w:pPr>
      <w:r w:rsidRPr="00A55467">
        <w:t>performance tests;</w:t>
      </w:r>
    </w:p>
    <w:p w14:paraId="1800A89B" w14:textId="77777777" w:rsidR="00A55467" w:rsidRPr="00A55467" w:rsidRDefault="00A55467" w:rsidP="00A55467">
      <w:pPr>
        <w:pStyle w:val="Level3"/>
      </w:pPr>
      <w:r w:rsidRPr="00A55467">
        <w:t>operations readiness tests, including monitoring, failovers; and</w:t>
      </w:r>
    </w:p>
    <w:p w14:paraId="6C50FA47" w14:textId="77777777" w:rsidR="00A55467" w:rsidRPr="00A55467" w:rsidRDefault="00A55467" w:rsidP="00A55467">
      <w:pPr>
        <w:pStyle w:val="Level3"/>
      </w:pPr>
      <w:r w:rsidRPr="00A55467">
        <w:t>other relevant technology-specific tests.</w:t>
      </w:r>
    </w:p>
    <w:p w14:paraId="799E69EE" w14:textId="77777777" w:rsidR="00A55467" w:rsidRPr="00A55467" w:rsidRDefault="00A55467" w:rsidP="00A55467">
      <w:pPr>
        <w:pStyle w:val="Level2"/>
      </w:pPr>
      <w:bookmarkStart w:id="52" w:name="h.lnxbz9" w:colFirst="0" w:colLast="0"/>
      <w:bookmarkStart w:id="53" w:name="_Ref316465222"/>
      <w:bookmarkEnd w:id="52"/>
      <w:r w:rsidRPr="00A55467">
        <w:t xml:space="preserve">The Supplier shall maintain, and when appropriate publish to Retail Service Providers a technical release schedule for each Solution Component which supports new software </w:t>
      </w:r>
      <w:r w:rsidRPr="00A55467">
        <w:lastRenderedPageBreak/>
        <w:t>and hardware changes to continue service delivery with equal or higher quality and/or performance.</w:t>
      </w:r>
      <w:bookmarkEnd w:id="53"/>
    </w:p>
    <w:bookmarkStart w:id="54" w:name="h.35nkun2" w:colFirst="0" w:colLast="0"/>
    <w:bookmarkEnd w:id="54"/>
    <w:p w14:paraId="4D52BE48" w14:textId="77777777" w:rsidR="00A55467" w:rsidRPr="00A55467" w:rsidRDefault="00A55467" w:rsidP="00A55467">
      <w:pPr>
        <w:pStyle w:val="Level1"/>
        <w:keepNext/>
        <w:rPr>
          <w:rStyle w:val="Level1asHeadingtext"/>
        </w:rPr>
      </w:pPr>
      <w:r w:rsidRPr="00A55467">
        <w:rPr>
          <w:rStyle w:val="Level1asHeadingtext"/>
        </w:rPr>
        <w:fldChar w:fldCharType="begin"/>
      </w:r>
      <w:r w:rsidRPr="00A55467">
        <w:instrText xml:space="preserve">  TC "</w:instrText>
      </w:r>
      <w:bookmarkStart w:id="55" w:name="_Toc349655030"/>
      <w:r w:rsidRPr="00A55467">
        <w:fldChar w:fldCharType="begin"/>
      </w:r>
      <w:r w:rsidRPr="00A55467">
        <w:instrText xml:space="preserve"> REF _Ref425577597 \r </w:instrText>
      </w:r>
      <w:r>
        <w:instrText xml:space="preserve"> \* MERGEFORMAT </w:instrText>
      </w:r>
      <w:r w:rsidRPr="00A55467">
        <w:fldChar w:fldCharType="separate"/>
      </w:r>
      <w:bookmarkStart w:id="56" w:name="_Toc467008169"/>
      <w:r w:rsidR="002953B6">
        <w:instrText>11</w:instrText>
      </w:r>
      <w:r w:rsidRPr="00A55467">
        <w:fldChar w:fldCharType="end"/>
      </w:r>
      <w:r w:rsidRPr="00A55467">
        <w:tab/>
        <w:instrText>WHOLESALE ACCESS PRODUCTS AND SERVICES</w:instrText>
      </w:r>
      <w:bookmarkEnd w:id="55"/>
      <w:bookmarkEnd w:id="56"/>
      <w:r w:rsidRPr="00A55467">
        <w:instrText xml:space="preserve">" \l1 </w:instrText>
      </w:r>
      <w:r w:rsidRPr="00A55467">
        <w:rPr>
          <w:rStyle w:val="Level1asHeadingtext"/>
        </w:rPr>
        <w:fldChar w:fldCharType="end"/>
      </w:r>
      <w:bookmarkStart w:id="57" w:name="_Ref425577597"/>
      <w:r w:rsidRPr="00A55467">
        <w:rPr>
          <w:rStyle w:val="Level1asHeadingtext"/>
        </w:rPr>
        <w:t>WHOLESALE ACCESS PRODUCTS AND SERVICES</w:t>
      </w:r>
      <w:bookmarkEnd w:id="57"/>
    </w:p>
    <w:p w14:paraId="7A5A9C81" w14:textId="77777777" w:rsidR="00A55467" w:rsidRPr="00A55467" w:rsidRDefault="00A55467" w:rsidP="00A55467">
      <w:pPr>
        <w:pStyle w:val="Level2"/>
      </w:pPr>
      <w:r w:rsidRPr="00A55467">
        <w:t xml:space="preserve">The Wholesale Product Template shall set out the Supplier's range of Wholesale Products and Services which will be published and available to the Retail Service Providers, including any new forms of access granted pursuant to paragraph </w:t>
      </w:r>
      <w:r w:rsidR="008E5246">
        <w:fldChar w:fldCharType="begin"/>
      </w:r>
      <w:r w:rsidR="008E5246">
        <w:instrText xml:space="preserve"> REF _Ref457381998 \r \h </w:instrText>
      </w:r>
      <w:r w:rsidR="008E5246">
        <w:fldChar w:fldCharType="separate"/>
      </w:r>
      <w:r w:rsidR="002953B6">
        <w:t>11.6</w:t>
      </w:r>
      <w:r w:rsidR="008E5246">
        <w:fldChar w:fldCharType="end"/>
      </w:r>
      <w:r w:rsidRPr="00A55467">
        <w:t>.</w:t>
      </w:r>
    </w:p>
    <w:p w14:paraId="01330497" w14:textId="77777777" w:rsidR="00A55467" w:rsidRPr="00A55467" w:rsidRDefault="00A55467" w:rsidP="00A55467">
      <w:pPr>
        <w:pStyle w:val="Level2"/>
      </w:pPr>
      <w:r w:rsidRPr="00A55467">
        <w:t>Wholesale Access Products and Services shall support Retail Service Providers in gaining Take-up, excluding the impact the Retail Service Provider may have on the retail products and services consumed by the End User.</w:t>
      </w:r>
    </w:p>
    <w:p w14:paraId="1D43D4EC" w14:textId="77777777" w:rsidR="00A55467" w:rsidRPr="00A55467" w:rsidRDefault="00A55467" w:rsidP="00A55467">
      <w:pPr>
        <w:pStyle w:val="Level2"/>
      </w:pPr>
      <w:r w:rsidRPr="00A55467">
        <w:t>The Supplier shall develop and configure new or existing Wholesale Access Products and Services on a regular basis throughout the Term in line with reasonable Retail Service Provider requirements and the goal of maximising Take-up.</w:t>
      </w:r>
    </w:p>
    <w:p w14:paraId="4E4C20D3" w14:textId="77777777" w:rsidR="00A55467" w:rsidRPr="00A55467" w:rsidRDefault="00A55467" w:rsidP="00A55467">
      <w:pPr>
        <w:pStyle w:val="Level2"/>
      </w:pPr>
      <w:r w:rsidRPr="00A55467">
        <w:t>The Supplier shall offer Wholesale Products and Services:</w:t>
      </w:r>
    </w:p>
    <w:p w14:paraId="599421BE" w14:textId="3DCA04C4" w:rsidR="00A55467" w:rsidRPr="00A55467" w:rsidRDefault="00A55467" w:rsidP="00A55467">
      <w:pPr>
        <w:pStyle w:val="Level3"/>
      </w:pPr>
      <w:r w:rsidRPr="00A55467">
        <w:t>suitable to allow access seekers to obtain effective Open Access on fair</w:t>
      </w:r>
      <w:r w:rsidR="00EE25E9">
        <w:t>, reasonable</w:t>
      </w:r>
      <w:r w:rsidRPr="00A55467">
        <w:t xml:space="preserve"> and non-discriminatory terms; </w:t>
      </w:r>
    </w:p>
    <w:p w14:paraId="22DF6B83" w14:textId="77777777" w:rsidR="00A55467" w:rsidRPr="00A55467" w:rsidRDefault="00A55467" w:rsidP="00A55467">
      <w:pPr>
        <w:pStyle w:val="Level3"/>
      </w:pPr>
      <w:r w:rsidRPr="00A55467">
        <w:t>consistent with the Service Requirements;</w:t>
      </w:r>
    </w:p>
    <w:p w14:paraId="702C533C" w14:textId="77777777" w:rsidR="00A55467" w:rsidRPr="00A55467" w:rsidRDefault="00A55467" w:rsidP="00A55467">
      <w:pPr>
        <w:pStyle w:val="Level3"/>
      </w:pPr>
      <w:bookmarkStart w:id="58" w:name="h.1ksv4uv" w:colFirst="0" w:colLast="0"/>
      <w:bookmarkEnd w:id="58"/>
      <w:r w:rsidRPr="00A55467">
        <w:t>consistent with the Commission Decision, in particular with regard to paragraphs 122 to 127</w:t>
      </w:r>
      <w:r w:rsidR="009041EC">
        <w:t xml:space="preserve"> of the Commission Decision</w:t>
      </w:r>
      <w:r w:rsidRPr="00A55467">
        <w:t>.</w:t>
      </w:r>
    </w:p>
    <w:p w14:paraId="6F820C0C" w14:textId="77777777" w:rsidR="00A55467" w:rsidRPr="00A55467" w:rsidRDefault="00A55467" w:rsidP="00A55467">
      <w:pPr>
        <w:pStyle w:val="Body2"/>
      </w:pPr>
      <w:r w:rsidRPr="00A55467">
        <w:t xml:space="preserve">This obligation shall, as a minimum, apply to all infrastructure assets in the Coverage Area that have been subsidised by State aid as well as all existing infrastructure </w:t>
      </w:r>
      <w:r w:rsidR="000B2A1D" w:rsidRPr="00A55467">
        <w:t xml:space="preserve">in the Coverage Area </w:t>
      </w:r>
      <w:r w:rsidRPr="00A55467">
        <w:t>that is used in the deployment of the subsidised network. The Supplier shall document how multiple communication providers can use the physical assets and how capacity is managed between multiple communications providers.</w:t>
      </w:r>
    </w:p>
    <w:p w14:paraId="6B150DE3" w14:textId="77777777" w:rsidR="00A55467" w:rsidRPr="00A55467" w:rsidRDefault="00A55467" w:rsidP="00A55467">
      <w:pPr>
        <w:pStyle w:val="Level2"/>
      </w:pPr>
      <w:bookmarkStart w:id="59" w:name="h.44sinio" w:colFirst="0" w:colLast="0"/>
      <w:bookmarkStart w:id="60" w:name="_Ref344895151"/>
      <w:bookmarkEnd w:id="59"/>
      <w:r w:rsidRPr="00A55467">
        <w:t>Specific Forms of Network Access: In all cases the Supplier must make available from the point of deployment the forms of physical access as identified in paragraph 126 of the Commission Decision.</w:t>
      </w:r>
    </w:p>
    <w:p w14:paraId="21C29C1A" w14:textId="12923D6F" w:rsidR="00A55467" w:rsidRPr="00A55467" w:rsidRDefault="00A55467" w:rsidP="00A55467">
      <w:pPr>
        <w:pStyle w:val="Level2"/>
      </w:pPr>
      <w:bookmarkStart w:id="61" w:name="_Ref457381998"/>
      <w:r w:rsidRPr="00A55467">
        <w:t xml:space="preserve">General forms of new network </w:t>
      </w:r>
      <w:bookmarkEnd w:id="60"/>
      <w:r w:rsidRPr="00A55467">
        <w:t xml:space="preserve">access: In all </w:t>
      </w:r>
      <w:bookmarkStart w:id="62" w:name="_Ref344895228"/>
      <w:r w:rsidRPr="00A55467">
        <w:t xml:space="preserve">cases the Supplier must </w:t>
      </w:r>
      <w:bookmarkStart w:id="63" w:name="_Ref316466355"/>
      <w:bookmarkEnd w:id="62"/>
      <w:r w:rsidRPr="00A55467">
        <w:t xml:space="preserve">make available other forms of wholesale access in </w:t>
      </w:r>
      <w:bookmarkEnd w:id="63"/>
      <w:r w:rsidRPr="00A55467">
        <w:t>accordance with paragraph 127 of the Commission Decision, insofar as it relates to Open Access procurement. The Parties shall agree and apply a process for receipt and handling of applications for new forms of network access</w:t>
      </w:r>
      <w:r w:rsidR="00D92BED">
        <w:t xml:space="preserve"> which shall include the requirement for notification of such requests to the Authority prior to such other form of wholesale access being provided by the Supplier to the access seeker.</w:t>
      </w:r>
      <w:bookmarkEnd w:id="61"/>
      <w:r w:rsidR="00BE7DC9">
        <w:t xml:space="preserve"> </w:t>
      </w:r>
    </w:p>
    <w:p w14:paraId="41EB54CE" w14:textId="77777777" w:rsidR="001E728C" w:rsidRDefault="00A55467" w:rsidP="00A55467">
      <w:pPr>
        <w:pStyle w:val="Level2"/>
      </w:pPr>
      <w:r w:rsidRPr="00A55467">
        <w:t xml:space="preserve">Where the circumstances described in Paragraphs 139 and 140 </w:t>
      </w:r>
      <w:r w:rsidR="009041EC">
        <w:t xml:space="preserve">of the Commission Decision </w:t>
      </w:r>
      <w:r w:rsidRPr="00A55467">
        <w:t>occur, any supplementary or increased regulatory requirements supplementary access requirements shall be deemed automatically included in this Schedule 2.</w:t>
      </w:r>
    </w:p>
    <w:p w14:paraId="7C2147FC" w14:textId="77777777" w:rsidR="00001151" w:rsidRPr="00FF1F49" w:rsidRDefault="00001151" w:rsidP="00F25EFE">
      <w:pPr>
        <w:jc w:val="center"/>
        <w:rPr>
          <w:rFonts w:ascii="Arial" w:hAnsi="Arial" w:cs="Arial"/>
          <w:lang w:val="en-GB"/>
        </w:rPr>
      </w:pPr>
      <w:bookmarkStart w:id="64" w:name="h.2jxsxqh" w:colFirst="0" w:colLast="0"/>
      <w:bookmarkEnd w:id="64"/>
    </w:p>
    <w:sectPr w:rsidR="00001151" w:rsidRPr="00FF1F49" w:rsidSect="0098019E">
      <w:footerReference w:type="default" r:id="rId28"/>
      <w:pgSz w:w="11907" w:h="16840" w:code="9"/>
      <w:pgMar w:top="1418" w:right="1701" w:bottom="1418" w:left="1701" w:header="709" w:footer="709" w:gutter="0"/>
      <w:pgNumType w:start="1"/>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A7543" w14:textId="77777777" w:rsidR="00B93D9A" w:rsidRDefault="00B93D9A" w:rsidP="00A55467">
      <w:r>
        <w:separator/>
      </w:r>
    </w:p>
  </w:endnote>
  <w:endnote w:type="continuationSeparator" w:id="0">
    <w:p w14:paraId="31E3B841" w14:textId="77777777" w:rsidR="00B93D9A" w:rsidRDefault="00B93D9A" w:rsidP="00A55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B8FDF" w14:textId="77777777" w:rsidR="00240102" w:rsidRPr="002C4FA2" w:rsidRDefault="00240102" w:rsidP="002C4FA2">
    <w:pPr>
      <w:pStyle w:val="Footer"/>
      <w:pBdr>
        <w:top w:val="single" w:sz="4" w:space="1" w:color="auto"/>
      </w:pBdr>
      <w:tabs>
        <w:tab w:val="right" w:pos="9000"/>
      </w:tabs>
      <w:ind w:right="29"/>
      <w:jc w:val="left"/>
      <w:rPr>
        <w:iCs/>
        <w:szCs w:val="16"/>
      </w:rPr>
    </w:pPr>
    <w:r>
      <w:rPr>
        <w:iCs/>
        <w:szCs w:val="16"/>
      </w:rPr>
      <w:t>SCHEDULE 2 – SERVICE REQUIREMENTS</w:t>
    </w:r>
    <w:r w:rsidRPr="004D3114">
      <w:tab/>
    </w:r>
  </w:p>
  <w:p w14:paraId="3F1B1C47" w14:textId="77777777" w:rsidR="00240102" w:rsidRPr="004D3114" w:rsidRDefault="00240102" w:rsidP="002C4FA2">
    <w:pPr>
      <w:pStyle w:val="Footer"/>
      <w:jc w:val="center"/>
    </w:pPr>
    <w:r>
      <w:fldChar w:fldCharType="begin"/>
    </w:r>
    <w:r>
      <w:instrText xml:space="preserve">  PAGE \* MERGEFORMAT </w:instrText>
    </w:r>
    <w:r>
      <w:fldChar w:fldCharType="separate"/>
    </w:r>
    <w:r w:rsidR="00ED0289">
      <w:rPr>
        <w:noProof/>
      </w:rPr>
      <w:t>16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741AA" w14:textId="77777777" w:rsidR="00B93D9A" w:rsidRDefault="00B93D9A" w:rsidP="00A55467">
      <w:r>
        <w:separator/>
      </w:r>
    </w:p>
  </w:footnote>
  <w:footnote w:type="continuationSeparator" w:id="0">
    <w:p w14:paraId="0F4A686C" w14:textId="77777777" w:rsidR="00B93D9A" w:rsidRDefault="00B93D9A" w:rsidP="00A55467">
      <w:r>
        <w:continuationSeparator/>
      </w:r>
    </w:p>
  </w:footnote>
  <w:footnote w:id="1">
    <w:p w14:paraId="5BC4D089" w14:textId="77777777" w:rsidR="00240102" w:rsidRDefault="00240102" w:rsidP="00A55467">
      <w:r>
        <w:rPr>
          <w:vertAlign w:val="superscript"/>
        </w:rPr>
        <w:footnoteRef/>
      </w:r>
      <w:r>
        <w:t xml:space="preserve"> </w:t>
      </w:r>
      <w:r>
        <w:rPr>
          <w:sz w:val="16"/>
          <w:szCs w:val="16"/>
        </w:rPr>
        <w:t>These include standards from the following relevant bodies:</w:t>
      </w:r>
    </w:p>
    <w:p w14:paraId="28810252" w14:textId="77777777" w:rsidR="00240102" w:rsidRDefault="00240102" w:rsidP="00A55467">
      <w:pPr>
        <w:numPr>
          <w:ilvl w:val="0"/>
          <w:numId w:val="3"/>
        </w:numPr>
        <w:ind w:hanging="360"/>
      </w:pPr>
      <w:r>
        <w:rPr>
          <w:sz w:val="16"/>
          <w:szCs w:val="16"/>
        </w:rPr>
        <w:t>NICC for fixed network elements (http://www.niccstandards.org.uk/publications)</w:t>
      </w:r>
    </w:p>
    <w:p w14:paraId="7842C280" w14:textId="77777777" w:rsidR="00240102" w:rsidRDefault="00240102" w:rsidP="00A55467">
      <w:pPr>
        <w:numPr>
          <w:ilvl w:val="0"/>
          <w:numId w:val="3"/>
        </w:numPr>
        <w:ind w:hanging="360"/>
      </w:pPr>
      <w:r>
        <w:rPr>
          <w:sz w:val="16"/>
          <w:szCs w:val="16"/>
        </w:rPr>
        <w:t>3GPP for wireless and mobile broadband networks (http://www.3gpp.org/specifications)</w:t>
      </w:r>
    </w:p>
    <w:p w14:paraId="342CA9FA" w14:textId="77777777" w:rsidR="00240102" w:rsidRDefault="00240102" w:rsidP="00A55467">
      <w:pPr>
        <w:numPr>
          <w:ilvl w:val="0"/>
          <w:numId w:val="3"/>
        </w:numPr>
        <w:ind w:hanging="360"/>
      </w:pPr>
      <w:r>
        <w:rPr>
          <w:sz w:val="16"/>
          <w:szCs w:val="16"/>
        </w:rPr>
        <w:t>IEEE for Ethernet and wireless networks (http://standards.ieee.org/about/get/802/802.html)</w:t>
      </w:r>
    </w:p>
    <w:p w14:paraId="3081B0DD" w14:textId="77777777" w:rsidR="00240102" w:rsidRDefault="00240102" w:rsidP="00A55467">
      <w:pPr>
        <w:numPr>
          <w:ilvl w:val="0"/>
          <w:numId w:val="3"/>
        </w:numPr>
        <w:ind w:hanging="360"/>
      </w:pPr>
      <w:r>
        <w:rPr>
          <w:sz w:val="16"/>
          <w:szCs w:val="16"/>
        </w:rPr>
        <w:t>IETF RFCs for Internet and IP networks (https://www.rfc-editor.org/)</w:t>
      </w:r>
    </w:p>
    <w:p w14:paraId="7A6AEE57" w14:textId="77777777" w:rsidR="00240102" w:rsidRDefault="00240102" w:rsidP="00A55467">
      <w:pPr>
        <w:numPr>
          <w:ilvl w:val="0"/>
          <w:numId w:val="3"/>
        </w:numPr>
        <w:ind w:hanging="360"/>
      </w:pPr>
      <w:r>
        <w:rPr>
          <w:sz w:val="16"/>
          <w:szCs w:val="16"/>
        </w:rPr>
        <w:t>British Standards (http://shop.bsigroup.com/en/Browse-by-Subject/ICT/)</w:t>
      </w:r>
    </w:p>
    <w:p w14:paraId="73467A8F" w14:textId="77777777" w:rsidR="00240102" w:rsidRDefault="00240102" w:rsidP="00A55467">
      <w:pPr>
        <w:numPr>
          <w:ilvl w:val="0"/>
          <w:numId w:val="3"/>
        </w:numPr>
        <w:ind w:hanging="360"/>
      </w:pPr>
      <w:r>
        <w:rPr>
          <w:sz w:val="16"/>
          <w:szCs w:val="16"/>
        </w:rPr>
        <w:t>ESTI Standards (http://www.etsi.org/standards)</w:t>
      </w:r>
    </w:p>
    <w:p w14:paraId="71D8C2FF" w14:textId="77777777" w:rsidR="00240102" w:rsidRDefault="00240102" w:rsidP="008E5246">
      <w:pPr>
        <w:pStyle w:val="ListParagraph"/>
        <w:numPr>
          <w:ilvl w:val="0"/>
          <w:numId w:val="19"/>
        </w:numPr>
      </w:pPr>
      <w:r w:rsidRPr="008E5246">
        <w:rPr>
          <w:sz w:val="16"/>
          <w:szCs w:val="16"/>
        </w:rPr>
        <w:t>ITU-T Recommendations for fixed networks (http://www.itu.int/en/ITU-T/publications)</w:t>
      </w:r>
    </w:p>
    <w:p w14:paraId="23BDA501" w14:textId="77777777" w:rsidR="00240102" w:rsidRDefault="00240102" w:rsidP="008E5246">
      <w:pPr>
        <w:pStyle w:val="ListParagraph"/>
        <w:numPr>
          <w:ilvl w:val="0"/>
          <w:numId w:val="19"/>
        </w:numPr>
      </w:pPr>
      <w:r w:rsidRPr="008E5246">
        <w:rPr>
          <w:sz w:val="16"/>
          <w:szCs w:val="16"/>
        </w:rPr>
        <w:t>ITU-R Recommendations for wireless networks (http://www.itu.int/pub/R-REC)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6523C67"/>
    <w:multiLevelType w:val="multilevel"/>
    <w:tmpl w:val="B406525A"/>
    <w:lvl w:ilvl="0">
      <w:start w:val="1"/>
      <w:numFmt w:val="decimal"/>
      <w:pStyle w:val="Level1"/>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8711812"/>
    <w:multiLevelType w:val="hybridMultilevel"/>
    <w:tmpl w:val="1BE44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1590E"/>
    <w:multiLevelType w:val="hybridMultilevel"/>
    <w:tmpl w:val="7E644CFA"/>
    <w:lvl w:ilvl="0" w:tplc="0450BC54">
      <w:start w:val="1"/>
      <w:numFmt w:val="lowerLetter"/>
      <w:lvlText w:val="%1)"/>
      <w:lvlJc w:val="left"/>
      <w:pPr>
        <w:ind w:left="1801" w:hanging="360"/>
      </w:pPr>
      <w:rPr>
        <w:rFonts w:hint="default"/>
      </w:rPr>
    </w:lvl>
    <w:lvl w:ilvl="1" w:tplc="08090019" w:tentative="1">
      <w:start w:val="1"/>
      <w:numFmt w:val="lowerLetter"/>
      <w:lvlText w:val="%2."/>
      <w:lvlJc w:val="left"/>
      <w:pPr>
        <w:ind w:left="2521" w:hanging="360"/>
      </w:pPr>
    </w:lvl>
    <w:lvl w:ilvl="2" w:tplc="0809001B" w:tentative="1">
      <w:start w:val="1"/>
      <w:numFmt w:val="lowerRoman"/>
      <w:lvlText w:val="%3."/>
      <w:lvlJc w:val="right"/>
      <w:pPr>
        <w:ind w:left="3241" w:hanging="180"/>
      </w:pPr>
    </w:lvl>
    <w:lvl w:ilvl="3" w:tplc="0809000F" w:tentative="1">
      <w:start w:val="1"/>
      <w:numFmt w:val="decimal"/>
      <w:lvlText w:val="%4."/>
      <w:lvlJc w:val="left"/>
      <w:pPr>
        <w:ind w:left="3961" w:hanging="360"/>
      </w:pPr>
    </w:lvl>
    <w:lvl w:ilvl="4" w:tplc="08090019" w:tentative="1">
      <w:start w:val="1"/>
      <w:numFmt w:val="lowerLetter"/>
      <w:lvlText w:val="%5."/>
      <w:lvlJc w:val="left"/>
      <w:pPr>
        <w:ind w:left="4681" w:hanging="360"/>
      </w:pPr>
    </w:lvl>
    <w:lvl w:ilvl="5" w:tplc="0809001B" w:tentative="1">
      <w:start w:val="1"/>
      <w:numFmt w:val="lowerRoman"/>
      <w:lvlText w:val="%6."/>
      <w:lvlJc w:val="right"/>
      <w:pPr>
        <w:ind w:left="5401" w:hanging="180"/>
      </w:pPr>
    </w:lvl>
    <w:lvl w:ilvl="6" w:tplc="0809000F" w:tentative="1">
      <w:start w:val="1"/>
      <w:numFmt w:val="decimal"/>
      <w:lvlText w:val="%7."/>
      <w:lvlJc w:val="left"/>
      <w:pPr>
        <w:ind w:left="6121" w:hanging="360"/>
      </w:pPr>
    </w:lvl>
    <w:lvl w:ilvl="7" w:tplc="08090019" w:tentative="1">
      <w:start w:val="1"/>
      <w:numFmt w:val="lowerLetter"/>
      <w:lvlText w:val="%8."/>
      <w:lvlJc w:val="left"/>
      <w:pPr>
        <w:ind w:left="6841" w:hanging="360"/>
      </w:pPr>
    </w:lvl>
    <w:lvl w:ilvl="8" w:tplc="0809001B" w:tentative="1">
      <w:start w:val="1"/>
      <w:numFmt w:val="lowerRoman"/>
      <w:lvlText w:val="%9."/>
      <w:lvlJc w:val="right"/>
      <w:pPr>
        <w:ind w:left="7561" w:hanging="180"/>
      </w:pPr>
    </w:lvl>
  </w:abstractNum>
  <w:abstractNum w:abstractNumId="3" w15:restartNumberingAfterBreak="0">
    <w:nsid w:val="13AD7B8D"/>
    <w:multiLevelType w:val="hybridMultilevel"/>
    <w:tmpl w:val="5F0A62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FF22D0B"/>
    <w:multiLevelType w:val="multilevel"/>
    <w:tmpl w:val="5E767374"/>
    <w:lvl w:ilvl="0">
      <w:start w:val="1"/>
      <w:numFmt w:val="bullet"/>
      <w:lvlText w:val="●"/>
      <w:lvlJc w:val="left"/>
      <w:pPr>
        <w:ind w:left="720" w:firstLine="1800"/>
      </w:pPr>
      <w:rPr>
        <w:rFonts w:ascii="Arial" w:eastAsia="Arial" w:hAnsi="Arial" w:cs="Arial"/>
        <w:sz w:val="20"/>
        <w:szCs w:val="20"/>
      </w:rPr>
    </w:lvl>
    <w:lvl w:ilvl="1">
      <w:start w:val="1"/>
      <w:numFmt w:val="bullet"/>
      <w:lvlText w:val="o"/>
      <w:lvlJc w:val="left"/>
      <w:pPr>
        <w:ind w:left="1440" w:firstLine="3960"/>
      </w:pPr>
      <w:rPr>
        <w:rFonts w:ascii="Arial" w:eastAsia="Arial" w:hAnsi="Arial" w:cs="Arial"/>
        <w:sz w:val="20"/>
        <w:szCs w:val="20"/>
      </w:rPr>
    </w:lvl>
    <w:lvl w:ilvl="2">
      <w:start w:val="1"/>
      <w:numFmt w:val="bullet"/>
      <w:lvlText w:val="▪"/>
      <w:lvlJc w:val="left"/>
      <w:pPr>
        <w:ind w:left="2160" w:firstLine="6300"/>
      </w:pPr>
      <w:rPr>
        <w:rFonts w:ascii="Arial" w:eastAsia="Arial" w:hAnsi="Arial" w:cs="Arial"/>
        <w:sz w:val="20"/>
        <w:szCs w:val="20"/>
      </w:rPr>
    </w:lvl>
    <w:lvl w:ilvl="3">
      <w:start w:val="1"/>
      <w:numFmt w:val="bullet"/>
      <w:lvlText w:val="▪"/>
      <w:lvlJc w:val="left"/>
      <w:pPr>
        <w:ind w:left="2880" w:firstLine="8280"/>
      </w:pPr>
      <w:rPr>
        <w:rFonts w:ascii="Arial" w:eastAsia="Arial" w:hAnsi="Arial" w:cs="Arial"/>
        <w:sz w:val="20"/>
        <w:szCs w:val="20"/>
      </w:rPr>
    </w:lvl>
    <w:lvl w:ilvl="4">
      <w:start w:val="1"/>
      <w:numFmt w:val="bullet"/>
      <w:lvlText w:val="▪"/>
      <w:lvlJc w:val="left"/>
      <w:pPr>
        <w:ind w:left="3600" w:firstLine="10440"/>
      </w:pPr>
      <w:rPr>
        <w:rFonts w:ascii="Arial" w:eastAsia="Arial" w:hAnsi="Arial" w:cs="Arial"/>
        <w:sz w:val="20"/>
        <w:szCs w:val="20"/>
      </w:rPr>
    </w:lvl>
    <w:lvl w:ilvl="5">
      <w:start w:val="1"/>
      <w:numFmt w:val="bullet"/>
      <w:lvlText w:val="▪"/>
      <w:lvlJc w:val="left"/>
      <w:pPr>
        <w:ind w:left="4320" w:firstLine="12780"/>
      </w:pPr>
      <w:rPr>
        <w:rFonts w:ascii="Arial" w:eastAsia="Arial" w:hAnsi="Arial" w:cs="Arial"/>
        <w:sz w:val="20"/>
        <w:szCs w:val="20"/>
      </w:rPr>
    </w:lvl>
    <w:lvl w:ilvl="6">
      <w:start w:val="1"/>
      <w:numFmt w:val="bullet"/>
      <w:lvlText w:val="▪"/>
      <w:lvlJc w:val="left"/>
      <w:pPr>
        <w:ind w:left="5040" w:firstLine="14760"/>
      </w:pPr>
      <w:rPr>
        <w:rFonts w:ascii="Arial" w:eastAsia="Arial" w:hAnsi="Arial" w:cs="Arial"/>
        <w:sz w:val="20"/>
        <w:szCs w:val="20"/>
      </w:rPr>
    </w:lvl>
    <w:lvl w:ilvl="7">
      <w:start w:val="1"/>
      <w:numFmt w:val="bullet"/>
      <w:lvlText w:val="▪"/>
      <w:lvlJc w:val="left"/>
      <w:pPr>
        <w:ind w:left="5760" w:firstLine="16920"/>
      </w:pPr>
      <w:rPr>
        <w:rFonts w:ascii="Arial" w:eastAsia="Arial" w:hAnsi="Arial" w:cs="Arial"/>
        <w:sz w:val="20"/>
        <w:szCs w:val="20"/>
      </w:rPr>
    </w:lvl>
    <w:lvl w:ilvl="8">
      <w:start w:val="1"/>
      <w:numFmt w:val="bullet"/>
      <w:lvlText w:val="▪"/>
      <w:lvlJc w:val="left"/>
      <w:pPr>
        <w:ind w:left="6480" w:firstLine="19260"/>
      </w:pPr>
      <w:rPr>
        <w:rFonts w:ascii="Arial" w:eastAsia="Arial" w:hAnsi="Arial" w:cs="Arial"/>
        <w:sz w:val="20"/>
        <w:szCs w:val="20"/>
      </w:rPr>
    </w:lvl>
  </w:abstractNum>
  <w:abstractNum w:abstractNumId="5" w15:restartNumberingAfterBreak="0">
    <w:nsid w:val="3C5E2F86"/>
    <w:multiLevelType w:val="hybridMultilevel"/>
    <w:tmpl w:val="78C492F6"/>
    <w:lvl w:ilvl="0" w:tplc="54082EEE">
      <w:start w:val="1"/>
      <w:numFmt w:val="decimal"/>
      <w:lvlText w:val="%1)"/>
      <w:lvlJc w:val="left"/>
      <w:pPr>
        <w:ind w:left="360" w:hanging="360"/>
      </w:pPr>
      <w:rPr>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52752763"/>
    <w:multiLevelType w:val="hybridMultilevel"/>
    <w:tmpl w:val="DAC2D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E146CD"/>
    <w:multiLevelType w:val="hybridMultilevel"/>
    <w:tmpl w:val="BA64138A"/>
    <w:lvl w:ilvl="0" w:tplc="B8D2C2C0">
      <w:start w:val="1"/>
      <w:numFmt w:val="lowerLetter"/>
      <w:lvlText w:val="%1)"/>
      <w:lvlJc w:val="left"/>
      <w:pPr>
        <w:ind w:left="1801" w:hanging="360"/>
      </w:pPr>
      <w:rPr>
        <w:rFonts w:hint="default"/>
      </w:rPr>
    </w:lvl>
    <w:lvl w:ilvl="1" w:tplc="08090019" w:tentative="1">
      <w:start w:val="1"/>
      <w:numFmt w:val="lowerLetter"/>
      <w:lvlText w:val="%2."/>
      <w:lvlJc w:val="left"/>
      <w:pPr>
        <w:ind w:left="2521" w:hanging="360"/>
      </w:pPr>
    </w:lvl>
    <w:lvl w:ilvl="2" w:tplc="0809001B" w:tentative="1">
      <w:start w:val="1"/>
      <w:numFmt w:val="lowerRoman"/>
      <w:lvlText w:val="%3."/>
      <w:lvlJc w:val="right"/>
      <w:pPr>
        <w:ind w:left="3241" w:hanging="180"/>
      </w:pPr>
    </w:lvl>
    <w:lvl w:ilvl="3" w:tplc="0809000F" w:tentative="1">
      <w:start w:val="1"/>
      <w:numFmt w:val="decimal"/>
      <w:lvlText w:val="%4."/>
      <w:lvlJc w:val="left"/>
      <w:pPr>
        <w:ind w:left="3961" w:hanging="360"/>
      </w:pPr>
    </w:lvl>
    <w:lvl w:ilvl="4" w:tplc="08090019" w:tentative="1">
      <w:start w:val="1"/>
      <w:numFmt w:val="lowerLetter"/>
      <w:lvlText w:val="%5."/>
      <w:lvlJc w:val="left"/>
      <w:pPr>
        <w:ind w:left="4681" w:hanging="360"/>
      </w:pPr>
    </w:lvl>
    <w:lvl w:ilvl="5" w:tplc="0809001B" w:tentative="1">
      <w:start w:val="1"/>
      <w:numFmt w:val="lowerRoman"/>
      <w:lvlText w:val="%6."/>
      <w:lvlJc w:val="right"/>
      <w:pPr>
        <w:ind w:left="5401" w:hanging="180"/>
      </w:pPr>
    </w:lvl>
    <w:lvl w:ilvl="6" w:tplc="0809000F" w:tentative="1">
      <w:start w:val="1"/>
      <w:numFmt w:val="decimal"/>
      <w:lvlText w:val="%7."/>
      <w:lvlJc w:val="left"/>
      <w:pPr>
        <w:ind w:left="6121" w:hanging="360"/>
      </w:pPr>
    </w:lvl>
    <w:lvl w:ilvl="7" w:tplc="08090019" w:tentative="1">
      <w:start w:val="1"/>
      <w:numFmt w:val="lowerLetter"/>
      <w:lvlText w:val="%8."/>
      <w:lvlJc w:val="left"/>
      <w:pPr>
        <w:ind w:left="6841" w:hanging="360"/>
      </w:pPr>
    </w:lvl>
    <w:lvl w:ilvl="8" w:tplc="0809001B" w:tentative="1">
      <w:start w:val="1"/>
      <w:numFmt w:val="lowerRoman"/>
      <w:lvlText w:val="%9."/>
      <w:lvlJc w:val="right"/>
      <w:pPr>
        <w:ind w:left="7561" w:hanging="180"/>
      </w:pPr>
    </w:lvl>
  </w:abstractNum>
  <w:abstractNum w:abstractNumId="8" w15:restartNumberingAfterBreak="0">
    <w:nsid w:val="76154E1D"/>
    <w:multiLevelType w:val="multilevel"/>
    <w:tmpl w:val="F698BA80"/>
    <w:lvl w:ilvl="0">
      <w:start w:val="1"/>
      <w:numFmt w:val="upperLetter"/>
      <w:lvlText w:val="%1."/>
      <w:lvlJc w:val="left"/>
      <w:pPr>
        <w:ind w:left="720" w:firstLine="2520"/>
      </w:pPr>
      <w:rPr>
        <w:b w:val="0"/>
      </w:rPr>
    </w:lvl>
    <w:lvl w:ilvl="1">
      <w:start w:val="1"/>
      <w:numFmt w:val="lowerRoman"/>
      <w:lvlText w:val="(%2)"/>
      <w:lvlJc w:val="left"/>
      <w:pPr>
        <w:ind w:left="1440" w:firstLine="5400"/>
      </w:pPr>
      <w:rPr>
        <w:b w:val="0"/>
      </w:rPr>
    </w:lvl>
    <w:lvl w:ilvl="2">
      <w:start w:val="1"/>
      <w:numFmt w:val="lowerLetter"/>
      <w:lvlText w:val="%3."/>
      <w:lvlJc w:val="left"/>
      <w:pPr>
        <w:ind w:left="2160"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9" w15:restartNumberingAfterBreak="0">
    <w:nsid w:val="7A5D0301"/>
    <w:multiLevelType w:val="hybridMultilevel"/>
    <w:tmpl w:val="99A01A0E"/>
    <w:lvl w:ilvl="0" w:tplc="A5A4FF4C">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7"/>
  </w:num>
  <w:num w:numId="5">
    <w:abstractNumId w:val="2"/>
  </w:num>
  <w:num w:numId="6">
    <w:abstractNumId w:val="0"/>
  </w:num>
  <w:num w:numId="7">
    <w:abstractNumId w:val="0"/>
  </w:num>
  <w:num w:numId="8">
    <w:abstractNumId w:val="0"/>
  </w:num>
  <w:num w:numId="9">
    <w:abstractNumId w:val="0"/>
  </w:num>
  <w:num w:numId="10">
    <w:abstractNumId w:val="0"/>
  </w:num>
  <w:num w:numId="11">
    <w:abstractNumId w:val="6"/>
  </w:num>
  <w:num w:numId="12">
    <w:abstractNumId w:val="3"/>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IM_Brand" w:val="D9"/>
  </w:docVars>
  <w:rsids>
    <w:rsidRoot w:val="00A55467"/>
    <w:rsid w:val="00001151"/>
    <w:rsid w:val="0003362E"/>
    <w:rsid w:val="00033E5E"/>
    <w:rsid w:val="0005113B"/>
    <w:rsid w:val="0005135B"/>
    <w:rsid w:val="00060856"/>
    <w:rsid w:val="000714A5"/>
    <w:rsid w:val="00071503"/>
    <w:rsid w:val="00083AE9"/>
    <w:rsid w:val="000A190B"/>
    <w:rsid w:val="000A5E56"/>
    <w:rsid w:val="000B0F77"/>
    <w:rsid w:val="000B2A1D"/>
    <w:rsid w:val="000C521F"/>
    <w:rsid w:val="000E5064"/>
    <w:rsid w:val="00100646"/>
    <w:rsid w:val="0010108D"/>
    <w:rsid w:val="00112AC0"/>
    <w:rsid w:val="00114E0B"/>
    <w:rsid w:val="00124875"/>
    <w:rsid w:val="00125965"/>
    <w:rsid w:val="0012710E"/>
    <w:rsid w:val="00136B5C"/>
    <w:rsid w:val="00137475"/>
    <w:rsid w:val="00151359"/>
    <w:rsid w:val="00153803"/>
    <w:rsid w:val="00156AE0"/>
    <w:rsid w:val="00197C41"/>
    <w:rsid w:val="001D22AB"/>
    <w:rsid w:val="001D49FB"/>
    <w:rsid w:val="001D4FB8"/>
    <w:rsid w:val="001E728C"/>
    <w:rsid w:val="001F4E71"/>
    <w:rsid w:val="00207C3E"/>
    <w:rsid w:val="00210313"/>
    <w:rsid w:val="002120FF"/>
    <w:rsid w:val="0021226D"/>
    <w:rsid w:val="00214CF8"/>
    <w:rsid w:val="00222252"/>
    <w:rsid w:val="00236386"/>
    <w:rsid w:val="00237599"/>
    <w:rsid w:val="00240102"/>
    <w:rsid w:val="00245192"/>
    <w:rsid w:val="00245A79"/>
    <w:rsid w:val="00276337"/>
    <w:rsid w:val="00277545"/>
    <w:rsid w:val="002823AC"/>
    <w:rsid w:val="002953B6"/>
    <w:rsid w:val="002A27FE"/>
    <w:rsid w:val="002B3162"/>
    <w:rsid w:val="002C4FA2"/>
    <w:rsid w:val="002C6F97"/>
    <w:rsid w:val="002D7809"/>
    <w:rsid w:val="002E3B74"/>
    <w:rsid w:val="002F0642"/>
    <w:rsid w:val="002F5CDB"/>
    <w:rsid w:val="003057FC"/>
    <w:rsid w:val="00317A62"/>
    <w:rsid w:val="00320695"/>
    <w:rsid w:val="003227AE"/>
    <w:rsid w:val="003227D9"/>
    <w:rsid w:val="00332BD7"/>
    <w:rsid w:val="003465F8"/>
    <w:rsid w:val="003512F7"/>
    <w:rsid w:val="00355101"/>
    <w:rsid w:val="00370CED"/>
    <w:rsid w:val="00395092"/>
    <w:rsid w:val="003A11D6"/>
    <w:rsid w:val="003B089B"/>
    <w:rsid w:val="003B641E"/>
    <w:rsid w:val="003C36F3"/>
    <w:rsid w:val="003C661F"/>
    <w:rsid w:val="003D5BD0"/>
    <w:rsid w:val="003F4926"/>
    <w:rsid w:val="003F5BF4"/>
    <w:rsid w:val="004021F6"/>
    <w:rsid w:val="00405EDC"/>
    <w:rsid w:val="00436615"/>
    <w:rsid w:val="0045750A"/>
    <w:rsid w:val="00457F59"/>
    <w:rsid w:val="00461AE3"/>
    <w:rsid w:val="00470416"/>
    <w:rsid w:val="004A15FB"/>
    <w:rsid w:val="004B76A3"/>
    <w:rsid w:val="004D009C"/>
    <w:rsid w:val="004D0E7D"/>
    <w:rsid w:val="004D5001"/>
    <w:rsid w:val="004F0ED6"/>
    <w:rsid w:val="00501623"/>
    <w:rsid w:val="00512E5C"/>
    <w:rsid w:val="00520987"/>
    <w:rsid w:val="00520BE5"/>
    <w:rsid w:val="005330B8"/>
    <w:rsid w:val="00536822"/>
    <w:rsid w:val="005414AC"/>
    <w:rsid w:val="00571879"/>
    <w:rsid w:val="00576356"/>
    <w:rsid w:val="00576BFE"/>
    <w:rsid w:val="00581002"/>
    <w:rsid w:val="005A5A97"/>
    <w:rsid w:val="005D5C2B"/>
    <w:rsid w:val="005E0842"/>
    <w:rsid w:val="006018DF"/>
    <w:rsid w:val="00615324"/>
    <w:rsid w:val="00620636"/>
    <w:rsid w:val="00640AB2"/>
    <w:rsid w:val="00665763"/>
    <w:rsid w:val="006704B8"/>
    <w:rsid w:val="006A34E9"/>
    <w:rsid w:val="006A7235"/>
    <w:rsid w:val="006D0D5E"/>
    <w:rsid w:val="006E75A3"/>
    <w:rsid w:val="006F5322"/>
    <w:rsid w:val="00704D3A"/>
    <w:rsid w:val="00704ECD"/>
    <w:rsid w:val="007115F9"/>
    <w:rsid w:val="007313D7"/>
    <w:rsid w:val="0073266A"/>
    <w:rsid w:val="007503A5"/>
    <w:rsid w:val="0078017F"/>
    <w:rsid w:val="007A4961"/>
    <w:rsid w:val="007A510D"/>
    <w:rsid w:val="007B471D"/>
    <w:rsid w:val="007C423D"/>
    <w:rsid w:val="007D7C8F"/>
    <w:rsid w:val="007F45CD"/>
    <w:rsid w:val="00805636"/>
    <w:rsid w:val="008162F6"/>
    <w:rsid w:val="00834ACA"/>
    <w:rsid w:val="00835439"/>
    <w:rsid w:val="00846B5C"/>
    <w:rsid w:val="00857992"/>
    <w:rsid w:val="00872AD5"/>
    <w:rsid w:val="008937E8"/>
    <w:rsid w:val="008A02D7"/>
    <w:rsid w:val="008A12AC"/>
    <w:rsid w:val="008D1C87"/>
    <w:rsid w:val="008D30EA"/>
    <w:rsid w:val="008E5246"/>
    <w:rsid w:val="008F56EF"/>
    <w:rsid w:val="00900644"/>
    <w:rsid w:val="009041EC"/>
    <w:rsid w:val="00936AB3"/>
    <w:rsid w:val="00942EB4"/>
    <w:rsid w:val="00946489"/>
    <w:rsid w:val="0096594D"/>
    <w:rsid w:val="009660B7"/>
    <w:rsid w:val="009743C1"/>
    <w:rsid w:val="0098019E"/>
    <w:rsid w:val="00984B2A"/>
    <w:rsid w:val="009A2BB7"/>
    <w:rsid w:val="009A39A8"/>
    <w:rsid w:val="009A41BB"/>
    <w:rsid w:val="009C2550"/>
    <w:rsid w:val="009C759F"/>
    <w:rsid w:val="009F6AB1"/>
    <w:rsid w:val="00A00292"/>
    <w:rsid w:val="00A0426B"/>
    <w:rsid w:val="00A1571D"/>
    <w:rsid w:val="00A21B0F"/>
    <w:rsid w:val="00A23895"/>
    <w:rsid w:val="00A339CF"/>
    <w:rsid w:val="00A55467"/>
    <w:rsid w:val="00A75864"/>
    <w:rsid w:val="00A75F0A"/>
    <w:rsid w:val="00A803B3"/>
    <w:rsid w:val="00A84325"/>
    <w:rsid w:val="00A849F2"/>
    <w:rsid w:val="00AA1752"/>
    <w:rsid w:val="00AA7C40"/>
    <w:rsid w:val="00AB7A75"/>
    <w:rsid w:val="00AC1219"/>
    <w:rsid w:val="00AC23A4"/>
    <w:rsid w:val="00AC39C7"/>
    <w:rsid w:val="00AD2B2A"/>
    <w:rsid w:val="00B00AF3"/>
    <w:rsid w:val="00B01738"/>
    <w:rsid w:val="00B04AC7"/>
    <w:rsid w:val="00B0636A"/>
    <w:rsid w:val="00B25997"/>
    <w:rsid w:val="00B33891"/>
    <w:rsid w:val="00B35428"/>
    <w:rsid w:val="00B51EDF"/>
    <w:rsid w:val="00B56C7F"/>
    <w:rsid w:val="00B5760F"/>
    <w:rsid w:val="00B62A0E"/>
    <w:rsid w:val="00B6360F"/>
    <w:rsid w:val="00B7317E"/>
    <w:rsid w:val="00B93D9A"/>
    <w:rsid w:val="00BA510A"/>
    <w:rsid w:val="00BB5D9D"/>
    <w:rsid w:val="00BC4335"/>
    <w:rsid w:val="00BE0E61"/>
    <w:rsid w:val="00BE7DC9"/>
    <w:rsid w:val="00C07BC4"/>
    <w:rsid w:val="00C122BF"/>
    <w:rsid w:val="00C24448"/>
    <w:rsid w:val="00C24DD8"/>
    <w:rsid w:val="00C2602D"/>
    <w:rsid w:val="00C2654A"/>
    <w:rsid w:val="00C273C1"/>
    <w:rsid w:val="00C30AC4"/>
    <w:rsid w:val="00C32B84"/>
    <w:rsid w:val="00C40749"/>
    <w:rsid w:val="00C50CB8"/>
    <w:rsid w:val="00C613BA"/>
    <w:rsid w:val="00C65A1E"/>
    <w:rsid w:val="00C676D1"/>
    <w:rsid w:val="00CC5838"/>
    <w:rsid w:val="00CD403B"/>
    <w:rsid w:val="00CD5190"/>
    <w:rsid w:val="00CE19D5"/>
    <w:rsid w:val="00CE363E"/>
    <w:rsid w:val="00CE43DC"/>
    <w:rsid w:val="00D04C3E"/>
    <w:rsid w:val="00D33554"/>
    <w:rsid w:val="00D57FAF"/>
    <w:rsid w:val="00D6660B"/>
    <w:rsid w:val="00D7007C"/>
    <w:rsid w:val="00D92BED"/>
    <w:rsid w:val="00DB030F"/>
    <w:rsid w:val="00DD04F5"/>
    <w:rsid w:val="00DD797E"/>
    <w:rsid w:val="00DE3315"/>
    <w:rsid w:val="00DF0711"/>
    <w:rsid w:val="00DF30FC"/>
    <w:rsid w:val="00E01157"/>
    <w:rsid w:val="00E05051"/>
    <w:rsid w:val="00E06FB7"/>
    <w:rsid w:val="00E24719"/>
    <w:rsid w:val="00E276BC"/>
    <w:rsid w:val="00E338A8"/>
    <w:rsid w:val="00E36C90"/>
    <w:rsid w:val="00E50FAD"/>
    <w:rsid w:val="00E77D47"/>
    <w:rsid w:val="00E8514E"/>
    <w:rsid w:val="00E92A10"/>
    <w:rsid w:val="00E938CB"/>
    <w:rsid w:val="00EB34D8"/>
    <w:rsid w:val="00EC39C4"/>
    <w:rsid w:val="00ED0289"/>
    <w:rsid w:val="00ED3106"/>
    <w:rsid w:val="00ED4DFA"/>
    <w:rsid w:val="00ED73BA"/>
    <w:rsid w:val="00EE25E9"/>
    <w:rsid w:val="00EF46A3"/>
    <w:rsid w:val="00EF63BE"/>
    <w:rsid w:val="00F06EDA"/>
    <w:rsid w:val="00F07996"/>
    <w:rsid w:val="00F25DB4"/>
    <w:rsid w:val="00F25EFE"/>
    <w:rsid w:val="00F27530"/>
    <w:rsid w:val="00F57B1A"/>
    <w:rsid w:val="00F735E3"/>
    <w:rsid w:val="00F7623A"/>
    <w:rsid w:val="00F86572"/>
    <w:rsid w:val="00F954B6"/>
    <w:rsid w:val="00F956C8"/>
    <w:rsid w:val="00FA11C1"/>
    <w:rsid w:val="00FA72B2"/>
    <w:rsid w:val="00FD2FD8"/>
    <w:rsid w:val="00FE1D98"/>
    <w:rsid w:val="00FE5CDB"/>
    <w:rsid w:val="00FF1F49"/>
    <w:rsid w:val="00FF5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B91A6"/>
  <w15:docId w15:val="{5B6D3AC6-EA25-4EFB-94A4-432887D8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Footer">
    <w:name w:val="footer"/>
    <w:basedOn w:val="Normal"/>
    <w:link w:val="FooterChar"/>
    <w:rsid w:val="00A55467"/>
    <w:pPr>
      <w:tabs>
        <w:tab w:val="center" w:pos="4320"/>
        <w:tab w:val="right" w:pos="8640"/>
      </w:tabs>
      <w:adjustRightInd w:val="0"/>
      <w:jc w:val="both"/>
    </w:pPr>
    <w:rPr>
      <w:rFonts w:ascii="Arial" w:eastAsia="Arial" w:hAnsi="Arial" w:cs="Arial"/>
      <w:sz w:val="16"/>
      <w:szCs w:val="20"/>
      <w:lang w:val="en-GB" w:eastAsia="en-GB"/>
    </w:rPr>
  </w:style>
  <w:style w:type="character" w:customStyle="1" w:styleId="FooterChar">
    <w:name w:val="Footer Char"/>
    <w:basedOn w:val="DefaultParagraphFont"/>
    <w:link w:val="Footer"/>
    <w:rsid w:val="00A55467"/>
    <w:rPr>
      <w:rFonts w:ascii="Arial" w:eastAsia="Arial" w:hAnsi="Arial" w:cs="Arial"/>
      <w:sz w:val="16"/>
      <w:szCs w:val="20"/>
      <w:lang w:val="en-GB" w:eastAsia="en-GB"/>
    </w:rPr>
  </w:style>
  <w:style w:type="paragraph" w:styleId="CommentText">
    <w:name w:val="annotation text"/>
    <w:basedOn w:val="Normal"/>
    <w:link w:val="CommentTextChar"/>
    <w:semiHidden/>
    <w:rsid w:val="00A55467"/>
    <w:pPr>
      <w:adjustRightInd w:val="0"/>
      <w:jc w:val="both"/>
    </w:pPr>
    <w:rPr>
      <w:rFonts w:ascii="Arial" w:eastAsia="Arial" w:hAnsi="Arial" w:cs="Arial"/>
      <w:sz w:val="20"/>
      <w:szCs w:val="20"/>
      <w:lang w:val="en-GB" w:eastAsia="en-GB"/>
    </w:rPr>
  </w:style>
  <w:style w:type="character" w:customStyle="1" w:styleId="CommentTextChar">
    <w:name w:val="Comment Text Char"/>
    <w:basedOn w:val="DefaultParagraphFont"/>
    <w:link w:val="CommentText"/>
    <w:semiHidden/>
    <w:rsid w:val="00A55467"/>
    <w:rPr>
      <w:rFonts w:ascii="Arial" w:eastAsia="Arial" w:hAnsi="Arial" w:cs="Arial"/>
      <w:sz w:val="20"/>
      <w:szCs w:val="20"/>
      <w:lang w:val="en-GB" w:eastAsia="en-GB"/>
    </w:rPr>
  </w:style>
  <w:style w:type="paragraph" w:styleId="TOC1">
    <w:name w:val="toc 1"/>
    <w:basedOn w:val="Normal"/>
    <w:next w:val="Normal"/>
    <w:uiPriority w:val="39"/>
    <w:rsid w:val="00A55467"/>
    <w:pPr>
      <w:tabs>
        <w:tab w:val="right" w:pos="8500"/>
      </w:tabs>
      <w:adjustRightInd w:val="0"/>
      <w:spacing w:after="240"/>
      <w:ind w:left="851" w:right="567" w:hanging="851"/>
      <w:jc w:val="both"/>
    </w:pPr>
    <w:rPr>
      <w:rFonts w:ascii="Arial" w:eastAsia="Arial" w:hAnsi="Arial" w:cs="Arial"/>
      <w:sz w:val="20"/>
      <w:szCs w:val="20"/>
      <w:lang w:val="en-GB" w:eastAsia="en-GB"/>
    </w:rPr>
  </w:style>
  <w:style w:type="paragraph" w:customStyle="1" w:styleId="Body">
    <w:name w:val="Body"/>
    <w:aliases w:val="b"/>
    <w:basedOn w:val="Normal"/>
    <w:link w:val="BodyChar"/>
    <w:rsid w:val="00A55467"/>
    <w:pPr>
      <w:adjustRightInd w:val="0"/>
      <w:spacing w:after="240"/>
      <w:jc w:val="both"/>
    </w:pPr>
    <w:rPr>
      <w:rFonts w:ascii="Arial" w:eastAsia="Arial" w:hAnsi="Arial" w:cs="Arial"/>
      <w:sz w:val="20"/>
      <w:szCs w:val="20"/>
      <w:lang w:val="en-GB" w:eastAsia="en-GB"/>
    </w:rPr>
  </w:style>
  <w:style w:type="paragraph" w:customStyle="1" w:styleId="Body1">
    <w:name w:val="Body 1"/>
    <w:basedOn w:val="Body"/>
    <w:rsid w:val="00A55467"/>
    <w:pPr>
      <w:ind w:left="851"/>
    </w:pPr>
  </w:style>
  <w:style w:type="paragraph" w:customStyle="1" w:styleId="Level1">
    <w:name w:val="Level 1"/>
    <w:basedOn w:val="Body1"/>
    <w:uiPriority w:val="99"/>
    <w:rsid w:val="00A55467"/>
    <w:pPr>
      <w:numPr>
        <w:numId w:val="1"/>
      </w:numPr>
      <w:outlineLvl w:val="0"/>
    </w:pPr>
  </w:style>
  <w:style w:type="character" w:customStyle="1" w:styleId="Level1asHeadingtext">
    <w:name w:val="Level 1 as Heading (text)"/>
    <w:basedOn w:val="DefaultParagraphFont"/>
    <w:rsid w:val="00A55467"/>
    <w:rPr>
      <w:b/>
      <w:bCs/>
      <w:caps/>
    </w:rPr>
  </w:style>
  <w:style w:type="paragraph" w:customStyle="1" w:styleId="Body2">
    <w:name w:val="Body 2"/>
    <w:basedOn w:val="Body"/>
    <w:rsid w:val="00A55467"/>
    <w:pPr>
      <w:ind w:left="851"/>
    </w:pPr>
  </w:style>
  <w:style w:type="paragraph" w:customStyle="1" w:styleId="Level2">
    <w:name w:val="Level 2"/>
    <w:basedOn w:val="Body2"/>
    <w:uiPriority w:val="99"/>
    <w:rsid w:val="00A55467"/>
    <w:pPr>
      <w:numPr>
        <w:ilvl w:val="1"/>
        <w:numId w:val="1"/>
      </w:numPr>
      <w:outlineLvl w:val="1"/>
    </w:pPr>
  </w:style>
  <w:style w:type="paragraph" w:customStyle="1" w:styleId="Level3">
    <w:name w:val="Level 3"/>
    <w:basedOn w:val="Normal"/>
    <w:uiPriority w:val="99"/>
    <w:rsid w:val="00A55467"/>
    <w:pPr>
      <w:numPr>
        <w:ilvl w:val="2"/>
        <w:numId w:val="1"/>
      </w:numPr>
      <w:adjustRightInd w:val="0"/>
      <w:spacing w:after="240"/>
      <w:jc w:val="both"/>
      <w:outlineLvl w:val="2"/>
    </w:pPr>
    <w:rPr>
      <w:rFonts w:ascii="Arial" w:eastAsia="Arial" w:hAnsi="Arial" w:cs="Arial"/>
      <w:sz w:val="20"/>
      <w:szCs w:val="20"/>
      <w:lang w:val="en-GB" w:eastAsia="en-GB"/>
    </w:rPr>
  </w:style>
  <w:style w:type="paragraph" w:customStyle="1" w:styleId="Level4">
    <w:name w:val="Level 4"/>
    <w:basedOn w:val="Normal"/>
    <w:uiPriority w:val="99"/>
    <w:rsid w:val="00A55467"/>
    <w:pPr>
      <w:numPr>
        <w:ilvl w:val="3"/>
        <w:numId w:val="1"/>
      </w:numPr>
      <w:adjustRightInd w:val="0"/>
      <w:spacing w:after="240"/>
      <w:jc w:val="both"/>
      <w:outlineLvl w:val="3"/>
    </w:pPr>
    <w:rPr>
      <w:rFonts w:ascii="Arial" w:eastAsia="Arial" w:hAnsi="Arial" w:cs="Arial"/>
      <w:sz w:val="20"/>
      <w:szCs w:val="20"/>
      <w:lang w:val="en-GB" w:eastAsia="en-GB"/>
    </w:rPr>
  </w:style>
  <w:style w:type="paragraph" w:customStyle="1" w:styleId="Level5">
    <w:name w:val="Level 5"/>
    <w:basedOn w:val="Normal"/>
    <w:uiPriority w:val="99"/>
    <w:rsid w:val="00A55467"/>
    <w:pPr>
      <w:numPr>
        <w:ilvl w:val="4"/>
        <w:numId w:val="1"/>
      </w:numPr>
      <w:adjustRightInd w:val="0"/>
      <w:spacing w:after="240"/>
      <w:jc w:val="both"/>
      <w:outlineLvl w:val="4"/>
    </w:pPr>
    <w:rPr>
      <w:rFonts w:ascii="Arial" w:eastAsia="Arial" w:hAnsi="Arial" w:cs="Arial"/>
      <w:sz w:val="20"/>
      <w:szCs w:val="20"/>
      <w:lang w:val="en-GB" w:eastAsia="en-GB"/>
    </w:rPr>
  </w:style>
  <w:style w:type="paragraph" w:customStyle="1" w:styleId="Level6">
    <w:name w:val="Level 6"/>
    <w:basedOn w:val="Normal"/>
    <w:uiPriority w:val="99"/>
    <w:rsid w:val="00A55467"/>
    <w:pPr>
      <w:numPr>
        <w:ilvl w:val="5"/>
        <w:numId w:val="1"/>
      </w:numPr>
      <w:adjustRightInd w:val="0"/>
      <w:spacing w:after="240"/>
      <w:jc w:val="both"/>
      <w:outlineLvl w:val="5"/>
    </w:pPr>
    <w:rPr>
      <w:rFonts w:ascii="Arial" w:eastAsia="Arial" w:hAnsi="Arial" w:cs="Arial"/>
      <w:sz w:val="20"/>
      <w:szCs w:val="20"/>
      <w:lang w:val="en-GB" w:eastAsia="en-GB"/>
    </w:rPr>
  </w:style>
  <w:style w:type="character" w:styleId="CommentReference">
    <w:name w:val="annotation reference"/>
    <w:basedOn w:val="DefaultParagraphFont"/>
    <w:unhideWhenUsed/>
    <w:rsid w:val="00A55467"/>
    <w:rPr>
      <w:sz w:val="16"/>
      <w:szCs w:val="16"/>
    </w:rPr>
  </w:style>
  <w:style w:type="character" w:customStyle="1" w:styleId="BodyChar">
    <w:name w:val="Body Char"/>
    <w:link w:val="Body"/>
    <w:rsid w:val="00A55467"/>
    <w:rPr>
      <w:rFonts w:ascii="Arial" w:eastAsia="Arial" w:hAnsi="Arial" w:cs="Arial"/>
      <w:sz w:val="20"/>
      <w:szCs w:val="20"/>
      <w:lang w:val="en-GB" w:eastAsia="en-GB"/>
    </w:rPr>
  </w:style>
  <w:style w:type="paragraph" w:styleId="BalloonText">
    <w:name w:val="Balloon Text"/>
    <w:basedOn w:val="Normal"/>
    <w:link w:val="BalloonTextChar"/>
    <w:uiPriority w:val="99"/>
    <w:semiHidden/>
    <w:unhideWhenUsed/>
    <w:rsid w:val="00A554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46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313D7"/>
    <w:pPr>
      <w:adjustRightInd/>
      <w:jc w:val="left"/>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7313D7"/>
    <w:rPr>
      <w:rFonts w:ascii="Arial" w:eastAsia="Arial" w:hAnsi="Arial" w:cs="Arial"/>
      <w:b/>
      <w:bCs/>
      <w:sz w:val="20"/>
      <w:szCs w:val="20"/>
      <w:lang w:val="en-GB" w:eastAsia="en-GB"/>
    </w:rPr>
  </w:style>
  <w:style w:type="character" w:styleId="FootnoteReference">
    <w:name w:val="footnote reference"/>
    <w:basedOn w:val="DefaultParagraphFont"/>
    <w:uiPriority w:val="99"/>
    <w:unhideWhenUsed/>
    <w:rsid w:val="007313D7"/>
    <w:rPr>
      <w:vertAlign w:val="superscript"/>
    </w:rPr>
  </w:style>
  <w:style w:type="paragraph" w:styleId="Revision">
    <w:name w:val="Revision"/>
    <w:hidden/>
    <w:uiPriority w:val="99"/>
    <w:semiHidden/>
    <w:rsid w:val="00536822"/>
  </w:style>
  <w:style w:type="paragraph" w:styleId="EndnoteText">
    <w:name w:val="endnote text"/>
    <w:basedOn w:val="Normal"/>
    <w:link w:val="EndnoteTextChar"/>
    <w:uiPriority w:val="99"/>
    <w:semiHidden/>
    <w:unhideWhenUsed/>
    <w:rsid w:val="00CD5190"/>
    <w:rPr>
      <w:sz w:val="20"/>
      <w:szCs w:val="20"/>
    </w:rPr>
  </w:style>
  <w:style w:type="character" w:customStyle="1" w:styleId="EndnoteTextChar">
    <w:name w:val="Endnote Text Char"/>
    <w:basedOn w:val="DefaultParagraphFont"/>
    <w:link w:val="EndnoteText"/>
    <w:uiPriority w:val="99"/>
    <w:semiHidden/>
    <w:rsid w:val="00CD5190"/>
    <w:rPr>
      <w:sz w:val="20"/>
      <w:szCs w:val="20"/>
    </w:rPr>
  </w:style>
  <w:style w:type="character" w:styleId="EndnoteReference">
    <w:name w:val="endnote reference"/>
    <w:basedOn w:val="DefaultParagraphFont"/>
    <w:uiPriority w:val="99"/>
    <w:semiHidden/>
    <w:unhideWhenUsed/>
    <w:rsid w:val="00CD5190"/>
    <w:rPr>
      <w:vertAlign w:val="superscript"/>
    </w:rPr>
  </w:style>
  <w:style w:type="paragraph" w:styleId="FootnoteText">
    <w:name w:val="footnote text"/>
    <w:basedOn w:val="Normal"/>
    <w:link w:val="FootnoteTextChar"/>
    <w:uiPriority w:val="99"/>
    <w:semiHidden/>
    <w:unhideWhenUsed/>
    <w:rsid w:val="00CD5190"/>
    <w:rPr>
      <w:sz w:val="20"/>
      <w:szCs w:val="20"/>
    </w:rPr>
  </w:style>
  <w:style w:type="character" w:customStyle="1" w:styleId="FootnoteTextChar">
    <w:name w:val="Footnote Text Char"/>
    <w:basedOn w:val="DefaultParagraphFont"/>
    <w:link w:val="FootnoteText"/>
    <w:uiPriority w:val="99"/>
    <w:semiHidden/>
    <w:rsid w:val="00CD5190"/>
    <w:rPr>
      <w:sz w:val="20"/>
      <w:szCs w:val="20"/>
    </w:rPr>
  </w:style>
  <w:style w:type="paragraph" w:styleId="Header">
    <w:name w:val="header"/>
    <w:basedOn w:val="Normal"/>
    <w:link w:val="HeaderChar"/>
    <w:uiPriority w:val="99"/>
    <w:unhideWhenUsed/>
    <w:rsid w:val="008D30EA"/>
    <w:pPr>
      <w:tabs>
        <w:tab w:val="center" w:pos="4513"/>
        <w:tab w:val="right" w:pos="9026"/>
      </w:tabs>
    </w:pPr>
  </w:style>
  <w:style w:type="character" w:customStyle="1" w:styleId="HeaderChar">
    <w:name w:val="Header Char"/>
    <w:basedOn w:val="DefaultParagraphFont"/>
    <w:link w:val="Header"/>
    <w:uiPriority w:val="99"/>
    <w:rsid w:val="008D30EA"/>
  </w:style>
  <w:style w:type="paragraph" w:styleId="NormalWeb">
    <w:name w:val="Normal (Web)"/>
    <w:basedOn w:val="Normal"/>
    <w:uiPriority w:val="99"/>
    <w:semiHidden/>
    <w:unhideWhenUsed/>
    <w:rsid w:val="008D1C87"/>
    <w:pPr>
      <w:spacing w:before="100" w:beforeAutospacing="1" w:after="100" w:afterAutospacing="1"/>
    </w:pPr>
    <w:rPr>
      <w:rFonts w:ascii="Times New Roman" w:hAnsi="Times New Roman" w:cs="Times New Roman"/>
      <w:sz w:val="24"/>
      <w:szCs w:val="24"/>
      <w:lang w:val="en-GB" w:eastAsia="en-GB"/>
    </w:rPr>
  </w:style>
  <w:style w:type="character" w:customStyle="1" w:styleId="apple-converted-space">
    <w:name w:val="apple-converted-space"/>
    <w:basedOn w:val="DefaultParagraphFont"/>
    <w:rsid w:val="00305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634560">
      <w:bodyDiv w:val="1"/>
      <w:marLeft w:val="0"/>
      <w:marRight w:val="0"/>
      <w:marTop w:val="0"/>
      <w:marBottom w:val="0"/>
      <w:divBdr>
        <w:top w:val="none" w:sz="0" w:space="0" w:color="auto"/>
        <w:left w:val="none" w:sz="0" w:space="0" w:color="auto"/>
        <w:bottom w:val="none" w:sz="0" w:space="0" w:color="auto"/>
        <w:right w:val="none" w:sz="0" w:space="0" w:color="auto"/>
      </w:divBdr>
    </w:div>
    <w:div w:id="1178622076">
      <w:bodyDiv w:val="1"/>
      <w:marLeft w:val="0"/>
      <w:marRight w:val="0"/>
      <w:marTop w:val="0"/>
      <w:marBottom w:val="0"/>
      <w:divBdr>
        <w:top w:val="none" w:sz="0" w:space="0" w:color="auto"/>
        <w:left w:val="none" w:sz="0" w:space="0" w:color="auto"/>
        <w:bottom w:val="none" w:sz="0" w:space="0" w:color="auto"/>
        <w:right w:val="none" w:sz="0" w:space="0" w:color="auto"/>
      </w:divBdr>
      <w:divsChild>
        <w:div w:id="459806149">
          <w:marLeft w:val="0"/>
          <w:marRight w:val="0"/>
          <w:marTop w:val="0"/>
          <w:marBottom w:val="0"/>
          <w:divBdr>
            <w:top w:val="none" w:sz="0" w:space="0" w:color="auto"/>
            <w:left w:val="none" w:sz="0" w:space="0" w:color="auto"/>
            <w:bottom w:val="none" w:sz="0" w:space="0" w:color="auto"/>
            <w:right w:val="none" w:sz="0" w:space="0" w:color="auto"/>
          </w:divBdr>
        </w:div>
      </w:divsChild>
    </w:div>
    <w:div w:id="1566144786">
      <w:bodyDiv w:val="1"/>
      <w:marLeft w:val="0"/>
      <w:marRight w:val="0"/>
      <w:marTop w:val="0"/>
      <w:marBottom w:val="0"/>
      <w:divBdr>
        <w:top w:val="none" w:sz="0" w:space="0" w:color="auto"/>
        <w:left w:val="none" w:sz="0" w:space="0" w:color="auto"/>
        <w:bottom w:val="none" w:sz="0" w:space="0" w:color="auto"/>
        <w:right w:val="none" w:sz="0" w:space="0" w:color="auto"/>
      </w:divBdr>
    </w:div>
    <w:div w:id="164137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iccstandards.org.uk/files/current/ND1427V1%200%200.pdf?type=pdf" TargetMode="External"/><Relationship Id="rId18" Type="http://schemas.openxmlformats.org/officeDocument/2006/relationships/hyperlink" Target="http://www.niccstandards.org.uk/files/current/nd1509_2007.pdf?type=pdf" TargetMode="External"/><Relationship Id="rId26" Type="http://schemas.openxmlformats.org/officeDocument/2006/relationships/hyperlink" Target="http://www.niccstandards.org.uk/files/current/nd1637v1.1.1.zip?type=zip" TargetMode="External"/><Relationship Id="rId3" Type="http://schemas.openxmlformats.org/officeDocument/2006/relationships/numbering" Target="numbering.xml"/><Relationship Id="rId21" Type="http://schemas.openxmlformats.org/officeDocument/2006/relationships/hyperlink" Target="http://www.niccstandards.org.uk/files/current/nd1618_2006_11.pdf?type=pdf" TargetMode="External"/><Relationship Id="rId7" Type="http://schemas.openxmlformats.org/officeDocument/2006/relationships/footnotes" Target="footnotes.xml"/><Relationship Id="rId12" Type="http://schemas.openxmlformats.org/officeDocument/2006/relationships/hyperlink" Target="http://www.niccstandards.org.uk/files/current/nd1422_2007.pdf?type=pdf" TargetMode="External"/><Relationship Id="rId17" Type="http://schemas.openxmlformats.org/officeDocument/2006/relationships/hyperlink" Target="http://www.niccstandards.org.uk/files/current/nd1508_2007.pdf?type=pdf" TargetMode="External"/><Relationship Id="rId25" Type="http://schemas.openxmlformats.org/officeDocument/2006/relationships/hyperlink" Target="http://www.niccstandards.org.uk/files/current/nd1626_2007.pdf?type=pdf" TargetMode="External"/><Relationship Id="rId2" Type="http://schemas.openxmlformats.org/officeDocument/2006/relationships/customXml" Target="../customXml/item2.xml"/><Relationship Id="rId16" Type="http://schemas.openxmlformats.org/officeDocument/2006/relationships/hyperlink" Target="http://www.niccstandards.org.uk/files/current/nd1507_2007.pdf?type=pdf" TargetMode="External"/><Relationship Id="rId20" Type="http://schemas.openxmlformats.org/officeDocument/2006/relationships/hyperlink" Target="http://www.niccstandards.org.uk/files/current/nd1617_2006_11.pdf?type=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iccstandards.org.uk/files/current/nd1421_2007.pdf?type=pdf" TargetMode="External"/><Relationship Id="rId24" Type="http://schemas.openxmlformats.org/officeDocument/2006/relationships/hyperlink" Target="http://www.niccstandards.org.uk/files/current/ND1624%20V1.1.1.pdf?type=pdf" TargetMode="External"/><Relationship Id="rId5" Type="http://schemas.openxmlformats.org/officeDocument/2006/relationships/settings" Target="settings.xml"/><Relationship Id="rId15" Type="http://schemas.openxmlformats.org/officeDocument/2006/relationships/hyperlink" Target="http://www.niccstandards.org.uk/files/current/ND1430_B2B_Developers_Guide_V1.1.1.pdf?type=pdf" TargetMode="External"/><Relationship Id="rId23" Type="http://schemas.openxmlformats.org/officeDocument/2006/relationships/hyperlink" Target="http://www.niccstandards.org.uk/files/current/nd1623_2007.pdf?type=pdf" TargetMode="External"/><Relationship Id="rId28" Type="http://schemas.openxmlformats.org/officeDocument/2006/relationships/footer" Target="footer1.xml"/><Relationship Id="rId10" Type="http://schemas.openxmlformats.org/officeDocument/2006/relationships/hyperlink" Target="http://www.niccstandards.org.uk/files/current/ND1704v2_1_1.pdf?type=pdf" TargetMode="External"/><Relationship Id="rId19" Type="http://schemas.openxmlformats.org/officeDocument/2006/relationships/hyperlink" Target="http://www.niccstandards.org.uk/files/current/nd1510_2007.pdf?type=pdf" TargetMode="External"/><Relationship Id="rId4" Type="http://schemas.openxmlformats.org/officeDocument/2006/relationships/styles" Target="styles.xml"/><Relationship Id="rId9" Type="http://schemas.openxmlformats.org/officeDocument/2006/relationships/hyperlink" Target="http://www.niccstandards.org.uk/files/current/ND1644v1.1.1.pdf?type=pdf" TargetMode="External"/><Relationship Id="rId14" Type="http://schemas.openxmlformats.org/officeDocument/2006/relationships/hyperlink" Target="http://www.niccstandards.org.uk/files/current/ND1429_B2B_Documentation_Tools_V1.1.1.pdf?type=pdf" TargetMode="External"/><Relationship Id="rId22" Type="http://schemas.openxmlformats.org/officeDocument/2006/relationships/hyperlink" Target="http://www.niccstandards.org.uk/files/current/nd1622_2007.pdf?type=pdf" TargetMode="External"/><Relationship Id="rId27" Type="http://schemas.openxmlformats.org/officeDocument/2006/relationships/hyperlink" Target="http://www.niccstandards.org.uk/files/current/nd1641v1.1.1.zip?type=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johnso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69831220-316F-4604-8C94-FEC417BD8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16</Pages>
  <Words>5377</Words>
  <Characters>30652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Pinsent Masons</Company>
  <LinksUpToDate>false</LinksUpToDate>
  <CharactersWithSpaces>35958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Johnson</dc:creator>
  <cp:lastModifiedBy>Chris Johnson</cp:lastModifiedBy>
  <cp:revision>3</cp:revision>
  <dcterms:created xsi:type="dcterms:W3CDTF">2016-11-16T07:19:00Z</dcterms:created>
  <dcterms:modified xsi:type="dcterms:W3CDTF">2016-11-16T22:18:00Z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