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D0E585" w14:textId="77777777" w:rsidR="00B77E23" w:rsidRDefault="00B77E23">
      <w:pPr>
        <w:tabs>
          <w:tab w:val="center" w:pos="4820"/>
          <w:tab w:val="right" w:pos="9638"/>
        </w:tabs>
        <w:spacing w:after="240"/>
        <w:jc w:val="center"/>
      </w:pPr>
    </w:p>
    <w:p w14:paraId="3F020AFD" w14:textId="77777777" w:rsidR="00B77E23" w:rsidRDefault="00B77E23">
      <w:pPr>
        <w:tabs>
          <w:tab w:val="center" w:pos="4820"/>
          <w:tab w:val="right" w:pos="9638"/>
        </w:tabs>
        <w:spacing w:after="240"/>
        <w:jc w:val="center"/>
      </w:pPr>
    </w:p>
    <w:p w14:paraId="4C6C666C" w14:textId="77777777" w:rsidR="00B77E23" w:rsidRDefault="00B77E23">
      <w:pPr>
        <w:tabs>
          <w:tab w:val="center" w:pos="4820"/>
          <w:tab w:val="right" w:pos="9638"/>
        </w:tabs>
        <w:spacing w:after="240"/>
        <w:jc w:val="center"/>
      </w:pPr>
    </w:p>
    <w:p w14:paraId="75A22741" w14:textId="77777777" w:rsidR="00B77E23" w:rsidRDefault="00B77E23">
      <w:pPr>
        <w:spacing w:after="240"/>
      </w:pPr>
    </w:p>
    <w:p w14:paraId="68C8E9A3" w14:textId="77777777" w:rsidR="00B77E23" w:rsidRDefault="005F0791">
      <w:pPr>
        <w:pStyle w:val="Title"/>
      </w:pPr>
      <w:r>
        <w:rPr>
          <w:rFonts w:ascii="Arial" w:eastAsia="Arial" w:hAnsi="Arial" w:cs="Arial"/>
          <w:sz w:val="22"/>
          <w:szCs w:val="22"/>
        </w:rPr>
        <w:t>SCHEDULE 5.3</w:t>
      </w:r>
    </w:p>
    <w:p w14:paraId="7EB80A52" w14:textId="77777777" w:rsidR="00B77E23" w:rsidRDefault="005F0791">
      <w:pPr>
        <w:pStyle w:val="Title"/>
      </w:pPr>
      <w:r>
        <w:rPr>
          <w:rFonts w:ascii="Arial" w:eastAsia="Arial" w:hAnsi="Arial" w:cs="Arial"/>
          <w:sz w:val="22"/>
          <w:szCs w:val="22"/>
        </w:rPr>
        <w:t>THE PROJECT MODEL</w:t>
      </w:r>
    </w:p>
    <w:p w14:paraId="7570F282" w14:textId="77777777" w:rsidR="00B77E23" w:rsidRDefault="00B77E23">
      <w:pPr>
        <w:spacing w:after="240"/>
      </w:pPr>
    </w:p>
    <w:p w14:paraId="091455D9" w14:textId="77777777" w:rsidR="00B77E23" w:rsidRDefault="00B77E23">
      <w:pPr>
        <w:spacing w:after="240"/>
      </w:pPr>
    </w:p>
    <w:p w14:paraId="6C2E199B" w14:textId="77777777" w:rsidR="00B77E23" w:rsidRDefault="00B77E23">
      <w:pPr>
        <w:spacing w:after="240"/>
      </w:pPr>
    </w:p>
    <w:p w14:paraId="3F993CDB" w14:textId="77777777" w:rsidR="00B77E23" w:rsidRDefault="00B77E23">
      <w:pPr>
        <w:spacing w:after="240"/>
      </w:pPr>
    </w:p>
    <w:p w14:paraId="74C0669C" w14:textId="77777777" w:rsidR="00B77E23" w:rsidRDefault="00B77E23">
      <w:pPr>
        <w:spacing w:after="240"/>
      </w:pPr>
    </w:p>
    <w:p w14:paraId="142D72B3" w14:textId="77777777" w:rsidR="00B77E23" w:rsidRDefault="00B77E23">
      <w:pPr>
        <w:spacing w:after="240"/>
      </w:pPr>
    </w:p>
    <w:p w14:paraId="2E95F29A" w14:textId="77777777" w:rsidR="007C72DC" w:rsidRPr="007C72DC" w:rsidRDefault="007C72DC" w:rsidP="007C72DC">
      <w:pPr>
        <w:jc w:val="center"/>
      </w:pPr>
      <w:r>
        <w:rPr>
          <w:b/>
        </w:rPr>
        <w:br w:type="page"/>
      </w:r>
      <w:r w:rsidRPr="0034624F">
        <w:rPr>
          <w:b/>
        </w:rPr>
        <w:lastRenderedPageBreak/>
        <w:t>VERSION CONTROL</w:t>
      </w:r>
    </w:p>
    <w:p w14:paraId="4988D2EA" w14:textId="77777777" w:rsidR="007C72DC" w:rsidRPr="0034624F" w:rsidRDefault="007C72DC" w:rsidP="007C72DC">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7C72DC" w:rsidRPr="0034624F" w14:paraId="412A592B" w14:textId="77777777" w:rsidTr="004C0BFA">
        <w:tc>
          <w:tcPr>
            <w:tcW w:w="2410" w:type="dxa"/>
          </w:tcPr>
          <w:p w14:paraId="2110341A" w14:textId="77777777" w:rsidR="007C72DC" w:rsidRPr="0034624F" w:rsidRDefault="007C72DC" w:rsidP="004C0BFA">
            <w:pPr>
              <w:tabs>
                <w:tab w:val="left" w:pos="737"/>
              </w:tabs>
              <w:jc w:val="center"/>
              <w:rPr>
                <w:b/>
              </w:rPr>
            </w:pPr>
            <w:r w:rsidRPr="0034624F">
              <w:rPr>
                <w:b/>
              </w:rPr>
              <w:t>VERSION NUMBER</w:t>
            </w:r>
          </w:p>
        </w:tc>
        <w:tc>
          <w:tcPr>
            <w:tcW w:w="2410" w:type="dxa"/>
          </w:tcPr>
          <w:p w14:paraId="05AB7BCD" w14:textId="77777777" w:rsidR="007C72DC" w:rsidRPr="0034624F" w:rsidRDefault="007C72DC" w:rsidP="004C0BFA">
            <w:pPr>
              <w:tabs>
                <w:tab w:val="left" w:pos="737"/>
              </w:tabs>
              <w:jc w:val="center"/>
              <w:rPr>
                <w:b/>
              </w:rPr>
            </w:pPr>
            <w:r w:rsidRPr="0034624F">
              <w:rPr>
                <w:b/>
              </w:rPr>
              <w:t>DATE</w:t>
            </w:r>
          </w:p>
          <w:p w14:paraId="1EB91D59" w14:textId="77777777" w:rsidR="007C72DC" w:rsidRPr="0034624F" w:rsidRDefault="007C72DC" w:rsidP="004C0BFA">
            <w:pPr>
              <w:tabs>
                <w:tab w:val="left" w:pos="737"/>
              </w:tabs>
              <w:jc w:val="center"/>
              <w:rPr>
                <w:b/>
              </w:rPr>
            </w:pPr>
          </w:p>
        </w:tc>
        <w:tc>
          <w:tcPr>
            <w:tcW w:w="3680" w:type="dxa"/>
          </w:tcPr>
          <w:p w14:paraId="3EA7A9D0" w14:textId="77777777" w:rsidR="007C72DC" w:rsidRPr="0034624F" w:rsidRDefault="007C72DC" w:rsidP="004C0BFA">
            <w:pPr>
              <w:tabs>
                <w:tab w:val="left" w:pos="737"/>
              </w:tabs>
              <w:jc w:val="center"/>
              <w:rPr>
                <w:b/>
              </w:rPr>
            </w:pPr>
            <w:r w:rsidRPr="0034624F">
              <w:rPr>
                <w:b/>
              </w:rPr>
              <w:t>COMMENT</w:t>
            </w:r>
          </w:p>
        </w:tc>
      </w:tr>
      <w:tr w:rsidR="007C72DC" w:rsidRPr="006A4524" w14:paraId="44E5FDE1" w14:textId="77777777" w:rsidTr="004C0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10ABA0D7" w14:textId="77777777" w:rsidR="007C72DC" w:rsidRPr="006A4524" w:rsidRDefault="007C72DC" w:rsidP="004C0BFA">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14:paraId="2345FFE5" w14:textId="4C8ADB63" w:rsidR="007C72DC" w:rsidRPr="006A4524" w:rsidRDefault="007C72DC" w:rsidP="004C0BFA">
            <w:pPr>
              <w:tabs>
                <w:tab w:val="left" w:pos="737"/>
              </w:tabs>
              <w:ind w:firstLine="122"/>
            </w:pPr>
            <w:r>
              <w:t>2</w:t>
            </w:r>
            <w:r w:rsidR="00FE1CBE">
              <w:t>7</w:t>
            </w:r>
            <w:r>
              <w:t xml:space="preserve"> July 2016</w:t>
            </w:r>
          </w:p>
          <w:p w14:paraId="4F76B8FA" w14:textId="77777777" w:rsidR="007C72DC" w:rsidRPr="006A4524" w:rsidRDefault="007C72DC" w:rsidP="004C0BFA">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14:paraId="18A31EEC" w14:textId="7D645964" w:rsidR="007C72DC" w:rsidRPr="006A4524" w:rsidRDefault="007C72DC" w:rsidP="004C0BFA">
            <w:pPr>
              <w:tabs>
                <w:tab w:val="left" w:pos="737"/>
              </w:tabs>
              <w:ind w:left="136" w:hanging="20"/>
            </w:pPr>
            <w:r>
              <w:t xml:space="preserve">Preliminary </w:t>
            </w:r>
            <w:r w:rsidR="008B2BE0">
              <w:t xml:space="preserve">draft </w:t>
            </w:r>
            <w:r>
              <w:t>template version made available for general comment</w:t>
            </w:r>
          </w:p>
        </w:tc>
      </w:tr>
      <w:tr w:rsidR="00801224" w:rsidRPr="006A4524" w14:paraId="61684836"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42974276" w14:textId="77777777" w:rsidR="00801224" w:rsidRDefault="00801224"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3FDD74D8" w14:textId="74E5801B" w:rsidR="00801224" w:rsidRDefault="00195CC7" w:rsidP="009C5F85">
            <w:pPr>
              <w:tabs>
                <w:tab w:val="left" w:pos="737"/>
              </w:tabs>
              <w:ind w:firstLine="122"/>
            </w:pPr>
            <w:r w:rsidRPr="00195CC7">
              <w:t>2 September 2016</w:t>
            </w:r>
          </w:p>
        </w:tc>
        <w:tc>
          <w:tcPr>
            <w:tcW w:w="3680" w:type="dxa"/>
            <w:tcBorders>
              <w:top w:val="single" w:sz="4" w:space="0" w:color="auto"/>
              <w:left w:val="single" w:sz="4" w:space="0" w:color="auto"/>
              <w:bottom w:val="single" w:sz="4" w:space="0" w:color="auto"/>
              <w:right w:val="single" w:sz="4" w:space="0" w:color="auto"/>
            </w:tcBorders>
          </w:tcPr>
          <w:p w14:paraId="2DD8635A" w14:textId="77777777" w:rsidR="00801224" w:rsidRDefault="00801224" w:rsidP="009C5F85">
            <w:pPr>
              <w:tabs>
                <w:tab w:val="left" w:pos="737"/>
              </w:tabs>
              <w:ind w:left="136" w:hanging="20"/>
            </w:pPr>
            <w:r>
              <w:t>Uplifted draft, following feedback, made available for final comment</w:t>
            </w:r>
          </w:p>
        </w:tc>
      </w:tr>
      <w:tr w:rsidR="008A5236" w:rsidRPr="006A4524" w14:paraId="0AA6725B" w14:textId="77777777"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42C50EA7" w14:textId="77777777" w:rsidR="008A5236" w:rsidRDefault="008A5236" w:rsidP="003C017E">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14:paraId="1CCFF9A8" w14:textId="77777777" w:rsidR="008A5236" w:rsidRDefault="008A5236" w:rsidP="003C017E">
            <w:pPr>
              <w:tabs>
                <w:tab w:val="left" w:pos="737"/>
              </w:tabs>
              <w:ind w:firstLine="122"/>
            </w:pPr>
            <w:r>
              <w:t>25 October 2016</w:t>
            </w:r>
          </w:p>
        </w:tc>
        <w:tc>
          <w:tcPr>
            <w:tcW w:w="3680" w:type="dxa"/>
            <w:tcBorders>
              <w:top w:val="single" w:sz="4" w:space="0" w:color="auto"/>
              <w:left w:val="single" w:sz="4" w:space="0" w:color="auto"/>
              <w:bottom w:val="single" w:sz="4" w:space="0" w:color="auto"/>
              <w:right w:val="single" w:sz="4" w:space="0" w:color="auto"/>
            </w:tcBorders>
          </w:tcPr>
          <w:p w14:paraId="71A96577" w14:textId="77777777" w:rsidR="008A5236" w:rsidRDefault="008A5236" w:rsidP="003C017E">
            <w:pPr>
              <w:tabs>
                <w:tab w:val="left" w:pos="737"/>
              </w:tabs>
              <w:ind w:left="136" w:hanging="20"/>
            </w:pPr>
            <w:r>
              <w:t>Uplifted following local body and supplier feedback</w:t>
            </w:r>
          </w:p>
        </w:tc>
      </w:tr>
      <w:tr w:rsidR="003B2195" w:rsidRPr="006A4524" w14:paraId="111590C3" w14:textId="77777777"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5E899B51" w14:textId="035F3487" w:rsidR="003B2195" w:rsidRDefault="003B2195" w:rsidP="003C017E">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14:paraId="60185C5F" w14:textId="766ECE8B" w:rsidR="003B2195" w:rsidRDefault="003B2195" w:rsidP="003C017E">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14:paraId="13F6B0D8" w14:textId="77777777" w:rsidR="003B2195" w:rsidRDefault="003B2195" w:rsidP="003C017E">
            <w:pPr>
              <w:tabs>
                <w:tab w:val="left" w:pos="737"/>
              </w:tabs>
              <w:ind w:left="136" w:hanging="20"/>
            </w:pPr>
            <w:r>
              <w:t>Baselined Version 1.0</w:t>
            </w:r>
          </w:p>
          <w:p w14:paraId="219CA292" w14:textId="77777777" w:rsidR="003B2195" w:rsidRDefault="003B2195" w:rsidP="003C017E">
            <w:pPr>
              <w:tabs>
                <w:tab w:val="left" w:pos="737"/>
              </w:tabs>
              <w:ind w:left="136" w:hanging="20"/>
            </w:pPr>
            <w:bookmarkStart w:id="0" w:name="_GoBack"/>
            <w:bookmarkEnd w:id="0"/>
          </w:p>
        </w:tc>
      </w:tr>
    </w:tbl>
    <w:p w14:paraId="464978C7" w14:textId="79EB1C2B" w:rsidR="007C72DC" w:rsidRDefault="007C72DC" w:rsidP="007C72DC">
      <w:pPr>
        <w:jc w:val="left"/>
      </w:pPr>
    </w:p>
    <w:p w14:paraId="0BAB548B" w14:textId="77777777" w:rsidR="007C72DC" w:rsidRDefault="007C72DC" w:rsidP="007C72DC">
      <w:pPr>
        <w:jc w:val="left"/>
        <w:rPr>
          <w:b/>
        </w:rPr>
      </w:pPr>
      <w:r>
        <w:rPr>
          <w:b/>
        </w:rPr>
        <w:br w:type="page"/>
      </w:r>
    </w:p>
    <w:p w14:paraId="46D721B3" w14:textId="77777777" w:rsidR="00B77E23" w:rsidRDefault="005F0791">
      <w:pPr>
        <w:spacing w:after="240"/>
        <w:jc w:val="center"/>
      </w:pPr>
      <w:r>
        <w:rPr>
          <w:b/>
        </w:rPr>
        <w:lastRenderedPageBreak/>
        <w:t>CONTENTS</w:t>
      </w:r>
    </w:p>
    <w:bookmarkStart w:id="1" w:name="h.30j0zll" w:colFirst="0" w:colLast="0"/>
    <w:bookmarkEnd w:id="1"/>
    <w:p w14:paraId="1E8724E7" w14:textId="77777777" w:rsidR="008A5236" w:rsidRDefault="007C72DC">
      <w:pPr>
        <w:pStyle w:val="TOC1"/>
        <w:tabs>
          <w:tab w:val="left" w:pos="400"/>
          <w:tab w:val="right" w:leader="dot" w:pos="8495"/>
        </w:tabs>
        <w:rPr>
          <w:rFonts w:asciiTheme="minorHAnsi" w:eastAsiaTheme="minorEastAsia" w:hAnsiTheme="minorHAnsi" w:cstheme="minorBidi"/>
          <w:noProof/>
          <w:color w:val="auto"/>
          <w:sz w:val="22"/>
          <w:szCs w:val="22"/>
        </w:rPr>
      </w:pPr>
      <w:r>
        <w:rPr>
          <w:b/>
          <w:color w:val="auto"/>
        </w:rPr>
        <w:fldChar w:fldCharType="begin"/>
      </w:r>
      <w:r>
        <w:rPr>
          <w:b/>
          <w:color w:val="auto"/>
        </w:rPr>
        <w:instrText xml:space="preserve">  TOC \f  </w:instrText>
      </w:r>
      <w:r>
        <w:rPr>
          <w:b/>
          <w:color w:val="auto"/>
        </w:rPr>
        <w:fldChar w:fldCharType="separate"/>
      </w:r>
      <w:r w:rsidR="008A5236">
        <w:rPr>
          <w:noProof/>
        </w:rPr>
        <w:t>1</w:t>
      </w:r>
      <w:r w:rsidR="008A5236">
        <w:rPr>
          <w:rFonts w:asciiTheme="minorHAnsi" w:eastAsiaTheme="minorEastAsia" w:hAnsiTheme="minorHAnsi" w:cstheme="minorBidi"/>
          <w:noProof/>
          <w:color w:val="auto"/>
          <w:sz w:val="22"/>
          <w:szCs w:val="22"/>
        </w:rPr>
        <w:tab/>
      </w:r>
      <w:r w:rsidR="008A5236">
        <w:rPr>
          <w:noProof/>
        </w:rPr>
        <w:t>BACKGROUND</w:t>
      </w:r>
      <w:r w:rsidR="008A5236">
        <w:rPr>
          <w:noProof/>
        </w:rPr>
        <w:tab/>
      </w:r>
      <w:r w:rsidR="008A5236">
        <w:rPr>
          <w:noProof/>
        </w:rPr>
        <w:fldChar w:fldCharType="begin"/>
      </w:r>
      <w:r w:rsidR="008A5236">
        <w:rPr>
          <w:noProof/>
        </w:rPr>
        <w:instrText xml:space="preserve"> PAGEREF _Toc465181658 \h </w:instrText>
      </w:r>
      <w:r w:rsidR="008A5236">
        <w:rPr>
          <w:noProof/>
        </w:rPr>
      </w:r>
      <w:r w:rsidR="008A5236">
        <w:rPr>
          <w:noProof/>
        </w:rPr>
        <w:fldChar w:fldCharType="separate"/>
      </w:r>
      <w:r w:rsidR="008A5236">
        <w:rPr>
          <w:noProof/>
        </w:rPr>
        <w:t>4</w:t>
      </w:r>
      <w:r w:rsidR="008A5236">
        <w:rPr>
          <w:noProof/>
        </w:rPr>
        <w:fldChar w:fldCharType="end"/>
      </w:r>
    </w:p>
    <w:p w14:paraId="419F688A" w14:textId="77777777" w:rsidR="008A5236" w:rsidRDefault="008A5236">
      <w:pPr>
        <w:pStyle w:val="TOC1"/>
        <w:tabs>
          <w:tab w:val="left" w:pos="400"/>
          <w:tab w:val="right" w:leader="dot" w:pos="8495"/>
        </w:tabs>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rPr>
        <w:t>THE PROJECT MODEL</w:t>
      </w:r>
      <w:r>
        <w:rPr>
          <w:noProof/>
        </w:rPr>
        <w:tab/>
      </w:r>
      <w:r>
        <w:rPr>
          <w:noProof/>
        </w:rPr>
        <w:fldChar w:fldCharType="begin"/>
      </w:r>
      <w:r>
        <w:rPr>
          <w:noProof/>
        </w:rPr>
        <w:instrText xml:space="preserve"> PAGEREF _Toc465181659 \h </w:instrText>
      </w:r>
      <w:r>
        <w:rPr>
          <w:noProof/>
        </w:rPr>
      </w:r>
      <w:r>
        <w:rPr>
          <w:noProof/>
        </w:rPr>
        <w:fldChar w:fldCharType="separate"/>
      </w:r>
      <w:r>
        <w:rPr>
          <w:noProof/>
        </w:rPr>
        <w:t>4</w:t>
      </w:r>
      <w:r>
        <w:rPr>
          <w:noProof/>
        </w:rPr>
        <w:fldChar w:fldCharType="end"/>
      </w:r>
    </w:p>
    <w:p w14:paraId="1B7A5FEF" w14:textId="77777777" w:rsidR="008A5236" w:rsidRDefault="008A5236">
      <w:pPr>
        <w:pStyle w:val="TOC1"/>
        <w:tabs>
          <w:tab w:val="left" w:pos="400"/>
          <w:tab w:val="right" w:leader="dot" w:pos="8495"/>
        </w:tabs>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rPr>
        <w:t>MANAGEMENT OF CHANGES TO THE PROJECT MODEL</w:t>
      </w:r>
      <w:r>
        <w:rPr>
          <w:noProof/>
        </w:rPr>
        <w:tab/>
      </w:r>
      <w:r>
        <w:rPr>
          <w:noProof/>
        </w:rPr>
        <w:fldChar w:fldCharType="begin"/>
      </w:r>
      <w:r>
        <w:rPr>
          <w:noProof/>
        </w:rPr>
        <w:instrText xml:space="preserve"> PAGEREF _Toc465181660 \h </w:instrText>
      </w:r>
      <w:r>
        <w:rPr>
          <w:noProof/>
        </w:rPr>
      </w:r>
      <w:r>
        <w:rPr>
          <w:noProof/>
        </w:rPr>
        <w:fldChar w:fldCharType="separate"/>
      </w:r>
      <w:r>
        <w:rPr>
          <w:noProof/>
        </w:rPr>
        <w:t>4</w:t>
      </w:r>
      <w:r>
        <w:rPr>
          <w:noProof/>
        </w:rPr>
        <w:fldChar w:fldCharType="end"/>
      </w:r>
    </w:p>
    <w:p w14:paraId="40BF1995" w14:textId="77777777" w:rsidR="008A5236" w:rsidRDefault="008A5236">
      <w:pPr>
        <w:pStyle w:val="TOC1"/>
        <w:tabs>
          <w:tab w:val="right" w:leader="dot" w:pos="8495"/>
        </w:tabs>
        <w:rPr>
          <w:rFonts w:asciiTheme="minorHAnsi" w:eastAsiaTheme="minorEastAsia" w:hAnsiTheme="minorHAnsi" w:cstheme="minorBidi"/>
          <w:noProof/>
          <w:color w:val="auto"/>
          <w:sz w:val="22"/>
          <w:szCs w:val="22"/>
        </w:rPr>
      </w:pPr>
      <w:r>
        <w:rPr>
          <w:noProof/>
        </w:rPr>
        <w:t>APPENDIX 1 – THE PROJECT MODEL</w:t>
      </w:r>
      <w:r>
        <w:rPr>
          <w:noProof/>
        </w:rPr>
        <w:tab/>
      </w:r>
      <w:r>
        <w:rPr>
          <w:noProof/>
        </w:rPr>
        <w:fldChar w:fldCharType="begin"/>
      </w:r>
      <w:r>
        <w:rPr>
          <w:noProof/>
        </w:rPr>
        <w:instrText xml:space="preserve"> PAGEREF _Toc465181661 \h </w:instrText>
      </w:r>
      <w:r>
        <w:rPr>
          <w:noProof/>
        </w:rPr>
      </w:r>
      <w:r>
        <w:rPr>
          <w:noProof/>
        </w:rPr>
        <w:fldChar w:fldCharType="separate"/>
      </w:r>
      <w:r>
        <w:rPr>
          <w:noProof/>
        </w:rPr>
        <w:t>5</w:t>
      </w:r>
      <w:r>
        <w:rPr>
          <w:noProof/>
        </w:rPr>
        <w:fldChar w:fldCharType="end"/>
      </w:r>
    </w:p>
    <w:p w14:paraId="7E454716" w14:textId="77777777" w:rsidR="008A5236" w:rsidRDefault="008A5236">
      <w:pPr>
        <w:pStyle w:val="TOC1"/>
        <w:tabs>
          <w:tab w:val="right" w:leader="dot" w:pos="8495"/>
        </w:tabs>
        <w:rPr>
          <w:rFonts w:asciiTheme="minorHAnsi" w:eastAsiaTheme="minorEastAsia" w:hAnsiTheme="minorHAnsi" w:cstheme="minorBidi"/>
          <w:noProof/>
          <w:color w:val="auto"/>
          <w:sz w:val="22"/>
          <w:szCs w:val="22"/>
        </w:rPr>
      </w:pPr>
      <w:r>
        <w:rPr>
          <w:noProof/>
        </w:rPr>
        <w:t>APPENDIX 2 – PROJECT MODEL REQUIREMENTS</w:t>
      </w:r>
      <w:r>
        <w:rPr>
          <w:noProof/>
        </w:rPr>
        <w:tab/>
      </w:r>
      <w:r>
        <w:rPr>
          <w:noProof/>
        </w:rPr>
        <w:fldChar w:fldCharType="begin"/>
      </w:r>
      <w:r>
        <w:rPr>
          <w:noProof/>
        </w:rPr>
        <w:instrText xml:space="preserve"> PAGEREF _Toc465181662 \h </w:instrText>
      </w:r>
      <w:r>
        <w:rPr>
          <w:noProof/>
        </w:rPr>
      </w:r>
      <w:r>
        <w:rPr>
          <w:noProof/>
        </w:rPr>
        <w:fldChar w:fldCharType="separate"/>
      </w:r>
      <w:r>
        <w:rPr>
          <w:noProof/>
        </w:rPr>
        <w:t>6</w:t>
      </w:r>
      <w:r>
        <w:rPr>
          <w:noProof/>
        </w:rPr>
        <w:fldChar w:fldCharType="end"/>
      </w:r>
    </w:p>
    <w:p w14:paraId="3EF91286" w14:textId="77777777" w:rsidR="0041055A" w:rsidRPr="003B6D4E" w:rsidRDefault="007C72DC">
      <w:pPr>
        <w:rPr>
          <w:b/>
          <w:color w:val="auto"/>
        </w:rPr>
      </w:pPr>
      <w:r>
        <w:rPr>
          <w:b/>
          <w:color w:val="auto"/>
        </w:rPr>
        <w:fldChar w:fldCharType="end"/>
      </w:r>
      <w:r w:rsidR="0041055A" w:rsidRPr="003B6D4E">
        <w:rPr>
          <w:b/>
          <w:color w:val="auto"/>
        </w:rPr>
        <w:br w:type="page"/>
      </w:r>
    </w:p>
    <w:p w14:paraId="74486B1B" w14:textId="77777777" w:rsidR="00B77E23" w:rsidRDefault="005F0791">
      <w:pPr>
        <w:spacing w:after="240"/>
        <w:jc w:val="center"/>
      </w:pPr>
      <w:r>
        <w:rPr>
          <w:b/>
        </w:rPr>
        <w:lastRenderedPageBreak/>
        <w:t>SCHEDULE 5.3 – THE PROJECT MODEL</w:t>
      </w:r>
    </w:p>
    <w:bookmarkStart w:id="2" w:name="h.1fob9te" w:colFirst="0" w:colLast="0"/>
    <w:bookmarkEnd w:id="2"/>
    <w:p w14:paraId="1941CF24" w14:textId="77777777" w:rsidR="00B77E23" w:rsidRDefault="007C72DC">
      <w:pPr>
        <w:numPr>
          <w:ilvl w:val="0"/>
          <w:numId w:val="2"/>
        </w:numPr>
        <w:spacing w:after="240"/>
        <w:ind w:hanging="851"/>
      </w:pPr>
      <w:r>
        <w:rPr>
          <w:b/>
          <w:smallCaps/>
        </w:rPr>
        <w:fldChar w:fldCharType="begin"/>
      </w:r>
      <w:r w:rsidRPr="007C72DC">
        <w:instrText xml:space="preserve">  TC "</w:instrText>
      </w:r>
      <w:r>
        <w:fldChar w:fldCharType="begin"/>
      </w:r>
      <w:r w:rsidRPr="007C72DC">
        <w:instrText xml:space="preserve"> REF _Ref425718263 \r </w:instrText>
      </w:r>
      <w:r>
        <w:fldChar w:fldCharType="separate"/>
      </w:r>
      <w:bookmarkStart w:id="3" w:name="_Toc465181658"/>
      <w:r w:rsidR="008A5236">
        <w:instrText>1</w:instrText>
      </w:r>
      <w:r>
        <w:fldChar w:fldCharType="end"/>
      </w:r>
      <w:r>
        <w:tab/>
        <w:instrText>BACKGROUND</w:instrText>
      </w:r>
      <w:bookmarkEnd w:id="3"/>
      <w:r w:rsidRPr="007C72DC">
        <w:instrText xml:space="preserve">" \l1 </w:instrText>
      </w:r>
      <w:r>
        <w:rPr>
          <w:b/>
          <w:smallCaps/>
        </w:rPr>
        <w:fldChar w:fldCharType="end"/>
      </w:r>
      <w:bookmarkStart w:id="4" w:name="_Ref425718263"/>
      <w:r w:rsidR="005F0791">
        <w:rPr>
          <w:b/>
          <w:smallCaps/>
        </w:rPr>
        <w:t>BACKGROUND</w:t>
      </w:r>
      <w:bookmarkEnd w:id="4"/>
    </w:p>
    <w:p w14:paraId="0CB453F3" w14:textId="77777777" w:rsidR="00B77E23" w:rsidRDefault="005F0791">
      <w:pPr>
        <w:numPr>
          <w:ilvl w:val="1"/>
          <w:numId w:val="1"/>
        </w:numPr>
        <w:spacing w:after="240"/>
        <w:ind w:hanging="851"/>
      </w:pPr>
      <w:r>
        <w:t>This Schedule 5.3:</w:t>
      </w:r>
    </w:p>
    <w:p w14:paraId="7D0549C5" w14:textId="77777777" w:rsidR="00B77E23" w:rsidRDefault="005F0791">
      <w:pPr>
        <w:numPr>
          <w:ilvl w:val="2"/>
          <w:numId w:val="1"/>
        </w:numPr>
        <w:spacing w:after="240"/>
        <w:ind w:hanging="851"/>
      </w:pPr>
      <w:r>
        <w:t>references, at Appendix 1, the version of the Project Model agreed at the Effective Date;</w:t>
      </w:r>
    </w:p>
    <w:p w14:paraId="4EEC091F" w14:textId="77777777" w:rsidR="00B77E23" w:rsidRDefault="005F0791">
      <w:pPr>
        <w:numPr>
          <w:ilvl w:val="2"/>
          <w:numId w:val="1"/>
        </w:numPr>
        <w:spacing w:after="240"/>
        <w:ind w:hanging="851"/>
      </w:pPr>
      <w:r>
        <w:t>sets out requirements in respect of the ongoing management of changes to the Project Model; and</w:t>
      </w:r>
    </w:p>
    <w:p w14:paraId="5026BC28" w14:textId="77777777" w:rsidR="00B77E23" w:rsidRDefault="005F0791">
      <w:pPr>
        <w:numPr>
          <w:ilvl w:val="2"/>
          <w:numId w:val="1"/>
        </w:numPr>
        <w:spacing w:after="240"/>
        <w:ind w:hanging="851"/>
      </w:pPr>
      <w:r>
        <w:t>sets out the general requirements of the Project Model in Appendix 2.</w:t>
      </w:r>
    </w:p>
    <w:bookmarkStart w:id="5" w:name="h.3znysh7" w:colFirst="0" w:colLast="0"/>
    <w:bookmarkEnd w:id="5"/>
    <w:p w14:paraId="790D38D3" w14:textId="77777777" w:rsidR="00B77E23" w:rsidRPr="003B6D4E" w:rsidRDefault="007C72DC">
      <w:pPr>
        <w:numPr>
          <w:ilvl w:val="0"/>
          <w:numId w:val="2"/>
        </w:numPr>
        <w:spacing w:after="240"/>
        <w:ind w:hanging="851"/>
        <w:rPr>
          <w:b/>
          <w:smallCaps/>
        </w:rPr>
      </w:pPr>
      <w:r>
        <w:rPr>
          <w:b/>
          <w:smallCaps/>
        </w:rPr>
        <w:fldChar w:fldCharType="begin"/>
      </w:r>
      <w:r w:rsidRPr="007C72DC">
        <w:instrText xml:space="preserve">  TC "</w:instrText>
      </w:r>
      <w:r>
        <w:fldChar w:fldCharType="begin"/>
      </w:r>
      <w:r w:rsidRPr="007C72DC">
        <w:instrText xml:space="preserve"> REF _Ref425718459 \r </w:instrText>
      </w:r>
      <w:r>
        <w:fldChar w:fldCharType="separate"/>
      </w:r>
      <w:bookmarkStart w:id="6" w:name="_Toc465181659"/>
      <w:r w:rsidR="008A5236">
        <w:instrText>2</w:instrText>
      </w:r>
      <w:r>
        <w:fldChar w:fldCharType="end"/>
      </w:r>
      <w:r>
        <w:tab/>
        <w:instrText>THE PROJECT MODEL</w:instrText>
      </w:r>
      <w:bookmarkEnd w:id="6"/>
      <w:r w:rsidRPr="007C72DC">
        <w:instrText xml:space="preserve">" \l1 </w:instrText>
      </w:r>
      <w:r>
        <w:rPr>
          <w:b/>
          <w:smallCaps/>
        </w:rPr>
        <w:fldChar w:fldCharType="end"/>
      </w:r>
      <w:bookmarkStart w:id="7" w:name="_Ref425718459"/>
      <w:r w:rsidR="005F0791">
        <w:rPr>
          <w:b/>
          <w:smallCaps/>
        </w:rPr>
        <w:t>THE PROJECT MODEL</w:t>
      </w:r>
      <w:bookmarkEnd w:id="7"/>
    </w:p>
    <w:p w14:paraId="0B49DEE2" w14:textId="77777777" w:rsidR="00B77E23" w:rsidRDefault="005F0791" w:rsidP="007C72DC">
      <w:pPr>
        <w:spacing w:after="240"/>
        <w:ind w:left="851"/>
      </w:pPr>
      <w:r>
        <w:t>Appendix 1 references the Project Model as at the Effective Date, and also contains certain assurances made by the Supplier in respect of that Proje</w:t>
      </w:r>
      <w:r w:rsidR="003B6D4E">
        <w:t>ct Model.</w:t>
      </w:r>
    </w:p>
    <w:bookmarkStart w:id="8" w:name="h.2et92p0" w:colFirst="0" w:colLast="0"/>
    <w:bookmarkEnd w:id="8"/>
    <w:p w14:paraId="2BF82AB1" w14:textId="77777777" w:rsidR="007C72DC" w:rsidRDefault="007C72DC" w:rsidP="007C72DC">
      <w:pPr>
        <w:numPr>
          <w:ilvl w:val="0"/>
          <w:numId w:val="2"/>
        </w:numPr>
        <w:spacing w:after="240"/>
        <w:ind w:hanging="851"/>
      </w:pPr>
      <w:r>
        <w:rPr>
          <w:b/>
          <w:smallCaps/>
        </w:rPr>
        <w:fldChar w:fldCharType="begin"/>
      </w:r>
      <w:r w:rsidRPr="007C72DC">
        <w:instrText xml:space="preserve">  TC "</w:instrText>
      </w:r>
      <w:r>
        <w:fldChar w:fldCharType="begin"/>
      </w:r>
      <w:r w:rsidRPr="007C72DC">
        <w:instrText xml:space="preserve"> REF _Ref425718297 \r </w:instrText>
      </w:r>
      <w:r>
        <w:fldChar w:fldCharType="separate"/>
      </w:r>
      <w:bookmarkStart w:id="9" w:name="_Toc465181660"/>
      <w:r w:rsidR="008A5236">
        <w:instrText>3</w:instrText>
      </w:r>
      <w:r>
        <w:fldChar w:fldCharType="end"/>
      </w:r>
      <w:r>
        <w:tab/>
        <w:instrText>MANAGEMENT OF CHANGES TO THE PROJECT MODEL</w:instrText>
      </w:r>
      <w:bookmarkEnd w:id="9"/>
      <w:r>
        <w:instrText xml:space="preserve"> </w:instrText>
      </w:r>
      <w:r w:rsidRPr="007C72DC">
        <w:instrText xml:space="preserve">" \l1 </w:instrText>
      </w:r>
      <w:r>
        <w:rPr>
          <w:b/>
          <w:smallCaps/>
        </w:rPr>
        <w:fldChar w:fldCharType="end"/>
      </w:r>
      <w:bookmarkStart w:id="10" w:name="_Ref425718297"/>
      <w:r w:rsidR="005F0791">
        <w:rPr>
          <w:b/>
          <w:smallCaps/>
        </w:rPr>
        <w:t xml:space="preserve">MANAGEMENT OF CHANGES TO THE PROJECT MODEL </w:t>
      </w:r>
      <w:bookmarkEnd w:id="10"/>
    </w:p>
    <w:p w14:paraId="6A8A90AE" w14:textId="77777777" w:rsidR="007C72DC" w:rsidRDefault="005F0791" w:rsidP="007C72DC">
      <w:pPr>
        <w:numPr>
          <w:ilvl w:val="1"/>
          <w:numId w:val="2"/>
        </w:numPr>
        <w:spacing w:after="240"/>
        <w:ind w:hanging="851"/>
      </w:pPr>
      <w:r>
        <w:t>The Project Model shall be updated as described in this Schedule 5.3.</w:t>
      </w:r>
    </w:p>
    <w:p w14:paraId="60DD4EE2" w14:textId="77777777" w:rsidR="007C72DC" w:rsidRDefault="005F0791" w:rsidP="007C72DC">
      <w:pPr>
        <w:numPr>
          <w:ilvl w:val="1"/>
          <w:numId w:val="2"/>
        </w:numPr>
        <w:spacing w:after="240"/>
        <w:ind w:hanging="851"/>
      </w:pPr>
      <w:r>
        <w:t>For any Changes to the Project Model</w:t>
      </w:r>
      <w:r w:rsidR="002F5881">
        <w:t xml:space="preserve">, </w:t>
      </w:r>
      <w:bookmarkStart w:id="11" w:name="h.tyjcwt" w:colFirst="0" w:colLast="0"/>
      <w:bookmarkEnd w:id="11"/>
      <w:r>
        <w:t>subject to Clause 39.2, the Change Control Procedure shall apply</w:t>
      </w:r>
      <w:r w:rsidR="002F5881">
        <w:t>.</w:t>
      </w:r>
    </w:p>
    <w:p w14:paraId="25280E9E" w14:textId="77777777" w:rsidR="007C72DC" w:rsidRDefault="005F0791" w:rsidP="007C72DC">
      <w:pPr>
        <w:numPr>
          <w:ilvl w:val="1"/>
          <w:numId w:val="2"/>
        </w:numPr>
        <w:spacing w:after="240"/>
        <w:ind w:hanging="851"/>
      </w:pPr>
      <w:r>
        <w:t xml:space="preserve">All </w:t>
      </w:r>
      <w:r w:rsidR="002F5881">
        <w:t xml:space="preserve">proposed </w:t>
      </w:r>
      <w:r>
        <w:t xml:space="preserve">updates to the Project Model shall be </w:t>
      </w:r>
      <w:r w:rsidR="006C0FEC">
        <w:t>trackable</w:t>
      </w:r>
      <w:r>
        <w:t xml:space="preserve"> (i.e. any changes can be clearly identified).  Each proposed and agreed updated version of the Project Model shall be clearly identified (and distinguishable from earlier versions) by version number and date.</w:t>
      </w:r>
    </w:p>
    <w:p w14:paraId="0CC58710" w14:textId="77777777" w:rsidR="007C72DC" w:rsidRDefault="005F0791" w:rsidP="007C72DC">
      <w:pPr>
        <w:numPr>
          <w:ilvl w:val="1"/>
          <w:numId w:val="2"/>
        </w:numPr>
        <w:spacing w:after="240"/>
        <w:ind w:hanging="851"/>
      </w:pPr>
      <w:r>
        <w:t>The Supplier shall ensure that each updated version of the Project Model delivered to the Authority for agreement under the Change Control Procedure is certified by a suitably qualified finance representative of the Supplier as:</w:t>
      </w:r>
    </w:p>
    <w:p w14:paraId="10DB251E" w14:textId="77777777" w:rsidR="007C72DC" w:rsidRDefault="005F0791" w:rsidP="007C72DC">
      <w:pPr>
        <w:numPr>
          <w:ilvl w:val="2"/>
          <w:numId w:val="2"/>
        </w:numPr>
        <w:spacing w:after="240"/>
        <w:ind w:hanging="851"/>
      </w:pPr>
      <w:r>
        <w:t>being accurate and not misleading;</w:t>
      </w:r>
    </w:p>
    <w:p w14:paraId="422B9B22" w14:textId="77777777" w:rsidR="007C72DC" w:rsidRDefault="005F0791" w:rsidP="007C72DC">
      <w:pPr>
        <w:numPr>
          <w:ilvl w:val="2"/>
          <w:numId w:val="2"/>
        </w:numPr>
        <w:spacing w:after="240"/>
        <w:ind w:hanging="851"/>
      </w:pPr>
      <w:r>
        <w:t>being in conformity with the terms of this Contract; and</w:t>
      </w:r>
    </w:p>
    <w:p w14:paraId="1DEB39C6" w14:textId="77777777" w:rsidR="00B77E23" w:rsidRDefault="005F0791" w:rsidP="007C72DC">
      <w:pPr>
        <w:numPr>
          <w:ilvl w:val="2"/>
          <w:numId w:val="2"/>
        </w:numPr>
        <w:spacing w:after="240"/>
        <w:ind w:hanging="851"/>
      </w:pPr>
      <w:r>
        <w:t>reflecting only the change(s) as previously 'approved in principle' by the Parties.</w:t>
      </w:r>
    </w:p>
    <w:p w14:paraId="64143346" w14:textId="77777777" w:rsidR="00B77E23" w:rsidRDefault="005F0791" w:rsidP="00AD5CA3">
      <w:pPr>
        <w:jc w:val="center"/>
        <w:rPr>
          <w:b/>
        </w:rPr>
      </w:pPr>
      <w:r>
        <w:br w:type="page"/>
      </w:r>
      <w:r w:rsidR="007C72DC">
        <w:lastRenderedPageBreak/>
        <w:fldChar w:fldCharType="begin"/>
      </w:r>
      <w:r w:rsidR="007C72DC" w:rsidRPr="007C72DC">
        <w:instrText xml:space="preserve">  TC "</w:instrText>
      </w:r>
      <w:bookmarkStart w:id="12" w:name="_Toc465181661"/>
      <w:r w:rsidR="007C72DC">
        <w:instrText>APPENDIX 1 – THE PROJECT MODEL</w:instrText>
      </w:r>
      <w:bookmarkEnd w:id="12"/>
      <w:r w:rsidR="007C72DC" w:rsidRPr="007C72DC">
        <w:instrText xml:space="preserve">" \l1 </w:instrText>
      </w:r>
      <w:r w:rsidR="007C72DC">
        <w:fldChar w:fldCharType="end"/>
      </w:r>
      <w:r>
        <w:rPr>
          <w:b/>
        </w:rPr>
        <w:t>APPENDIX 1 – THE PROJECT MODEL</w:t>
      </w:r>
    </w:p>
    <w:p w14:paraId="75FFF62B" w14:textId="77777777" w:rsidR="00AD5CA3" w:rsidRDefault="00AD5CA3" w:rsidP="00AD5CA3"/>
    <w:p w14:paraId="7793C57B" w14:textId="77777777" w:rsidR="00B77E23" w:rsidRDefault="005F0791">
      <w:pPr>
        <w:spacing w:after="240"/>
      </w:pPr>
      <w:r>
        <w:rPr>
          <w:b/>
          <w:u w:val="single"/>
        </w:rPr>
        <w:t>1.  THE PROJECT MODEL</w:t>
      </w:r>
    </w:p>
    <w:p w14:paraId="7B0BF53E" w14:textId="77777777" w:rsidR="00AD5CA3" w:rsidRDefault="005F0791">
      <w:pPr>
        <w:spacing w:after="240"/>
      </w:pPr>
      <w:r>
        <w:t>The Project Model at the Effective Date</w:t>
      </w:r>
      <w:r w:rsidR="00AD5CA3">
        <w:t xml:space="preserve"> is inserted below:</w:t>
      </w:r>
    </w:p>
    <w:p w14:paraId="14CC4B94" w14:textId="77777777" w:rsidR="00B77E23" w:rsidRDefault="00AD5CA3">
      <w:pPr>
        <w:spacing w:after="240"/>
      </w:pPr>
      <w:r>
        <w:t>[</w:t>
      </w:r>
      <w:r>
        <w:rPr>
          <w:rFonts w:ascii="Times New Roman" w:hAnsi="Times New Roman" w:cs="Times New Roman"/>
        </w:rPr>
        <w:t>●</w:t>
      </w:r>
      <w:r>
        <w:t>]</w:t>
      </w:r>
      <w:r w:rsidR="005F0791">
        <w:t xml:space="preserve"> </w:t>
      </w:r>
    </w:p>
    <w:p w14:paraId="7C7C3093" w14:textId="77777777" w:rsidR="00B77E23" w:rsidRDefault="005F0791">
      <w:pPr>
        <w:spacing w:after="240"/>
      </w:pPr>
      <w:r>
        <w:t>Commentary on certain ongoing content requirements for the Project Model is contained in Appendix 2 to this Schedule 5.3.</w:t>
      </w:r>
    </w:p>
    <w:p w14:paraId="43606001" w14:textId="77777777" w:rsidR="00B77E23" w:rsidRDefault="005F0791">
      <w:pPr>
        <w:spacing w:after="240"/>
      </w:pPr>
      <w:r>
        <w:rPr>
          <w:b/>
          <w:u w:val="single"/>
        </w:rPr>
        <w:t>2.  SUPPLIER'S STATEMENT OF ASSURANCE</w:t>
      </w:r>
    </w:p>
    <w:p w14:paraId="4E5AF9C1" w14:textId="36EBD0CC" w:rsidR="004E29E7" w:rsidRDefault="005F0791">
      <w:r>
        <w:t xml:space="preserve">The Supplier </w:t>
      </w:r>
      <w:r w:rsidR="00A34C4F">
        <w:t>ha</w:t>
      </w:r>
      <w:r w:rsidR="00445E03">
        <w:t>s, as part of the ITT process</w:t>
      </w:r>
      <w:r w:rsidR="004E29E7">
        <w:t xml:space="preserve"> in respect of this Contract</w:t>
      </w:r>
      <w:r w:rsidR="00445E03">
        <w:t xml:space="preserve">, </w:t>
      </w:r>
      <w:r w:rsidR="00A34C4F">
        <w:t xml:space="preserve">provided </w:t>
      </w:r>
      <w:r>
        <w:t>a copy of the following statement signed by a suitably qualified finance representative of the Supplier or its external auditor</w:t>
      </w:r>
      <w:r w:rsidR="00A85F03">
        <w:t>.</w:t>
      </w:r>
      <w:r w:rsidR="00905CD4">
        <w:t xml:space="preserve"> </w:t>
      </w:r>
      <w:r w:rsidR="00A85F03">
        <w:t xml:space="preserve">In the event </w:t>
      </w:r>
      <w:r w:rsidR="00905CD4">
        <w:t>this</w:t>
      </w:r>
      <w:r w:rsidR="00D4278C">
        <w:t xml:space="preserve"> </w:t>
      </w:r>
      <w:r w:rsidR="00A85F03">
        <w:t xml:space="preserve">statement </w:t>
      </w:r>
      <w:r w:rsidR="00F97BCD">
        <w:t>is</w:t>
      </w:r>
      <w:r w:rsidR="00A85F03">
        <w:t xml:space="preserve"> </w:t>
      </w:r>
      <w:r w:rsidR="00B469A9">
        <w:t xml:space="preserve">subsequently </w:t>
      </w:r>
      <w:r w:rsidR="00A85F03">
        <w:t>identified to be inaccurate, save in the case of minor inconsistency that has nominal financial impact</w:t>
      </w:r>
      <w:r w:rsidR="00D4278C">
        <w:t>,</w:t>
      </w:r>
      <w:r w:rsidR="00A85F03">
        <w:t xml:space="preserve"> such inaccuracy shall be a material Default.</w:t>
      </w:r>
    </w:p>
    <w:p w14:paraId="132C5003" w14:textId="77777777" w:rsidR="004E29E7" w:rsidRDefault="004E29E7"/>
    <w:p w14:paraId="26062FF9" w14:textId="77777777" w:rsidR="00A85F03" w:rsidRDefault="00905CD4">
      <w:r>
        <w:t>The assessment of accuracy is determined by reference to</w:t>
      </w:r>
      <w:r w:rsidR="004E29E7">
        <w:t xml:space="preserve"> </w:t>
      </w:r>
      <w:r>
        <w:t>the time of provision of the statement, including the Project Model and Contract in the form exchanged between the Parties at that time</w:t>
      </w:r>
      <w:r w:rsidR="002A315C">
        <w:t>.</w:t>
      </w:r>
    </w:p>
    <w:p w14:paraId="566B35BA" w14:textId="77777777" w:rsidR="00B77E23" w:rsidRDefault="00B77E23"/>
    <w:p w14:paraId="69F90B57" w14:textId="77777777" w:rsidR="00AD5CA3" w:rsidRDefault="00AD5CA3" w:rsidP="00AD5CA3">
      <w:pPr>
        <w:shd w:val="clear" w:color="auto" w:fill="FFFFFF"/>
        <w:rPr>
          <w:rFonts w:eastAsia="Times New Roman"/>
          <w:i/>
          <w:color w:val="222222"/>
        </w:rPr>
      </w:pPr>
      <w:r w:rsidRPr="00DA6066">
        <w:rPr>
          <w:rFonts w:eastAsia="Times New Roman"/>
          <w:i/>
          <w:color w:val="222222"/>
        </w:rPr>
        <w:t>It is hereby confirmed that:</w:t>
      </w:r>
    </w:p>
    <w:p w14:paraId="12350298" w14:textId="77777777" w:rsidR="00343AA8" w:rsidRDefault="00343AA8" w:rsidP="00AD5CA3">
      <w:pPr>
        <w:shd w:val="clear" w:color="auto" w:fill="FFFFFF"/>
        <w:rPr>
          <w:rFonts w:eastAsia="Times New Roman"/>
          <w:i/>
          <w:color w:val="222222"/>
        </w:rPr>
      </w:pPr>
    </w:p>
    <w:p w14:paraId="16B1299C" w14:textId="77777777" w:rsidR="00AD5CA3" w:rsidRPr="006C0FEC" w:rsidRDefault="00AD5CA3" w:rsidP="00DA6066">
      <w:pPr>
        <w:pStyle w:val="ListParagraph"/>
        <w:numPr>
          <w:ilvl w:val="0"/>
          <w:numId w:val="8"/>
        </w:numPr>
        <w:shd w:val="clear" w:color="auto" w:fill="FFFFFF"/>
        <w:rPr>
          <w:rFonts w:eastAsia="Times New Roman"/>
          <w:i/>
          <w:color w:val="222222"/>
        </w:rPr>
      </w:pPr>
      <w:r w:rsidRPr="006C0FEC">
        <w:rPr>
          <w:rFonts w:eastAsia="Times New Roman"/>
          <w:i/>
          <w:color w:val="222222"/>
        </w:rPr>
        <w:t xml:space="preserve">The processes and core data used to assemble the costs shown in the Cost Book for the Project Model are consistent with the solution costs offered by the Supplier in </w:t>
      </w:r>
      <w:r w:rsidR="00D53D80" w:rsidRPr="006C0FEC">
        <w:rPr>
          <w:rFonts w:eastAsia="Times New Roman"/>
          <w:i/>
          <w:color w:val="222222"/>
        </w:rPr>
        <w:t xml:space="preserve">any </w:t>
      </w:r>
      <w:r w:rsidRPr="006C0FEC">
        <w:rPr>
          <w:rFonts w:eastAsia="Times New Roman"/>
          <w:i/>
          <w:color w:val="222222"/>
        </w:rPr>
        <w:t>similar local authority contracts (e.g. ERDF, Local Authority and/or DCMS funded)</w:t>
      </w:r>
      <w:r w:rsidR="00D53D80" w:rsidRPr="006C0FEC">
        <w:rPr>
          <w:rFonts w:eastAsia="Times New Roman"/>
          <w:i/>
          <w:color w:val="222222"/>
        </w:rPr>
        <w:t xml:space="preserve"> </w:t>
      </w:r>
      <w:r w:rsidR="00905CD4">
        <w:rPr>
          <w:rFonts w:eastAsia="Times New Roman"/>
          <w:i/>
          <w:color w:val="222222"/>
        </w:rPr>
        <w:t xml:space="preserve">of </w:t>
      </w:r>
      <w:r w:rsidR="00D53D80" w:rsidRPr="006C0FEC">
        <w:rPr>
          <w:rFonts w:eastAsia="Times New Roman"/>
          <w:i/>
          <w:color w:val="222222"/>
        </w:rPr>
        <w:t>the Supplier</w:t>
      </w:r>
      <w:r w:rsidR="00DA6066" w:rsidRPr="006C0FEC">
        <w:rPr>
          <w:rFonts w:eastAsia="Times New Roman"/>
          <w:i/>
          <w:color w:val="222222"/>
        </w:rPr>
        <w:t>. The explanations of variances</w:t>
      </w:r>
      <w:r w:rsidRPr="006C0FEC">
        <w:rPr>
          <w:rFonts w:eastAsia="Times New Roman"/>
          <w:i/>
          <w:color w:val="222222"/>
        </w:rPr>
        <w:t>,</w:t>
      </w:r>
      <w:r w:rsidR="00DA6066" w:rsidRPr="006C0FEC">
        <w:rPr>
          <w:rFonts w:eastAsia="Times New Roman"/>
          <w:i/>
          <w:color w:val="222222"/>
        </w:rPr>
        <w:t xml:space="preserve"> if any, have been provided and</w:t>
      </w:r>
      <w:r w:rsidRPr="006C0FEC">
        <w:rPr>
          <w:rFonts w:eastAsia="Times New Roman"/>
          <w:i/>
          <w:color w:val="222222"/>
        </w:rPr>
        <w:t xml:space="preserve"> are accurate and consistent;</w:t>
      </w:r>
    </w:p>
    <w:p w14:paraId="2595F57A" w14:textId="77777777" w:rsidR="00AD5CA3" w:rsidRPr="006C0FEC" w:rsidRDefault="00AD5CA3" w:rsidP="00AD5CA3">
      <w:pPr>
        <w:shd w:val="clear" w:color="auto" w:fill="FFFFFF"/>
        <w:rPr>
          <w:rFonts w:eastAsia="Times New Roman"/>
          <w:i/>
          <w:color w:val="222222"/>
        </w:rPr>
      </w:pPr>
    </w:p>
    <w:p w14:paraId="04F71ED1" w14:textId="77777777" w:rsidR="00AD5CA3" w:rsidRPr="006C0FEC" w:rsidRDefault="00AD5CA3" w:rsidP="00DA6066">
      <w:pPr>
        <w:pStyle w:val="ListParagraph"/>
        <w:numPr>
          <w:ilvl w:val="0"/>
          <w:numId w:val="8"/>
        </w:numPr>
        <w:shd w:val="clear" w:color="auto" w:fill="FFFFFF"/>
        <w:rPr>
          <w:rFonts w:eastAsia="Times New Roman"/>
          <w:i/>
          <w:color w:val="222222"/>
        </w:rPr>
      </w:pPr>
      <w:r w:rsidRPr="006C0FEC">
        <w:rPr>
          <w:rFonts w:eastAsia="Times New Roman"/>
          <w:i/>
          <w:color w:val="222222"/>
        </w:rPr>
        <w:t>The costs shown in the C</w:t>
      </w:r>
      <w:r w:rsidR="00DA6066" w:rsidRPr="006C0FEC">
        <w:rPr>
          <w:rFonts w:eastAsia="Times New Roman"/>
          <w:i/>
          <w:color w:val="222222"/>
        </w:rPr>
        <w:t>ost Book for the Project Model</w:t>
      </w:r>
      <w:r w:rsidRPr="006C0FEC">
        <w:rPr>
          <w:rFonts w:eastAsia="Times New Roman"/>
          <w:i/>
          <w:color w:val="222222"/>
        </w:rPr>
        <w:t xml:space="preserve"> are calculated on a consistent basis to those costs offered by the Supplier</w:t>
      </w:r>
      <w:r w:rsidR="00C0627E">
        <w:rPr>
          <w:rFonts w:eastAsia="Times New Roman"/>
          <w:i/>
          <w:color w:val="222222"/>
        </w:rPr>
        <w:t xml:space="preserve"> </w:t>
      </w:r>
      <w:r w:rsidRPr="006C0FEC">
        <w:rPr>
          <w:rFonts w:eastAsia="Times New Roman"/>
          <w:i/>
          <w:color w:val="222222"/>
        </w:rPr>
        <w:t>when investing in non-"white" areas (as defined under State aid regulations). The explanations of variances,</w:t>
      </w:r>
      <w:r w:rsidR="00DA6066" w:rsidRPr="006C0FEC">
        <w:rPr>
          <w:rFonts w:eastAsia="Times New Roman"/>
          <w:i/>
          <w:color w:val="222222"/>
        </w:rPr>
        <w:t xml:space="preserve"> </w:t>
      </w:r>
      <w:r w:rsidRPr="006C0FEC">
        <w:rPr>
          <w:rFonts w:eastAsia="Times New Roman"/>
          <w:i/>
          <w:color w:val="222222"/>
        </w:rPr>
        <w:t>if any, have been provided and are accurate and consistent</w:t>
      </w:r>
      <w:r w:rsidR="00DA6066" w:rsidRPr="006C0FEC">
        <w:rPr>
          <w:rFonts w:eastAsia="Times New Roman"/>
          <w:i/>
          <w:color w:val="222222"/>
        </w:rPr>
        <w:t>;</w:t>
      </w:r>
    </w:p>
    <w:p w14:paraId="1765F512" w14:textId="77777777" w:rsidR="007F5F48" w:rsidRPr="006C0FEC" w:rsidRDefault="007F5F48" w:rsidP="007F5F48">
      <w:pPr>
        <w:shd w:val="clear" w:color="auto" w:fill="FFFFFF"/>
        <w:rPr>
          <w:rFonts w:eastAsia="Times New Roman"/>
          <w:i/>
          <w:color w:val="222222"/>
        </w:rPr>
      </w:pPr>
    </w:p>
    <w:p w14:paraId="3D776F68" w14:textId="5A151BD0" w:rsidR="00AD5CA3" w:rsidRDefault="00AD5CA3" w:rsidP="00DA6066">
      <w:pPr>
        <w:pStyle w:val="ListParagraph"/>
        <w:numPr>
          <w:ilvl w:val="0"/>
          <w:numId w:val="8"/>
        </w:numPr>
        <w:shd w:val="clear" w:color="auto" w:fill="FFFFFF"/>
        <w:rPr>
          <w:rFonts w:eastAsia="Times New Roman"/>
          <w:i/>
          <w:color w:val="222222"/>
        </w:rPr>
      </w:pPr>
      <w:r w:rsidRPr="006C0FEC">
        <w:rPr>
          <w:rFonts w:eastAsia="Times New Roman"/>
          <w:i/>
          <w:color w:val="222222"/>
        </w:rPr>
        <w:t xml:space="preserve">The Project Model has been prepared in accordance with the </w:t>
      </w:r>
      <w:r w:rsidR="00D53D80" w:rsidRPr="006C0FEC">
        <w:rPr>
          <w:rFonts w:eastAsia="Times New Roman"/>
          <w:i/>
          <w:color w:val="222222"/>
        </w:rPr>
        <w:t>e</w:t>
      </w:r>
      <w:r w:rsidRPr="006C0FEC">
        <w:rPr>
          <w:rFonts w:eastAsia="Times New Roman"/>
          <w:i/>
          <w:color w:val="222222"/>
        </w:rPr>
        <w:t>xpenditure categories pres</w:t>
      </w:r>
      <w:r w:rsidR="00741C5E" w:rsidRPr="006C0FEC">
        <w:rPr>
          <w:rFonts w:eastAsia="Times New Roman"/>
          <w:i/>
          <w:color w:val="222222"/>
        </w:rPr>
        <w:t>cribed in Schedule 5.1, Appendices</w:t>
      </w:r>
      <w:r w:rsidRPr="006C0FEC">
        <w:rPr>
          <w:rFonts w:eastAsia="Times New Roman"/>
          <w:i/>
          <w:color w:val="222222"/>
        </w:rPr>
        <w:t xml:space="preserve"> 2 – 6</w:t>
      </w:r>
      <w:r w:rsidR="00B63EB9">
        <w:rPr>
          <w:rFonts w:eastAsia="Times New Roman"/>
          <w:i/>
          <w:color w:val="222222"/>
        </w:rPr>
        <w:t>.</w:t>
      </w:r>
    </w:p>
    <w:p w14:paraId="29F9C7A4" w14:textId="77777777" w:rsidR="00552FCF" w:rsidRPr="006C0FEC" w:rsidRDefault="00552FCF" w:rsidP="006C0FEC">
      <w:pPr>
        <w:shd w:val="clear" w:color="auto" w:fill="FFFFFF"/>
        <w:ind w:left="360"/>
        <w:rPr>
          <w:rFonts w:eastAsia="Times New Roman"/>
          <w:i/>
          <w:color w:val="222222"/>
        </w:rPr>
      </w:pPr>
    </w:p>
    <w:p w14:paraId="02203E4C" w14:textId="77777777" w:rsidR="00552FCF" w:rsidRPr="006C0FEC" w:rsidRDefault="00552FCF" w:rsidP="006C0FEC">
      <w:pPr>
        <w:shd w:val="clear" w:color="auto" w:fill="FFFFFF"/>
        <w:ind w:left="360"/>
        <w:rPr>
          <w:rFonts w:eastAsia="Times New Roman"/>
          <w:i/>
          <w:color w:val="222222"/>
        </w:rPr>
      </w:pPr>
    </w:p>
    <w:p w14:paraId="2A02893B" w14:textId="77777777" w:rsidR="00B77E23" w:rsidRDefault="005F0791">
      <w:r>
        <w:br w:type="page"/>
      </w:r>
    </w:p>
    <w:p w14:paraId="3E5768F0" w14:textId="77777777" w:rsidR="00B77E23" w:rsidRDefault="007C72DC">
      <w:pPr>
        <w:spacing w:after="240"/>
        <w:ind w:left="851" w:hanging="851"/>
        <w:jc w:val="center"/>
        <w:rPr>
          <w:b/>
        </w:rPr>
      </w:pPr>
      <w:r>
        <w:rPr>
          <w:b/>
        </w:rPr>
        <w:lastRenderedPageBreak/>
        <w:fldChar w:fldCharType="begin"/>
      </w:r>
      <w:r w:rsidRPr="007C72DC">
        <w:instrText xml:space="preserve">  TC "</w:instrText>
      </w:r>
      <w:bookmarkStart w:id="13" w:name="_Toc465181662"/>
      <w:r>
        <w:instrText>APPENDIX 2 – PROJECT MODEL REQUIREMENTS</w:instrText>
      </w:r>
      <w:bookmarkEnd w:id="13"/>
      <w:r w:rsidRPr="007C72DC">
        <w:instrText xml:space="preserve">" \l1 </w:instrText>
      </w:r>
      <w:r>
        <w:rPr>
          <w:b/>
        </w:rPr>
        <w:fldChar w:fldCharType="end"/>
      </w:r>
      <w:r w:rsidR="005F0791">
        <w:rPr>
          <w:b/>
        </w:rPr>
        <w:t>APPENDIX 2 – PROJECT MODEL REQUIREMENTS</w:t>
      </w:r>
    </w:p>
    <w:p w14:paraId="3A619B20" w14:textId="77777777" w:rsidR="005F057C" w:rsidRDefault="005F057C" w:rsidP="005F057C">
      <w:pPr>
        <w:pStyle w:val="Heading3"/>
        <w:tabs>
          <w:tab w:val="clear" w:pos="864"/>
        </w:tabs>
        <w:ind w:left="142" w:hanging="22"/>
      </w:pPr>
      <w:r>
        <w:rPr>
          <w:rFonts w:ascii="Arial" w:eastAsia="Arial" w:hAnsi="Arial" w:cs="Arial"/>
          <w:sz w:val="20"/>
          <w:szCs w:val="20"/>
        </w:rPr>
        <w:t>This Appendix 2 sets out content requirements which must be maintained when making changes to the Project Model:</w:t>
      </w:r>
    </w:p>
    <w:p w14:paraId="4D88EF98" w14:textId="77777777" w:rsidR="005F057C" w:rsidRDefault="005F057C" w:rsidP="005F057C">
      <w:pPr>
        <w:pStyle w:val="Heading2"/>
        <w:numPr>
          <w:ilvl w:val="1"/>
          <w:numId w:val="4"/>
        </w:numPr>
        <w:ind w:left="792" w:hanging="432"/>
      </w:pPr>
      <w:r>
        <w:rPr>
          <w:rFonts w:ascii="Arial" w:eastAsia="Arial" w:hAnsi="Arial" w:cs="Arial"/>
          <w:sz w:val="20"/>
          <w:szCs w:val="20"/>
        </w:rPr>
        <w:t>General Requirements:</w:t>
      </w:r>
    </w:p>
    <w:p w14:paraId="195C7350" w14:textId="77777777" w:rsidR="005F057C" w:rsidRDefault="005F057C" w:rsidP="005F057C">
      <w:pPr>
        <w:pStyle w:val="Heading3"/>
      </w:pPr>
      <w:r>
        <w:rPr>
          <w:rFonts w:ascii="Arial" w:eastAsia="Arial" w:hAnsi="Arial" w:cs="Arial"/>
          <w:sz w:val="20"/>
          <w:szCs w:val="20"/>
        </w:rPr>
        <w:t>The Project Model must:</w:t>
      </w:r>
    </w:p>
    <w:p w14:paraId="0AC0766B" w14:textId="77777777" w:rsidR="005F057C" w:rsidRDefault="005F057C" w:rsidP="005F057C">
      <w:pPr>
        <w:numPr>
          <w:ilvl w:val="0"/>
          <w:numId w:val="3"/>
        </w:numPr>
        <w:spacing w:before="60" w:after="40" w:line="264" w:lineRule="auto"/>
        <w:ind w:left="284" w:firstLine="283"/>
      </w:pPr>
      <w:r>
        <w:t>show calculations and outputs on a quarterly basis;</w:t>
      </w:r>
    </w:p>
    <w:p w14:paraId="148B9CBF" w14:textId="77777777" w:rsidR="005F057C" w:rsidRDefault="005F057C" w:rsidP="005F057C">
      <w:pPr>
        <w:numPr>
          <w:ilvl w:val="0"/>
          <w:numId w:val="3"/>
        </w:numPr>
        <w:spacing w:before="60" w:after="240" w:line="264" w:lineRule="auto"/>
        <w:ind w:left="284" w:firstLine="284"/>
      </w:pPr>
      <w:r>
        <w:t xml:space="preserve">use Microsoft Excel </w:t>
      </w:r>
      <w:r w:rsidR="006936F8">
        <w:t xml:space="preserve">2010 </w:t>
      </w:r>
      <w:r>
        <w:t>or</w:t>
      </w:r>
      <w:r w:rsidR="006936F8">
        <w:t xml:space="preserve"> any</w:t>
      </w:r>
      <w:r>
        <w:t xml:space="preserve"> fully compatible versions.</w:t>
      </w:r>
    </w:p>
    <w:p w14:paraId="4B0915DD" w14:textId="77777777" w:rsidR="005F057C" w:rsidRDefault="005F057C" w:rsidP="005F057C">
      <w:pPr>
        <w:pStyle w:val="Heading3"/>
      </w:pPr>
      <w:r>
        <w:rPr>
          <w:rFonts w:ascii="Arial" w:eastAsia="Arial" w:hAnsi="Arial" w:cs="Arial"/>
          <w:sz w:val="20"/>
          <w:szCs w:val="20"/>
        </w:rPr>
        <w:t>The Project Model must not include any protected or hidden areas.</w:t>
      </w:r>
    </w:p>
    <w:p w14:paraId="3698AE41" w14:textId="77777777" w:rsidR="005F057C" w:rsidRDefault="005F057C" w:rsidP="005F057C">
      <w:pPr>
        <w:pStyle w:val="Heading2"/>
        <w:numPr>
          <w:ilvl w:val="1"/>
          <w:numId w:val="4"/>
        </w:numPr>
        <w:ind w:left="792" w:hanging="432"/>
      </w:pPr>
      <w:r>
        <w:rPr>
          <w:rFonts w:ascii="Arial" w:eastAsia="Arial" w:hAnsi="Arial" w:cs="Arial"/>
          <w:sz w:val="20"/>
          <w:szCs w:val="20"/>
        </w:rPr>
        <w:t xml:space="preserve">Network Build Cost Book: </w:t>
      </w:r>
    </w:p>
    <w:p w14:paraId="1A61CDD4" w14:textId="731B22FD" w:rsidR="005F057C" w:rsidRDefault="005F057C" w:rsidP="005F057C">
      <w:pPr>
        <w:pStyle w:val="Heading3"/>
        <w:tabs>
          <w:tab w:val="clear" w:pos="864"/>
          <w:tab w:val="left" w:pos="142"/>
        </w:tabs>
        <w:ind w:left="142" w:firstLine="0"/>
      </w:pPr>
      <w:r>
        <w:rPr>
          <w:rFonts w:ascii="Arial" w:eastAsia="Arial" w:hAnsi="Arial" w:cs="Arial"/>
          <w:sz w:val="20"/>
          <w:szCs w:val="20"/>
        </w:rPr>
        <w:t xml:space="preserve">The Network Build Cost Book shows the Network </w:t>
      </w:r>
      <w:r w:rsidR="008101A2">
        <w:rPr>
          <w:rFonts w:ascii="Arial" w:eastAsia="Arial" w:hAnsi="Arial" w:cs="Arial"/>
          <w:sz w:val="20"/>
          <w:szCs w:val="20"/>
        </w:rPr>
        <w:t>c</w:t>
      </w:r>
      <w:r>
        <w:rPr>
          <w:rFonts w:ascii="Arial" w:eastAsia="Arial" w:hAnsi="Arial" w:cs="Arial"/>
          <w:sz w:val="20"/>
          <w:szCs w:val="20"/>
        </w:rPr>
        <w:t xml:space="preserve">omponents.  For each Network </w:t>
      </w:r>
      <w:r w:rsidR="008101A2">
        <w:rPr>
          <w:rFonts w:ascii="Arial" w:eastAsia="Arial" w:hAnsi="Arial" w:cs="Arial"/>
          <w:sz w:val="20"/>
          <w:szCs w:val="20"/>
        </w:rPr>
        <w:t>c</w:t>
      </w:r>
      <w:r>
        <w:rPr>
          <w:rFonts w:ascii="Arial" w:eastAsia="Arial" w:hAnsi="Arial" w:cs="Arial"/>
          <w:sz w:val="20"/>
          <w:szCs w:val="20"/>
        </w:rPr>
        <w:t>omponent the Cost Book shall contain:</w:t>
      </w:r>
    </w:p>
    <w:p w14:paraId="35220C2B" w14:textId="4DF98938" w:rsidR="005F057C" w:rsidRDefault="005F057C" w:rsidP="005F057C">
      <w:pPr>
        <w:numPr>
          <w:ilvl w:val="0"/>
          <w:numId w:val="3"/>
        </w:numPr>
        <w:spacing w:before="60" w:after="40" w:line="264" w:lineRule="auto"/>
        <w:ind w:left="284" w:firstLine="283"/>
      </w:pPr>
      <w:r>
        <w:t>Sub-</w:t>
      </w:r>
      <w:r w:rsidR="00171DFA">
        <w:t xml:space="preserve">Network </w:t>
      </w:r>
      <w:r w:rsidR="008101A2">
        <w:t>c</w:t>
      </w:r>
      <w:r>
        <w:t>omponent descriptions;</w:t>
      </w:r>
    </w:p>
    <w:p w14:paraId="76399267" w14:textId="4D4900F6" w:rsidR="005F057C" w:rsidRDefault="005F057C" w:rsidP="005F057C">
      <w:pPr>
        <w:numPr>
          <w:ilvl w:val="0"/>
          <w:numId w:val="3"/>
        </w:numPr>
        <w:spacing w:before="60" w:after="40" w:line="264" w:lineRule="auto"/>
        <w:ind w:left="709" w:hanging="142"/>
      </w:pPr>
      <w:r>
        <w:t>Sub-</w:t>
      </w:r>
      <w:r w:rsidR="00171DFA">
        <w:t xml:space="preserve">Network </w:t>
      </w:r>
      <w:r w:rsidR="008101A2">
        <w:t>c</w:t>
      </w:r>
      <w:r>
        <w:t>omponent units of measurement (per meter, per cabinet, per mast, per transmitter, per cell etc);</w:t>
      </w:r>
    </w:p>
    <w:p w14:paraId="19B26FE2" w14:textId="6FEA2612" w:rsidR="005F057C" w:rsidRDefault="005F057C" w:rsidP="005F057C">
      <w:pPr>
        <w:numPr>
          <w:ilvl w:val="0"/>
          <w:numId w:val="3"/>
        </w:numPr>
        <w:spacing w:before="60" w:after="40" w:line="264" w:lineRule="auto"/>
        <w:ind w:left="709" w:hanging="142"/>
      </w:pPr>
      <w:r>
        <w:t>Sub-</w:t>
      </w:r>
      <w:r w:rsidR="00171DFA">
        <w:t xml:space="preserve">Network </w:t>
      </w:r>
      <w:r w:rsidR="008101A2">
        <w:t>c</w:t>
      </w:r>
      <w:r>
        <w:t>omponent unit build capital costs (Qualifying Capital Expenditure per unit of measurement);</w:t>
      </w:r>
    </w:p>
    <w:p w14:paraId="6D7AEB52" w14:textId="59C77ADC" w:rsidR="005F057C" w:rsidRDefault="005F057C" w:rsidP="005F057C">
      <w:pPr>
        <w:numPr>
          <w:ilvl w:val="0"/>
          <w:numId w:val="3"/>
        </w:numPr>
        <w:spacing w:before="60" w:after="40" w:line="264" w:lineRule="auto"/>
        <w:ind w:left="709" w:hanging="142"/>
      </w:pPr>
      <w:r>
        <w:t>Sub-</w:t>
      </w:r>
      <w:r w:rsidR="00171DFA">
        <w:t xml:space="preserve">Network </w:t>
      </w:r>
      <w:r w:rsidR="008101A2">
        <w:t>c</w:t>
      </w:r>
      <w:r>
        <w:t>omponent unit build operating cost (Qualifying Operating Expenditure per unit of measurement);</w:t>
      </w:r>
    </w:p>
    <w:p w14:paraId="1FA287CD" w14:textId="12EA05F8" w:rsidR="005F057C" w:rsidRDefault="005F057C" w:rsidP="005F057C">
      <w:pPr>
        <w:numPr>
          <w:ilvl w:val="0"/>
          <w:numId w:val="3"/>
        </w:numPr>
        <w:spacing w:before="60" w:after="40" w:line="264" w:lineRule="auto"/>
        <w:ind w:left="709" w:hanging="142"/>
      </w:pPr>
      <w:r>
        <w:t>Name(s) of any supplier(s) in the Supplier's supply chain (including any Key Subcontractor or subcontractor)  providing the Sub-</w:t>
      </w:r>
      <w:r w:rsidR="00171DFA">
        <w:t>Network</w:t>
      </w:r>
      <w:r>
        <w:t xml:space="preserve"> </w:t>
      </w:r>
      <w:r w:rsidR="008101A2">
        <w:t>c</w:t>
      </w:r>
      <w:r>
        <w:t>omponent (or if not identified at the time of submission, labelled as such but notified in writing to the Authority within 5 Working Days of such appointment of such supply chain provider);</w:t>
      </w:r>
    </w:p>
    <w:p w14:paraId="3940833D" w14:textId="4050D730" w:rsidR="005F057C" w:rsidRDefault="005F057C" w:rsidP="005F057C">
      <w:pPr>
        <w:numPr>
          <w:ilvl w:val="0"/>
          <w:numId w:val="3"/>
        </w:numPr>
        <w:spacing w:before="60" w:after="40" w:line="264" w:lineRule="auto"/>
        <w:ind w:left="709" w:hanging="142"/>
      </w:pPr>
      <w:r>
        <w:t>Sub-</w:t>
      </w:r>
      <w:r w:rsidR="00171DFA">
        <w:t>Network</w:t>
      </w:r>
      <w:r>
        <w:t xml:space="preserve"> </w:t>
      </w:r>
      <w:r w:rsidR="008101A2">
        <w:t>c</w:t>
      </w:r>
      <w:r>
        <w:t xml:space="preserve">omponent planning and design costs per unit of measurement separately identified for each of those </w:t>
      </w:r>
      <w:r w:rsidR="008101A2">
        <w:t>s</w:t>
      </w:r>
      <w:r>
        <w:t>ub-</w:t>
      </w:r>
      <w:r w:rsidR="00171DFA">
        <w:t>Network</w:t>
      </w:r>
      <w:r>
        <w:t xml:space="preserve"> </w:t>
      </w:r>
      <w:r w:rsidR="008101A2">
        <w:t>c</w:t>
      </w:r>
      <w:r>
        <w:t>omponents</w:t>
      </w:r>
    </w:p>
    <w:p w14:paraId="7AF784BD" w14:textId="77777777" w:rsidR="005F057C" w:rsidRDefault="005F057C" w:rsidP="005F057C">
      <w:pPr>
        <w:spacing w:before="60" w:after="40" w:line="264" w:lineRule="auto"/>
        <w:ind w:left="709"/>
      </w:pPr>
    </w:p>
    <w:p w14:paraId="04AC2EBD" w14:textId="269E29F7" w:rsidR="005F057C" w:rsidRDefault="005F057C" w:rsidP="005F057C">
      <w:pPr>
        <w:spacing w:before="60" w:after="40" w:line="264" w:lineRule="auto"/>
        <w:ind w:left="142"/>
      </w:pPr>
      <w:r>
        <w:t xml:space="preserve">Attention is also drawn to the following Network Build Cost Book related points that although not presented in the Network Build Cost Book itself are nonetheless mandatory requirements elsewhere in the </w:t>
      </w:r>
      <w:r w:rsidR="002E5606">
        <w:t>P</w:t>
      </w:r>
      <w:r>
        <w:t xml:space="preserve">roject </w:t>
      </w:r>
      <w:r w:rsidR="002E5606">
        <w:t>M</w:t>
      </w:r>
      <w:r>
        <w:t>odel:</w:t>
      </w:r>
    </w:p>
    <w:p w14:paraId="5C89C7AC" w14:textId="77777777" w:rsidR="005F057C" w:rsidRDefault="005F057C" w:rsidP="005F057C">
      <w:pPr>
        <w:spacing w:before="60" w:after="40" w:line="264" w:lineRule="auto"/>
      </w:pPr>
    </w:p>
    <w:p w14:paraId="2CBE0879" w14:textId="580B7A39" w:rsidR="005F057C" w:rsidRDefault="005F057C" w:rsidP="005F057C">
      <w:pPr>
        <w:numPr>
          <w:ilvl w:val="0"/>
          <w:numId w:val="3"/>
        </w:numPr>
        <w:spacing w:before="60" w:after="40" w:line="264" w:lineRule="auto"/>
        <w:ind w:left="709" w:hanging="142"/>
      </w:pPr>
      <w:r>
        <w:t xml:space="preserve">A description of those circumstances where unit costs would be expected to vary from those values presented in the </w:t>
      </w:r>
      <w:r w:rsidR="002E5606">
        <w:t>P</w:t>
      </w:r>
      <w:r>
        <w:t xml:space="preserve">roject </w:t>
      </w:r>
      <w:r w:rsidR="002E5606">
        <w:t>M</w:t>
      </w:r>
      <w:r>
        <w:t xml:space="preserve">odel is to be included in the </w:t>
      </w:r>
      <w:r w:rsidR="002E5606">
        <w:t>F</w:t>
      </w:r>
      <w:r>
        <w:t xml:space="preserve">inancial </w:t>
      </w:r>
      <w:r w:rsidR="002E5606">
        <w:t>M</w:t>
      </w:r>
      <w:r>
        <w:t>emorandum;</w:t>
      </w:r>
    </w:p>
    <w:p w14:paraId="1157CE85" w14:textId="43155984" w:rsidR="005F057C" w:rsidRDefault="005F057C" w:rsidP="005F057C">
      <w:pPr>
        <w:numPr>
          <w:ilvl w:val="0"/>
          <w:numId w:val="3"/>
        </w:numPr>
        <w:spacing w:before="60" w:after="40" w:line="264" w:lineRule="auto"/>
        <w:ind w:left="709" w:hanging="142"/>
      </w:pPr>
      <w:r>
        <w:t xml:space="preserve">A description of capital cost </w:t>
      </w:r>
      <w:r w:rsidR="00A71975">
        <w:t xml:space="preserve">inflation or </w:t>
      </w:r>
      <w:r w:rsidR="00AB3D6B">
        <w:t>de</w:t>
      </w:r>
      <w:r>
        <w:t xml:space="preserve">flation assumption(s) and values on a full disclosure basis  is to be included on the General Assumptions tab of the </w:t>
      </w:r>
      <w:r w:rsidR="00772383">
        <w:t>P</w:t>
      </w:r>
      <w:r>
        <w:t xml:space="preserve">roject </w:t>
      </w:r>
      <w:r w:rsidR="00772383">
        <w:t>M</w:t>
      </w:r>
      <w:r>
        <w:t>odel (tab 3);</w:t>
      </w:r>
    </w:p>
    <w:p w14:paraId="709A7F82" w14:textId="24F8E92F" w:rsidR="005F057C" w:rsidRDefault="005F057C" w:rsidP="005F057C">
      <w:pPr>
        <w:numPr>
          <w:ilvl w:val="0"/>
          <w:numId w:val="3"/>
        </w:numPr>
        <w:spacing w:before="60" w:after="40" w:line="264" w:lineRule="auto"/>
        <w:ind w:left="709" w:hanging="142"/>
      </w:pPr>
      <w:r>
        <w:t xml:space="preserve">A description of operating cost </w:t>
      </w:r>
      <w:r w:rsidR="00A71975">
        <w:t xml:space="preserve">inflation or </w:t>
      </w:r>
      <w:r w:rsidR="00AB3D6B">
        <w:t>de</w:t>
      </w:r>
      <w:r>
        <w:t xml:space="preserve">flation assumption(s) and values on a full disclosure basis is to be included on the General Assumptions tab of the </w:t>
      </w:r>
      <w:r w:rsidR="00772383">
        <w:t>P</w:t>
      </w:r>
      <w:r>
        <w:t xml:space="preserve">roject </w:t>
      </w:r>
      <w:r w:rsidR="00772383">
        <w:t>M</w:t>
      </w:r>
      <w:r>
        <w:t>odel (tab 3); and</w:t>
      </w:r>
    </w:p>
    <w:p w14:paraId="721A8B18" w14:textId="06CCD229" w:rsidR="005F057C" w:rsidRDefault="005F057C" w:rsidP="005F057C">
      <w:pPr>
        <w:numPr>
          <w:ilvl w:val="0"/>
          <w:numId w:val="3"/>
        </w:numPr>
        <w:spacing w:before="60" w:after="40" w:line="264" w:lineRule="auto"/>
        <w:ind w:left="709" w:hanging="142"/>
      </w:pPr>
      <w:r>
        <w:t xml:space="preserve">The eligibility for public sector subsidy for each </w:t>
      </w:r>
      <w:r w:rsidR="008101A2">
        <w:t>s</w:t>
      </w:r>
      <w:r>
        <w:t>ub-</w:t>
      </w:r>
      <w:r w:rsidR="00171DFA">
        <w:t>Network</w:t>
      </w:r>
      <w:r>
        <w:t xml:space="preserve"> </w:t>
      </w:r>
      <w:r w:rsidR="008101A2">
        <w:t>c</w:t>
      </w:r>
      <w:r>
        <w:t xml:space="preserve">omponent is to be included on the Network Build Cashflows tab of the </w:t>
      </w:r>
      <w:r w:rsidR="00772383">
        <w:t>P</w:t>
      </w:r>
      <w:r>
        <w:t xml:space="preserve">roject </w:t>
      </w:r>
      <w:r w:rsidR="00772383">
        <w:t>M</w:t>
      </w:r>
      <w:r>
        <w:t>odel (tab 11).</w:t>
      </w:r>
    </w:p>
    <w:p w14:paraId="7F571512" w14:textId="77777777" w:rsidR="005F057C" w:rsidRPr="00480D0C" w:rsidRDefault="005F057C" w:rsidP="005F057C">
      <w:pPr>
        <w:pStyle w:val="Heading2"/>
        <w:numPr>
          <w:ilvl w:val="1"/>
          <w:numId w:val="4"/>
        </w:numPr>
        <w:ind w:left="792" w:hanging="432"/>
      </w:pPr>
      <w:r>
        <w:rPr>
          <w:rFonts w:ascii="Arial" w:eastAsia="Arial" w:hAnsi="Arial" w:cs="Arial"/>
          <w:sz w:val="20"/>
          <w:szCs w:val="20"/>
        </w:rPr>
        <w:lastRenderedPageBreak/>
        <w:t xml:space="preserve">PMO Cost </w:t>
      </w:r>
      <w:r w:rsidR="005023E1">
        <w:rPr>
          <w:rFonts w:ascii="Arial" w:eastAsia="Arial" w:hAnsi="Arial" w:cs="Arial"/>
          <w:sz w:val="20"/>
          <w:szCs w:val="20"/>
        </w:rPr>
        <w:t>B</w:t>
      </w:r>
      <w:r>
        <w:rPr>
          <w:rFonts w:ascii="Arial" w:eastAsia="Arial" w:hAnsi="Arial" w:cs="Arial"/>
          <w:sz w:val="20"/>
          <w:szCs w:val="20"/>
        </w:rPr>
        <w:t>ook</w:t>
      </w:r>
      <w:r w:rsidR="005023E1">
        <w:rPr>
          <w:rFonts w:ascii="Arial" w:eastAsia="Arial" w:hAnsi="Arial" w:cs="Arial"/>
          <w:sz w:val="20"/>
          <w:szCs w:val="20"/>
        </w:rPr>
        <w:t>:</w:t>
      </w:r>
    </w:p>
    <w:p w14:paraId="4AD04F65" w14:textId="77777777" w:rsidR="005F057C" w:rsidRDefault="005F057C" w:rsidP="005F057C">
      <w:pPr>
        <w:spacing w:before="60" w:after="40" w:line="264" w:lineRule="auto"/>
        <w:ind w:left="142"/>
      </w:pPr>
      <w:r>
        <w:t>The PMO Cost Book shows PMO resource costs.  For each PMO resource the PMO Cost Book shall contain:</w:t>
      </w:r>
    </w:p>
    <w:p w14:paraId="3482B946" w14:textId="4B75A403" w:rsidR="005F057C" w:rsidRPr="00480D0C" w:rsidRDefault="005F057C" w:rsidP="005F057C">
      <w:pPr>
        <w:numPr>
          <w:ilvl w:val="0"/>
          <w:numId w:val="3"/>
        </w:numPr>
        <w:spacing w:before="60" w:after="40" w:line="264" w:lineRule="auto"/>
        <w:ind w:left="709" w:hanging="142"/>
      </w:pPr>
      <w:r w:rsidRPr="00480D0C">
        <w:t>Annual salaries and associated daily capitalised labour rate</w:t>
      </w:r>
      <w:r>
        <w:t>s</w:t>
      </w:r>
      <w:r w:rsidRPr="00480D0C">
        <w:t xml:space="preserve"> for each resource identified</w:t>
      </w:r>
      <w:r w:rsidR="00772383">
        <w:t xml:space="preserve"> by role</w:t>
      </w:r>
      <w:r w:rsidRPr="00480D0C">
        <w:t xml:space="preserve">, including </w:t>
      </w:r>
      <w:r>
        <w:t xml:space="preserve">details of the </w:t>
      </w:r>
      <w:r w:rsidRPr="00480D0C">
        <w:t>calculation of that rate.</w:t>
      </w:r>
    </w:p>
    <w:p w14:paraId="160A7545" w14:textId="77777777" w:rsidR="005F057C" w:rsidRDefault="005F057C" w:rsidP="005F057C">
      <w:pPr>
        <w:numPr>
          <w:ilvl w:val="0"/>
          <w:numId w:val="3"/>
        </w:numPr>
        <w:spacing w:before="60" w:after="40" w:line="264" w:lineRule="auto"/>
        <w:ind w:left="709" w:hanging="142"/>
      </w:pPr>
      <w:r>
        <w:t>For those</w:t>
      </w:r>
      <w:r w:rsidRPr="00480D0C">
        <w:t xml:space="preserve"> resources</w:t>
      </w:r>
      <w:r>
        <w:t xml:space="preserve"> that</w:t>
      </w:r>
      <w:r w:rsidRPr="00480D0C">
        <w:t xml:space="preserve"> are contracted as opposed to employed then a daily rate should be provided in lieu of annual salary</w:t>
      </w:r>
      <w:r>
        <w:t xml:space="preserve"> </w:t>
      </w:r>
      <w:r w:rsidRPr="006201E3">
        <w:t xml:space="preserve">including </w:t>
      </w:r>
      <w:r>
        <w:t xml:space="preserve">details of the </w:t>
      </w:r>
      <w:r w:rsidRPr="006201E3">
        <w:t>calculation of that rate</w:t>
      </w:r>
      <w:r w:rsidRPr="00480D0C">
        <w:t xml:space="preserve">. </w:t>
      </w:r>
    </w:p>
    <w:p w14:paraId="2A418C71" w14:textId="77777777" w:rsidR="005F057C" w:rsidRPr="00480D0C" w:rsidRDefault="005F057C" w:rsidP="005F057C">
      <w:pPr>
        <w:spacing w:before="60" w:after="40" w:line="264" w:lineRule="auto"/>
        <w:ind w:left="567"/>
      </w:pPr>
    </w:p>
    <w:p w14:paraId="2FB5A39E" w14:textId="0D7E9F7F" w:rsidR="005F057C" w:rsidRDefault="005F057C" w:rsidP="005F057C">
      <w:pPr>
        <w:spacing w:before="60" w:after="40" w:line="264" w:lineRule="auto"/>
        <w:ind w:left="142"/>
      </w:pPr>
      <w:r>
        <w:t xml:space="preserve">Attention is also drawn to the following PMO cost book related points that although not presented in the PMO Cost book itself are nonetheless mandatory requirements elsewhere in the </w:t>
      </w:r>
      <w:r w:rsidR="002E5606">
        <w:t>P</w:t>
      </w:r>
      <w:r>
        <w:t xml:space="preserve">roject </w:t>
      </w:r>
      <w:r w:rsidR="002E5606">
        <w:t>M</w:t>
      </w:r>
      <w:r>
        <w:t>odel:</w:t>
      </w:r>
    </w:p>
    <w:p w14:paraId="6652B2B2" w14:textId="77777777" w:rsidR="005F057C" w:rsidRDefault="005F057C" w:rsidP="005F057C">
      <w:pPr>
        <w:spacing w:before="60" w:after="40" w:line="264" w:lineRule="auto"/>
      </w:pPr>
    </w:p>
    <w:p w14:paraId="0D9E4FC0" w14:textId="6212897F" w:rsidR="005F057C" w:rsidRDefault="005F057C" w:rsidP="005F057C">
      <w:pPr>
        <w:numPr>
          <w:ilvl w:val="0"/>
          <w:numId w:val="3"/>
        </w:numPr>
        <w:spacing w:before="60" w:after="40" w:line="264" w:lineRule="auto"/>
        <w:ind w:left="709" w:hanging="142"/>
      </w:pPr>
      <w:r>
        <w:t>E</w:t>
      </w:r>
      <w:r w:rsidRPr="00FF3DBB">
        <w:t>vidence of a robust procurement process and suitable skills assurance</w:t>
      </w:r>
      <w:r>
        <w:t xml:space="preserve"> for those PMO</w:t>
      </w:r>
      <w:r w:rsidRPr="00FF3DBB">
        <w:t xml:space="preserve"> resources </w:t>
      </w:r>
      <w:r>
        <w:t xml:space="preserve">that are </w:t>
      </w:r>
      <w:r w:rsidRPr="00FF3DBB">
        <w:t>contracted in</w:t>
      </w:r>
      <w:r>
        <w:t xml:space="preserve"> (i</w:t>
      </w:r>
      <w:r w:rsidR="002E5606">
        <w:t>.</w:t>
      </w:r>
      <w:r>
        <w:t>e</w:t>
      </w:r>
      <w:r w:rsidR="002E5606">
        <w:t>.</w:t>
      </w:r>
      <w:r>
        <w:t xml:space="preserve"> provided on a sub contract basis) is to be included in the </w:t>
      </w:r>
      <w:r w:rsidR="002E5606">
        <w:t>F</w:t>
      </w:r>
      <w:r>
        <w:t xml:space="preserve">inancial </w:t>
      </w:r>
      <w:r w:rsidR="002E5606">
        <w:t>M</w:t>
      </w:r>
      <w:r>
        <w:t>emorandum;</w:t>
      </w:r>
    </w:p>
    <w:p w14:paraId="0D66409C" w14:textId="1A01BDEC" w:rsidR="005F057C" w:rsidRDefault="005F057C" w:rsidP="005F057C">
      <w:pPr>
        <w:numPr>
          <w:ilvl w:val="0"/>
          <w:numId w:val="3"/>
        </w:numPr>
        <w:spacing w:before="60" w:after="40" w:line="264" w:lineRule="auto"/>
        <w:ind w:left="709" w:hanging="142"/>
      </w:pPr>
      <w:r>
        <w:t xml:space="preserve">A description of capital cost </w:t>
      </w:r>
      <w:r w:rsidR="00A71975">
        <w:t xml:space="preserve">inflation or </w:t>
      </w:r>
      <w:r w:rsidR="00AB3D6B">
        <w:t>de</w:t>
      </w:r>
      <w:r>
        <w:t xml:space="preserve">flation assumption(s) and values on a full disclosure basis  is to be included on the General Assumptions tab of the </w:t>
      </w:r>
      <w:r w:rsidR="00772383">
        <w:t>P</w:t>
      </w:r>
      <w:r>
        <w:t xml:space="preserve">roject </w:t>
      </w:r>
      <w:r w:rsidR="00772383">
        <w:t>M</w:t>
      </w:r>
      <w:r>
        <w:t>odel (tab 3);</w:t>
      </w:r>
    </w:p>
    <w:p w14:paraId="26C95B91" w14:textId="584A5502" w:rsidR="005F057C" w:rsidRDefault="005F057C" w:rsidP="005F057C">
      <w:pPr>
        <w:numPr>
          <w:ilvl w:val="0"/>
          <w:numId w:val="3"/>
        </w:numPr>
        <w:spacing w:before="60" w:after="40" w:line="264" w:lineRule="auto"/>
        <w:ind w:left="709" w:hanging="142"/>
      </w:pPr>
      <w:r>
        <w:t xml:space="preserve">The eligibility for public sector subsidy for each </w:t>
      </w:r>
      <w:r w:rsidR="008101A2">
        <w:t>s</w:t>
      </w:r>
      <w:r>
        <w:t>ub-</w:t>
      </w:r>
      <w:r w:rsidR="00171DFA">
        <w:t>Network</w:t>
      </w:r>
      <w:r>
        <w:t xml:space="preserve"> </w:t>
      </w:r>
      <w:r w:rsidR="008101A2">
        <w:t>c</w:t>
      </w:r>
      <w:r>
        <w:t xml:space="preserve">omponent is to be included on the Network Build Cashflows tab of the </w:t>
      </w:r>
      <w:r w:rsidR="00772383">
        <w:t>P</w:t>
      </w:r>
      <w:r>
        <w:t xml:space="preserve">roject </w:t>
      </w:r>
      <w:r w:rsidR="00772383">
        <w:t>M</w:t>
      </w:r>
      <w:r>
        <w:t>odel (tab 11).</w:t>
      </w:r>
    </w:p>
    <w:p w14:paraId="15CA9AAD" w14:textId="77777777" w:rsidR="005F057C" w:rsidRPr="006201E3" w:rsidRDefault="005F057C" w:rsidP="005F057C">
      <w:pPr>
        <w:pStyle w:val="Heading2"/>
        <w:numPr>
          <w:ilvl w:val="1"/>
          <w:numId w:val="4"/>
        </w:numPr>
        <w:ind w:left="792" w:hanging="432"/>
      </w:pPr>
      <w:r w:rsidRPr="00331FF9">
        <w:rPr>
          <w:rFonts w:ascii="Arial" w:eastAsia="Arial" w:hAnsi="Arial" w:cs="Arial"/>
          <w:sz w:val="20"/>
          <w:szCs w:val="20"/>
        </w:rPr>
        <w:t xml:space="preserve">In life Cost </w:t>
      </w:r>
      <w:r w:rsidR="005023E1">
        <w:rPr>
          <w:rFonts w:ascii="Arial" w:eastAsia="Arial" w:hAnsi="Arial" w:cs="Arial"/>
          <w:sz w:val="20"/>
          <w:szCs w:val="20"/>
        </w:rPr>
        <w:t>B</w:t>
      </w:r>
      <w:r w:rsidRPr="00331FF9">
        <w:rPr>
          <w:rFonts w:ascii="Arial" w:eastAsia="Arial" w:hAnsi="Arial" w:cs="Arial"/>
          <w:sz w:val="20"/>
          <w:szCs w:val="20"/>
        </w:rPr>
        <w:t>ook</w:t>
      </w:r>
      <w:r w:rsidR="005023E1">
        <w:rPr>
          <w:rFonts w:ascii="Arial" w:eastAsia="Arial" w:hAnsi="Arial" w:cs="Arial"/>
          <w:sz w:val="20"/>
          <w:szCs w:val="20"/>
        </w:rPr>
        <w:t>:</w:t>
      </w:r>
    </w:p>
    <w:p w14:paraId="189C9FE3" w14:textId="771E8733" w:rsidR="005F057C" w:rsidRDefault="005F057C" w:rsidP="005F057C">
      <w:pPr>
        <w:pStyle w:val="Heading3"/>
        <w:tabs>
          <w:tab w:val="clear" w:pos="864"/>
          <w:tab w:val="left" w:pos="142"/>
        </w:tabs>
        <w:ind w:left="142" w:firstLine="0"/>
      </w:pPr>
      <w:r>
        <w:rPr>
          <w:rFonts w:ascii="Arial" w:eastAsia="Arial" w:hAnsi="Arial" w:cs="Arial"/>
          <w:sz w:val="20"/>
          <w:szCs w:val="20"/>
        </w:rPr>
        <w:t xml:space="preserve">The In life Cost Book shows the In Life costs associated with Network </w:t>
      </w:r>
      <w:r w:rsidR="008101A2">
        <w:rPr>
          <w:rFonts w:ascii="Arial" w:eastAsia="Arial" w:hAnsi="Arial" w:cs="Arial"/>
          <w:sz w:val="20"/>
          <w:szCs w:val="20"/>
        </w:rPr>
        <w:t>c</w:t>
      </w:r>
      <w:r>
        <w:rPr>
          <w:rFonts w:ascii="Arial" w:eastAsia="Arial" w:hAnsi="Arial" w:cs="Arial"/>
          <w:sz w:val="20"/>
          <w:szCs w:val="20"/>
        </w:rPr>
        <w:t>omponents and wholesale products.  For each Network</w:t>
      </w:r>
      <w:r w:rsidR="00171DFA">
        <w:rPr>
          <w:rFonts w:ascii="Arial" w:eastAsia="Arial" w:hAnsi="Arial" w:cs="Arial"/>
          <w:sz w:val="20"/>
          <w:szCs w:val="20"/>
        </w:rPr>
        <w:t xml:space="preserve"> </w:t>
      </w:r>
      <w:r w:rsidR="008101A2">
        <w:rPr>
          <w:rFonts w:ascii="Arial" w:eastAsia="Arial" w:hAnsi="Arial" w:cs="Arial"/>
          <w:sz w:val="20"/>
          <w:szCs w:val="20"/>
        </w:rPr>
        <w:t>c</w:t>
      </w:r>
      <w:r>
        <w:rPr>
          <w:rFonts w:ascii="Arial" w:eastAsia="Arial" w:hAnsi="Arial" w:cs="Arial"/>
          <w:sz w:val="20"/>
          <w:szCs w:val="20"/>
        </w:rPr>
        <w:t xml:space="preserve">omponent and wholesale product for which in life costs are appropriate the </w:t>
      </w:r>
      <w:r w:rsidR="00445E03">
        <w:rPr>
          <w:rFonts w:ascii="Arial" w:eastAsia="Arial" w:hAnsi="Arial" w:cs="Arial"/>
          <w:sz w:val="20"/>
          <w:szCs w:val="20"/>
        </w:rPr>
        <w:t>I</w:t>
      </w:r>
      <w:r>
        <w:rPr>
          <w:rFonts w:ascii="Arial" w:eastAsia="Arial" w:hAnsi="Arial" w:cs="Arial"/>
          <w:sz w:val="20"/>
          <w:szCs w:val="20"/>
        </w:rPr>
        <w:t xml:space="preserve">n </w:t>
      </w:r>
      <w:r w:rsidR="00445E03">
        <w:rPr>
          <w:rFonts w:ascii="Arial" w:eastAsia="Arial" w:hAnsi="Arial" w:cs="Arial"/>
          <w:sz w:val="20"/>
          <w:szCs w:val="20"/>
        </w:rPr>
        <w:t>L</w:t>
      </w:r>
      <w:r>
        <w:rPr>
          <w:rFonts w:ascii="Arial" w:eastAsia="Arial" w:hAnsi="Arial" w:cs="Arial"/>
          <w:sz w:val="20"/>
          <w:szCs w:val="20"/>
        </w:rPr>
        <w:t>ife Cost Book shall contain:</w:t>
      </w:r>
    </w:p>
    <w:p w14:paraId="4BAE946A" w14:textId="4C2A8487" w:rsidR="005F057C" w:rsidRDefault="005F057C" w:rsidP="005F057C">
      <w:pPr>
        <w:numPr>
          <w:ilvl w:val="0"/>
          <w:numId w:val="3"/>
        </w:numPr>
        <w:spacing w:before="60" w:after="40" w:line="264" w:lineRule="auto"/>
        <w:ind w:left="284" w:firstLine="283"/>
      </w:pPr>
      <w:r>
        <w:t>Sub-</w:t>
      </w:r>
      <w:r w:rsidR="00171DFA">
        <w:t>Network</w:t>
      </w:r>
      <w:r>
        <w:t xml:space="preserve"> </w:t>
      </w:r>
      <w:r w:rsidR="008101A2">
        <w:t>c</w:t>
      </w:r>
      <w:r>
        <w:t>omponent descriptions;</w:t>
      </w:r>
    </w:p>
    <w:p w14:paraId="03809541" w14:textId="0BA77BC9" w:rsidR="005F057C" w:rsidRDefault="005F057C" w:rsidP="005F057C">
      <w:pPr>
        <w:numPr>
          <w:ilvl w:val="0"/>
          <w:numId w:val="3"/>
        </w:numPr>
        <w:spacing w:before="60" w:after="40" w:line="264" w:lineRule="auto"/>
        <w:ind w:left="709" w:hanging="142"/>
      </w:pPr>
      <w:r>
        <w:t>Sub-</w:t>
      </w:r>
      <w:r w:rsidR="00171DFA">
        <w:t>Network</w:t>
      </w:r>
      <w:r>
        <w:t xml:space="preserve"> </w:t>
      </w:r>
      <w:r w:rsidR="008101A2">
        <w:t>c</w:t>
      </w:r>
      <w:r>
        <w:t>omponent units of measurement (per meter, per cabinet, per mast, per transmitter, per cell etc);</w:t>
      </w:r>
    </w:p>
    <w:p w14:paraId="76EAA3EB" w14:textId="67FD41BA" w:rsidR="005F057C" w:rsidRDefault="005F057C" w:rsidP="005F057C">
      <w:pPr>
        <w:numPr>
          <w:ilvl w:val="0"/>
          <w:numId w:val="3"/>
        </w:numPr>
        <w:spacing w:before="60" w:after="40" w:line="264" w:lineRule="auto"/>
        <w:ind w:left="709" w:hanging="142"/>
      </w:pPr>
      <w:r>
        <w:t>Sub-</w:t>
      </w:r>
      <w:r w:rsidR="00171DFA">
        <w:t>Network</w:t>
      </w:r>
      <w:r>
        <w:t xml:space="preserve"> </w:t>
      </w:r>
      <w:r w:rsidR="008101A2">
        <w:t>c</w:t>
      </w:r>
      <w:r>
        <w:t>omponent unit In Life capital costs (Non Qualifying Capital Expenditure per unit of measurement);</w:t>
      </w:r>
    </w:p>
    <w:p w14:paraId="229F6F40" w14:textId="24F30C22" w:rsidR="005F057C" w:rsidRDefault="005F057C" w:rsidP="005F057C">
      <w:pPr>
        <w:numPr>
          <w:ilvl w:val="0"/>
          <w:numId w:val="3"/>
        </w:numPr>
        <w:spacing w:before="60" w:after="40" w:line="264" w:lineRule="auto"/>
        <w:ind w:left="709" w:hanging="142"/>
      </w:pPr>
      <w:r>
        <w:t>Sub-</w:t>
      </w:r>
      <w:r w:rsidR="00171DFA">
        <w:t>Network</w:t>
      </w:r>
      <w:r>
        <w:t xml:space="preserve"> </w:t>
      </w:r>
      <w:r w:rsidR="008101A2">
        <w:t>c</w:t>
      </w:r>
      <w:r>
        <w:t>omponent unit In Life operating cost (Non Qualifying Operating Expenditure per unit of measurement);</w:t>
      </w:r>
    </w:p>
    <w:p w14:paraId="597BADE9" w14:textId="1E32A0B8" w:rsidR="005F057C" w:rsidRDefault="005F057C" w:rsidP="005F057C">
      <w:pPr>
        <w:numPr>
          <w:ilvl w:val="0"/>
          <w:numId w:val="3"/>
        </w:numPr>
        <w:spacing w:before="60" w:after="40" w:line="264" w:lineRule="auto"/>
        <w:ind w:left="709" w:hanging="142"/>
      </w:pPr>
      <w:r>
        <w:t xml:space="preserve">Name(s) of any supplier(s) in the Supplier's supply chain (including any Key Subcontractor or subcontractor)  providing the </w:t>
      </w:r>
      <w:r w:rsidR="008101A2">
        <w:t>s</w:t>
      </w:r>
      <w:r>
        <w:t>ub-</w:t>
      </w:r>
      <w:r w:rsidR="00171DFA">
        <w:t>Network</w:t>
      </w:r>
      <w:r>
        <w:t xml:space="preserve"> </w:t>
      </w:r>
      <w:r w:rsidR="008101A2">
        <w:t>c</w:t>
      </w:r>
      <w:r>
        <w:t>omponent (or if not identified at the time of submission, labelled as such but notified in writing to the Authority within 5 Working Days of such appointment of such supply chain provider);</w:t>
      </w:r>
    </w:p>
    <w:p w14:paraId="78CB9E4E" w14:textId="69546594" w:rsidR="005F057C" w:rsidRDefault="005F057C" w:rsidP="005F057C">
      <w:pPr>
        <w:numPr>
          <w:ilvl w:val="0"/>
          <w:numId w:val="3"/>
        </w:numPr>
        <w:spacing w:before="60" w:after="40" w:line="264" w:lineRule="auto"/>
        <w:ind w:left="567" w:firstLine="0"/>
      </w:pPr>
      <w:r>
        <w:t xml:space="preserve">A description of each </w:t>
      </w:r>
      <w:r w:rsidR="008101A2" w:rsidRPr="00E127F6">
        <w:t>Wholesale Access Product and Service</w:t>
      </w:r>
      <w:r>
        <w:t>;</w:t>
      </w:r>
    </w:p>
    <w:p w14:paraId="36850E4C" w14:textId="77777777" w:rsidR="005F057C" w:rsidRDefault="005F057C" w:rsidP="005F057C">
      <w:pPr>
        <w:numPr>
          <w:ilvl w:val="0"/>
          <w:numId w:val="3"/>
        </w:numPr>
        <w:spacing w:before="60" w:after="40" w:line="264" w:lineRule="auto"/>
        <w:ind w:left="709" w:hanging="142"/>
      </w:pPr>
      <w:r>
        <w:t>Wholesale product units of measurement/cost drivers (per connected premise, per connecting premise etc);</w:t>
      </w:r>
    </w:p>
    <w:p w14:paraId="29824C1B" w14:textId="65C9D5F9" w:rsidR="005F057C" w:rsidRDefault="005F057C" w:rsidP="005F057C">
      <w:pPr>
        <w:numPr>
          <w:ilvl w:val="0"/>
          <w:numId w:val="3"/>
        </w:numPr>
        <w:spacing w:before="60" w:after="40" w:line="264" w:lineRule="auto"/>
        <w:ind w:left="709" w:hanging="142"/>
      </w:pPr>
      <w:r>
        <w:t>Wholesale product unit In Life capital costs (Non</w:t>
      </w:r>
      <w:r w:rsidR="008101A2">
        <w:t>-</w:t>
      </w:r>
      <w:r>
        <w:t>Qualifying Capital Expenditure per unit of measurement);</w:t>
      </w:r>
    </w:p>
    <w:p w14:paraId="06AE8120" w14:textId="0B22B14A" w:rsidR="005F057C" w:rsidRDefault="005F057C" w:rsidP="005F057C">
      <w:pPr>
        <w:numPr>
          <w:ilvl w:val="0"/>
          <w:numId w:val="3"/>
        </w:numPr>
        <w:spacing w:before="60" w:after="40" w:line="264" w:lineRule="auto"/>
        <w:ind w:left="709" w:hanging="142"/>
      </w:pPr>
      <w:r>
        <w:t>Wholesale product unit In Life operating cost (Non</w:t>
      </w:r>
      <w:r w:rsidR="008101A2">
        <w:t>-</w:t>
      </w:r>
      <w:r>
        <w:t>Qualifying Operating Expenditure per unit of measurement)</w:t>
      </w:r>
      <w:r w:rsidR="00445E03">
        <w:t>.</w:t>
      </w:r>
    </w:p>
    <w:p w14:paraId="6F9C6FE1" w14:textId="77777777" w:rsidR="005F057C" w:rsidRDefault="005F057C" w:rsidP="005F057C">
      <w:pPr>
        <w:spacing w:before="60" w:after="40" w:line="264" w:lineRule="auto"/>
        <w:ind w:left="709"/>
      </w:pPr>
    </w:p>
    <w:p w14:paraId="5F7D00F9" w14:textId="192C5D4F" w:rsidR="005F057C" w:rsidRDefault="005F057C" w:rsidP="005F057C">
      <w:pPr>
        <w:spacing w:before="60" w:after="40" w:line="264" w:lineRule="auto"/>
        <w:ind w:left="142"/>
      </w:pPr>
      <w:r>
        <w:lastRenderedPageBreak/>
        <w:t xml:space="preserve">Attention is also drawn to the following In life </w:t>
      </w:r>
      <w:r w:rsidR="008101A2">
        <w:t>C</w:t>
      </w:r>
      <w:r>
        <w:t xml:space="preserve">ost </w:t>
      </w:r>
      <w:r w:rsidR="008101A2">
        <w:t>B</w:t>
      </w:r>
      <w:r>
        <w:t xml:space="preserve">ook related points that although not presented in the In life Cost </w:t>
      </w:r>
      <w:r w:rsidR="008101A2">
        <w:t>B</w:t>
      </w:r>
      <w:r>
        <w:t xml:space="preserve">ook itself are nonetheless mandatory requirements elsewhere in the </w:t>
      </w:r>
      <w:r w:rsidR="002E5606">
        <w:t>P</w:t>
      </w:r>
      <w:r>
        <w:t xml:space="preserve">roject </w:t>
      </w:r>
      <w:r w:rsidR="002E5606">
        <w:t>M</w:t>
      </w:r>
      <w:r>
        <w:t>odel:</w:t>
      </w:r>
    </w:p>
    <w:p w14:paraId="599B4292" w14:textId="77777777" w:rsidR="005F057C" w:rsidRDefault="005F057C" w:rsidP="005F057C">
      <w:pPr>
        <w:spacing w:before="60" w:after="40" w:line="264" w:lineRule="auto"/>
      </w:pPr>
    </w:p>
    <w:p w14:paraId="3455CD61" w14:textId="0050A781" w:rsidR="005F057C" w:rsidRDefault="005F057C" w:rsidP="005F057C">
      <w:pPr>
        <w:numPr>
          <w:ilvl w:val="0"/>
          <w:numId w:val="3"/>
        </w:numPr>
        <w:spacing w:before="60" w:after="40" w:line="264" w:lineRule="auto"/>
        <w:ind w:left="709" w:hanging="142"/>
      </w:pPr>
      <w:r>
        <w:t xml:space="preserve">A description of capital cost </w:t>
      </w:r>
      <w:r w:rsidR="00AB3D6B">
        <w:t>de</w:t>
      </w:r>
      <w:r>
        <w:t xml:space="preserve">flation assumption(s) and values on a full disclosure basis  is to be included on the General Assumptions tab of the </w:t>
      </w:r>
      <w:r w:rsidR="00772383">
        <w:t>P</w:t>
      </w:r>
      <w:r>
        <w:t xml:space="preserve">roject </w:t>
      </w:r>
      <w:r w:rsidR="00772383">
        <w:t>M</w:t>
      </w:r>
      <w:r>
        <w:t>odel (tab 3);</w:t>
      </w:r>
    </w:p>
    <w:p w14:paraId="5AB4E31F" w14:textId="1B1A9BD1" w:rsidR="005F057C" w:rsidRDefault="005F057C" w:rsidP="005F057C">
      <w:pPr>
        <w:numPr>
          <w:ilvl w:val="0"/>
          <w:numId w:val="3"/>
        </w:numPr>
        <w:spacing w:before="60" w:after="40" w:line="264" w:lineRule="auto"/>
        <w:ind w:left="709" w:hanging="142"/>
      </w:pPr>
      <w:r>
        <w:t xml:space="preserve">A description of operating cost </w:t>
      </w:r>
      <w:r w:rsidR="00AB3D6B">
        <w:t>de</w:t>
      </w:r>
      <w:r>
        <w:t xml:space="preserve">flation assumption(s) and values on a full disclosure basis  is to be included on the General Assumptions tab of the </w:t>
      </w:r>
      <w:r w:rsidR="00772383">
        <w:t>P</w:t>
      </w:r>
      <w:r>
        <w:t xml:space="preserve">roject </w:t>
      </w:r>
      <w:r w:rsidR="00772383">
        <w:t>M</w:t>
      </w:r>
      <w:r>
        <w:t>odel (tab 3); and</w:t>
      </w:r>
    </w:p>
    <w:p w14:paraId="6879F0C7" w14:textId="141F459C" w:rsidR="005F057C" w:rsidRDefault="005F057C" w:rsidP="005F057C">
      <w:pPr>
        <w:numPr>
          <w:ilvl w:val="0"/>
          <w:numId w:val="3"/>
        </w:numPr>
        <w:spacing w:before="60" w:after="40" w:line="264" w:lineRule="auto"/>
        <w:ind w:left="709" w:hanging="142"/>
      </w:pPr>
      <w:r>
        <w:t xml:space="preserve">The eligibility for public sector subsidy for each </w:t>
      </w:r>
      <w:r w:rsidR="008101A2">
        <w:t>s</w:t>
      </w:r>
      <w:r>
        <w:t>ub-</w:t>
      </w:r>
      <w:r w:rsidR="00171DFA">
        <w:t>Network</w:t>
      </w:r>
      <w:r>
        <w:t xml:space="preserve"> </w:t>
      </w:r>
      <w:r w:rsidR="008101A2">
        <w:t>c</w:t>
      </w:r>
      <w:r>
        <w:t xml:space="preserve">omponent and wholesale product related In Life costs is to be included on the In life cost cashflows tab of the </w:t>
      </w:r>
      <w:r w:rsidR="00772383">
        <w:t>P</w:t>
      </w:r>
      <w:r>
        <w:t xml:space="preserve">roject </w:t>
      </w:r>
      <w:r w:rsidR="00772383">
        <w:t>M</w:t>
      </w:r>
      <w:r>
        <w:t>odel (tab 14).</w:t>
      </w:r>
    </w:p>
    <w:p w14:paraId="2916FE4D" w14:textId="77777777" w:rsidR="005F057C" w:rsidRDefault="005F057C" w:rsidP="005F057C">
      <w:pPr>
        <w:pStyle w:val="Heading2"/>
        <w:numPr>
          <w:ilvl w:val="1"/>
          <w:numId w:val="4"/>
        </w:numPr>
        <w:ind w:left="792" w:hanging="432"/>
      </w:pPr>
      <w:r>
        <w:rPr>
          <w:rFonts w:ascii="Arial" w:eastAsia="Arial" w:hAnsi="Arial" w:cs="Arial"/>
          <w:sz w:val="20"/>
          <w:szCs w:val="20"/>
        </w:rPr>
        <w:t>Wholesale Price Book:</w:t>
      </w:r>
    </w:p>
    <w:p w14:paraId="72269B0C" w14:textId="77777777" w:rsidR="005F057C" w:rsidRDefault="005F057C" w:rsidP="005F057C">
      <w:pPr>
        <w:spacing w:before="60" w:after="40" w:line="264" w:lineRule="auto"/>
        <w:ind w:left="142"/>
      </w:pPr>
      <w:r>
        <w:t>The Wholesale Price Book shows:</w:t>
      </w:r>
    </w:p>
    <w:p w14:paraId="4E171BB6" w14:textId="77777777" w:rsidR="005F057C" w:rsidRDefault="005F057C" w:rsidP="007C72DC">
      <w:pPr>
        <w:spacing w:line="264" w:lineRule="auto"/>
        <w:ind w:left="142"/>
      </w:pPr>
      <w:r>
        <w:t xml:space="preserve"> </w:t>
      </w:r>
    </w:p>
    <w:p w14:paraId="678EF4CC" w14:textId="77777777" w:rsidR="005F057C" w:rsidRDefault="005F057C" w:rsidP="005F057C">
      <w:pPr>
        <w:numPr>
          <w:ilvl w:val="0"/>
          <w:numId w:val="3"/>
        </w:numPr>
        <w:spacing w:before="60" w:after="40" w:line="264" w:lineRule="auto"/>
        <w:ind w:left="851" w:hanging="284"/>
      </w:pPr>
      <w:r>
        <w:t>Wholesale prices and their associated charges to Retail Service Providers (e.g. installation and decommissioning) broken down by different Solution Components or product types (e.g. for business customers, residential customers, etc); and</w:t>
      </w:r>
    </w:p>
    <w:p w14:paraId="72523496" w14:textId="77777777" w:rsidR="005F057C" w:rsidRDefault="005F057C" w:rsidP="005F057C">
      <w:pPr>
        <w:numPr>
          <w:ilvl w:val="0"/>
          <w:numId w:val="3"/>
        </w:numPr>
        <w:spacing w:before="60" w:after="40" w:line="264" w:lineRule="auto"/>
        <w:ind w:left="851" w:hanging="284"/>
      </w:pPr>
      <w:r>
        <w:t>A description of each wholesale product</w:t>
      </w:r>
    </w:p>
    <w:p w14:paraId="56B84FB5" w14:textId="77777777" w:rsidR="005F057C" w:rsidRDefault="005F057C" w:rsidP="005F057C">
      <w:pPr>
        <w:spacing w:before="60" w:after="40" w:line="264" w:lineRule="auto"/>
        <w:ind w:left="851"/>
      </w:pPr>
    </w:p>
    <w:p w14:paraId="77D6BE46" w14:textId="7CB6F5AF" w:rsidR="005F057C" w:rsidRDefault="005F057C" w:rsidP="007C72DC">
      <w:pPr>
        <w:spacing w:line="264" w:lineRule="auto"/>
        <w:ind w:left="142"/>
      </w:pPr>
      <w:r>
        <w:t xml:space="preserve">Attention is also drawn to the following Wholesale Price book related points that although not presented in the Wholesale Price book itself are nonetheless mandatory requirements elsewhere in the </w:t>
      </w:r>
      <w:r w:rsidR="002E5606">
        <w:t>P</w:t>
      </w:r>
      <w:r>
        <w:t xml:space="preserve">roject </w:t>
      </w:r>
      <w:r w:rsidR="002E5606">
        <w:t>M</w:t>
      </w:r>
      <w:r>
        <w:t>odel:</w:t>
      </w:r>
    </w:p>
    <w:p w14:paraId="044E7660" w14:textId="77777777" w:rsidR="005F057C" w:rsidRDefault="005F057C" w:rsidP="005F057C">
      <w:pPr>
        <w:spacing w:before="60" w:after="40" w:line="264" w:lineRule="auto"/>
      </w:pPr>
    </w:p>
    <w:p w14:paraId="511FE690" w14:textId="12AA2A03" w:rsidR="005F057C" w:rsidRDefault="005F057C" w:rsidP="005F057C">
      <w:pPr>
        <w:numPr>
          <w:ilvl w:val="0"/>
          <w:numId w:val="3"/>
        </w:numPr>
        <w:spacing w:before="60" w:after="40" w:line="264" w:lineRule="auto"/>
        <w:ind w:left="851" w:hanging="284"/>
      </w:pPr>
      <w:r>
        <w:t>A description of revenue inflation</w:t>
      </w:r>
      <w:r w:rsidR="00AB3D6B">
        <w:t xml:space="preserve"> or deflation</w:t>
      </w:r>
      <w:r>
        <w:t xml:space="preserve"> assumption(s) and values on a full disclosure basis  is to be included on the General Assumptions tab of the </w:t>
      </w:r>
      <w:r w:rsidR="00772383">
        <w:t>P</w:t>
      </w:r>
      <w:r>
        <w:t xml:space="preserve">roject </w:t>
      </w:r>
      <w:r w:rsidR="00772383">
        <w:t>M</w:t>
      </w:r>
      <w:r>
        <w:t>odel (tab 3); and</w:t>
      </w:r>
    </w:p>
    <w:p w14:paraId="4FDD0A2A" w14:textId="04D64A10" w:rsidR="005F057C" w:rsidRDefault="005F057C" w:rsidP="005F057C">
      <w:pPr>
        <w:numPr>
          <w:ilvl w:val="0"/>
          <w:numId w:val="3"/>
        </w:numPr>
        <w:spacing w:before="60" w:after="40" w:line="264" w:lineRule="auto"/>
        <w:ind w:left="851" w:hanging="284"/>
      </w:pPr>
      <w:r>
        <w:t xml:space="preserve">All data to be consistent with the Wholesale </w:t>
      </w:r>
      <w:r w:rsidR="00772383">
        <w:t>P</w:t>
      </w:r>
      <w:r>
        <w:t xml:space="preserve">roduct </w:t>
      </w:r>
      <w:r w:rsidR="00772383">
        <w:t>T</w:t>
      </w:r>
      <w:r>
        <w:t>emplate</w:t>
      </w:r>
    </w:p>
    <w:p w14:paraId="6DDBBDA7" w14:textId="77777777" w:rsidR="005F057C" w:rsidRDefault="005F057C" w:rsidP="005F057C">
      <w:pPr>
        <w:pStyle w:val="Heading2"/>
        <w:numPr>
          <w:ilvl w:val="1"/>
          <w:numId w:val="4"/>
        </w:numPr>
        <w:ind w:left="792" w:hanging="432"/>
      </w:pPr>
      <w:r>
        <w:rPr>
          <w:rFonts w:ascii="Arial" w:eastAsia="Arial" w:hAnsi="Arial" w:cs="Arial"/>
          <w:sz w:val="20"/>
          <w:szCs w:val="20"/>
        </w:rPr>
        <w:t>Other sections on the Project Model</w:t>
      </w:r>
    </w:p>
    <w:p w14:paraId="2207AC0D" w14:textId="77777777" w:rsidR="005F057C" w:rsidRDefault="005F057C" w:rsidP="005F057C">
      <w:pPr>
        <w:pStyle w:val="Heading3"/>
        <w:ind w:left="120" w:firstLine="0"/>
      </w:pPr>
      <w:r>
        <w:rPr>
          <w:rFonts w:ascii="Arial" w:eastAsia="Arial" w:hAnsi="Arial" w:cs="Arial"/>
          <w:sz w:val="20"/>
          <w:szCs w:val="20"/>
        </w:rPr>
        <w:t>In addition to the Cost Books and Wholesale Price Book, the Project Model must include the following:</w:t>
      </w:r>
    </w:p>
    <w:p w14:paraId="1B603648" w14:textId="797870A9" w:rsidR="005F057C" w:rsidRDefault="00E127F6" w:rsidP="005F057C">
      <w:pPr>
        <w:pStyle w:val="Heading3"/>
        <w:numPr>
          <w:ilvl w:val="2"/>
          <w:numId w:val="4"/>
        </w:numPr>
        <w:ind w:left="1224" w:hanging="504"/>
        <w:rPr>
          <w:rFonts w:ascii="Arial" w:eastAsia="Arial" w:hAnsi="Arial" w:cs="Arial"/>
          <w:sz w:val="20"/>
          <w:szCs w:val="20"/>
        </w:rPr>
      </w:pPr>
      <w:r>
        <w:rPr>
          <w:rFonts w:ascii="Arial" w:eastAsia="Arial" w:hAnsi="Arial" w:cs="Arial"/>
          <w:sz w:val="20"/>
          <w:szCs w:val="20"/>
        </w:rPr>
        <w:t>Cashflow period</w:t>
      </w:r>
    </w:p>
    <w:p w14:paraId="550F2D8A" w14:textId="0743F6AA" w:rsidR="005F057C" w:rsidRDefault="005F057C" w:rsidP="005F057C">
      <w:pPr>
        <w:numPr>
          <w:ilvl w:val="0"/>
          <w:numId w:val="3"/>
        </w:numPr>
        <w:spacing w:before="60" w:after="40" w:line="264" w:lineRule="auto"/>
        <w:ind w:left="851" w:hanging="284"/>
      </w:pPr>
      <w:r>
        <w:t>The project model must show cashflows for a 20 year (80 quarter) period</w:t>
      </w:r>
      <w:r w:rsidR="00E127F6">
        <w:t>,</w:t>
      </w:r>
      <w:r>
        <w:t xml:space="preserve"> on the Network Volume tab of the PFM (tab 7)</w:t>
      </w:r>
    </w:p>
    <w:p w14:paraId="4252E89D" w14:textId="77777777" w:rsidR="005F057C" w:rsidRDefault="005F057C" w:rsidP="005F057C">
      <w:pPr>
        <w:spacing w:before="60" w:after="40" w:line="264" w:lineRule="auto"/>
        <w:ind w:left="851"/>
      </w:pPr>
    </w:p>
    <w:p w14:paraId="01B2B4F1" w14:textId="1098EC12" w:rsidR="005F057C" w:rsidRDefault="00BD23C3" w:rsidP="005F057C">
      <w:pPr>
        <w:pStyle w:val="Heading3"/>
        <w:numPr>
          <w:ilvl w:val="2"/>
          <w:numId w:val="4"/>
        </w:numPr>
        <w:ind w:left="1224" w:hanging="504"/>
        <w:rPr>
          <w:rFonts w:ascii="Arial" w:eastAsia="Arial" w:hAnsi="Arial" w:cs="Arial"/>
          <w:sz w:val="20"/>
          <w:szCs w:val="20"/>
        </w:rPr>
      </w:pPr>
      <w:r>
        <w:rPr>
          <w:rFonts w:ascii="Arial" w:eastAsia="Arial" w:hAnsi="Arial" w:cs="Arial"/>
          <w:sz w:val="20"/>
          <w:szCs w:val="20"/>
        </w:rPr>
        <w:t>Discount Rate</w:t>
      </w:r>
    </w:p>
    <w:p w14:paraId="3FD4363A" w14:textId="636000BC" w:rsidR="005F057C" w:rsidRDefault="005F057C" w:rsidP="005F057C">
      <w:pPr>
        <w:numPr>
          <w:ilvl w:val="0"/>
          <w:numId w:val="3"/>
        </w:numPr>
        <w:spacing w:before="60" w:after="40" w:line="264" w:lineRule="auto"/>
        <w:ind w:left="851" w:hanging="284"/>
      </w:pPr>
      <w:r>
        <w:t xml:space="preserve">The </w:t>
      </w:r>
      <w:r w:rsidR="00BD23C3">
        <w:t xml:space="preserve">project specific discount rate </w:t>
      </w:r>
      <w:r>
        <w:t xml:space="preserve">must be provided together with a justification for that rate taking into account sources and costs of </w:t>
      </w:r>
      <w:r w:rsidR="00FE1CBE">
        <w:t>Supplier</w:t>
      </w:r>
      <w:r>
        <w:t xml:space="preserve"> funds </w:t>
      </w:r>
      <w:r w:rsidR="00BD23C3">
        <w:t xml:space="preserve">and specifically referencing the Supplier’s weighted average cost of capital ("WACC").  Such justification to be provided in the </w:t>
      </w:r>
      <w:r w:rsidR="002E5606">
        <w:t>F</w:t>
      </w:r>
      <w:r w:rsidR="00BD23C3">
        <w:t xml:space="preserve">inancial </w:t>
      </w:r>
      <w:r w:rsidR="002E5606">
        <w:t>M</w:t>
      </w:r>
      <w:r w:rsidR="00BD23C3">
        <w:t>emorandum</w:t>
      </w:r>
    </w:p>
    <w:p w14:paraId="4B311D26" w14:textId="039ECAF4" w:rsidR="005F057C" w:rsidRPr="00495423" w:rsidRDefault="005F057C" w:rsidP="00487F10">
      <w:pPr>
        <w:numPr>
          <w:ilvl w:val="0"/>
          <w:numId w:val="3"/>
        </w:numPr>
        <w:spacing w:before="60" w:after="240" w:line="264" w:lineRule="auto"/>
        <w:ind w:left="851" w:hanging="284"/>
      </w:pPr>
      <w:r>
        <w:t xml:space="preserve">That discount rate </w:t>
      </w:r>
      <w:r w:rsidR="00BD23C3">
        <w:t xml:space="preserve">is used </w:t>
      </w:r>
      <w:r>
        <w:t>for net present value calculations and must be shown on the General Assumptions tab (tab 3)</w:t>
      </w:r>
    </w:p>
    <w:p w14:paraId="36380FA0" w14:textId="77777777" w:rsidR="005F057C" w:rsidRDefault="005F057C" w:rsidP="005F057C">
      <w:pPr>
        <w:pStyle w:val="Heading3"/>
        <w:numPr>
          <w:ilvl w:val="2"/>
          <w:numId w:val="4"/>
        </w:numPr>
        <w:ind w:left="1224" w:hanging="504"/>
        <w:rPr>
          <w:rFonts w:ascii="Arial" w:eastAsia="Arial" w:hAnsi="Arial" w:cs="Arial"/>
          <w:sz w:val="20"/>
          <w:szCs w:val="20"/>
        </w:rPr>
      </w:pPr>
      <w:r>
        <w:lastRenderedPageBreak/>
        <w:t>Churn</w:t>
      </w:r>
      <w:r>
        <w:rPr>
          <w:rFonts w:ascii="Arial" w:eastAsia="Arial" w:hAnsi="Arial" w:cs="Arial"/>
          <w:sz w:val="20"/>
          <w:szCs w:val="20"/>
        </w:rPr>
        <w:t xml:space="preserve"> and Take-up:</w:t>
      </w:r>
    </w:p>
    <w:p w14:paraId="1FBC3848" w14:textId="77777777" w:rsidR="005F057C" w:rsidRPr="006677B2" w:rsidRDefault="005F057C" w:rsidP="00FE1CBE">
      <w:pPr>
        <w:ind w:left="426"/>
      </w:pPr>
      <w:r>
        <w:t>The following churn and take up data must be included on the General Assumptions Tab (tab 3):</w:t>
      </w:r>
    </w:p>
    <w:p w14:paraId="12C7DCC1" w14:textId="10A7769F" w:rsidR="005F057C" w:rsidRDefault="005F057C" w:rsidP="005F057C">
      <w:pPr>
        <w:numPr>
          <w:ilvl w:val="0"/>
          <w:numId w:val="3"/>
        </w:numPr>
        <w:spacing w:before="60" w:after="40" w:line="264" w:lineRule="auto"/>
        <w:ind w:left="851" w:hanging="284"/>
      </w:pPr>
      <w:r>
        <w:t xml:space="preserve">Churn rate (the rate at which the existing customer base reduces but new customers are added) by quarter over the proposed Bidder </w:t>
      </w:r>
      <w:r w:rsidR="00FE1CBE">
        <w:t>T</w:t>
      </w:r>
      <w:r>
        <w:t>imeline</w:t>
      </w:r>
      <w:r w:rsidR="00FE1CBE">
        <w:t xml:space="preserve"> (being the project timeline identified as such in the Project Model)</w:t>
      </w:r>
      <w:r>
        <w:t>;</w:t>
      </w:r>
    </w:p>
    <w:p w14:paraId="186C8D3D" w14:textId="1C870A31" w:rsidR="005F057C" w:rsidRDefault="005F057C" w:rsidP="005F057C">
      <w:pPr>
        <w:numPr>
          <w:ilvl w:val="0"/>
          <w:numId w:val="3"/>
        </w:numPr>
        <w:spacing w:before="60" w:after="40" w:line="264" w:lineRule="auto"/>
        <w:ind w:left="851" w:hanging="284"/>
      </w:pPr>
      <w:r>
        <w:t xml:space="preserve">Quarterly profile of all premises </w:t>
      </w:r>
      <w:r w:rsidR="006D50B5">
        <w:t>passed</w:t>
      </w:r>
      <w:r>
        <w:t xml:space="preserve">, including any overspill outside of the intervention area at a premises level (i.e. all those premises that can be connected to the Supplier's network); </w:t>
      </w:r>
    </w:p>
    <w:p w14:paraId="17732EAF" w14:textId="037E5E93" w:rsidR="005F057C" w:rsidRDefault="005F057C" w:rsidP="005F057C">
      <w:pPr>
        <w:numPr>
          <w:ilvl w:val="0"/>
          <w:numId w:val="3"/>
        </w:numPr>
        <w:spacing w:before="60" w:after="40" w:line="264" w:lineRule="auto"/>
        <w:ind w:left="851" w:hanging="284"/>
      </w:pPr>
      <w:r>
        <w:t xml:space="preserve">Take up rates by product by quarter over the proposed Bidder </w:t>
      </w:r>
      <w:r w:rsidR="00FE1CBE">
        <w:t>T</w:t>
      </w:r>
      <w:r>
        <w:t>imeline;</w:t>
      </w:r>
      <w:r w:rsidRPr="00A0492B">
        <w:t xml:space="preserve"> </w:t>
      </w:r>
      <w:r>
        <w:t>and</w:t>
      </w:r>
    </w:p>
    <w:p w14:paraId="38D2BB07" w14:textId="77777777" w:rsidR="005F057C" w:rsidRDefault="005F057C" w:rsidP="00FE1CBE">
      <w:pPr>
        <w:numPr>
          <w:ilvl w:val="0"/>
          <w:numId w:val="3"/>
        </w:numPr>
        <w:spacing w:before="60" w:after="240" w:line="264" w:lineRule="auto"/>
        <w:ind w:left="851" w:hanging="284"/>
      </w:pPr>
      <w:r>
        <w:t xml:space="preserve">Quarterly profile of all connected premises, including any overspill outside of the intervention area at a premises level (i.e. all those premises that can be connected to the Supplier's network); </w:t>
      </w:r>
    </w:p>
    <w:p w14:paraId="075DD204" w14:textId="77777777" w:rsidR="005F057C" w:rsidRDefault="005F057C" w:rsidP="005F057C">
      <w:pPr>
        <w:pStyle w:val="Heading3"/>
        <w:numPr>
          <w:ilvl w:val="2"/>
          <w:numId w:val="4"/>
        </w:numPr>
        <w:ind w:left="1224" w:hanging="504"/>
      </w:pPr>
      <w:r w:rsidRPr="00480D0C">
        <w:rPr>
          <w:rFonts w:ascii="Arial" w:eastAsia="Arial" w:hAnsi="Arial" w:cs="Arial"/>
          <w:sz w:val="20"/>
          <w:szCs w:val="20"/>
        </w:rPr>
        <w:t>End state intervention area premises passed</w:t>
      </w:r>
    </w:p>
    <w:p w14:paraId="354E8818" w14:textId="47D84280" w:rsidR="005F057C" w:rsidRDefault="005F057C" w:rsidP="005F057C">
      <w:pPr>
        <w:numPr>
          <w:ilvl w:val="0"/>
          <w:numId w:val="3"/>
        </w:numPr>
        <w:spacing w:before="60" w:after="240" w:line="264" w:lineRule="auto"/>
        <w:ind w:left="851" w:hanging="284"/>
      </w:pPr>
      <w:r>
        <w:t xml:space="preserve">End state (ie final quarter of </w:t>
      </w:r>
      <w:r w:rsidR="00FE1CBE">
        <w:t>B</w:t>
      </w:r>
      <w:r>
        <w:t xml:space="preserve">idder </w:t>
      </w:r>
      <w:r w:rsidR="00FE1CBE">
        <w:t>T</w:t>
      </w:r>
      <w:r>
        <w:t>imeline) premises passed in the Intervention area, this MUST agree to the Superfast contract tab of the speed and coverage template;</w:t>
      </w:r>
    </w:p>
    <w:p w14:paraId="20C7D3BE" w14:textId="0575A0A9" w:rsidR="005F057C" w:rsidRPr="000F04C9" w:rsidRDefault="005F057C" w:rsidP="005F057C">
      <w:pPr>
        <w:numPr>
          <w:ilvl w:val="0"/>
          <w:numId w:val="3"/>
        </w:numPr>
        <w:spacing w:before="60" w:after="240" w:line="264" w:lineRule="auto"/>
        <w:ind w:left="851" w:hanging="284"/>
      </w:pPr>
      <w:r>
        <w:t xml:space="preserve">End state (ie final quarter of </w:t>
      </w:r>
      <w:r w:rsidR="00FE1CBE">
        <w:t>B</w:t>
      </w:r>
      <w:r>
        <w:t xml:space="preserve">idder </w:t>
      </w:r>
      <w:r w:rsidR="00FE1CBE">
        <w:t>T</w:t>
      </w:r>
      <w:r>
        <w:t>imeline) premises passed in the Intervention area at superfast speeds, this MUST agree to the Superfast contract tab of the speed and coverage template</w:t>
      </w:r>
    </w:p>
    <w:p w14:paraId="2D12DD64" w14:textId="77777777" w:rsidR="005F057C" w:rsidRPr="00A0492B" w:rsidRDefault="005F057C" w:rsidP="005F057C">
      <w:pPr>
        <w:pStyle w:val="Heading3"/>
        <w:numPr>
          <w:ilvl w:val="2"/>
          <w:numId w:val="4"/>
        </w:numPr>
        <w:ind w:left="1224" w:hanging="504"/>
      </w:pPr>
      <w:r w:rsidRPr="00A0492B">
        <w:rPr>
          <w:rFonts w:ascii="Arial" w:eastAsia="Arial" w:hAnsi="Arial" w:cs="Arial"/>
          <w:sz w:val="20"/>
          <w:szCs w:val="20"/>
        </w:rPr>
        <w:t xml:space="preserve">Milestone Payments </w:t>
      </w:r>
    </w:p>
    <w:p w14:paraId="47C4161A" w14:textId="77777777" w:rsidR="005F057C" w:rsidRPr="009A2E56" w:rsidRDefault="005F057C" w:rsidP="005F057C">
      <w:pPr>
        <w:ind w:left="432"/>
      </w:pPr>
      <w:r>
        <w:t>The following Milestone payments data must be included on the MPT Tab (tab 18):</w:t>
      </w:r>
    </w:p>
    <w:p w14:paraId="4890B5F1" w14:textId="77777777" w:rsidR="005F057C" w:rsidRDefault="005F057C" w:rsidP="005F057C">
      <w:pPr>
        <w:numPr>
          <w:ilvl w:val="0"/>
          <w:numId w:val="3"/>
        </w:numPr>
        <w:spacing w:before="60" w:after="240" w:line="264" w:lineRule="auto"/>
        <w:ind w:left="851" w:hanging="284"/>
      </w:pPr>
      <w:r>
        <w:t>Proposed milestone payments by quarter and by milestone type</w:t>
      </w:r>
    </w:p>
    <w:p w14:paraId="72A0B7DD" w14:textId="77777777" w:rsidR="005F057C" w:rsidRDefault="005F057C" w:rsidP="005F057C">
      <w:pPr>
        <w:numPr>
          <w:ilvl w:val="0"/>
          <w:numId w:val="3"/>
        </w:numPr>
        <w:spacing w:before="60" w:after="240" w:line="264" w:lineRule="auto"/>
        <w:ind w:left="851" w:hanging="284"/>
      </w:pPr>
      <w:r>
        <w:t>Calculation of the NPV of those proposed milestone payments</w:t>
      </w:r>
    </w:p>
    <w:p w14:paraId="1ABA86E8" w14:textId="1FE6AD75" w:rsidR="005F057C" w:rsidRDefault="005F057C" w:rsidP="005F057C">
      <w:pPr>
        <w:numPr>
          <w:ilvl w:val="0"/>
          <w:numId w:val="3"/>
        </w:numPr>
        <w:spacing w:before="60" w:after="240" w:line="264" w:lineRule="auto"/>
        <w:ind w:left="851" w:hanging="284"/>
      </w:pPr>
      <w:r>
        <w:t xml:space="preserve">Demonstrate that the NPV of those proposed milestone payments does not exceed the NPV of the gap between NGA Network Build Costs and future earnings associated with connected premises measured over the </w:t>
      </w:r>
      <w:r w:rsidR="00FE1CBE">
        <w:t>B</w:t>
      </w:r>
      <w:r>
        <w:t xml:space="preserve">idder </w:t>
      </w:r>
      <w:r w:rsidR="00FE1CBE">
        <w:t>T</w:t>
      </w:r>
      <w:r>
        <w:t xml:space="preserve">imeline </w:t>
      </w:r>
    </w:p>
    <w:p w14:paraId="00D6423C" w14:textId="77777777" w:rsidR="005F057C" w:rsidRDefault="005F057C" w:rsidP="005F057C">
      <w:pPr>
        <w:numPr>
          <w:ilvl w:val="0"/>
          <w:numId w:val="3"/>
        </w:numPr>
        <w:spacing w:before="60" w:after="120" w:line="264" w:lineRule="auto"/>
        <w:ind w:left="851" w:hanging="284"/>
      </w:pPr>
      <w:r>
        <w:t>Demonstrate that cumulative Qualifying capital Expenditure exceeds the cumulative value of proposed milestones at any point in time</w:t>
      </w:r>
      <w:r w:rsidRPr="00FD0846">
        <w:t xml:space="preserve"> </w:t>
      </w:r>
    </w:p>
    <w:p w14:paraId="36B7A401" w14:textId="77777777" w:rsidR="005F057C" w:rsidRPr="00BE103A" w:rsidRDefault="005F057C" w:rsidP="005F057C">
      <w:pPr>
        <w:numPr>
          <w:ilvl w:val="0"/>
          <w:numId w:val="3"/>
        </w:numPr>
        <w:spacing w:before="60" w:after="120" w:line="264" w:lineRule="auto"/>
        <w:ind w:left="851" w:hanging="284"/>
      </w:pPr>
      <w:r>
        <w:t>A comparison of the cumulative Capex against the cumulative public subsidy paid against Milestones.</w:t>
      </w:r>
      <w:r w:rsidRPr="00FD0846">
        <w:t xml:space="preserve"> </w:t>
      </w:r>
    </w:p>
    <w:p w14:paraId="3E1B9AA6" w14:textId="77777777" w:rsidR="005F057C" w:rsidRPr="00480D0C" w:rsidRDefault="005F057C" w:rsidP="005F057C">
      <w:pPr>
        <w:pStyle w:val="Heading3"/>
        <w:numPr>
          <w:ilvl w:val="2"/>
          <w:numId w:val="4"/>
        </w:numPr>
        <w:ind w:left="1224" w:hanging="504"/>
        <w:rPr>
          <w:rFonts w:ascii="Arial" w:eastAsia="Arial" w:hAnsi="Arial" w:cs="Arial"/>
          <w:sz w:val="20"/>
          <w:szCs w:val="20"/>
        </w:rPr>
      </w:pPr>
      <w:r w:rsidRPr="00480D0C">
        <w:rPr>
          <w:rFonts w:ascii="Arial" w:eastAsia="Arial" w:hAnsi="Arial" w:cs="Arial"/>
          <w:sz w:val="20"/>
          <w:szCs w:val="20"/>
        </w:rPr>
        <w:t>Network Build costs</w:t>
      </w:r>
    </w:p>
    <w:p w14:paraId="4408A0E8" w14:textId="77777777" w:rsidR="005F057C" w:rsidRPr="009A2E56" w:rsidRDefault="005F057C" w:rsidP="005F057C">
      <w:pPr>
        <w:ind w:left="432"/>
      </w:pPr>
      <w:r>
        <w:t>The following data must be included on the Cashflow Tab (tab 17):</w:t>
      </w:r>
    </w:p>
    <w:p w14:paraId="1A11AC84" w14:textId="77777777" w:rsidR="005F057C" w:rsidRDefault="005F057C" w:rsidP="005F057C">
      <w:pPr>
        <w:numPr>
          <w:ilvl w:val="0"/>
          <w:numId w:val="3"/>
        </w:numPr>
        <w:spacing w:before="60" w:after="120" w:line="264" w:lineRule="auto"/>
        <w:ind w:left="851" w:hanging="284"/>
      </w:pPr>
      <w:r w:rsidRPr="00043517">
        <w:t>Details of</w:t>
      </w:r>
      <w:r>
        <w:t xml:space="preserve"> NGA Network Build Costs separately analysed between PMO related Qualifying Capital Expenditure, non PMO related Qualifying Capital Expenditure and Qualifying Operating Expenditure per quarter</w:t>
      </w:r>
    </w:p>
    <w:p w14:paraId="3313FB54" w14:textId="77777777" w:rsidR="005F057C" w:rsidRDefault="005F057C" w:rsidP="005F057C">
      <w:pPr>
        <w:numPr>
          <w:ilvl w:val="0"/>
          <w:numId w:val="3"/>
        </w:numPr>
        <w:spacing w:before="60" w:after="120" w:line="264" w:lineRule="auto"/>
        <w:ind w:left="851" w:hanging="284"/>
      </w:pPr>
      <w:r>
        <w:t>Non PMO related Qualifying Capital Expenditure further analysed to separately show planning and design costs by quarter</w:t>
      </w:r>
    </w:p>
    <w:p w14:paraId="209D81E9" w14:textId="77777777" w:rsidR="005F057C" w:rsidRPr="009A2E56" w:rsidRDefault="005F057C" w:rsidP="005F057C">
      <w:pPr>
        <w:ind w:left="432"/>
      </w:pPr>
      <w:r>
        <w:t>The following data must be included on the Network Build Cashflows Tab (tab 11):</w:t>
      </w:r>
    </w:p>
    <w:p w14:paraId="558D8A8E" w14:textId="77777777" w:rsidR="005F057C" w:rsidRDefault="005F057C" w:rsidP="005F057C">
      <w:pPr>
        <w:numPr>
          <w:ilvl w:val="0"/>
          <w:numId w:val="3"/>
        </w:numPr>
        <w:spacing w:before="60" w:after="120" w:line="264" w:lineRule="auto"/>
        <w:ind w:left="851" w:hanging="284"/>
      </w:pPr>
      <w:r>
        <w:t xml:space="preserve">Confirmation that network build costs cease at the point that the final type 2 milestone is achieved </w:t>
      </w:r>
    </w:p>
    <w:p w14:paraId="32094B4B" w14:textId="77777777" w:rsidR="005F057C" w:rsidRDefault="005F057C" w:rsidP="005F057C"/>
    <w:p w14:paraId="299A50B1" w14:textId="77777777" w:rsidR="005F057C" w:rsidRDefault="005F057C" w:rsidP="005F057C">
      <w:pPr>
        <w:pStyle w:val="Heading3"/>
        <w:numPr>
          <w:ilvl w:val="2"/>
          <w:numId w:val="4"/>
        </w:numPr>
        <w:ind w:left="1224" w:hanging="504"/>
      </w:pPr>
      <w:r>
        <w:rPr>
          <w:rFonts w:ascii="Arial" w:eastAsia="Arial" w:hAnsi="Arial" w:cs="Arial"/>
          <w:sz w:val="20"/>
          <w:szCs w:val="20"/>
        </w:rPr>
        <w:t xml:space="preserve">Cash flow: </w:t>
      </w:r>
    </w:p>
    <w:p w14:paraId="201664FA" w14:textId="77777777" w:rsidR="005F057C" w:rsidRPr="009A2E56" w:rsidRDefault="005F057C" w:rsidP="005F057C">
      <w:pPr>
        <w:ind w:left="432"/>
      </w:pPr>
      <w:r>
        <w:t>The Cashflow Tab (tab 17)</w:t>
      </w:r>
      <w:r w:rsidRPr="00FD0846">
        <w:t xml:space="preserve"> </w:t>
      </w:r>
      <w:r>
        <w:t>must also include the following data:</w:t>
      </w:r>
    </w:p>
    <w:p w14:paraId="162C9A06" w14:textId="62DD03C7" w:rsidR="005F057C" w:rsidRDefault="005F057C" w:rsidP="005F057C">
      <w:pPr>
        <w:numPr>
          <w:ilvl w:val="0"/>
          <w:numId w:val="3"/>
        </w:numPr>
        <w:spacing w:before="60" w:after="240" w:line="264" w:lineRule="auto"/>
        <w:ind w:left="851" w:hanging="284"/>
      </w:pPr>
      <w:r>
        <w:t xml:space="preserve">A schedule of expected cash flows discounted to show the </w:t>
      </w:r>
      <w:r w:rsidR="00FE1CBE">
        <w:t>B</w:t>
      </w:r>
      <w:r>
        <w:t xml:space="preserve">idder </w:t>
      </w:r>
      <w:r w:rsidR="00FE1CBE">
        <w:t>T</w:t>
      </w:r>
      <w:r>
        <w:t>imeline NPV before receipt of any subsidy</w:t>
      </w:r>
    </w:p>
    <w:p w14:paraId="481D8B6E" w14:textId="77777777" w:rsidR="005F057C" w:rsidRDefault="005F057C" w:rsidP="005F057C">
      <w:pPr>
        <w:numPr>
          <w:ilvl w:val="0"/>
          <w:numId w:val="3"/>
        </w:numPr>
        <w:spacing w:before="60" w:after="240" w:line="264" w:lineRule="auto"/>
        <w:ind w:left="851" w:hanging="284"/>
      </w:pPr>
      <w:r>
        <w:t>Profit and loss components analysed down to an underlying EBITDA (being revenue less Non Qualifying Operating Expenditure)</w:t>
      </w:r>
    </w:p>
    <w:p w14:paraId="307ADE18" w14:textId="77777777" w:rsidR="005F057C" w:rsidRDefault="005F057C" w:rsidP="005F057C">
      <w:pPr>
        <w:numPr>
          <w:ilvl w:val="0"/>
          <w:numId w:val="3"/>
        </w:numPr>
        <w:spacing w:before="60" w:after="240" w:line="264" w:lineRule="auto"/>
        <w:ind w:left="851" w:hanging="284"/>
      </w:pPr>
      <w:r>
        <w:t>Calculation of the project unit margin</w:t>
      </w:r>
    </w:p>
    <w:p w14:paraId="74A6FE1B" w14:textId="77777777" w:rsidR="005F057C" w:rsidRDefault="005F057C" w:rsidP="00FE1CBE">
      <w:pPr>
        <w:pStyle w:val="ListParagraph"/>
        <w:numPr>
          <w:ilvl w:val="2"/>
          <w:numId w:val="4"/>
        </w:numPr>
        <w:spacing w:before="60" w:after="120" w:line="264" w:lineRule="auto"/>
        <w:ind w:left="1225" w:hanging="505"/>
      </w:pPr>
      <w:r>
        <w:t xml:space="preserve">Outputs: </w:t>
      </w:r>
    </w:p>
    <w:p w14:paraId="456F4546" w14:textId="77777777" w:rsidR="005F057C" w:rsidRPr="009A2E56" w:rsidRDefault="005F057C" w:rsidP="005F057C">
      <w:pPr>
        <w:ind w:left="426"/>
      </w:pPr>
      <w:r>
        <w:t>The Output Tab (tab 19)</w:t>
      </w:r>
      <w:r w:rsidRPr="00FD0846">
        <w:t xml:space="preserve"> </w:t>
      </w:r>
      <w:r>
        <w:t>must also include the following data:</w:t>
      </w:r>
    </w:p>
    <w:p w14:paraId="58C164D2" w14:textId="77777777" w:rsidR="005F057C" w:rsidRDefault="005F057C" w:rsidP="005F057C">
      <w:pPr>
        <w:numPr>
          <w:ilvl w:val="0"/>
          <w:numId w:val="3"/>
        </w:numPr>
        <w:spacing w:before="60" w:after="40" w:line="264" w:lineRule="auto"/>
        <w:ind w:left="851" w:hanging="284"/>
      </w:pPr>
      <w:r>
        <w:t>NGA Network Build costs analysed between Qualifying Capital Expenditure and Qualifying Operating Expenditure</w:t>
      </w:r>
    </w:p>
    <w:p w14:paraId="0E45B6B1" w14:textId="77777777" w:rsidR="005F057C" w:rsidRDefault="005F057C" w:rsidP="005F057C">
      <w:pPr>
        <w:numPr>
          <w:ilvl w:val="0"/>
          <w:numId w:val="3"/>
        </w:numPr>
        <w:spacing w:before="60" w:after="40" w:line="264" w:lineRule="auto"/>
        <w:ind w:left="851" w:hanging="284"/>
      </w:pPr>
      <w:r>
        <w:t>PMO costs as a percentage of build Qualifying Capital Expenditure</w:t>
      </w:r>
    </w:p>
    <w:p w14:paraId="237E5515" w14:textId="77777777" w:rsidR="005F057C" w:rsidRDefault="005F057C" w:rsidP="005F057C">
      <w:pPr>
        <w:numPr>
          <w:ilvl w:val="0"/>
          <w:numId w:val="3"/>
        </w:numPr>
        <w:spacing w:before="60" w:after="40" w:line="264" w:lineRule="auto"/>
        <w:ind w:left="851" w:hanging="284"/>
      </w:pPr>
      <w:r>
        <w:t>Qualifying Operating Expenditure Costs as a percentage of NGA Network Build Costs</w:t>
      </w:r>
    </w:p>
    <w:p w14:paraId="4092C39F" w14:textId="5BF1C64F" w:rsidR="005F057C" w:rsidRDefault="005F057C" w:rsidP="005F057C">
      <w:pPr>
        <w:numPr>
          <w:ilvl w:val="0"/>
          <w:numId w:val="3"/>
        </w:numPr>
        <w:spacing w:before="60" w:after="40" w:line="264" w:lineRule="auto"/>
        <w:ind w:left="851" w:hanging="284"/>
      </w:pPr>
      <w:r>
        <w:t xml:space="preserve">Project Investment Ratios over both contract term and </w:t>
      </w:r>
      <w:r w:rsidR="00FE1CBE">
        <w:t>B</w:t>
      </w:r>
      <w:r>
        <w:t xml:space="preserve">idder </w:t>
      </w:r>
      <w:r w:rsidR="00FE1CBE">
        <w:t>T</w:t>
      </w:r>
      <w:r>
        <w:t>imeline</w:t>
      </w:r>
    </w:p>
    <w:p w14:paraId="59677F0E" w14:textId="77777777" w:rsidR="005F057C" w:rsidRDefault="005F057C" w:rsidP="005F057C">
      <w:pPr>
        <w:numPr>
          <w:ilvl w:val="0"/>
          <w:numId w:val="3"/>
        </w:numPr>
        <w:spacing w:before="60" w:after="40" w:line="264" w:lineRule="auto"/>
        <w:ind w:left="851" w:hanging="284"/>
      </w:pPr>
      <w:r>
        <w:t>Project Unit Margin</w:t>
      </w:r>
    </w:p>
    <w:p w14:paraId="7282232F" w14:textId="77777777" w:rsidR="005F057C" w:rsidRDefault="005F057C" w:rsidP="005F057C">
      <w:pPr>
        <w:numPr>
          <w:ilvl w:val="0"/>
          <w:numId w:val="3"/>
        </w:numPr>
        <w:spacing w:before="60" w:after="40" w:line="264" w:lineRule="auto"/>
        <w:ind w:left="851" w:hanging="284"/>
      </w:pPr>
      <w:r>
        <w:t>Percentage of supplier funding invested during the Deployment period</w:t>
      </w:r>
    </w:p>
    <w:p w14:paraId="058CBFE2" w14:textId="6551A6EE" w:rsidR="005F057C" w:rsidRDefault="005F057C" w:rsidP="005F057C">
      <w:pPr>
        <w:numPr>
          <w:ilvl w:val="0"/>
          <w:numId w:val="3"/>
        </w:numPr>
        <w:spacing w:before="60" w:after="40" w:line="264" w:lineRule="auto"/>
        <w:ind w:left="851" w:hanging="284"/>
      </w:pPr>
      <w:r>
        <w:t xml:space="preserve">Supplier NGA network Build Investment as a percentage of underlying EBITDA over both the contract term and </w:t>
      </w:r>
      <w:r w:rsidR="00FE1CBE">
        <w:t>Bidder Timeline</w:t>
      </w:r>
    </w:p>
    <w:p w14:paraId="03A9F3AF" w14:textId="087DD753" w:rsidR="005F057C" w:rsidRDefault="005F057C" w:rsidP="005F057C">
      <w:pPr>
        <w:numPr>
          <w:ilvl w:val="0"/>
          <w:numId w:val="3"/>
        </w:numPr>
        <w:spacing w:before="60" w:after="40" w:line="264" w:lineRule="auto"/>
        <w:ind w:left="851" w:hanging="284"/>
      </w:pPr>
      <w:r>
        <w:t xml:space="preserve">Project NPV after subsidy over both the contract term and </w:t>
      </w:r>
      <w:r w:rsidR="00FE1CBE">
        <w:t>Bidder Timeline</w:t>
      </w:r>
    </w:p>
    <w:p w14:paraId="29F624FE" w14:textId="5EBA3CFA" w:rsidR="005F057C" w:rsidRDefault="005F057C" w:rsidP="005F057C">
      <w:pPr>
        <w:numPr>
          <w:ilvl w:val="0"/>
          <w:numId w:val="3"/>
        </w:numPr>
        <w:spacing w:before="60" w:after="40" w:line="264" w:lineRule="auto"/>
        <w:ind w:left="851" w:hanging="284"/>
      </w:pPr>
      <w:r>
        <w:t xml:space="preserve">The Supplier's Internal Rate of Return (IRR) over both the contract term and </w:t>
      </w:r>
      <w:r w:rsidR="00FE1CBE">
        <w:t>Bidder Timeline</w:t>
      </w:r>
      <w:r w:rsidDel="009B686E">
        <w:t xml:space="preserve"> </w:t>
      </w:r>
    </w:p>
    <w:p w14:paraId="62F5E263" w14:textId="77777777" w:rsidR="00AB3D6B" w:rsidRPr="00091A49" w:rsidRDefault="00AB3D6B" w:rsidP="00AB3D6B">
      <w:pPr>
        <w:numPr>
          <w:ilvl w:val="0"/>
          <w:numId w:val="3"/>
        </w:numPr>
        <w:spacing w:before="60" w:after="40" w:line="264" w:lineRule="auto"/>
        <w:ind w:left="851" w:hanging="284"/>
      </w:pPr>
      <w:r w:rsidRPr="00091A49">
        <w:t>Leverage</w:t>
      </w:r>
    </w:p>
    <w:p w14:paraId="0DFAE010" w14:textId="77777777" w:rsidR="005F057C" w:rsidRDefault="005F057C" w:rsidP="005F057C">
      <w:pPr>
        <w:numPr>
          <w:ilvl w:val="0"/>
          <w:numId w:val="3"/>
        </w:numPr>
        <w:spacing w:before="60" w:after="40" w:line="264" w:lineRule="auto"/>
        <w:ind w:left="851" w:hanging="284"/>
      </w:pPr>
      <w:r>
        <w:t>Estimated payback period</w:t>
      </w:r>
    </w:p>
    <w:p w14:paraId="6C726F18" w14:textId="133CD153" w:rsidR="005F057C" w:rsidRDefault="005F057C" w:rsidP="005F057C">
      <w:pPr>
        <w:numPr>
          <w:ilvl w:val="0"/>
          <w:numId w:val="3"/>
        </w:numPr>
        <w:spacing w:before="60" w:after="40" w:line="264" w:lineRule="auto"/>
        <w:ind w:left="851" w:hanging="284"/>
      </w:pPr>
      <w:r>
        <w:t xml:space="preserve">Supplier NGA network Build Investment per premise </w:t>
      </w:r>
      <w:r w:rsidR="006D50B5">
        <w:t>passed</w:t>
      </w:r>
      <w:r>
        <w:t xml:space="preserve"> in terms of total premises </w:t>
      </w:r>
      <w:r w:rsidR="006D50B5">
        <w:t>passed</w:t>
      </w:r>
      <w:r>
        <w:t xml:space="preserve"> (including any overspill out of the intervention area), premises in the intervention area and premises in the intervention area that will receive a superfast solution</w:t>
      </w:r>
    </w:p>
    <w:p w14:paraId="7D1CEF24" w14:textId="21C75CA8" w:rsidR="005F057C" w:rsidRDefault="005F057C" w:rsidP="005F057C">
      <w:pPr>
        <w:numPr>
          <w:ilvl w:val="0"/>
          <w:numId w:val="3"/>
        </w:numPr>
        <w:spacing w:before="60" w:after="40" w:line="264" w:lineRule="auto"/>
        <w:ind w:left="851" w:hanging="284"/>
      </w:pPr>
      <w:r>
        <w:t xml:space="preserve">Subsidy payments per premise </w:t>
      </w:r>
      <w:r w:rsidR="006D50B5">
        <w:t>passed</w:t>
      </w:r>
      <w:r>
        <w:t xml:space="preserve"> in terms of total premises </w:t>
      </w:r>
      <w:r w:rsidR="006D50B5">
        <w:t>passed</w:t>
      </w:r>
      <w:r>
        <w:t xml:space="preserve"> (including any overspill out of the intervention area), premises in the intervention area and premises in the intervention area that will receive a superfast solution,</w:t>
      </w:r>
    </w:p>
    <w:p w14:paraId="5A0F28FE" w14:textId="77777777" w:rsidR="005F057C" w:rsidRDefault="005F057C" w:rsidP="005F057C">
      <w:pPr>
        <w:numPr>
          <w:ilvl w:val="0"/>
          <w:numId w:val="3"/>
        </w:numPr>
        <w:spacing w:before="60" w:after="40" w:line="264" w:lineRule="auto"/>
        <w:ind w:left="851" w:hanging="284"/>
      </w:pPr>
      <w:r>
        <w:t>Comparison of the NPV of the gap and that of the Subsidy Payments</w:t>
      </w:r>
    </w:p>
    <w:p w14:paraId="12A48E4A" w14:textId="77777777" w:rsidR="005F057C" w:rsidRDefault="005F057C" w:rsidP="005F057C">
      <w:pPr>
        <w:numPr>
          <w:ilvl w:val="0"/>
          <w:numId w:val="3"/>
        </w:numPr>
        <w:spacing w:before="60" w:after="40" w:line="264" w:lineRule="auto"/>
        <w:ind w:left="851" w:hanging="284"/>
      </w:pPr>
      <w:r>
        <w:t>Breakdown of milestones into milestone types</w:t>
      </w:r>
    </w:p>
    <w:p w14:paraId="4DF36394" w14:textId="29C23B02" w:rsidR="005F057C" w:rsidRDefault="005F057C" w:rsidP="005F057C">
      <w:pPr>
        <w:numPr>
          <w:ilvl w:val="0"/>
          <w:numId w:val="3"/>
        </w:numPr>
        <w:spacing w:before="60" w:after="40" w:line="264" w:lineRule="auto"/>
        <w:ind w:left="851" w:hanging="284"/>
      </w:pPr>
      <w:r>
        <w:t xml:space="preserve">Final quarter in the  </w:t>
      </w:r>
      <w:r w:rsidR="00FE1CBE">
        <w:t>Bidder Timeline</w:t>
      </w:r>
      <w:r>
        <w:t xml:space="preserve"> average revenue per user (“ARPU”)</w:t>
      </w:r>
    </w:p>
    <w:p w14:paraId="0D401589" w14:textId="1B5E7CB1" w:rsidR="005F057C" w:rsidRDefault="005F057C" w:rsidP="005F057C">
      <w:pPr>
        <w:numPr>
          <w:ilvl w:val="0"/>
          <w:numId w:val="3"/>
        </w:numPr>
        <w:spacing w:before="60" w:after="40" w:line="264" w:lineRule="auto"/>
        <w:ind w:left="851" w:hanging="284"/>
      </w:pPr>
      <w:r>
        <w:t xml:space="preserve">Final quarter in the  </w:t>
      </w:r>
      <w:r w:rsidR="00FE1CBE">
        <w:t>Bidder Timeline</w:t>
      </w:r>
      <w:r>
        <w:t xml:space="preserve"> average Non Qualifying Operating Expenditure per user </w:t>
      </w:r>
    </w:p>
    <w:p w14:paraId="2008A471" w14:textId="43E8C77B" w:rsidR="002E5606" w:rsidRDefault="002E5606" w:rsidP="002E5606">
      <w:pPr>
        <w:pStyle w:val="Heading2"/>
        <w:numPr>
          <w:ilvl w:val="1"/>
          <w:numId w:val="4"/>
        </w:numPr>
        <w:ind w:left="792" w:hanging="432"/>
      </w:pPr>
      <w:r>
        <w:rPr>
          <w:rFonts w:ascii="Arial" w:eastAsia="Arial" w:hAnsi="Arial" w:cs="Arial"/>
          <w:sz w:val="20"/>
          <w:szCs w:val="20"/>
        </w:rPr>
        <w:t>Financial Memorandum:</w:t>
      </w:r>
    </w:p>
    <w:p w14:paraId="069956F9" w14:textId="5069D63F" w:rsidR="002E5606" w:rsidRDefault="002E5606" w:rsidP="002E5606">
      <w:pPr>
        <w:pStyle w:val="Heading3"/>
        <w:tabs>
          <w:tab w:val="clear" w:pos="864"/>
        </w:tabs>
        <w:ind w:left="142" w:hanging="22"/>
      </w:pPr>
      <w:r>
        <w:rPr>
          <w:rFonts w:ascii="Arial" w:eastAsia="Arial" w:hAnsi="Arial" w:cs="Arial"/>
          <w:sz w:val="20"/>
          <w:szCs w:val="20"/>
        </w:rPr>
        <w:t>The Project Model shall also include Financial Memorandum (as originally submitted as part of the Supplier ITT Response), subject to the following:</w:t>
      </w:r>
    </w:p>
    <w:p w14:paraId="3E71571C" w14:textId="77777777" w:rsidR="002E5606" w:rsidRDefault="002E5606" w:rsidP="002E5606">
      <w:pPr>
        <w:numPr>
          <w:ilvl w:val="0"/>
          <w:numId w:val="3"/>
        </w:numPr>
        <w:spacing w:before="60" w:after="40" w:line="264" w:lineRule="auto"/>
        <w:ind w:left="284" w:firstLine="283"/>
      </w:pPr>
      <w:r>
        <w:t>Only those Financial Memorandum that provide explanatory detail for Project Model content shall be included;</w:t>
      </w:r>
    </w:p>
    <w:p w14:paraId="43AA52B8" w14:textId="092809B1" w:rsidR="002E5606" w:rsidRDefault="002E5606" w:rsidP="002E5606">
      <w:pPr>
        <w:numPr>
          <w:ilvl w:val="0"/>
          <w:numId w:val="3"/>
        </w:numPr>
        <w:spacing w:before="60" w:after="40" w:line="264" w:lineRule="auto"/>
        <w:ind w:left="284" w:firstLine="283"/>
      </w:pPr>
      <w:r>
        <w:lastRenderedPageBreak/>
        <w:t>The Financial Memorandum may provide explanations and clarifications but may not be construed to vary or otherwise override any aspect of this Contract.</w:t>
      </w:r>
    </w:p>
    <w:p w14:paraId="6E86EA67" w14:textId="77777777" w:rsidR="005F057C" w:rsidRDefault="005F057C" w:rsidP="005F057C">
      <w:pPr>
        <w:spacing w:before="60" w:after="40" w:line="264" w:lineRule="auto"/>
        <w:ind w:left="851"/>
      </w:pPr>
    </w:p>
    <w:p w14:paraId="48DB761E" w14:textId="77777777" w:rsidR="005F057C" w:rsidRDefault="005F057C">
      <w:pPr>
        <w:spacing w:after="240"/>
        <w:ind w:left="851" w:hanging="851"/>
        <w:jc w:val="center"/>
      </w:pPr>
    </w:p>
    <w:sectPr w:rsidR="005F057C">
      <w:footerReference w:type="default" r:id="rId7"/>
      <w:footerReference w:type="first" r:id="rId8"/>
      <w:pgSz w:w="11907" w:h="16840"/>
      <w:pgMar w:top="1418"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7601" w14:textId="77777777" w:rsidR="00A5282B" w:rsidRDefault="00A5282B">
      <w:r>
        <w:separator/>
      </w:r>
    </w:p>
  </w:endnote>
  <w:endnote w:type="continuationSeparator" w:id="0">
    <w:p w14:paraId="67E45003" w14:textId="77777777" w:rsidR="00A5282B" w:rsidRDefault="00A5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087C" w14:textId="77777777" w:rsidR="00B77E23" w:rsidRDefault="005F0791">
    <w:pPr>
      <w:tabs>
        <w:tab w:val="right" w:pos="9000"/>
      </w:tabs>
      <w:ind w:right="29"/>
      <w:jc w:val="left"/>
    </w:pPr>
    <w:r>
      <w:rPr>
        <w:sz w:val="16"/>
        <w:szCs w:val="16"/>
      </w:rPr>
      <w:t>SCHEDULE 5.3 – THE PROJECT MODEL</w:t>
    </w:r>
  </w:p>
  <w:p w14:paraId="7A697800" w14:textId="77777777" w:rsidR="00B77E23" w:rsidRDefault="00B77E23">
    <w:pPr>
      <w:tabs>
        <w:tab w:val="right" w:pos="9000"/>
      </w:tabs>
      <w:ind w:right="29"/>
      <w:jc w:val="left"/>
    </w:pPr>
  </w:p>
  <w:p w14:paraId="3B2D9AFA" w14:textId="77777777" w:rsidR="00B77E23" w:rsidRDefault="005F0791" w:rsidP="005F057C">
    <w:pPr>
      <w:tabs>
        <w:tab w:val="right" w:pos="9000"/>
      </w:tabs>
      <w:ind w:right="29"/>
      <w:jc w:val="center"/>
    </w:pPr>
    <w:r>
      <w:fldChar w:fldCharType="begin"/>
    </w:r>
    <w:r>
      <w:instrText>PAGE</w:instrText>
    </w:r>
    <w:r>
      <w:fldChar w:fldCharType="separate"/>
    </w:r>
    <w:r w:rsidR="003B21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BFA7" w14:textId="77777777" w:rsidR="00B77E23" w:rsidRDefault="005F0791">
    <w:pPr>
      <w:tabs>
        <w:tab w:val="right" w:pos="9000"/>
      </w:tabs>
      <w:ind w:right="29"/>
      <w:jc w:val="left"/>
    </w:pPr>
    <w:r>
      <w:rPr>
        <w:sz w:val="16"/>
        <w:szCs w:val="16"/>
      </w:rPr>
      <w:t>SCHEDULE 5.3 – THE PROJECT MODEL</w:t>
    </w:r>
  </w:p>
  <w:p w14:paraId="79DD6C1D" w14:textId="77777777" w:rsidR="00B77E23" w:rsidRDefault="005F0791">
    <w:pPr>
      <w:tabs>
        <w:tab w:val="center" w:pos="4320"/>
        <w:tab w:val="right" w:pos="8640"/>
      </w:tabs>
      <w:jc w:val="center"/>
    </w:pPr>
    <w:r>
      <w:fldChar w:fldCharType="begin"/>
    </w:r>
    <w:r>
      <w:instrText>PAGE</w:instrText>
    </w:r>
    <w:r>
      <w:fldChar w:fldCharType="separate"/>
    </w:r>
    <w:r w:rsidR="003B2195">
      <w:rPr>
        <w:noProof/>
      </w:rPr>
      <w:t>1</w:t>
    </w:r>
    <w:r>
      <w:fldChar w:fldCharType="end"/>
    </w:r>
  </w:p>
  <w:p w14:paraId="3E899DE1" w14:textId="77777777" w:rsidR="00B77E23" w:rsidRDefault="00B77E23">
    <w:pPr>
      <w:tabs>
        <w:tab w:val="center" w:pos="4320"/>
        <w:tab w:val="right" w:pos="8640"/>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B89E" w14:textId="77777777" w:rsidR="00A5282B" w:rsidRDefault="00A5282B">
      <w:r>
        <w:separator/>
      </w:r>
    </w:p>
  </w:footnote>
  <w:footnote w:type="continuationSeparator" w:id="0">
    <w:p w14:paraId="288E3DB1" w14:textId="77777777" w:rsidR="00A5282B" w:rsidRDefault="00A5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1B5"/>
    <w:multiLevelType w:val="multilevel"/>
    <w:tmpl w:val="07B4FE08"/>
    <w:lvl w:ilvl="0">
      <w:start w:val="1"/>
      <w:numFmt w:val="decimal"/>
      <w:lvlText w:val="%1."/>
      <w:lvlJc w:val="left"/>
      <w:pPr>
        <w:ind w:left="851" w:firstLine="0"/>
      </w:pPr>
      <w:rPr>
        <w:b w:val="0"/>
        <w:i w:val="0"/>
        <w:smallCaps w:val="0"/>
        <w:strike w:val="0"/>
        <w:color w:val="000000"/>
        <w:u w:val="none"/>
        <w:vertAlign w:val="baseline"/>
      </w:rPr>
    </w:lvl>
    <w:lvl w:ilvl="1">
      <w:start w:val="1"/>
      <w:numFmt w:val="decimal"/>
      <w:lvlText w:val="%1.%2"/>
      <w:lvlJc w:val="left"/>
      <w:pPr>
        <w:ind w:left="851" w:firstLine="0"/>
      </w:pPr>
      <w:rPr>
        <w:b w:val="0"/>
        <w:i w:val="0"/>
        <w:smallCaps w:val="0"/>
        <w:strike w:val="0"/>
        <w:color w:val="000000"/>
        <w:u w:val="none"/>
        <w:vertAlign w:val="baseline"/>
      </w:rPr>
    </w:lvl>
    <w:lvl w:ilvl="2">
      <w:start w:val="1"/>
      <w:numFmt w:val="decimal"/>
      <w:lvlText w:val="%1.%2.%3"/>
      <w:lvlJc w:val="left"/>
      <w:pPr>
        <w:ind w:left="1702" w:firstLine="851"/>
      </w:pPr>
      <w:rPr>
        <w:b w:val="0"/>
        <w:i w:val="0"/>
        <w:smallCaps w:val="0"/>
        <w:strike w:val="0"/>
        <w:color w:val="000000"/>
        <w:u w:val="none"/>
        <w:vertAlign w:val="baseline"/>
      </w:rPr>
    </w:lvl>
    <w:lvl w:ilvl="3">
      <w:start w:val="1"/>
      <w:numFmt w:val="lowerLetter"/>
      <w:lvlText w:val="(%4)"/>
      <w:lvlJc w:val="left"/>
      <w:pPr>
        <w:ind w:left="2553" w:firstLine="1702"/>
      </w:pPr>
      <w:rPr>
        <w:b w:val="0"/>
        <w:i w:val="0"/>
        <w:smallCaps w:val="0"/>
        <w:strike w:val="0"/>
        <w:color w:val="000000"/>
        <w:u w:val="none"/>
        <w:vertAlign w:val="baseline"/>
      </w:rPr>
    </w:lvl>
    <w:lvl w:ilvl="4">
      <w:start w:val="1"/>
      <w:numFmt w:val="lowerRoman"/>
      <w:lvlText w:val="(%5)"/>
      <w:lvlJc w:val="left"/>
      <w:pPr>
        <w:ind w:left="3404" w:firstLine="2553"/>
      </w:pPr>
      <w:rPr>
        <w:b w:val="0"/>
        <w:i w:val="0"/>
        <w:smallCaps w:val="0"/>
        <w:strike w:val="0"/>
        <w:color w:val="000000"/>
        <w:u w:val="none"/>
        <w:vertAlign w:val="baseline"/>
      </w:rPr>
    </w:lvl>
    <w:lvl w:ilvl="5">
      <w:start w:val="1"/>
      <w:numFmt w:val="decimal"/>
      <w:lvlText w:val="(%6)"/>
      <w:lvlJc w:val="left"/>
      <w:pPr>
        <w:ind w:left="4255" w:firstLine="3404"/>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 w15:restartNumberingAfterBreak="0">
    <w:nsid w:val="16672C77"/>
    <w:multiLevelType w:val="multilevel"/>
    <w:tmpl w:val="07B4FE08"/>
    <w:lvl w:ilvl="0">
      <w:start w:val="1"/>
      <w:numFmt w:val="decimal"/>
      <w:lvlText w:val="%1."/>
      <w:lvlJc w:val="left"/>
      <w:pPr>
        <w:ind w:left="851" w:firstLine="0"/>
      </w:pPr>
      <w:rPr>
        <w:b w:val="0"/>
        <w:i w:val="0"/>
        <w:smallCaps w:val="0"/>
        <w:strike w:val="0"/>
        <w:color w:val="000000"/>
        <w:u w:val="none"/>
        <w:vertAlign w:val="baseline"/>
      </w:rPr>
    </w:lvl>
    <w:lvl w:ilvl="1">
      <w:start w:val="1"/>
      <w:numFmt w:val="decimal"/>
      <w:lvlText w:val="%1.%2"/>
      <w:lvlJc w:val="left"/>
      <w:pPr>
        <w:ind w:left="851" w:firstLine="0"/>
      </w:pPr>
      <w:rPr>
        <w:b w:val="0"/>
        <w:i w:val="0"/>
        <w:smallCaps w:val="0"/>
        <w:strike w:val="0"/>
        <w:color w:val="000000"/>
        <w:u w:val="none"/>
        <w:vertAlign w:val="baseline"/>
      </w:rPr>
    </w:lvl>
    <w:lvl w:ilvl="2">
      <w:start w:val="1"/>
      <w:numFmt w:val="decimal"/>
      <w:lvlText w:val="%1.%2.%3"/>
      <w:lvlJc w:val="left"/>
      <w:pPr>
        <w:ind w:left="1702" w:firstLine="851"/>
      </w:pPr>
      <w:rPr>
        <w:b w:val="0"/>
        <w:i w:val="0"/>
        <w:smallCaps w:val="0"/>
        <w:strike w:val="0"/>
        <w:color w:val="000000"/>
        <w:u w:val="none"/>
        <w:vertAlign w:val="baseline"/>
      </w:rPr>
    </w:lvl>
    <w:lvl w:ilvl="3">
      <w:start w:val="1"/>
      <w:numFmt w:val="lowerLetter"/>
      <w:lvlText w:val="(%4)"/>
      <w:lvlJc w:val="left"/>
      <w:pPr>
        <w:ind w:left="2553" w:firstLine="1702"/>
      </w:pPr>
      <w:rPr>
        <w:b w:val="0"/>
        <w:i w:val="0"/>
        <w:smallCaps w:val="0"/>
        <w:strike w:val="0"/>
        <w:color w:val="000000"/>
        <w:u w:val="none"/>
        <w:vertAlign w:val="baseline"/>
      </w:rPr>
    </w:lvl>
    <w:lvl w:ilvl="4">
      <w:start w:val="1"/>
      <w:numFmt w:val="lowerRoman"/>
      <w:lvlText w:val="(%5)"/>
      <w:lvlJc w:val="left"/>
      <w:pPr>
        <w:ind w:left="3404" w:firstLine="2553"/>
      </w:pPr>
      <w:rPr>
        <w:b w:val="0"/>
        <w:i w:val="0"/>
        <w:smallCaps w:val="0"/>
        <w:strike w:val="0"/>
        <w:color w:val="000000"/>
        <w:u w:val="none"/>
        <w:vertAlign w:val="baseline"/>
      </w:rPr>
    </w:lvl>
    <w:lvl w:ilvl="5">
      <w:start w:val="1"/>
      <w:numFmt w:val="decimal"/>
      <w:lvlText w:val="(%6)"/>
      <w:lvlJc w:val="left"/>
      <w:pPr>
        <w:ind w:left="4255" w:firstLine="3404"/>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15:restartNumberingAfterBreak="0">
    <w:nsid w:val="21D409BB"/>
    <w:multiLevelType w:val="multilevel"/>
    <w:tmpl w:val="E61A2F60"/>
    <w:lvl w:ilvl="0">
      <w:start w:val="1"/>
      <w:numFmt w:val="decimal"/>
      <w:lvlText w:val="%1."/>
      <w:lvlJc w:val="left"/>
      <w:pPr>
        <w:ind w:left="851" w:firstLine="0"/>
      </w:pPr>
      <w:rPr>
        <w:b w:val="0"/>
        <w:i w:val="0"/>
        <w:smallCaps w:val="0"/>
        <w:strike w:val="0"/>
        <w:color w:val="000000"/>
        <w:u w:val="none"/>
        <w:vertAlign w:val="baseline"/>
      </w:rPr>
    </w:lvl>
    <w:lvl w:ilvl="1">
      <w:start w:val="1"/>
      <w:numFmt w:val="decimal"/>
      <w:lvlText w:val="%1.%2"/>
      <w:lvlJc w:val="left"/>
      <w:pPr>
        <w:ind w:left="851" w:firstLine="0"/>
      </w:pPr>
      <w:rPr>
        <w:b w:val="0"/>
        <w:i w:val="0"/>
        <w:smallCaps w:val="0"/>
        <w:strike w:val="0"/>
        <w:color w:val="000000"/>
        <w:u w:val="none"/>
        <w:vertAlign w:val="baseline"/>
      </w:rPr>
    </w:lvl>
    <w:lvl w:ilvl="2">
      <w:start w:val="1"/>
      <w:numFmt w:val="decimal"/>
      <w:lvlText w:val="%1.%2.%3"/>
      <w:lvlJc w:val="left"/>
      <w:pPr>
        <w:ind w:left="1702" w:firstLine="851"/>
      </w:pPr>
      <w:rPr>
        <w:b w:val="0"/>
        <w:i w:val="0"/>
        <w:smallCaps w:val="0"/>
        <w:strike w:val="0"/>
        <w:color w:val="000000"/>
        <w:u w:val="none"/>
        <w:vertAlign w:val="baseline"/>
      </w:rPr>
    </w:lvl>
    <w:lvl w:ilvl="3">
      <w:start w:val="1"/>
      <w:numFmt w:val="lowerLetter"/>
      <w:lvlText w:val="(%4)"/>
      <w:lvlJc w:val="left"/>
      <w:pPr>
        <w:ind w:left="2553" w:firstLine="1702"/>
      </w:pPr>
      <w:rPr>
        <w:b w:val="0"/>
        <w:i w:val="0"/>
        <w:smallCaps w:val="0"/>
        <w:strike w:val="0"/>
        <w:color w:val="000000"/>
        <w:u w:val="none"/>
        <w:vertAlign w:val="baseline"/>
      </w:rPr>
    </w:lvl>
    <w:lvl w:ilvl="4">
      <w:start w:val="1"/>
      <w:numFmt w:val="lowerRoman"/>
      <w:lvlText w:val="(%5)"/>
      <w:lvlJc w:val="left"/>
      <w:pPr>
        <w:ind w:left="3404" w:firstLine="2553"/>
      </w:pPr>
      <w:rPr>
        <w:b w:val="0"/>
        <w:i w:val="0"/>
        <w:smallCaps w:val="0"/>
        <w:strike w:val="0"/>
        <w:color w:val="000000"/>
        <w:u w:val="none"/>
        <w:vertAlign w:val="baseline"/>
      </w:rPr>
    </w:lvl>
    <w:lvl w:ilvl="5">
      <w:start w:val="1"/>
      <w:numFmt w:val="decimal"/>
      <w:lvlText w:val="(%6)"/>
      <w:lvlJc w:val="left"/>
      <w:pPr>
        <w:ind w:left="4255" w:firstLine="3404"/>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3" w15:restartNumberingAfterBreak="0">
    <w:nsid w:val="27CC796C"/>
    <w:multiLevelType w:val="multilevel"/>
    <w:tmpl w:val="70EA54D6"/>
    <w:lvl w:ilvl="0">
      <w:start w:val="1"/>
      <w:numFmt w:val="decimal"/>
      <w:lvlText w:val="%1"/>
      <w:lvlJc w:val="left"/>
      <w:pPr>
        <w:ind w:left="432" w:firstLine="0"/>
      </w:pPr>
    </w:lvl>
    <w:lvl w:ilvl="1">
      <w:start w:val="1"/>
      <w:numFmt w:val="decimal"/>
      <w:lvlText w:val="%1.%2"/>
      <w:lvlJc w:val="left"/>
      <w:pPr>
        <w:ind w:left="576" w:firstLine="0"/>
      </w:pPr>
      <w:rPr>
        <w:sz w:val="24"/>
        <w:szCs w:val="24"/>
      </w:r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 w15:restartNumberingAfterBreak="0">
    <w:nsid w:val="50A0580A"/>
    <w:multiLevelType w:val="hybridMultilevel"/>
    <w:tmpl w:val="434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255C29"/>
    <w:multiLevelType w:val="hybridMultilevel"/>
    <w:tmpl w:val="A7B0AF8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0C0C59"/>
    <w:multiLevelType w:val="multilevel"/>
    <w:tmpl w:val="EBB29750"/>
    <w:lvl w:ilvl="0">
      <w:start w:val="1"/>
      <w:numFmt w:val="bullet"/>
      <w:lvlText w:val="■"/>
      <w:lvlJc w:val="left"/>
      <w:pPr>
        <w:ind w:left="1004" w:firstLine="720"/>
      </w:pPr>
      <w:rPr>
        <w:rFonts w:ascii="Arial" w:eastAsia="Arial" w:hAnsi="Arial" w:cs="Arial"/>
        <w:color w:val="97989A"/>
        <w:sz w:val="24"/>
        <w:szCs w:val="24"/>
      </w:rPr>
    </w:lvl>
    <w:lvl w:ilvl="1">
      <w:start w:val="1"/>
      <w:numFmt w:val="bullet"/>
      <w:lvlText w:val="–"/>
      <w:lvlJc w:val="left"/>
      <w:pPr>
        <w:ind w:left="1287" w:firstLine="1003"/>
      </w:pPr>
      <w:rPr>
        <w:rFonts w:ascii="Arial" w:eastAsia="Arial" w:hAnsi="Arial" w:cs="Arial"/>
        <w:color w:val="97989A"/>
      </w:rPr>
    </w:lvl>
    <w:lvl w:ilvl="2">
      <w:start w:val="1"/>
      <w:numFmt w:val="bullet"/>
      <w:lvlText w:val="■"/>
      <w:lvlJc w:val="left"/>
      <w:pPr>
        <w:ind w:left="1571" w:firstLine="1287"/>
      </w:pPr>
      <w:rPr>
        <w:rFonts w:ascii="Arial" w:eastAsia="Arial" w:hAnsi="Arial" w:cs="Arial"/>
        <w:color w:val="97989A"/>
      </w:rPr>
    </w:lvl>
    <w:lvl w:ilvl="3">
      <w:start w:val="1"/>
      <w:numFmt w:val="bullet"/>
      <w:lvlText w:val="–"/>
      <w:lvlJc w:val="left"/>
      <w:pPr>
        <w:ind w:left="1854" w:firstLine="1571"/>
      </w:pPr>
      <w:rPr>
        <w:rFonts w:ascii="Arial" w:eastAsia="Arial" w:hAnsi="Arial" w:cs="Arial"/>
        <w:color w:val="97989A"/>
      </w:rPr>
    </w:lvl>
    <w:lvl w:ilvl="4">
      <w:start w:val="1"/>
      <w:numFmt w:val="bullet"/>
      <w:lvlText w:val="■"/>
      <w:lvlJc w:val="left"/>
      <w:pPr>
        <w:ind w:left="2421" w:firstLine="2140"/>
      </w:pPr>
      <w:rPr>
        <w:rFonts w:ascii="Arial" w:eastAsia="Arial" w:hAnsi="Arial" w:cs="Arial"/>
        <w:color w:val="97989A"/>
      </w:rPr>
    </w:lvl>
    <w:lvl w:ilvl="5">
      <w:start w:val="1"/>
      <w:numFmt w:val="bullet"/>
      <w:lvlText w:val="–"/>
      <w:lvlJc w:val="left"/>
      <w:pPr>
        <w:ind w:left="2786" w:firstLine="2424"/>
      </w:pPr>
      <w:rPr>
        <w:rFonts w:ascii="Arial" w:eastAsia="Arial" w:hAnsi="Arial" w:cs="Arial"/>
        <w:color w:val="97989A"/>
      </w:rPr>
    </w:lvl>
    <w:lvl w:ilvl="6">
      <w:start w:val="1"/>
      <w:numFmt w:val="bullet"/>
      <w:lvlText w:val="●"/>
      <w:lvlJc w:val="left"/>
      <w:pPr>
        <w:ind w:left="3070" w:firstLine="2708"/>
      </w:pPr>
      <w:rPr>
        <w:rFonts w:ascii="Arial" w:eastAsia="Arial" w:hAnsi="Arial" w:cs="Arial"/>
      </w:rPr>
    </w:lvl>
    <w:lvl w:ilvl="7">
      <w:start w:val="1"/>
      <w:numFmt w:val="bullet"/>
      <w:lvlText w:val="o"/>
      <w:lvlJc w:val="left"/>
      <w:pPr>
        <w:ind w:left="3354" w:firstLine="2992"/>
      </w:pPr>
      <w:rPr>
        <w:rFonts w:ascii="Arial" w:eastAsia="Arial" w:hAnsi="Arial" w:cs="Arial"/>
      </w:rPr>
    </w:lvl>
    <w:lvl w:ilvl="8">
      <w:start w:val="1"/>
      <w:numFmt w:val="bullet"/>
      <w:lvlText w:val="▪"/>
      <w:lvlJc w:val="left"/>
      <w:pPr>
        <w:ind w:left="3638" w:firstLine="3276"/>
      </w:pPr>
      <w:rPr>
        <w:rFonts w:ascii="Arial" w:eastAsia="Arial" w:hAnsi="Arial" w:cs="Arial"/>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B77E23"/>
    <w:rsid w:val="00091A49"/>
    <w:rsid w:val="000D6CF4"/>
    <w:rsid w:val="000E2117"/>
    <w:rsid w:val="000F0595"/>
    <w:rsid w:val="00103F18"/>
    <w:rsid w:val="00171DFA"/>
    <w:rsid w:val="00195CC7"/>
    <w:rsid w:val="0021657A"/>
    <w:rsid w:val="002176E1"/>
    <w:rsid w:val="0022658F"/>
    <w:rsid w:val="00276AFF"/>
    <w:rsid w:val="002A315C"/>
    <w:rsid w:val="002C547C"/>
    <w:rsid w:val="002E5606"/>
    <w:rsid w:val="002F5881"/>
    <w:rsid w:val="00343AA8"/>
    <w:rsid w:val="0034589B"/>
    <w:rsid w:val="00361CDF"/>
    <w:rsid w:val="003B2195"/>
    <w:rsid w:val="003B6D4E"/>
    <w:rsid w:val="0041055A"/>
    <w:rsid w:val="00445E03"/>
    <w:rsid w:val="004611C7"/>
    <w:rsid w:val="00487F10"/>
    <w:rsid w:val="004A619C"/>
    <w:rsid w:val="004E29E7"/>
    <w:rsid w:val="005023E1"/>
    <w:rsid w:val="00502BDC"/>
    <w:rsid w:val="00504A3C"/>
    <w:rsid w:val="00552FCF"/>
    <w:rsid w:val="00563E7C"/>
    <w:rsid w:val="005B1467"/>
    <w:rsid w:val="005F057C"/>
    <w:rsid w:val="005F0791"/>
    <w:rsid w:val="0060737B"/>
    <w:rsid w:val="006936F8"/>
    <w:rsid w:val="006C0FEC"/>
    <w:rsid w:val="006C50BA"/>
    <w:rsid w:val="006D50B5"/>
    <w:rsid w:val="007040B7"/>
    <w:rsid w:val="00741C5E"/>
    <w:rsid w:val="00772383"/>
    <w:rsid w:val="007C72DC"/>
    <w:rsid w:val="007D00C2"/>
    <w:rsid w:val="007F5F48"/>
    <w:rsid w:val="00801224"/>
    <w:rsid w:val="008101A2"/>
    <w:rsid w:val="008A49F9"/>
    <w:rsid w:val="008A5236"/>
    <w:rsid w:val="008B2BE0"/>
    <w:rsid w:val="00905CD4"/>
    <w:rsid w:val="0094207B"/>
    <w:rsid w:val="00944A7A"/>
    <w:rsid w:val="00A34C4F"/>
    <w:rsid w:val="00A5282B"/>
    <w:rsid w:val="00A67827"/>
    <w:rsid w:val="00A71975"/>
    <w:rsid w:val="00A81FEE"/>
    <w:rsid w:val="00A85F03"/>
    <w:rsid w:val="00AB3D6B"/>
    <w:rsid w:val="00AB7727"/>
    <w:rsid w:val="00AD5CA3"/>
    <w:rsid w:val="00AE0821"/>
    <w:rsid w:val="00AF39DD"/>
    <w:rsid w:val="00B16924"/>
    <w:rsid w:val="00B469A9"/>
    <w:rsid w:val="00B63EB9"/>
    <w:rsid w:val="00B77E23"/>
    <w:rsid w:val="00BD23C3"/>
    <w:rsid w:val="00C0627E"/>
    <w:rsid w:val="00C42D2D"/>
    <w:rsid w:val="00C6563D"/>
    <w:rsid w:val="00D34A61"/>
    <w:rsid w:val="00D4278C"/>
    <w:rsid w:val="00D4386E"/>
    <w:rsid w:val="00D53D80"/>
    <w:rsid w:val="00D552C4"/>
    <w:rsid w:val="00D649D9"/>
    <w:rsid w:val="00D86998"/>
    <w:rsid w:val="00DA5149"/>
    <w:rsid w:val="00DA6066"/>
    <w:rsid w:val="00DB5543"/>
    <w:rsid w:val="00E127F6"/>
    <w:rsid w:val="00E2221A"/>
    <w:rsid w:val="00E359D6"/>
    <w:rsid w:val="00E5438E"/>
    <w:rsid w:val="00EB0707"/>
    <w:rsid w:val="00EB7C27"/>
    <w:rsid w:val="00ED5936"/>
    <w:rsid w:val="00F97BCD"/>
    <w:rsid w:val="00FE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BB38"/>
  <w15:docId w15:val="{96580C3A-EA4C-4F78-91A0-2338A81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432" w:hanging="432"/>
      <w:jc w:val="left"/>
      <w:outlineLvl w:val="0"/>
    </w:pPr>
    <w:rPr>
      <w:rFonts w:ascii="Calibri" w:eastAsia="Calibri" w:hAnsi="Calibri" w:cs="Calibri"/>
      <w:b/>
      <w:color w:val="1F497D"/>
      <w:sz w:val="40"/>
      <w:szCs w:val="40"/>
    </w:rPr>
  </w:style>
  <w:style w:type="paragraph" w:styleId="Heading2">
    <w:name w:val="heading 2"/>
    <w:basedOn w:val="Normal"/>
    <w:next w:val="Normal"/>
    <w:pPr>
      <w:keepNext/>
      <w:keepLines/>
      <w:spacing w:before="360" w:after="120" w:line="276" w:lineRule="auto"/>
      <w:ind w:left="576" w:hanging="576"/>
      <w:jc w:val="left"/>
      <w:outlineLvl w:val="1"/>
    </w:pPr>
    <w:rPr>
      <w:rFonts w:ascii="Calibri" w:eastAsia="Calibri" w:hAnsi="Calibri" w:cs="Calibri"/>
      <w:b/>
      <w:color w:val="1F497D"/>
      <w:sz w:val="32"/>
      <w:szCs w:val="32"/>
    </w:rPr>
  </w:style>
  <w:style w:type="paragraph" w:styleId="Heading3">
    <w:name w:val="heading 3"/>
    <w:basedOn w:val="Normal"/>
    <w:next w:val="Normal"/>
    <w:pPr>
      <w:keepNext/>
      <w:keepLines/>
      <w:tabs>
        <w:tab w:val="left" w:pos="864"/>
      </w:tabs>
      <w:spacing w:after="120" w:line="264" w:lineRule="auto"/>
      <w:ind w:left="840" w:hanging="720"/>
      <w:outlineLvl w:val="2"/>
    </w:pPr>
    <w:rPr>
      <w:rFonts w:ascii="Calibri" w:eastAsia="Calibri" w:hAnsi="Calibri" w:cs="Calibri"/>
      <w:sz w:val="22"/>
      <w:szCs w:val="22"/>
    </w:rPr>
  </w:style>
  <w:style w:type="paragraph" w:styleId="Heading4">
    <w:name w:val="heading 4"/>
    <w:basedOn w:val="Normal"/>
    <w:next w:val="Normal"/>
    <w:pPr>
      <w:keepNext/>
      <w:keepLines/>
      <w:spacing w:before="240" w:after="80"/>
      <w:ind w:left="576" w:hanging="576"/>
      <w:jc w:val="left"/>
      <w:outlineLvl w:val="3"/>
    </w:pPr>
    <w:rPr>
      <w:rFonts w:ascii="Calibri" w:eastAsia="Calibri" w:hAnsi="Calibri" w:cs="Calibri"/>
      <w:i/>
      <w:color w:val="1F497D"/>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240"/>
      <w:jc w:val="center"/>
    </w:pPr>
    <w:rPr>
      <w:rFonts w:ascii="Times New Roman" w:eastAsia="Times New Roman" w:hAnsi="Times New Roman" w:cs="Times New Roman"/>
      <w:b/>
      <w:smallCaps/>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4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4A3C"/>
    <w:rPr>
      <w:b/>
      <w:bCs/>
    </w:rPr>
  </w:style>
  <w:style w:type="character" w:customStyle="1" w:styleId="CommentSubjectChar">
    <w:name w:val="Comment Subject Char"/>
    <w:basedOn w:val="CommentTextChar"/>
    <w:link w:val="CommentSubject"/>
    <w:uiPriority w:val="99"/>
    <w:semiHidden/>
    <w:rsid w:val="00504A3C"/>
    <w:rPr>
      <w:b/>
      <w:bCs/>
    </w:rPr>
  </w:style>
  <w:style w:type="paragraph" w:styleId="Header">
    <w:name w:val="header"/>
    <w:basedOn w:val="Normal"/>
    <w:link w:val="HeaderChar"/>
    <w:uiPriority w:val="99"/>
    <w:unhideWhenUsed/>
    <w:rsid w:val="0041055A"/>
    <w:pPr>
      <w:tabs>
        <w:tab w:val="center" w:pos="4513"/>
        <w:tab w:val="right" w:pos="9026"/>
      </w:tabs>
    </w:pPr>
  </w:style>
  <w:style w:type="character" w:customStyle="1" w:styleId="HeaderChar">
    <w:name w:val="Header Char"/>
    <w:basedOn w:val="DefaultParagraphFont"/>
    <w:link w:val="Header"/>
    <w:uiPriority w:val="99"/>
    <w:rsid w:val="0041055A"/>
  </w:style>
  <w:style w:type="paragraph" w:styleId="Footer">
    <w:name w:val="footer"/>
    <w:basedOn w:val="Normal"/>
    <w:link w:val="FooterChar"/>
    <w:uiPriority w:val="99"/>
    <w:unhideWhenUsed/>
    <w:rsid w:val="0041055A"/>
    <w:pPr>
      <w:tabs>
        <w:tab w:val="center" w:pos="4513"/>
        <w:tab w:val="right" w:pos="9026"/>
      </w:tabs>
    </w:pPr>
  </w:style>
  <w:style w:type="character" w:customStyle="1" w:styleId="FooterChar">
    <w:name w:val="Footer Char"/>
    <w:basedOn w:val="DefaultParagraphFont"/>
    <w:link w:val="Footer"/>
    <w:uiPriority w:val="99"/>
    <w:rsid w:val="0041055A"/>
  </w:style>
  <w:style w:type="paragraph" w:styleId="ListParagraph">
    <w:name w:val="List Paragraph"/>
    <w:basedOn w:val="Normal"/>
    <w:uiPriority w:val="34"/>
    <w:qFormat/>
    <w:rsid w:val="00AD5CA3"/>
    <w:pPr>
      <w:ind w:left="720"/>
      <w:contextualSpacing/>
    </w:pPr>
  </w:style>
  <w:style w:type="character" w:styleId="Hyperlink">
    <w:name w:val="Hyperlink"/>
    <w:basedOn w:val="DefaultParagraphFont"/>
    <w:uiPriority w:val="99"/>
    <w:unhideWhenUsed/>
    <w:rsid w:val="005F057C"/>
    <w:rPr>
      <w:color w:val="0563C1" w:themeColor="hyperlink"/>
      <w:u w:val="single"/>
    </w:rPr>
  </w:style>
  <w:style w:type="paragraph" w:styleId="TOC3">
    <w:name w:val="toc 3"/>
    <w:basedOn w:val="Normal"/>
    <w:next w:val="Normal"/>
    <w:autoRedefine/>
    <w:uiPriority w:val="39"/>
    <w:unhideWhenUsed/>
    <w:rsid w:val="007C72DC"/>
    <w:pPr>
      <w:spacing w:after="100"/>
      <w:ind w:left="400"/>
    </w:pPr>
  </w:style>
  <w:style w:type="paragraph" w:styleId="TOC2">
    <w:name w:val="toc 2"/>
    <w:basedOn w:val="Normal"/>
    <w:next w:val="Normal"/>
    <w:autoRedefine/>
    <w:uiPriority w:val="39"/>
    <w:unhideWhenUsed/>
    <w:rsid w:val="007C72DC"/>
    <w:pPr>
      <w:spacing w:after="100"/>
      <w:ind w:left="200"/>
    </w:pPr>
  </w:style>
  <w:style w:type="paragraph" w:styleId="TOC1">
    <w:name w:val="toc 1"/>
    <w:basedOn w:val="Normal"/>
    <w:next w:val="Normal"/>
    <w:autoRedefine/>
    <w:uiPriority w:val="39"/>
    <w:unhideWhenUsed/>
    <w:rsid w:val="007C72DC"/>
    <w:pPr>
      <w:spacing w:after="100"/>
    </w:pPr>
  </w:style>
  <w:style w:type="paragraph" w:customStyle="1" w:styleId="Body">
    <w:name w:val="Body"/>
    <w:aliases w:val="b"/>
    <w:basedOn w:val="Normal"/>
    <w:link w:val="BodyChar"/>
    <w:rsid w:val="007C72DC"/>
    <w:pPr>
      <w:spacing w:after="240"/>
    </w:pPr>
    <w:rPr>
      <w:rFonts w:eastAsia="Times New Roman"/>
      <w:color w:val="auto"/>
    </w:rPr>
  </w:style>
  <w:style w:type="character" w:customStyle="1" w:styleId="BodyChar">
    <w:name w:val="Body Char"/>
    <w:link w:val="Body"/>
    <w:rsid w:val="007C72D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4365">
      <w:bodyDiv w:val="1"/>
      <w:marLeft w:val="0"/>
      <w:marRight w:val="0"/>
      <w:marTop w:val="0"/>
      <w:marBottom w:val="0"/>
      <w:divBdr>
        <w:top w:val="none" w:sz="0" w:space="0" w:color="auto"/>
        <w:left w:val="none" w:sz="0" w:space="0" w:color="auto"/>
        <w:bottom w:val="none" w:sz="0" w:space="0" w:color="auto"/>
        <w:right w:val="none" w:sz="0" w:space="0" w:color="auto"/>
      </w:divBdr>
    </w:div>
    <w:div w:id="899099991">
      <w:bodyDiv w:val="1"/>
      <w:marLeft w:val="0"/>
      <w:marRight w:val="0"/>
      <w:marTop w:val="0"/>
      <w:marBottom w:val="0"/>
      <w:divBdr>
        <w:top w:val="none" w:sz="0" w:space="0" w:color="auto"/>
        <w:left w:val="none" w:sz="0" w:space="0" w:color="auto"/>
        <w:bottom w:val="none" w:sz="0" w:space="0" w:color="auto"/>
        <w:right w:val="none" w:sz="0" w:space="0" w:color="auto"/>
      </w:divBdr>
    </w:div>
    <w:div w:id="1035156096">
      <w:bodyDiv w:val="1"/>
      <w:marLeft w:val="0"/>
      <w:marRight w:val="0"/>
      <w:marTop w:val="0"/>
      <w:marBottom w:val="0"/>
      <w:divBdr>
        <w:top w:val="none" w:sz="0" w:space="0" w:color="auto"/>
        <w:left w:val="none" w:sz="0" w:space="0" w:color="auto"/>
        <w:bottom w:val="none" w:sz="0" w:space="0" w:color="auto"/>
        <w:right w:val="none" w:sz="0" w:space="0" w:color="auto"/>
      </w:divBdr>
    </w:div>
    <w:div w:id="1101217554">
      <w:bodyDiv w:val="1"/>
      <w:marLeft w:val="0"/>
      <w:marRight w:val="0"/>
      <w:marTop w:val="0"/>
      <w:marBottom w:val="0"/>
      <w:divBdr>
        <w:top w:val="none" w:sz="0" w:space="0" w:color="auto"/>
        <w:left w:val="none" w:sz="0" w:space="0" w:color="auto"/>
        <w:bottom w:val="none" w:sz="0" w:space="0" w:color="auto"/>
        <w:right w:val="none" w:sz="0" w:space="0" w:color="auto"/>
      </w:divBdr>
    </w:div>
    <w:div w:id="1107310589">
      <w:bodyDiv w:val="1"/>
      <w:marLeft w:val="0"/>
      <w:marRight w:val="0"/>
      <w:marTop w:val="0"/>
      <w:marBottom w:val="0"/>
      <w:divBdr>
        <w:top w:val="none" w:sz="0" w:space="0" w:color="auto"/>
        <w:left w:val="none" w:sz="0" w:space="0" w:color="auto"/>
        <w:bottom w:val="none" w:sz="0" w:space="0" w:color="auto"/>
        <w:right w:val="none" w:sz="0" w:space="0" w:color="auto"/>
      </w:divBdr>
    </w:div>
    <w:div w:id="195620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Hoare</dc:creator>
  <cp:lastModifiedBy>Chris Johnson</cp:lastModifiedBy>
  <cp:revision>8</cp:revision>
  <dcterms:created xsi:type="dcterms:W3CDTF">2016-08-29T15:09:00Z</dcterms:created>
  <dcterms:modified xsi:type="dcterms:W3CDTF">2016-11-16T22:26:00Z</dcterms:modified>
</cp:coreProperties>
</file>