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50649" w:rsidRPr="00B96818" w14:paraId="032D7F81" w14:textId="77777777" w:rsidTr="00861553">
        <w:trPr>
          <w:trHeight w:hRule="exact" w:val="3129"/>
        </w:trPr>
        <w:tc>
          <w:tcPr>
            <w:tcW w:w="6118" w:type="dxa"/>
            <w:tcBorders>
              <w:top w:val="single" w:sz="4" w:space="0" w:color="auto"/>
              <w:bottom w:val="single" w:sz="4" w:space="0" w:color="auto"/>
            </w:tcBorders>
            <w:shd w:val="clear" w:color="auto" w:fill="auto"/>
          </w:tcPr>
          <w:p w14:paraId="56D20754" w14:textId="77777777" w:rsidR="00E14792" w:rsidRDefault="00D50283" w:rsidP="00B405DA">
            <w:pPr>
              <w:pStyle w:val="IAHeadTitle"/>
              <w:ind w:left="113"/>
              <w:rPr>
                <w:rStyle w:val="IANoChar"/>
                <w:rFonts w:cs="Arial"/>
              </w:rPr>
            </w:pPr>
            <w:bookmarkStart w:id="0" w:name="_GoBack"/>
            <w:bookmarkEnd w:id="0"/>
            <w:r w:rsidRPr="00861553">
              <w:rPr>
                <w:rFonts w:cs="Arial"/>
                <w:sz w:val="22"/>
                <w:szCs w:val="22"/>
              </w:rPr>
              <w:t xml:space="preserve">IA No: </w:t>
            </w:r>
            <w:bookmarkStart w:id="1" w:name="IANo"/>
            <w:r w:rsidR="003B11CA" w:rsidRPr="00861553">
              <w:rPr>
                <w:rFonts w:cs="Arial"/>
                <w:b w:val="0"/>
                <w:sz w:val="22"/>
                <w:szCs w:val="22"/>
              </w:rPr>
              <w:t>IA</w:t>
            </w:r>
            <w:r w:rsidR="003B11CA" w:rsidRPr="00861553">
              <w:rPr>
                <w:rFonts w:cs="Arial"/>
                <w:sz w:val="22"/>
                <w:szCs w:val="22"/>
              </w:rPr>
              <w:t xml:space="preserve"> - </w:t>
            </w:r>
            <w:r w:rsidR="003B11CA" w:rsidRPr="00861553">
              <w:rPr>
                <w:rFonts w:cs="Arial"/>
                <w:b w:val="0"/>
                <w:sz w:val="22"/>
                <w:szCs w:val="22"/>
                <w:shd w:val="clear" w:color="auto" w:fill="FFFFFF"/>
              </w:rPr>
              <w:t>2210</w:t>
            </w:r>
            <w:r w:rsidRPr="00861553">
              <w:rPr>
                <w:rFonts w:cs="Arial"/>
                <w:b w:val="0"/>
                <w:sz w:val="22"/>
                <w:szCs w:val="22"/>
              </w:rPr>
              <w:t xml:space="preserve"> </w:t>
            </w:r>
            <w:r w:rsidR="00290335" w:rsidRPr="00861553">
              <w:rPr>
                <w:rStyle w:val="IANoChar"/>
                <w:rFonts w:cs="Arial"/>
              </w:rPr>
              <w:fldChar w:fldCharType="begin">
                <w:ffData>
                  <w:name w:val="IANo"/>
                  <w:enabled/>
                  <w:calcOnExit w:val="0"/>
                  <w:textInput>
                    <w:maxLength w:val="20"/>
                  </w:textInput>
                </w:ffData>
              </w:fldChar>
            </w:r>
            <w:r w:rsidR="00290335" w:rsidRPr="00861553">
              <w:rPr>
                <w:rStyle w:val="IANoChar"/>
                <w:rFonts w:cs="Arial"/>
              </w:rPr>
              <w:instrText xml:space="preserve"> FORMTEXT </w:instrText>
            </w:r>
            <w:r w:rsidR="00290335" w:rsidRPr="00861553">
              <w:rPr>
                <w:rStyle w:val="IANoChar"/>
                <w:rFonts w:cs="Arial"/>
              </w:rPr>
            </w:r>
            <w:r w:rsidR="00290335" w:rsidRPr="00861553">
              <w:rPr>
                <w:rStyle w:val="IANoChar"/>
                <w:rFonts w:cs="Arial"/>
              </w:rPr>
              <w:fldChar w:fldCharType="separate"/>
            </w:r>
            <w:r w:rsidR="00290335" w:rsidRPr="00861553">
              <w:rPr>
                <w:rStyle w:val="IANoChar"/>
                <w:rFonts w:cs="Arial"/>
              </w:rPr>
              <w:t> </w:t>
            </w:r>
            <w:r w:rsidR="00290335" w:rsidRPr="00861553">
              <w:rPr>
                <w:rStyle w:val="IANoChar"/>
                <w:rFonts w:cs="Arial"/>
              </w:rPr>
              <w:t> </w:t>
            </w:r>
            <w:r w:rsidR="00290335" w:rsidRPr="00861553">
              <w:rPr>
                <w:rStyle w:val="IANoChar"/>
                <w:rFonts w:cs="Arial"/>
              </w:rPr>
              <w:t> </w:t>
            </w:r>
            <w:r w:rsidR="00290335" w:rsidRPr="00861553">
              <w:rPr>
                <w:rStyle w:val="IANoChar"/>
                <w:rFonts w:cs="Arial"/>
              </w:rPr>
              <w:t> </w:t>
            </w:r>
            <w:r w:rsidR="00290335" w:rsidRPr="00861553">
              <w:rPr>
                <w:rStyle w:val="IANoChar"/>
                <w:rFonts w:cs="Arial"/>
              </w:rPr>
              <w:t> </w:t>
            </w:r>
            <w:r w:rsidR="00290335" w:rsidRPr="00861553">
              <w:rPr>
                <w:rStyle w:val="IANoChar"/>
                <w:rFonts w:cs="Arial"/>
              </w:rPr>
              <w:fldChar w:fldCharType="end"/>
            </w:r>
            <w:bookmarkEnd w:id="1"/>
          </w:p>
          <w:p w14:paraId="70722A7B" w14:textId="0EDF2496" w:rsidR="007871C5" w:rsidRPr="00861553" w:rsidRDefault="007871C5" w:rsidP="00B405DA">
            <w:pPr>
              <w:pStyle w:val="IAHeadTitle"/>
              <w:ind w:left="113"/>
              <w:rPr>
                <w:rStyle w:val="IANoChar"/>
                <w:rFonts w:cs="Arial"/>
              </w:rPr>
            </w:pPr>
            <w:r>
              <w:rPr>
                <w:rFonts w:cs="Arial"/>
                <w:sz w:val="22"/>
                <w:szCs w:val="22"/>
              </w:rPr>
              <w:t xml:space="preserve">Analogue </w:t>
            </w:r>
            <w:r w:rsidR="002B6FB6">
              <w:rPr>
                <w:rFonts w:cs="Arial"/>
                <w:sz w:val="22"/>
                <w:szCs w:val="22"/>
              </w:rPr>
              <w:t>commercial radio licence renewals</w:t>
            </w:r>
          </w:p>
          <w:p w14:paraId="52701042" w14:textId="77777777" w:rsidR="00495404" w:rsidRPr="00861553" w:rsidRDefault="00495404" w:rsidP="00B405DA">
            <w:pPr>
              <w:pStyle w:val="IAHeadLabel"/>
              <w:spacing w:before="0" w:after="0"/>
              <w:ind w:left="113"/>
              <w:rPr>
                <w:rFonts w:cs="Arial"/>
                <w:sz w:val="22"/>
                <w:szCs w:val="22"/>
              </w:rPr>
            </w:pPr>
            <w:r w:rsidRPr="00861553">
              <w:rPr>
                <w:rFonts w:cs="Arial"/>
                <w:sz w:val="22"/>
                <w:szCs w:val="22"/>
              </w:rPr>
              <w:t>Lead department or agency:</w:t>
            </w:r>
          </w:p>
          <w:p w14:paraId="302C9FA6" w14:textId="77777777" w:rsidR="001D5EC9" w:rsidRPr="00861553" w:rsidRDefault="00806DC6" w:rsidP="00B405DA">
            <w:pPr>
              <w:pStyle w:val="IALeadDept"/>
              <w:rPr>
                <w:rFonts w:cs="Arial"/>
                <w:sz w:val="22"/>
                <w:szCs w:val="22"/>
              </w:rPr>
            </w:pPr>
            <w:bookmarkStart w:id="2" w:name="IALeadDept"/>
            <w:r w:rsidRPr="00861553">
              <w:rPr>
                <w:rFonts w:cs="Arial"/>
                <w:sz w:val="22"/>
                <w:szCs w:val="22"/>
              </w:rPr>
              <w:t>Department for Culture, Media and Sport</w:t>
            </w:r>
            <w:r w:rsidR="00290335" w:rsidRPr="00861553">
              <w:rPr>
                <w:rFonts w:cs="Arial"/>
                <w:sz w:val="22"/>
                <w:szCs w:val="22"/>
              </w:rPr>
              <w:fldChar w:fldCharType="begin">
                <w:ffData>
                  <w:name w:val="IALeadDept"/>
                  <w:enabled/>
                  <w:calcOnExit w:val="0"/>
                  <w:textInput>
                    <w:maxLength w:val="100"/>
                  </w:textInput>
                </w:ffData>
              </w:fldChar>
            </w:r>
            <w:r w:rsidR="00290335" w:rsidRPr="00861553">
              <w:rPr>
                <w:rFonts w:cs="Arial"/>
                <w:sz w:val="22"/>
                <w:szCs w:val="22"/>
              </w:rPr>
              <w:instrText xml:space="preserve"> FORMTEXT </w:instrText>
            </w:r>
            <w:r w:rsidR="00290335" w:rsidRPr="00861553">
              <w:rPr>
                <w:rFonts w:cs="Arial"/>
                <w:sz w:val="22"/>
                <w:szCs w:val="22"/>
              </w:rPr>
            </w:r>
            <w:r w:rsidR="00290335" w:rsidRPr="00861553">
              <w:rPr>
                <w:rFonts w:cs="Arial"/>
                <w:sz w:val="22"/>
                <w:szCs w:val="22"/>
              </w:rPr>
              <w:fldChar w:fldCharType="separate"/>
            </w:r>
            <w:r w:rsidR="00290335" w:rsidRPr="00861553">
              <w:rPr>
                <w:rFonts w:cs="Arial"/>
                <w:sz w:val="22"/>
                <w:szCs w:val="22"/>
              </w:rPr>
              <w:t> </w:t>
            </w:r>
            <w:r w:rsidR="00290335" w:rsidRPr="00861553">
              <w:rPr>
                <w:rFonts w:cs="Arial"/>
                <w:sz w:val="22"/>
                <w:szCs w:val="22"/>
              </w:rPr>
              <w:t> </w:t>
            </w:r>
            <w:r w:rsidR="00290335" w:rsidRPr="00861553">
              <w:rPr>
                <w:rFonts w:cs="Arial"/>
                <w:sz w:val="22"/>
                <w:szCs w:val="22"/>
              </w:rPr>
              <w:t> </w:t>
            </w:r>
            <w:r w:rsidR="00290335" w:rsidRPr="00861553">
              <w:rPr>
                <w:rFonts w:cs="Arial"/>
                <w:sz w:val="22"/>
                <w:szCs w:val="22"/>
              </w:rPr>
              <w:t> </w:t>
            </w:r>
            <w:r w:rsidR="00290335" w:rsidRPr="00861553">
              <w:rPr>
                <w:rFonts w:cs="Arial"/>
                <w:sz w:val="22"/>
                <w:szCs w:val="22"/>
              </w:rPr>
              <w:t> </w:t>
            </w:r>
            <w:r w:rsidR="00290335" w:rsidRPr="00861553">
              <w:rPr>
                <w:rFonts w:cs="Arial"/>
                <w:sz w:val="22"/>
                <w:szCs w:val="22"/>
              </w:rPr>
              <w:fldChar w:fldCharType="end"/>
            </w:r>
            <w:bookmarkEnd w:id="2"/>
          </w:p>
          <w:p w14:paraId="3AF57DD2" w14:textId="77777777" w:rsidR="00DF2F4B" w:rsidRPr="00861553" w:rsidRDefault="00495404" w:rsidP="00B405DA">
            <w:pPr>
              <w:pStyle w:val="IATableLabel"/>
              <w:spacing w:before="0" w:after="0"/>
              <w:rPr>
                <w:rFonts w:cs="Arial"/>
                <w:sz w:val="22"/>
                <w:szCs w:val="22"/>
              </w:rPr>
            </w:pPr>
            <w:r w:rsidRPr="00861553">
              <w:rPr>
                <w:rFonts w:cs="Arial"/>
                <w:sz w:val="22"/>
                <w:szCs w:val="22"/>
              </w:rPr>
              <w:t>Other departments or agencies:</w:t>
            </w:r>
            <w:r w:rsidR="00DF2F4B" w:rsidRPr="00861553">
              <w:rPr>
                <w:rFonts w:cs="Arial"/>
                <w:sz w:val="22"/>
                <w:szCs w:val="22"/>
              </w:rPr>
              <w:t xml:space="preserve"> </w:t>
            </w:r>
          </w:p>
          <w:p w14:paraId="76E8A4F2" w14:textId="772FA3D8" w:rsidR="00B93466" w:rsidRPr="00861553" w:rsidRDefault="00A54368" w:rsidP="00B405DA">
            <w:pPr>
              <w:pStyle w:val="IAOtherDepts"/>
              <w:spacing w:before="0"/>
              <w:rPr>
                <w:rFonts w:cs="Arial"/>
                <w:sz w:val="22"/>
                <w:szCs w:val="22"/>
              </w:rPr>
            </w:pPr>
            <w:bookmarkStart w:id="3" w:name="IAOtherDepts"/>
            <w:r w:rsidRPr="00861553">
              <w:rPr>
                <w:rFonts w:cs="Arial"/>
                <w:sz w:val="22"/>
                <w:szCs w:val="22"/>
              </w:rPr>
              <w:t>N/A</w:t>
            </w:r>
            <w:bookmarkEnd w:id="3"/>
          </w:p>
        </w:tc>
        <w:tc>
          <w:tcPr>
            <w:tcW w:w="4098" w:type="dxa"/>
            <w:tcBorders>
              <w:top w:val="single" w:sz="4" w:space="0" w:color="auto"/>
              <w:bottom w:val="single" w:sz="4" w:space="0" w:color="auto"/>
            </w:tcBorders>
            <w:shd w:val="clear" w:color="auto" w:fill="auto"/>
          </w:tcPr>
          <w:tbl>
            <w:tblPr>
              <w:tblW w:w="4220"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220"/>
            </w:tblGrid>
            <w:tr w:rsidR="00B50649" w:rsidRPr="00B96818" w14:paraId="45EB674C" w14:textId="77777777" w:rsidTr="00115388">
              <w:trPr>
                <w:trHeight w:hRule="exact" w:val="539"/>
              </w:trPr>
              <w:tc>
                <w:tcPr>
                  <w:tcW w:w="4220" w:type="dxa"/>
                  <w:shd w:val="clear" w:color="auto" w:fill="333333"/>
                  <w:vAlign w:val="center"/>
                </w:tcPr>
                <w:p w14:paraId="560CD8F1" w14:textId="77777777" w:rsidR="00B50649" w:rsidRPr="00861553" w:rsidRDefault="00B50649" w:rsidP="00B405DA">
                  <w:pPr>
                    <w:pStyle w:val="Title"/>
                    <w:rPr>
                      <w:sz w:val="22"/>
                      <w:szCs w:val="22"/>
                    </w:rPr>
                  </w:pPr>
                  <w:r w:rsidRPr="00861553">
                    <w:rPr>
                      <w:sz w:val="22"/>
                      <w:szCs w:val="22"/>
                    </w:rPr>
                    <w:t>Impact Assessment (IA)</w:t>
                  </w:r>
                </w:p>
              </w:tc>
            </w:tr>
            <w:tr w:rsidR="00B50649" w:rsidRPr="00B96818" w14:paraId="16D32A33" w14:textId="77777777" w:rsidTr="00115388">
              <w:tc>
                <w:tcPr>
                  <w:tcW w:w="4220" w:type="dxa"/>
                  <w:shd w:val="clear" w:color="auto" w:fill="auto"/>
                </w:tcPr>
                <w:p w14:paraId="72E6AEF7" w14:textId="2C9C4E1E" w:rsidR="00A54368" w:rsidRPr="00861553" w:rsidRDefault="00B50649" w:rsidP="00EA7A81">
                  <w:pPr>
                    <w:pStyle w:val="IATableLabel"/>
                    <w:spacing w:before="0" w:after="0"/>
                    <w:rPr>
                      <w:rFonts w:cs="Arial"/>
                      <w:sz w:val="22"/>
                      <w:szCs w:val="22"/>
                    </w:rPr>
                  </w:pPr>
                  <w:r w:rsidRPr="002B6FB6">
                    <w:rPr>
                      <w:rFonts w:cs="Arial"/>
                      <w:sz w:val="22"/>
                      <w:szCs w:val="22"/>
                    </w:rPr>
                    <w:t>Date:</w:t>
                  </w:r>
                  <w:r w:rsidR="0071686F" w:rsidRPr="002B6FB6">
                    <w:rPr>
                      <w:rFonts w:cs="Arial"/>
                      <w:sz w:val="22"/>
                      <w:szCs w:val="22"/>
                    </w:rPr>
                    <w:t xml:space="preserve"> </w:t>
                  </w:r>
                  <w:r w:rsidR="004500EA">
                    <w:rPr>
                      <w:rFonts w:cs="Arial"/>
                      <w:sz w:val="22"/>
                      <w:szCs w:val="22"/>
                    </w:rPr>
                    <w:t>26</w:t>
                  </w:r>
                  <w:r w:rsidR="00620E43" w:rsidRPr="002B6FB6">
                    <w:rPr>
                      <w:rFonts w:cs="Arial"/>
                      <w:sz w:val="22"/>
                      <w:szCs w:val="22"/>
                    </w:rPr>
                    <w:t>/</w:t>
                  </w:r>
                  <w:r w:rsidR="003B11CA" w:rsidRPr="002B6FB6">
                    <w:rPr>
                      <w:rFonts w:cs="Arial"/>
                      <w:sz w:val="22"/>
                      <w:szCs w:val="22"/>
                    </w:rPr>
                    <w:t>0</w:t>
                  </w:r>
                  <w:r w:rsidR="00EA7A81" w:rsidRPr="002B6FB6">
                    <w:rPr>
                      <w:rFonts w:cs="Arial"/>
                      <w:sz w:val="22"/>
                      <w:szCs w:val="22"/>
                    </w:rPr>
                    <w:t>2</w:t>
                  </w:r>
                  <w:r w:rsidR="00620E43" w:rsidRPr="002B6FB6">
                    <w:rPr>
                      <w:rFonts w:cs="Arial"/>
                      <w:sz w:val="22"/>
                      <w:szCs w:val="22"/>
                    </w:rPr>
                    <w:t>/201</w:t>
                  </w:r>
                  <w:r w:rsidR="003B11CA" w:rsidRPr="002B6FB6">
                    <w:rPr>
                      <w:rFonts w:cs="Arial"/>
                      <w:sz w:val="22"/>
                      <w:szCs w:val="22"/>
                    </w:rPr>
                    <w:t>5</w:t>
                  </w:r>
                </w:p>
              </w:tc>
            </w:tr>
            <w:tr w:rsidR="00B50649" w:rsidRPr="00B96818" w14:paraId="22037F5C" w14:textId="77777777" w:rsidTr="00115388">
              <w:tc>
                <w:tcPr>
                  <w:tcW w:w="4220" w:type="dxa"/>
                  <w:shd w:val="clear" w:color="auto" w:fill="auto"/>
                </w:tcPr>
                <w:p w14:paraId="3E06B2BB" w14:textId="29DE5781" w:rsidR="00B50649" w:rsidRPr="00861553" w:rsidRDefault="00941D69" w:rsidP="00A60B96">
                  <w:pPr>
                    <w:pStyle w:val="IATableLabel"/>
                    <w:spacing w:before="0" w:after="0"/>
                    <w:rPr>
                      <w:rFonts w:cs="Arial"/>
                      <w:sz w:val="22"/>
                      <w:szCs w:val="22"/>
                    </w:rPr>
                  </w:pPr>
                  <w:bookmarkStart w:id="4" w:name="Stage"/>
                  <w:r w:rsidRPr="00861553">
                    <w:rPr>
                      <w:rFonts w:cs="Arial"/>
                      <w:sz w:val="22"/>
                      <w:szCs w:val="22"/>
                    </w:rPr>
                    <w:t>Stag</w:t>
                  </w:r>
                  <w:bookmarkEnd w:id="4"/>
                  <w:r w:rsidR="00F66105" w:rsidRPr="00861553">
                    <w:rPr>
                      <w:rFonts w:cs="Arial"/>
                      <w:sz w:val="22"/>
                      <w:szCs w:val="22"/>
                    </w:rPr>
                    <w:t>e:</w:t>
                  </w:r>
                  <w:r w:rsidR="005B5F27" w:rsidRPr="00861553">
                    <w:rPr>
                      <w:rFonts w:cs="Arial"/>
                      <w:sz w:val="22"/>
                      <w:szCs w:val="22"/>
                    </w:rPr>
                    <w:t xml:space="preserve"> </w:t>
                  </w:r>
                  <w:r w:rsidR="00A60B96" w:rsidRPr="00861553">
                    <w:rPr>
                      <w:rFonts w:cs="Arial"/>
                      <w:sz w:val="22"/>
                      <w:szCs w:val="22"/>
                    </w:rPr>
                    <w:t>F</w:t>
                  </w:r>
                  <w:r w:rsidR="005B5F27" w:rsidRPr="00861553">
                    <w:rPr>
                      <w:rFonts w:cs="Arial"/>
                      <w:sz w:val="22"/>
                      <w:szCs w:val="22"/>
                    </w:rPr>
                    <w:t>inal</w:t>
                  </w:r>
                </w:p>
              </w:tc>
            </w:tr>
            <w:tr w:rsidR="00B50649" w:rsidRPr="00B96818" w14:paraId="6FD16888" w14:textId="77777777" w:rsidTr="00115388">
              <w:tc>
                <w:tcPr>
                  <w:tcW w:w="4220" w:type="dxa"/>
                  <w:shd w:val="clear" w:color="auto" w:fill="auto"/>
                </w:tcPr>
                <w:p w14:paraId="7B39B493" w14:textId="77777777" w:rsidR="00B50649" w:rsidRPr="00861553" w:rsidRDefault="0071686F" w:rsidP="00B405DA">
                  <w:pPr>
                    <w:pStyle w:val="IATableLabel"/>
                    <w:spacing w:before="0" w:after="0"/>
                    <w:rPr>
                      <w:rFonts w:cs="Arial"/>
                      <w:sz w:val="22"/>
                      <w:szCs w:val="22"/>
                    </w:rPr>
                  </w:pPr>
                  <w:r w:rsidRPr="00861553">
                    <w:rPr>
                      <w:rFonts w:cs="Arial"/>
                      <w:sz w:val="22"/>
                      <w:szCs w:val="22"/>
                    </w:rPr>
                    <w:t xml:space="preserve">Source </w:t>
                  </w:r>
                  <w:r w:rsidR="006A56C1" w:rsidRPr="00861553">
                    <w:rPr>
                      <w:rFonts w:cs="Arial"/>
                      <w:sz w:val="22"/>
                      <w:szCs w:val="22"/>
                    </w:rPr>
                    <w:t xml:space="preserve">of </w:t>
                  </w:r>
                  <w:r w:rsidRPr="00861553">
                    <w:rPr>
                      <w:rFonts w:cs="Arial"/>
                      <w:sz w:val="22"/>
                      <w:szCs w:val="22"/>
                    </w:rPr>
                    <w:t>intervention:</w:t>
                  </w:r>
                  <w:r w:rsidR="00B50649" w:rsidRPr="00861553">
                    <w:rPr>
                      <w:rFonts w:cs="Arial"/>
                      <w:sz w:val="22"/>
                      <w:szCs w:val="22"/>
                    </w:rPr>
                    <w:t xml:space="preserve"> </w:t>
                  </w:r>
                  <w:bookmarkStart w:id="5" w:name="IAInterSource"/>
                  <w:r w:rsidR="00290335" w:rsidRPr="00861553">
                    <w:rPr>
                      <w:rStyle w:val="IASOIChar"/>
                      <w:rFonts w:cs="Arial"/>
                      <w:szCs w:val="22"/>
                    </w:rPr>
                    <w:fldChar w:fldCharType="begin">
                      <w:ffData>
                        <w:name w:val="IAInterSource"/>
                        <w:enabled/>
                        <w:calcOnExit w:val="0"/>
                        <w:ddList>
                          <w:listEntry w:val="Domestic"/>
                          <w:listEntry w:val="EU"/>
                          <w:listEntry w:val="International"/>
                        </w:ddList>
                      </w:ffData>
                    </w:fldChar>
                  </w:r>
                  <w:r w:rsidR="00290335" w:rsidRPr="00861553">
                    <w:rPr>
                      <w:rStyle w:val="IASOIChar"/>
                      <w:rFonts w:cs="Arial"/>
                      <w:szCs w:val="22"/>
                    </w:rPr>
                    <w:instrText xml:space="preserve"> FORMDROPDOWN </w:instrText>
                  </w:r>
                  <w:r w:rsidR="00290335" w:rsidRPr="00861553">
                    <w:rPr>
                      <w:rStyle w:val="IASOIChar"/>
                      <w:rFonts w:cs="Arial"/>
                      <w:szCs w:val="22"/>
                    </w:rPr>
                  </w:r>
                  <w:r w:rsidR="00290335" w:rsidRPr="00861553">
                    <w:rPr>
                      <w:rStyle w:val="IASOIChar"/>
                      <w:rFonts w:cs="Arial"/>
                      <w:szCs w:val="22"/>
                    </w:rPr>
                    <w:fldChar w:fldCharType="end"/>
                  </w:r>
                  <w:bookmarkEnd w:id="5"/>
                </w:p>
              </w:tc>
            </w:tr>
            <w:tr w:rsidR="00052F44" w:rsidRPr="00B96818" w14:paraId="6B6D48F7" w14:textId="77777777" w:rsidTr="00115388">
              <w:trPr>
                <w:trHeight w:val="414"/>
              </w:trPr>
              <w:tc>
                <w:tcPr>
                  <w:tcW w:w="4220" w:type="dxa"/>
                  <w:shd w:val="clear" w:color="auto" w:fill="auto"/>
                </w:tcPr>
                <w:p w14:paraId="641742DF" w14:textId="4522FB3E" w:rsidR="00E34EE9" w:rsidRPr="00861553" w:rsidRDefault="00052F44" w:rsidP="002B6FB6">
                  <w:pPr>
                    <w:pStyle w:val="IATableLabel"/>
                    <w:spacing w:before="0" w:after="0"/>
                    <w:rPr>
                      <w:rFonts w:cs="Arial"/>
                      <w:b w:val="0"/>
                      <w:sz w:val="22"/>
                      <w:szCs w:val="22"/>
                    </w:rPr>
                  </w:pPr>
                  <w:r w:rsidRPr="002B6FB6">
                    <w:rPr>
                      <w:rFonts w:cs="Arial"/>
                      <w:sz w:val="22"/>
                      <w:szCs w:val="22"/>
                    </w:rPr>
                    <w:t>Type of measure</w:t>
                  </w:r>
                  <w:r w:rsidR="002B6FB6" w:rsidRPr="002B6FB6">
                    <w:rPr>
                      <w:rFonts w:cs="Arial"/>
                      <w:sz w:val="22"/>
                      <w:szCs w:val="22"/>
                    </w:rPr>
                    <w:t>: Secondary legislation</w:t>
                  </w:r>
                </w:p>
              </w:tc>
            </w:tr>
            <w:tr w:rsidR="00B50649" w:rsidRPr="00B96818" w14:paraId="0B58F11B" w14:textId="77777777" w:rsidTr="00115388">
              <w:trPr>
                <w:trHeight w:val="1115"/>
              </w:trPr>
              <w:tc>
                <w:tcPr>
                  <w:tcW w:w="4220" w:type="dxa"/>
                  <w:shd w:val="clear" w:color="auto" w:fill="auto"/>
                </w:tcPr>
                <w:p w14:paraId="5A951168" w14:textId="48CB21D6" w:rsidR="00326939" w:rsidRPr="00861553" w:rsidRDefault="00DF2F4B" w:rsidP="00B405DA">
                  <w:pPr>
                    <w:pStyle w:val="IATableLines"/>
                    <w:rPr>
                      <w:rFonts w:cs="Arial"/>
                      <w:szCs w:val="22"/>
                    </w:rPr>
                  </w:pPr>
                  <w:r w:rsidRPr="00861553">
                    <w:rPr>
                      <w:rFonts w:cs="Arial"/>
                      <w:b/>
                      <w:color w:val="000000"/>
                      <w:szCs w:val="22"/>
                    </w:rPr>
                    <w:t>Contact for enquiries</w:t>
                  </w:r>
                  <w:r w:rsidRPr="00861553">
                    <w:rPr>
                      <w:rFonts w:cs="Arial"/>
                      <w:szCs w:val="22"/>
                    </w:rPr>
                    <w:t xml:space="preserve">: </w:t>
                  </w:r>
                </w:p>
                <w:p w14:paraId="4882F065" w14:textId="42A74A44" w:rsidR="00202FEB" w:rsidRPr="002B6FB6" w:rsidRDefault="00115388" w:rsidP="00B405DA">
                  <w:pPr>
                    <w:pStyle w:val="IATableLines"/>
                    <w:rPr>
                      <w:rFonts w:cs="Arial"/>
                      <w:color w:val="000000"/>
                      <w:szCs w:val="22"/>
                    </w:rPr>
                  </w:pPr>
                  <w:r w:rsidRPr="002B6FB6">
                    <w:rPr>
                      <w:rFonts w:cs="Arial"/>
                      <w:szCs w:val="22"/>
                    </w:rPr>
                    <w:t>Sarah</w:t>
                  </w:r>
                  <w:r w:rsidR="00202FEB" w:rsidRPr="002B6FB6">
                    <w:rPr>
                      <w:rFonts w:cs="Arial"/>
                      <w:color w:val="000000"/>
                      <w:szCs w:val="22"/>
                    </w:rPr>
                    <w:t xml:space="preserve"> Baylis (policy) 020 7211 6319</w:t>
                  </w:r>
                </w:p>
                <w:p w14:paraId="26D8FAA1" w14:textId="77D25882" w:rsidR="00115388" w:rsidRPr="002B6FB6" w:rsidRDefault="00115388" w:rsidP="00B405DA">
                  <w:pPr>
                    <w:pStyle w:val="IATableLines"/>
                    <w:rPr>
                      <w:rFonts w:cs="Arial"/>
                      <w:color w:val="000000"/>
                      <w:szCs w:val="22"/>
                    </w:rPr>
                  </w:pPr>
                  <w:r w:rsidRPr="002B6FB6">
                    <w:rPr>
                      <w:rFonts w:cs="Arial"/>
                      <w:szCs w:val="22"/>
                    </w:rPr>
                    <w:t>Sarah.baylis@culture.gov.uk</w:t>
                  </w:r>
                </w:p>
                <w:p w14:paraId="23C9AF5B" w14:textId="10F7F911" w:rsidR="00806DC6" w:rsidRPr="00861553" w:rsidRDefault="00202FEB" w:rsidP="00014F70">
                  <w:pPr>
                    <w:pStyle w:val="IATableLines"/>
                    <w:rPr>
                      <w:rFonts w:cs="Arial"/>
                      <w:szCs w:val="22"/>
                    </w:rPr>
                  </w:pPr>
                  <w:r w:rsidRPr="002B6FB6">
                    <w:rPr>
                      <w:rFonts w:cs="Arial"/>
                      <w:color w:val="000000"/>
                      <w:szCs w:val="22"/>
                    </w:rPr>
                    <w:t xml:space="preserve">Clare Davenport (economist) </w:t>
                  </w:r>
                  <w:r w:rsidR="00B85A8F" w:rsidRPr="002B6FB6">
                    <w:rPr>
                      <w:rFonts w:cs="Arial"/>
                      <w:color w:val="000000"/>
                      <w:szCs w:val="22"/>
                    </w:rPr>
                    <w:t>020 7211 2531</w:t>
                  </w:r>
                  <w:r w:rsidR="002B6FB6" w:rsidRPr="002B6FB6">
                    <w:rPr>
                      <w:rFonts w:cs="Arial"/>
                      <w:color w:val="000000"/>
                      <w:szCs w:val="22"/>
                    </w:rPr>
                    <w:t xml:space="preserve"> c</w:t>
                  </w:r>
                  <w:r w:rsidR="00014F70">
                    <w:rPr>
                      <w:rFonts w:cs="Arial"/>
                      <w:szCs w:val="22"/>
                    </w:rPr>
                    <w:t>lare.davenport@culture.</w:t>
                  </w:r>
                  <w:r w:rsidR="000C6440" w:rsidRPr="002B6FB6">
                    <w:rPr>
                      <w:rFonts w:cs="Arial"/>
                      <w:szCs w:val="22"/>
                    </w:rPr>
                    <w:t>gov.uk</w:t>
                  </w:r>
                </w:p>
              </w:tc>
            </w:tr>
            <w:tr w:rsidR="000C1D45" w:rsidRPr="00B96818" w14:paraId="4F0CD566" w14:textId="77777777" w:rsidTr="00115388">
              <w:trPr>
                <w:trHeight w:val="1115"/>
              </w:trPr>
              <w:tc>
                <w:tcPr>
                  <w:tcW w:w="4220" w:type="dxa"/>
                  <w:shd w:val="clear" w:color="auto" w:fill="auto"/>
                </w:tcPr>
                <w:p w14:paraId="6E265161" w14:textId="77777777" w:rsidR="000C1D45" w:rsidRPr="00861553" w:rsidRDefault="000C1D45" w:rsidP="00B405DA">
                  <w:pPr>
                    <w:pStyle w:val="IATableLines"/>
                    <w:rPr>
                      <w:rFonts w:cs="Arial"/>
                      <w:b/>
                      <w:color w:val="000000"/>
                      <w:szCs w:val="22"/>
                    </w:rPr>
                  </w:pPr>
                </w:p>
              </w:tc>
            </w:tr>
            <w:tr w:rsidR="000C1D45" w:rsidRPr="00B96818" w14:paraId="14FBCE8F" w14:textId="77777777" w:rsidTr="00115388">
              <w:trPr>
                <w:trHeight w:val="1115"/>
              </w:trPr>
              <w:tc>
                <w:tcPr>
                  <w:tcW w:w="4220" w:type="dxa"/>
                  <w:shd w:val="clear" w:color="auto" w:fill="auto"/>
                </w:tcPr>
                <w:p w14:paraId="3A6377E8" w14:textId="77777777" w:rsidR="000C1D45" w:rsidRPr="00861553" w:rsidRDefault="000C1D45" w:rsidP="00B405DA">
                  <w:pPr>
                    <w:pStyle w:val="IATableLines"/>
                    <w:rPr>
                      <w:rFonts w:cs="Arial"/>
                      <w:b/>
                      <w:color w:val="000000"/>
                      <w:szCs w:val="22"/>
                    </w:rPr>
                  </w:pPr>
                </w:p>
              </w:tc>
            </w:tr>
            <w:tr w:rsidR="000C1D45" w:rsidRPr="00B96818" w14:paraId="1B3696A2" w14:textId="77777777" w:rsidTr="00115388">
              <w:trPr>
                <w:trHeight w:val="1115"/>
              </w:trPr>
              <w:tc>
                <w:tcPr>
                  <w:tcW w:w="4220" w:type="dxa"/>
                  <w:shd w:val="clear" w:color="auto" w:fill="auto"/>
                </w:tcPr>
                <w:p w14:paraId="1B2FFE2C" w14:textId="77777777" w:rsidR="000C1D45" w:rsidRPr="00861553" w:rsidRDefault="000C1D45" w:rsidP="00B405DA">
                  <w:pPr>
                    <w:pStyle w:val="IATableLines"/>
                    <w:rPr>
                      <w:rFonts w:cs="Arial"/>
                      <w:b/>
                      <w:color w:val="000000"/>
                      <w:szCs w:val="22"/>
                    </w:rPr>
                  </w:pPr>
                </w:p>
              </w:tc>
            </w:tr>
            <w:tr w:rsidR="000C1D45" w:rsidRPr="00B96818" w14:paraId="0B156AFB" w14:textId="77777777" w:rsidTr="00115388">
              <w:trPr>
                <w:trHeight w:val="1115"/>
              </w:trPr>
              <w:tc>
                <w:tcPr>
                  <w:tcW w:w="4220" w:type="dxa"/>
                  <w:shd w:val="clear" w:color="auto" w:fill="auto"/>
                </w:tcPr>
                <w:p w14:paraId="183D849E" w14:textId="77777777" w:rsidR="000C1D45" w:rsidRPr="00861553" w:rsidRDefault="000C1D45" w:rsidP="00B405DA">
                  <w:pPr>
                    <w:pStyle w:val="IATableLines"/>
                    <w:rPr>
                      <w:rFonts w:cs="Arial"/>
                      <w:b/>
                      <w:color w:val="000000"/>
                      <w:szCs w:val="22"/>
                    </w:rPr>
                  </w:pPr>
                </w:p>
              </w:tc>
            </w:tr>
            <w:tr w:rsidR="000C1D45" w:rsidRPr="00B96818" w14:paraId="0F81967F" w14:textId="77777777" w:rsidTr="00115388">
              <w:trPr>
                <w:trHeight w:val="1115"/>
              </w:trPr>
              <w:tc>
                <w:tcPr>
                  <w:tcW w:w="4220" w:type="dxa"/>
                  <w:shd w:val="clear" w:color="auto" w:fill="auto"/>
                </w:tcPr>
                <w:p w14:paraId="4FB5E0E5" w14:textId="77777777" w:rsidR="000C1D45" w:rsidRPr="00861553" w:rsidRDefault="000C1D45" w:rsidP="00B405DA">
                  <w:pPr>
                    <w:pStyle w:val="IATableLines"/>
                    <w:rPr>
                      <w:rFonts w:cs="Arial"/>
                      <w:b/>
                      <w:color w:val="000000"/>
                      <w:szCs w:val="22"/>
                    </w:rPr>
                  </w:pPr>
                </w:p>
              </w:tc>
            </w:tr>
            <w:tr w:rsidR="000C1D45" w:rsidRPr="00B96818" w14:paraId="713CE76D" w14:textId="77777777" w:rsidTr="00115388">
              <w:trPr>
                <w:trHeight w:val="1115"/>
              </w:trPr>
              <w:tc>
                <w:tcPr>
                  <w:tcW w:w="4220" w:type="dxa"/>
                  <w:shd w:val="clear" w:color="auto" w:fill="auto"/>
                </w:tcPr>
                <w:p w14:paraId="79774FCA" w14:textId="77777777" w:rsidR="000C1D45" w:rsidRPr="00861553" w:rsidRDefault="000C1D45" w:rsidP="00B405DA">
                  <w:pPr>
                    <w:pStyle w:val="IATableLines"/>
                    <w:rPr>
                      <w:rFonts w:cs="Arial"/>
                      <w:b/>
                      <w:color w:val="000000"/>
                      <w:szCs w:val="22"/>
                    </w:rPr>
                  </w:pPr>
                </w:p>
              </w:tc>
            </w:tr>
          </w:tbl>
          <w:p w14:paraId="488721EE" w14:textId="77777777" w:rsidR="00B50649" w:rsidRPr="00861553" w:rsidRDefault="00B50649" w:rsidP="00B405DA">
            <w:pPr>
              <w:rPr>
                <w:rFonts w:eastAsia="SimSun" w:cs="Arial"/>
                <w:sz w:val="22"/>
                <w:szCs w:val="22"/>
              </w:rPr>
            </w:pPr>
          </w:p>
        </w:tc>
      </w:tr>
      <w:tr w:rsidR="000C1D45" w:rsidRPr="00B96818" w14:paraId="73FEC506" w14:textId="77777777" w:rsidTr="008452D9">
        <w:trPr>
          <w:trHeight w:hRule="exact" w:val="410"/>
        </w:trPr>
        <w:tc>
          <w:tcPr>
            <w:tcW w:w="6118" w:type="dxa"/>
            <w:tcBorders>
              <w:top w:val="single" w:sz="4" w:space="0" w:color="auto"/>
              <w:left w:val="nil"/>
              <w:bottom w:val="single" w:sz="4" w:space="0" w:color="auto"/>
              <w:right w:val="single" w:sz="4" w:space="0" w:color="auto"/>
            </w:tcBorders>
            <w:shd w:val="clear" w:color="auto" w:fill="auto"/>
          </w:tcPr>
          <w:p w14:paraId="03813BC1" w14:textId="77777777" w:rsidR="000C1D45" w:rsidRPr="00861553" w:rsidRDefault="000C1D45" w:rsidP="00B405DA">
            <w:pPr>
              <w:pStyle w:val="Heading1"/>
              <w:spacing w:before="0" w:after="0"/>
              <w:rPr>
                <w:rFonts w:ascii="Arial" w:eastAsia="SimSun" w:hAnsi="Arial"/>
                <w:sz w:val="22"/>
                <w:szCs w:val="22"/>
              </w:rPr>
            </w:pPr>
            <w:r w:rsidRPr="00861553">
              <w:rPr>
                <w:rFonts w:ascii="Arial" w:eastAsia="SimSun" w:hAnsi="Arial"/>
                <w:sz w:val="22"/>
                <w:szCs w:val="22"/>
              </w:rPr>
              <w:t xml:space="preserve">Summary: Intervention and Options </w:t>
            </w:r>
          </w:p>
          <w:p w14:paraId="0FDDFDF6" w14:textId="77777777" w:rsidR="000C1D45" w:rsidRPr="00861553" w:rsidRDefault="000C1D45" w:rsidP="00B405DA">
            <w:pPr>
              <w:pStyle w:val="IAHeadLabel0"/>
              <w:spacing w:after="0"/>
              <w:ind w:left="113"/>
              <w:rPr>
                <w:rFonts w:cs="Arial"/>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14:paraId="52647C3B" w14:textId="4171A90E" w:rsidR="000C1D45" w:rsidRPr="00861553" w:rsidRDefault="000C1D45" w:rsidP="00AB283C">
            <w:pPr>
              <w:pStyle w:val="Title"/>
              <w:rPr>
                <w:rFonts w:eastAsia="SimSun"/>
                <w:b/>
                <w:color w:val="auto"/>
                <w:sz w:val="22"/>
                <w:szCs w:val="22"/>
              </w:rPr>
            </w:pPr>
            <w:r w:rsidRPr="00861553">
              <w:rPr>
                <w:rFonts w:eastAsia="SimSun"/>
                <w:b/>
                <w:color w:val="auto"/>
                <w:sz w:val="22"/>
                <w:szCs w:val="22"/>
              </w:rPr>
              <w:t xml:space="preserve">RPC: </w:t>
            </w:r>
            <w:r w:rsidR="00AB283C">
              <w:rPr>
                <w:rStyle w:val="IARPCChar"/>
              </w:rPr>
              <w:t>Awaiting validation</w:t>
            </w:r>
          </w:p>
        </w:tc>
      </w:tr>
      <w:tr w:rsidR="00372A69" w:rsidRPr="00B96818" w14:paraId="25471675" w14:textId="77777777" w:rsidTr="008452D9">
        <w:trPr>
          <w:trHeight w:hRule="exact" w:val="90"/>
        </w:trPr>
        <w:tc>
          <w:tcPr>
            <w:tcW w:w="10216" w:type="dxa"/>
            <w:gridSpan w:val="2"/>
            <w:tcBorders>
              <w:top w:val="single" w:sz="4" w:space="0" w:color="auto"/>
              <w:left w:val="nil"/>
              <w:bottom w:val="nil"/>
              <w:right w:val="single" w:sz="4" w:space="0" w:color="auto"/>
            </w:tcBorders>
            <w:shd w:val="clear" w:color="auto" w:fill="auto"/>
          </w:tcPr>
          <w:p w14:paraId="0FD97AC2" w14:textId="77777777" w:rsidR="00372A69" w:rsidRPr="00861553" w:rsidRDefault="00372A69" w:rsidP="00B405DA">
            <w:pPr>
              <w:rPr>
                <w:rFonts w:eastAsia="SimSun" w:cs="Arial"/>
                <w:sz w:val="22"/>
                <w:szCs w:val="22"/>
              </w:rPr>
            </w:pPr>
          </w:p>
        </w:tc>
      </w:tr>
    </w:tbl>
    <w:p w14:paraId="33353FE6" w14:textId="77777777" w:rsidR="008452D9" w:rsidRPr="00861553" w:rsidRDefault="008452D9" w:rsidP="00A264FD">
      <w:pPr>
        <w:spacing w:line="120" w:lineRule="auto"/>
        <w:rPr>
          <w:rFonts w:cs="Arial"/>
          <w:vanish/>
          <w:sz w:val="22"/>
          <w:szCs w:val="22"/>
        </w:rPr>
      </w:pPr>
    </w:p>
    <w:tbl>
      <w:tblPr>
        <w:tblW w:w="10201" w:type="dxa"/>
        <w:jc w:val="center"/>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986"/>
        <w:gridCol w:w="1695"/>
        <w:gridCol w:w="2410"/>
        <w:gridCol w:w="1984"/>
        <w:gridCol w:w="2126"/>
      </w:tblGrid>
      <w:tr w:rsidR="00372A69" w:rsidRPr="00B96818" w14:paraId="076D0F50" w14:textId="77777777" w:rsidTr="009F1111">
        <w:trPr>
          <w:trHeight w:hRule="exact" w:val="312"/>
          <w:jc w:val="center"/>
        </w:trPr>
        <w:tc>
          <w:tcPr>
            <w:tcW w:w="10201" w:type="dxa"/>
            <w:gridSpan w:val="5"/>
            <w:tcBorders>
              <w:top w:val="single" w:sz="4" w:space="0" w:color="auto"/>
              <w:bottom w:val="nil"/>
              <w:right w:val="single" w:sz="4" w:space="0" w:color="auto"/>
            </w:tcBorders>
            <w:shd w:val="clear" w:color="auto" w:fill="E0E0E0"/>
          </w:tcPr>
          <w:p w14:paraId="1CE139A4" w14:textId="407F1CC2" w:rsidR="00372A69" w:rsidRPr="00861553" w:rsidRDefault="00372A69" w:rsidP="00B405DA">
            <w:pPr>
              <w:pStyle w:val="IATableLabel"/>
              <w:spacing w:before="0" w:after="0"/>
              <w:ind w:left="0"/>
              <w:jc w:val="center"/>
              <w:rPr>
                <w:rFonts w:cs="Arial"/>
                <w:sz w:val="22"/>
                <w:szCs w:val="22"/>
              </w:rPr>
            </w:pPr>
            <w:r w:rsidRPr="00861553">
              <w:rPr>
                <w:rFonts w:cs="Arial"/>
                <w:sz w:val="22"/>
                <w:szCs w:val="22"/>
              </w:rPr>
              <w:t>Cost of Preferred (or more likely) Option</w:t>
            </w:r>
            <w:r w:rsidR="006656EC" w:rsidRPr="00861553">
              <w:rPr>
                <w:rFonts w:cs="Arial"/>
                <w:sz w:val="22"/>
                <w:szCs w:val="22"/>
              </w:rPr>
              <w:t xml:space="preserve"> </w:t>
            </w:r>
          </w:p>
        </w:tc>
      </w:tr>
      <w:tr w:rsidR="00372A69" w:rsidRPr="00B96818" w14:paraId="44A77488" w14:textId="77777777" w:rsidTr="009F1111">
        <w:trPr>
          <w:trHeight w:hRule="exact" w:val="571"/>
          <w:jc w:val="center"/>
        </w:trPr>
        <w:tc>
          <w:tcPr>
            <w:tcW w:w="1986" w:type="dxa"/>
            <w:tcBorders>
              <w:top w:val="single" w:sz="4" w:space="0" w:color="auto"/>
              <w:bottom w:val="nil"/>
              <w:right w:val="single" w:sz="4" w:space="0" w:color="auto"/>
            </w:tcBorders>
            <w:shd w:val="clear" w:color="auto" w:fill="E0E0E0"/>
            <w:vAlign w:val="center"/>
          </w:tcPr>
          <w:p w14:paraId="7DF13584" w14:textId="77777777" w:rsidR="00372A69" w:rsidRPr="00861553" w:rsidRDefault="00372A69" w:rsidP="00B405DA">
            <w:pPr>
              <w:pStyle w:val="IATableLabel"/>
              <w:spacing w:before="0" w:after="0"/>
              <w:rPr>
                <w:rFonts w:cs="Arial"/>
                <w:sz w:val="22"/>
                <w:szCs w:val="22"/>
              </w:rPr>
            </w:pPr>
            <w:r w:rsidRPr="00861553">
              <w:rPr>
                <w:rFonts w:cs="Arial"/>
                <w:sz w:val="22"/>
                <w:szCs w:val="22"/>
              </w:rPr>
              <w:t>Total Net Present Value</w:t>
            </w:r>
          </w:p>
        </w:tc>
        <w:tc>
          <w:tcPr>
            <w:tcW w:w="1695" w:type="dxa"/>
            <w:tcBorders>
              <w:top w:val="single" w:sz="4" w:space="0" w:color="auto"/>
              <w:bottom w:val="nil"/>
              <w:right w:val="single" w:sz="4" w:space="0" w:color="auto"/>
            </w:tcBorders>
            <w:shd w:val="clear" w:color="auto" w:fill="E0E0E0"/>
            <w:vAlign w:val="center"/>
          </w:tcPr>
          <w:p w14:paraId="299F17C5" w14:textId="77777777" w:rsidR="00372A69" w:rsidRPr="00861553" w:rsidRDefault="00372A69" w:rsidP="00B405DA">
            <w:pPr>
              <w:pStyle w:val="IATableLabel"/>
              <w:spacing w:before="0" w:after="0"/>
              <w:rPr>
                <w:rFonts w:cs="Arial"/>
                <w:sz w:val="22"/>
                <w:szCs w:val="22"/>
              </w:rPr>
            </w:pPr>
            <w:r w:rsidRPr="00861553">
              <w:rPr>
                <w:rFonts w:cs="Arial"/>
                <w:sz w:val="22"/>
                <w:szCs w:val="22"/>
              </w:rPr>
              <w:t>Business Net Present Value</w:t>
            </w:r>
          </w:p>
        </w:tc>
        <w:tc>
          <w:tcPr>
            <w:tcW w:w="2410" w:type="dxa"/>
            <w:tcBorders>
              <w:top w:val="single" w:sz="4" w:space="0" w:color="auto"/>
              <w:bottom w:val="nil"/>
              <w:right w:val="single" w:sz="4" w:space="0" w:color="auto"/>
            </w:tcBorders>
            <w:shd w:val="clear" w:color="auto" w:fill="E0E0E0"/>
            <w:vAlign w:val="center"/>
          </w:tcPr>
          <w:p w14:paraId="575F9C22" w14:textId="77777777" w:rsidR="00372A69" w:rsidRPr="00861553" w:rsidRDefault="00372A69" w:rsidP="00B405DA">
            <w:pPr>
              <w:pStyle w:val="IATableLabel"/>
              <w:spacing w:before="0" w:after="0"/>
              <w:rPr>
                <w:rFonts w:cs="Arial"/>
                <w:sz w:val="22"/>
                <w:szCs w:val="22"/>
              </w:rPr>
            </w:pPr>
            <w:r w:rsidRPr="00861553">
              <w:rPr>
                <w:rFonts w:cs="Arial"/>
                <w:sz w:val="22"/>
                <w:szCs w:val="22"/>
              </w:rPr>
              <w:t xml:space="preserve">Net cost </w:t>
            </w:r>
            <w:r w:rsidR="00332B05" w:rsidRPr="00861553">
              <w:rPr>
                <w:rFonts w:cs="Arial"/>
                <w:sz w:val="22"/>
                <w:szCs w:val="22"/>
              </w:rPr>
              <w:t xml:space="preserve">to business </w:t>
            </w:r>
            <w:r w:rsidRPr="00861553">
              <w:rPr>
                <w:rFonts w:cs="Arial"/>
                <w:sz w:val="22"/>
                <w:szCs w:val="22"/>
              </w:rPr>
              <w:t>per year</w:t>
            </w:r>
            <w:r w:rsidR="006656EC" w:rsidRPr="00861553">
              <w:rPr>
                <w:rFonts w:cs="Arial"/>
                <w:sz w:val="22"/>
                <w:szCs w:val="22"/>
              </w:rPr>
              <w:t xml:space="preserve"> </w:t>
            </w:r>
          </w:p>
        </w:tc>
        <w:tc>
          <w:tcPr>
            <w:tcW w:w="1984" w:type="dxa"/>
            <w:tcBorders>
              <w:top w:val="single" w:sz="4" w:space="0" w:color="auto"/>
              <w:left w:val="single" w:sz="4" w:space="0" w:color="auto"/>
              <w:bottom w:val="nil"/>
              <w:right w:val="nil"/>
            </w:tcBorders>
            <w:shd w:val="clear" w:color="auto" w:fill="E0E0E0"/>
            <w:vAlign w:val="center"/>
          </w:tcPr>
          <w:p w14:paraId="09F5ADB4" w14:textId="08693AAB" w:rsidR="00372A69" w:rsidRPr="00861553" w:rsidRDefault="00372A69" w:rsidP="00B405DA">
            <w:pPr>
              <w:pStyle w:val="IATableLabel"/>
              <w:spacing w:before="0" w:after="0"/>
              <w:rPr>
                <w:rFonts w:cs="Arial"/>
                <w:sz w:val="22"/>
                <w:szCs w:val="22"/>
              </w:rPr>
            </w:pPr>
            <w:r w:rsidRPr="00861553">
              <w:rPr>
                <w:rFonts w:cs="Arial"/>
                <w:sz w:val="22"/>
                <w:szCs w:val="22"/>
              </w:rPr>
              <w:t>In scope of On</w:t>
            </w:r>
            <w:r w:rsidR="00290335" w:rsidRPr="00861553">
              <w:rPr>
                <w:rFonts w:cs="Arial"/>
                <w:sz w:val="22"/>
                <w:szCs w:val="22"/>
              </w:rPr>
              <w:t>e</w:t>
            </w:r>
            <w:r w:rsidRPr="00861553">
              <w:rPr>
                <w:rFonts w:cs="Arial"/>
                <w:sz w:val="22"/>
                <w:szCs w:val="22"/>
              </w:rPr>
              <w:t xml:space="preserve">-In, </w:t>
            </w:r>
            <w:r w:rsidR="00663279" w:rsidRPr="00861553">
              <w:rPr>
                <w:rFonts w:cs="Arial"/>
                <w:sz w:val="22"/>
                <w:szCs w:val="22"/>
              </w:rPr>
              <w:t>Two</w:t>
            </w:r>
            <w:r w:rsidRPr="00861553">
              <w:rPr>
                <w:rFonts w:cs="Arial"/>
                <w:sz w:val="22"/>
                <w:szCs w:val="22"/>
              </w:rPr>
              <w:t>-Out?</w:t>
            </w:r>
          </w:p>
        </w:tc>
        <w:tc>
          <w:tcPr>
            <w:tcW w:w="2126" w:type="dxa"/>
            <w:tcBorders>
              <w:top w:val="single" w:sz="4" w:space="0" w:color="auto"/>
              <w:left w:val="nil"/>
              <w:bottom w:val="nil"/>
              <w:right w:val="single" w:sz="4" w:space="0" w:color="auto"/>
            </w:tcBorders>
            <w:shd w:val="clear" w:color="auto" w:fill="E0E0E0"/>
            <w:vAlign w:val="center"/>
          </w:tcPr>
          <w:p w14:paraId="311594B4" w14:textId="77777777" w:rsidR="00372A69" w:rsidRPr="00861553" w:rsidRDefault="00372A69" w:rsidP="00B405DA">
            <w:pPr>
              <w:pStyle w:val="IATableLabel"/>
              <w:spacing w:before="0" w:after="0"/>
              <w:ind w:left="0"/>
              <w:rPr>
                <w:rFonts w:cs="Arial"/>
                <w:sz w:val="22"/>
                <w:szCs w:val="22"/>
              </w:rPr>
            </w:pPr>
            <w:r w:rsidRPr="00861553">
              <w:rPr>
                <w:rFonts w:cs="Arial"/>
                <w:sz w:val="22"/>
                <w:szCs w:val="22"/>
              </w:rPr>
              <w:t>Measure qualifies as</w:t>
            </w:r>
          </w:p>
          <w:p w14:paraId="23F68DB7" w14:textId="77777777" w:rsidR="00463490" w:rsidRPr="00861553" w:rsidRDefault="00463490" w:rsidP="00B405DA">
            <w:pPr>
              <w:pStyle w:val="IATableLabel"/>
              <w:spacing w:before="0" w:after="0"/>
              <w:ind w:left="0"/>
              <w:rPr>
                <w:rFonts w:cs="Arial"/>
                <w:sz w:val="22"/>
                <w:szCs w:val="22"/>
              </w:rPr>
            </w:pPr>
          </w:p>
        </w:tc>
      </w:tr>
      <w:tr w:rsidR="00372A69" w:rsidRPr="00B96818" w14:paraId="3991E0E2" w14:textId="77777777" w:rsidTr="009F1111">
        <w:trPr>
          <w:trHeight w:hRule="exact" w:val="264"/>
          <w:jc w:val="center"/>
        </w:trPr>
        <w:tc>
          <w:tcPr>
            <w:tcW w:w="1986" w:type="dxa"/>
            <w:tcBorders>
              <w:top w:val="nil"/>
              <w:bottom w:val="single" w:sz="4" w:space="0" w:color="auto"/>
              <w:right w:val="single" w:sz="4" w:space="0" w:color="auto"/>
            </w:tcBorders>
            <w:shd w:val="clear" w:color="auto" w:fill="E0E0E0"/>
            <w:vAlign w:val="center"/>
          </w:tcPr>
          <w:p w14:paraId="672E5115" w14:textId="78B59863" w:rsidR="00372A69" w:rsidRPr="00861553" w:rsidRDefault="00987FB9" w:rsidP="00657DB4">
            <w:pPr>
              <w:pStyle w:val="IAIIOTNPV"/>
              <w:rPr>
                <w:rFonts w:cs="Arial"/>
              </w:rPr>
            </w:pPr>
            <w:r>
              <w:rPr>
                <w:rFonts w:cs="Arial"/>
                <w:lang w:eastAsia="en-GB"/>
              </w:rPr>
              <w:t>4.84</w:t>
            </w:r>
          </w:p>
        </w:tc>
        <w:tc>
          <w:tcPr>
            <w:tcW w:w="1695" w:type="dxa"/>
            <w:tcBorders>
              <w:top w:val="nil"/>
              <w:bottom w:val="single" w:sz="4" w:space="0" w:color="auto"/>
              <w:right w:val="single" w:sz="4" w:space="0" w:color="auto"/>
            </w:tcBorders>
            <w:shd w:val="clear" w:color="auto" w:fill="E0E0E0"/>
            <w:vAlign w:val="center"/>
          </w:tcPr>
          <w:p w14:paraId="76E97E00" w14:textId="51C3E734" w:rsidR="00372A69" w:rsidRPr="00861553" w:rsidRDefault="00987FB9" w:rsidP="00B405DA">
            <w:pPr>
              <w:pStyle w:val="IAIOBNPV"/>
              <w:rPr>
                <w:rFonts w:cs="Arial"/>
              </w:rPr>
            </w:pPr>
            <w:r>
              <w:rPr>
                <w:rFonts w:cs="Arial"/>
              </w:rPr>
              <w:t>4.84</w:t>
            </w:r>
          </w:p>
        </w:tc>
        <w:tc>
          <w:tcPr>
            <w:tcW w:w="2410" w:type="dxa"/>
            <w:tcBorders>
              <w:top w:val="nil"/>
              <w:bottom w:val="single" w:sz="4" w:space="0" w:color="auto"/>
              <w:right w:val="single" w:sz="4" w:space="0" w:color="auto"/>
            </w:tcBorders>
            <w:shd w:val="clear" w:color="auto" w:fill="E0E0E0"/>
            <w:vAlign w:val="center"/>
          </w:tcPr>
          <w:p w14:paraId="7693AB00" w14:textId="7D13DD7E" w:rsidR="00372A69" w:rsidRPr="00861553" w:rsidRDefault="00BE2726" w:rsidP="00BE2726">
            <w:pPr>
              <w:pStyle w:val="IAIONCTBPY"/>
              <w:rPr>
                <w:rFonts w:cs="Arial"/>
              </w:rPr>
            </w:pPr>
            <w:r w:rsidRPr="00861553">
              <w:rPr>
                <w:rFonts w:cs="Arial"/>
                <w:color w:val="auto"/>
              </w:rPr>
              <w:t>-0.</w:t>
            </w:r>
            <w:r w:rsidR="004B1D47">
              <w:rPr>
                <w:rFonts w:cs="Arial"/>
                <w:color w:val="auto"/>
              </w:rPr>
              <w:t>82</w:t>
            </w:r>
          </w:p>
        </w:tc>
        <w:tc>
          <w:tcPr>
            <w:tcW w:w="1984" w:type="dxa"/>
            <w:tcBorders>
              <w:top w:val="nil"/>
              <w:left w:val="single" w:sz="4" w:space="0" w:color="auto"/>
              <w:bottom w:val="single" w:sz="4" w:space="0" w:color="auto"/>
              <w:right w:val="single" w:sz="4" w:space="0" w:color="auto"/>
            </w:tcBorders>
            <w:shd w:val="clear" w:color="auto" w:fill="E0E0E0"/>
            <w:vAlign w:val="center"/>
          </w:tcPr>
          <w:p w14:paraId="1A141983" w14:textId="3D1D4345" w:rsidR="00372A69" w:rsidRPr="00861553" w:rsidRDefault="001C3870" w:rsidP="00B405DA">
            <w:pPr>
              <w:pStyle w:val="IAIOInScopeInOut"/>
              <w:rPr>
                <w:rFonts w:cs="Arial"/>
              </w:rPr>
            </w:pPr>
            <w:r w:rsidRPr="00861553">
              <w:rPr>
                <w:rFonts w:cs="Arial"/>
              </w:rPr>
              <w:t>Yes</w:t>
            </w:r>
          </w:p>
        </w:tc>
        <w:tc>
          <w:tcPr>
            <w:tcW w:w="2126" w:type="dxa"/>
            <w:tcBorders>
              <w:top w:val="nil"/>
              <w:left w:val="single" w:sz="4" w:space="0" w:color="auto"/>
              <w:bottom w:val="single" w:sz="4" w:space="0" w:color="auto"/>
              <w:right w:val="single" w:sz="4" w:space="0" w:color="auto"/>
            </w:tcBorders>
            <w:shd w:val="clear" w:color="auto" w:fill="E0E0E0"/>
            <w:vAlign w:val="center"/>
          </w:tcPr>
          <w:p w14:paraId="10236978" w14:textId="77777777" w:rsidR="00372A69" w:rsidRPr="00861553" w:rsidRDefault="001C3870" w:rsidP="00B405DA">
            <w:pPr>
              <w:pStyle w:val="IAIOPrefMQ"/>
              <w:rPr>
                <w:rFonts w:cs="Arial"/>
              </w:rPr>
            </w:pPr>
            <w:r w:rsidRPr="00861553">
              <w:rPr>
                <w:rFonts w:cs="Arial"/>
              </w:rPr>
              <w:t>OUT</w:t>
            </w:r>
          </w:p>
        </w:tc>
      </w:tr>
      <w:tr w:rsidR="007208D9" w:rsidRPr="00B96818" w14:paraId="3A8402A0" w14:textId="77777777" w:rsidTr="009F1111">
        <w:tblPrEx>
          <w:shd w:val="clear" w:color="auto" w:fill="auto"/>
        </w:tblPrEx>
        <w:trPr>
          <w:trHeight w:hRule="exact" w:val="2418"/>
          <w:jc w:val="center"/>
        </w:trPr>
        <w:tc>
          <w:tcPr>
            <w:tcW w:w="10201" w:type="dxa"/>
            <w:gridSpan w:val="5"/>
            <w:tcBorders>
              <w:top w:val="single" w:sz="4" w:space="0" w:color="auto"/>
              <w:left w:val="single" w:sz="4" w:space="0" w:color="auto"/>
              <w:bottom w:val="single" w:sz="4" w:space="0" w:color="auto"/>
              <w:right w:val="single" w:sz="4" w:space="0" w:color="auto"/>
            </w:tcBorders>
          </w:tcPr>
          <w:p w14:paraId="2C6D1219" w14:textId="2EBFB8FA" w:rsidR="007208D9" w:rsidRPr="00861553" w:rsidRDefault="00686F5E" w:rsidP="00B405DA">
            <w:pPr>
              <w:pStyle w:val="IAIOQ1"/>
              <w:spacing w:before="0" w:after="0"/>
              <w:rPr>
                <w:rFonts w:cs="Arial"/>
                <w:sz w:val="22"/>
                <w:szCs w:val="22"/>
              </w:rPr>
            </w:pPr>
            <w:bookmarkStart w:id="6" w:name="Summary1"/>
            <w:r w:rsidRPr="00861553">
              <w:rPr>
                <w:rFonts w:cs="Arial"/>
                <w:sz w:val="22"/>
                <w:szCs w:val="22"/>
              </w:rPr>
              <w:t>What is the problem under consideration? Why is government intervention necessary?</w:t>
            </w:r>
            <w:bookmarkEnd w:id="6"/>
          </w:p>
          <w:p w14:paraId="6F5C144F" w14:textId="3691E01A" w:rsidR="00C433C2" w:rsidRPr="00861553" w:rsidRDefault="001D3771" w:rsidP="00A60B96">
            <w:pPr>
              <w:pStyle w:val="IAIOA1"/>
              <w:jc w:val="both"/>
              <w:rPr>
                <w:rFonts w:cs="Arial"/>
                <w:szCs w:val="22"/>
              </w:rPr>
            </w:pPr>
            <w:r w:rsidRPr="00861553">
              <w:rPr>
                <w:rFonts w:cs="Arial"/>
                <w:szCs w:val="22"/>
              </w:rPr>
              <w:t xml:space="preserve">The Digital Economy Act 2010 amended the 1990 Broadcasting Act to allow Ofcom to grant a further licence extension to FM and AM stations licensed before March 2010 for one period of 7 years. The extension was timed to reflect a switch-off of analogue radio services by 2017-18, and flexibility to extend licences further was not included in the legislation in order to create certainty of direction for industry. </w:t>
            </w:r>
            <w:r w:rsidR="00326939" w:rsidRPr="00861553">
              <w:rPr>
                <w:rFonts w:cs="Arial"/>
                <w:szCs w:val="22"/>
              </w:rPr>
              <w:t>In December 2013, the Govern</w:t>
            </w:r>
            <w:r w:rsidRPr="00861553">
              <w:rPr>
                <w:rFonts w:cs="Arial"/>
                <w:szCs w:val="22"/>
              </w:rPr>
              <w:t>ment confirmed that</w:t>
            </w:r>
            <w:r w:rsidR="00DB17C6" w:rsidRPr="00D52397">
              <w:rPr>
                <w:rFonts w:cs="Arial"/>
                <w:szCs w:val="22"/>
              </w:rPr>
              <w:t xml:space="preserve"> </w:t>
            </w:r>
            <w:r w:rsidR="00326939" w:rsidRPr="00861553">
              <w:rPr>
                <w:rFonts w:cs="Arial"/>
                <w:szCs w:val="22"/>
              </w:rPr>
              <w:t xml:space="preserve">now was not the time to confirm that a switchover </w:t>
            </w:r>
            <w:r w:rsidR="00A54E37" w:rsidRPr="00861553">
              <w:rPr>
                <w:rFonts w:cs="Arial"/>
                <w:szCs w:val="22"/>
              </w:rPr>
              <w:t xml:space="preserve">to digital would take place or </w:t>
            </w:r>
            <w:r w:rsidR="00326939" w:rsidRPr="00861553">
              <w:rPr>
                <w:rFonts w:cs="Arial"/>
                <w:szCs w:val="22"/>
              </w:rPr>
              <w:t>set dates. The delay in sett</w:t>
            </w:r>
            <w:r w:rsidR="004E5067" w:rsidRPr="00861553">
              <w:rPr>
                <w:rFonts w:cs="Arial"/>
                <w:szCs w:val="22"/>
              </w:rPr>
              <w:t>ing a timetable</w:t>
            </w:r>
            <w:r w:rsidR="00326939" w:rsidRPr="00861553">
              <w:rPr>
                <w:rFonts w:cs="Arial"/>
                <w:szCs w:val="22"/>
              </w:rPr>
              <w:t xml:space="preserve"> leaves a number of stations facing expir</w:t>
            </w:r>
            <w:r w:rsidR="00A60B96" w:rsidRPr="00861553">
              <w:rPr>
                <w:rFonts w:cs="Arial"/>
                <w:szCs w:val="22"/>
              </w:rPr>
              <w:t xml:space="preserve">y of their analogue licences </w:t>
            </w:r>
            <w:r w:rsidR="00326939" w:rsidRPr="00861553">
              <w:rPr>
                <w:rFonts w:cs="Arial"/>
                <w:szCs w:val="22"/>
              </w:rPr>
              <w:t xml:space="preserve">from late 2017. All three national licences are </w:t>
            </w:r>
            <w:r w:rsidR="00B405DA" w:rsidRPr="00861553">
              <w:rPr>
                <w:rFonts w:cs="Arial"/>
                <w:szCs w:val="22"/>
              </w:rPr>
              <w:t xml:space="preserve">also </w:t>
            </w:r>
            <w:r w:rsidR="00326939" w:rsidRPr="00861553">
              <w:rPr>
                <w:rFonts w:cs="Arial"/>
                <w:szCs w:val="22"/>
              </w:rPr>
              <w:t>affected (Classic FM, Absolute, and TalkSport)</w:t>
            </w:r>
            <w:r w:rsidR="00A60B96" w:rsidRPr="00861553">
              <w:rPr>
                <w:rFonts w:cs="Arial"/>
                <w:szCs w:val="22"/>
              </w:rPr>
              <w:t xml:space="preserve"> as well as around 60 local and regional licences</w:t>
            </w:r>
            <w:r w:rsidR="00326939" w:rsidRPr="00861553">
              <w:rPr>
                <w:rFonts w:cs="Arial"/>
                <w:szCs w:val="22"/>
              </w:rPr>
              <w:t>.</w:t>
            </w:r>
          </w:p>
        </w:tc>
      </w:tr>
    </w:tbl>
    <w:p w14:paraId="75658B90" w14:textId="77777777" w:rsidR="007208D9" w:rsidRPr="00861553" w:rsidRDefault="007208D9" w:rsidP="00A264FD">
      <w:pPr>
        <w:pStyle w:val="IASpacer"/>
        <w:spacing w:line="120" w:lineRule="auto"/>
        <w:rPr>
          <w:rFonts w:cs="Arial"/>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B96818" w14:paraId="3F2D7E79" w14:textId="77777777" w:rsidTr="00861553">
        <w:trPr>
          <w:trHeight w:hRule="exact" w:val="1891"/>
        </w:trPr>
        <w:tc>
          <w:tcPr>
            <w:tcW w:w="10214" w:type="dxa"/>
          </w:tcPr>
          <w:p w14:paraId="53A8128A" w14:textId="6A7A4DFD" w:rsidR="0094376D" w:rsidRPr="00861553" w:rsidRDefault="00686F5E" w:rsidP="00B405DA">
            <w:pPr>
              <w:pStyle w:val="IAIOQ2"/>
              <w:spacing w:before="0" w:after="0"/>
              <w:rPr>
                <w:rFonts w:cs="Arial"/>
                <w:sz w:val="22"/>
                <w:szCs w:val="22"/>
              </w:rPr>
            </w:pPr>
            <w:bookmarkStart w:id="7" w:name="Summary2"/>
            <w:r w:rsidRPr="00861553">
              <w:rPr>
                <w:rFonts w:cs="Arial"/>
                <w:sz w:val="22"/>
                <w:szCs w:val="22"/>
              </w:rPr>
              <w:t>What are the policy objectives and the intended effects?</w:t>
            </w:r>
            <w:bookmarkEnd w:id="7"/>
          </w:p>
          <w:p w14:paraId="71DC2274" w14:textId="1D90D651" w:rsidR="001D3771" w:rsidRPr="00861553" w:rsidRDefault="00326939" w:rsidP="00A264FD">
            <w:pPr>
              <w:pStyle w:val="IATableLines"/>
              <w:spacing w:after="120"/>
              <w:rPr>
                <w:rFonts w:cs="Arial"/>
                <w:szCs w:val="22"/>
              </w:rPr>
            </w:pPr>
            <w:r w:rsidRPr="00861553">
              <w:rPr>
                <w:rFonts w:cs="Arial"/>
                <w:szCs w:val="22"/>
              </w:rPr>
              <w:t xml:space="preserve">The objective is to </w:t>
            </w:r>
            <w:r w:rsidR="001D3771" w:rsidRPr="00861553">
              <w:rPr>
                <w:rFonts w:cs="Arial"/>
                <w:szCs w:val="22"/>
              </w:rPr>
              <w:t>amend</w:t>
            </w:r>
            <w:r w:rsidRPr="00861553">
              <w:rPr>
                <w:rFonts w:cs="Arial"/>
                <w:szCs w:val="22"/>
              </w:rPr>
              <w:t xml:space="preserve"> s103B and 104AA of the Broadcasting Ac</w:t>
            </w:r>
            <w:r w:rsidR="001D3771" w:rsidRPr="00861553">
              <w:rPr>
                <w:rFonts w:cs="Arial"/>
                <w:szCs w:val="22"/>
              </w:rPr>
              <w:t>t 1990 to allow Ofcom to grant one</w:t>
            </w:r>
            <w:r w:rsidRPr="00861553">
              <w:rPr>
                <w:rFonts w:cs="Arial"/>
                <w:szCs w:val="22"/>
              </w:rPr>
              <w:t xml:space="preserve"> further </w:t>
            </w:r>
            <w:r w:rsidR="001D3771" w:rsidRPr="00861553">
              <w:rPr>
                <w:rFonts w:cs="Arial"/>
                <w:szCs w:val="22"/>
              </w:rPr>
              <w:t xml:space="preserve">five year </w:t>
            </w:r>
            <w:r w:rsidRPr="00861553">
              <w:rPr>
                <w:rFonts w:cs="Arial"/>
                <w:szCs w:val="22"/>
              </w:rPr>
              <w:t>extension</w:t>
            </w:r>
            <w:r w:rsidR="001D3771" w:rsidRPr="00861553">
              <w:rPr>
                <w:rFonts w:cs="Arial"/>
                <w:szCs w:val="22"/>
              </w:rPr>
              <w:t xml:space="preserve"> (12 years for those licences which have not yet had a second renewal</w:t>
            </w:r>
            <w:r w:rsidR="00B876D2" w:rsidRPr="00861553">
              <w:rPr>
                <w:rFonts w:cs="Arial"/>
                <w:szCs w:val="22"/>
              </w:rPr>
              <w:t xml:space="preserve"> but who are eligible for one</w:t>
            </w:r>
            <w:r w:rsidR="001D3771" w:rsidRPr="00861553">
              <w:rPr>
                <w:rFonts w:cs="Arial"/>
                <w:szCs w:val="22"/>
              </w:rPr>
              <w:t>)</w:t>
            </w:r>
            <w:r w:rsidRPr="00861553">
              <w:rPr>
                <w:rFonts w:cs="Arial"/>
                <w:szCs w:val="22"/>
              </w:rPr>
              <w:t xml:space="preserve"> to those licences</w:t>
            </w:r>
            <w:r w:rsidR="001D3771" w:rsidRPr="00861553">
              <w:rPr>
                <w:rFonts w:cs="Arial"/>
                <w:szCs w:val="22"/>
              </w:rPr>
              <w:t>.</w:t>
            </w:r>
          </w:p>
          <w:p w14:paraId="2522B2AE" w14:textId="77777777" w:rsidR="00E75380" w:rsidRPr="00861553" w:rsidRDefault="00C026B1" w:rsidP="00A60B96">
            <w:pPr>
              <w:pStyle w:val="IATableLines"/>
              <w:jc w:val="both"/>
              <w:rPr>
                <w:rFonts w:cs="Arial"/>
                <w:szCs w:val="22"/>
              </w:rPr>
            </w:pPr>
            <w:r w:rsidRPr="00861553">
              <w:rPr>
                <w:rFonts w:cs="Arial"/>
                <w:szCs w:val="22"/>
              </w:rPr>
              <w:t>Given the Government’s continued commitment to a digital radio switchover, t</w:t>
            </w:r>
            <w:r w:rsidR="00326939" w:rsidRPr="00861553">
              <w:rPr>
                <w:rFonts w:cs="Arial"/>
                <w:szCs w:val="22"/>
              </w:rPr>
              <w:t xml:space="preserve">he intended effects are to </w:t>
            </w:r>
            <w:r w:rsidR="00A60B96" w:rsidRPr="00861553">
              <w:rPr>
                <w:rFonts w:cs="Arial"/>
                <w:szCs w:val="22"/>
              </w:rPr>
              <w:t xml:space="preserve">continue to give </w:t>
            </w:r>
            <w:r w:rsidR="00326939" w:rsidRPr="00861553">
              <w:rPr>
                <w:rFonts w:cs="Arial"/>
                <w:szCs w:val="22"/>
              </w:rPr>
              <w:t xml:space="preserve">the radio sector </w:t>
            </w:r>
            <w:r w:rsidR="00A60B96" w:rsidRPr="00861553">
              <w:rPr>
                <w:rFonts w:cs="Arial"/>
                <w:szCs w:val="22"/>
              </w:rPr>
              <w:t xml:space="preserve">the certainty it needs </w:t>
            </w:r>
            <w:r w:rsidR="00326939" w:rsidRPr="00861553">
              <w:rPr>
                <w:rFonts w:cs="Arial"/>
                <w:szCs w:val="22"/>
              </w:rPr>
              <w:t xml:space="preserve">to continue to </w:t>
            </w:r>
            <w:r w:rsidR="001D3771" w:rsidRPr="00861553">
              <w:rPr>
                <w:rFonts w:cs="Arial"/>
                <w:szCs w:val="22"/>
              </w:rPr>
              <w:t>invest in DAB,</w:t>
            </w:r>
            <w:r w:rsidR="00326939" w:rsidRPr="00861553">
              <w:rPr>
                <w:rFonts w:cs="Arial"/>
                <w:szCs w:val="22"/>
              </w:rPr>
              <w:t xml:space="preserve"> whilst still providing audiences with </w:t>
            </w:r>
            <w:r w:rsidR="00A60B96" w:rsidRPr="00861553">
              <w:rPr>
                <w:rFonts w:cs="Arial"/>
                <w:szCs w:val="22"/>
              </w:rPr>
              <w:t xml:space="preserve">a wide range of </w:t>
            </w:r>
            <w:r w:rsidR="00326939" w:rsidRPr="00861553">
              <w:rPr>
                <w:rFonts w:cs="Arial"/>
                <w:szCs w:val="22"/>
              </w:rPr>
              <w:t xml:space="preserve">quality </w:t>
            </w:r>
            <w:r w:rsidR="001D3771" w:rsidRPr="00861553">
              <w:rPr>
                <w:rFonts w:cs="Arial"/>
                <w:szCs w:val="22"/>
              </w:rPr>
              <w:t>content</w:t>
            </w:r>
            <w:r w:rsidR="00326939" w:rsidRPr="00861553">
              <w:rPr>
                <w:rFonts w:cs="Arial"/>
                <w:szCs w:val="22"/>
              </w:rPr>
              <w:t>.</w:t>
            </w:r>
          </w:p>
        </w:tc>
      </w:tr>
    </w:tbl>
    <w:p w14:paraId="4F59C9D0" w14:textId="77777777" w:rsidR="007208D9" w:rsidRPr="00861553" w:rsidRDefault="007208D9" w:rsidP="00A264FD">
      <w:pPr>
        <w:pStyle w:val="IASpacer"/>
        <w:spacing w:line="120" w:lineRule="auto"/>
        <w:rPr>
          <w:rFonts w:cs="Arial"/>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B96818" w14:paraId="00A84DEB" w14:textId="77777777" w:rsidTr="00861553">
        <w:trPr>
          <w:trHeight w:hRule="exact" w:val="2700"/>
        </w:trPr>
        <w:tc>
          <w:tcPr>
            <w:tcW w:w="9648" w:type="dxa"/>
          </w:tcPr>
          <w:p w14:paraId="42A012F2" w14:textId="36597A85" w:rsidR="00686F5E" w:rsidRPr="00861553" w:rsidRDefault="00686F5E" w:rsidP="00B405DA">
            <w:pPr>
              <w:pStyle w:val="IAIOQ3"/>
              <w:spacing w:before="0" w:after="0"/>
              <w:rPr>
                <w:rFonts w:cs="Arial"/>
                <w:sz w:val="22"/>
                <w:szCs w:val="22"/>
              </w:rPr>
            </w:pPr>
            <w:bookmarkStart w:id="8" w:name="Summary3"/>
            <w:r w:rsidRPr="00861553">
              <w:rPr>
                <w:rFonts w:cs="Arial"/>
                <w:sz w:val="22"/>
                <w:szCs w:val="22"/>
              </w:rPr>
              <w:t>What policy options have been considered</w:t>
            </w:r>
            <w:r w:rsidR="005D6EA8" w:rsidRPr="00861553">
              <w:rPr>
                <w:rFonts w:cs="Arial"/>
                <w:sz w:val="22"/>
                <w:szCs w:val="22"/>
              </w:rPr>
              <w:t>, including any alternatives to regulation</w:t>
            </w:r>
            <w:r w:rsidRPr="00861553">
              <w:rPr>
                <w:rFonts w:cs="Arial"/>
                <w:sz w:val="22"/>
                <w:szCs w:val="22"/>
              </w:rPr>
              <w:t>? Please justify preferred option (further details in Evidence Base)</w:t>
            </w:r>
          </w:p>
          <w:p w14:paraId="1203945A" w14:textId="05028A77" w:rsidR="00326939" w:rsidRPr="00861553" w:rsidRDefault="00C026B1" w:rsidP="00B405DA">
            <w:pPr>
              <w:pStyle w:val="IATableLines"/>
              <w:rPr>
                <w:rFonts w:cs="Arial"/>
                <w:szCs w:val="22"/>
              </w:rPr>
            </w:pPr>
            <w:r w:rsidRPr="00861553">
              <w:rPr>
                <w:rFonts w:cs="Arial"/>
                <w:szCs w:val="22"/>
              </w:rPr>
              <w:t>The</w:t>
            </w:r>
            <w:r w:rsidR="00326939" w:rsidRPr="00861553">
              <w:rPr>
                <w:rFonts w:cs="Arial"/>
                <w:szCs w:val="22"/>
              </w:rPr>
              <w:t xml:space="preserve"> three policy options which we consult</w:t>
            </w:r>
            <w:r w:rsidRPr="00861553">
              <w:rPr>
                <w:rFonts w:cs="Arial"/>
                <w:szCs w:val="22"/>
              </w:rPr>
              <w:t>ed</w:t>
            </w:r>
            <w:r w:rsidR="00326939" w:rsidRPr="00861553">
              <w:rPr>
                <w:rFonts w:cs="Arial"/>
                <w:szCs w:val="22"/>
              </w:rPr>
              <w:t xml:space="preserve"> on are:</w:t>
            </w:r>
          </w:p>
          <w:p w14:paraId="2E5EEA48" w14:textId="77777777" w:rsidR="00326939" w:rsidRPr="00861553" w:rsidRDefault="00326939" w:rsidP="00B405DA">
            <w:pPr>
              <w:pStyle w:val="IATableLines"/>
              <w:rPr>
                <w:rFonts w:cs="Arial"/>
                <w:szCs w:val="22"/>
              </w:rPr>
            </w:pPr>
            <w:r w:rsidRPr="00861553">
              <w:rPr>
                <w:rFonts w:cs="Arial"/>
                <w:szCs w:val="22"/>
              </w:rPr>
              <w:t>1.</w:t>
            </w:r>
            <w:r w:rsidRPr="00861553">
              <w:rPr>
                <w:rFonts w:cs="Arial"/>
                <w:szCs w:val="22"/>
              </w:rPr>
              <w:tab/>
              <w:t>Do nothing and allow licences to expire at the end of the term and be re-advertised</w:t>
            </w:r>
          </w:p>
          <w:p w14:paraId="0A4E9EBB" w14:textId="3BE9181D" w:rsidR="00326939" w:rsidRPr="00861553" w:rsidRDefault="00326939" w:rsidP="00B405DA">
            <w:pPr>
              <w:pStyle w:val="IATableLines"/>
              <w:rPr>
                <w:rFonts w:cs="Arial"/>
                <w:szCs w:val="22"/>
              </w:rPr>
            </w:pPr>
            <w:r w:rsidRPr="00861553">
              <w:rPr>
                <w:rFonts w:cs="Arial"/>
                <w:szCs w:val="22"/>
              </w:rPr>
              <w:t>2.</w:t>
            </w:r>
            <w:r w:rsidRPr="00861553">
              <w:rPr>
                <w:rFonts w:cs="Arial"/>
                <w:szCs w:val="22"/>
              </w:rPr>
              <w:tab/>
              <w:t xml:space="preserve">Extending licences for an additional 5 year term </w:t>
            </w:r>
          </w:p>
          <w:p w14:paraId="1E0A1EFB" w14:textId="7F7FD8E0" w:rsidR="00B96818" w:rsidRPr="00861553" w:rsidRDefault="00326939" w:rsidP="00A264FD">
            <w:pPr>
              <w:pStyle w:val="IATableLines"/>
              <w:spacing w:after="120"/>
              <w:rPr>
                <w:rFonts w:cs="Arial"/>
                <w:szCs w:val="22"/>
              </w:rPr>
            </w:pPr>
            <w:r w:rsidRPr="00861553">
              <w:rPr>
                <w:rFonts w:cs="Arial"/>
                <w:szCs w:val="22"/>
              </w:rPr>
              <w:t>3.</w:t>
            </w:r>
            <w:r w:rsidRPr="00861553">
              <w:rPr>
                <w:rFonts w:cs="Arial"/>
                <w:szCs w:val="22"/>
              </w:rPr>
              <w:tab/>
              <w:t>Extending existing licence term indefinitely/for an alternative period of time (until a switchover).</w:t>
            </w:r>
          </w:p>
          <w:p w14:paraId="09B505B3" w14:textId="3B0731B1" w:rsidR="00945A34" w:rsidRPr="00861553" w:rsidRDefault="00A60B96" w:rsidP="00861553">
            <w:pPr>
              <w:pStyle w:val="IATableLines"/>
              <w:spacing w:after="120"/>
              <w:rPr>
                <w:rFonts w:cs="Arial"/>
                <w:szCs w:val="22"/>
              </w:rPr>
            </w:pPr>
            <w:r w:rsidRPr="00861553">
              <w:rPr>
                <w:rFonts w:cs="Arial"/>
                <w:szCs w:val="22"/>
              </w:rPr>
              <w:t>T</w:t>
            </w:r>
            <w:r w:rsidR="00326939" w:rsidRPr="00861553">
              <w:rPr>
                <w:rFonts w:cs="Arial"/>
                <w:szCs w:val="22"/>
              </w:rPr>
              <w:t xml:space="preserve">he preferred option is option </w:t>
            </w:r>
            <w:r w:rsidR="006B34DB" w:rsidRPr="00861553">
              <w:rPr>
                <w:rFonts w:cs="Arial"/>
                <w:szCs w:val="22"/>
              </w:rPr>
              <w:t>2;</w:t>
            </w:r>
            <w:r w:rsidR="00326939" w:rsidRPr="00861553">
              <w:rPr>
                <w:rFonts w:cs="Arial"/>
                <w:szCs w:val="22"/>
              </w:rPr>
              <w:t xml:space="preserve"> </w:t>
            </w:r>
            <w:r w:rsidRPr="00861553">
              <w:rPr>
                <w:rFonts w:cs="Arial"/>
                <w:szCs w:val="22"/>
              </w:rPr>
              <w:t xml:space="preserve">on balance the Government believes that continuing the existing policy will ensure stability </w:t>
            </w:r>
            <w:r w:rsidR="001C5F46" w:rsidRPr="00861553">
              <w:rPr>
                <w:rFonts w:cs="Arial"/>
                <w:szCs w:val="22"/>
              </w:rPr>
              <w:t xml:space="preserve">for commercial </w:t>
            </w:r>
            <w:r w:rsidR="00A264FD" w:rsidRPr="00861553">
              <w:rPr>
                <w:rFonts w:cs="Arial"/>
                <w:szCs w:val="22"/>
              </w:rPr>
              <w:t xml:space="preserve">radio </w:t>
            </w:r>
            <w:r w:rsidRPr="00861553">
              <w:rPr>
                <w:rFonts w:cs="Arial"/>
                <w:szCs w:val="22"/>
              </w:rPr>
              <w:t xml:space="preserve">and minimise the </w:t>
            </w:r>
            <w:r w:rsidR="00326939" w:rsidRPr="00861553">
              <w:rPr>
                <w:rFonts w:cs="Arial"/>
                <w:szCs w:val="22"/>
              </w:rPr>
              <w:t xml:space="preserve">disruption to </w:t>
            </w:r>
            <w:r w:rsidRPr="00861553">
              <w:rPr>
                <w:rFonts w:cs="Arial"/>
                <w:szCs w:val="22"/>
              </w:rPr>
              <w:t>existing commercial radio services</w:t>
            </w:r>
            <w:r w:rsidR="00A264FD" w:rsidRPr="00861553">
              <w:rPr>
                <w:rFonts w:cs="Arial"/>
                <w:szCs w:val="22"/>
              </w:rPr>
              <w:t>,</w:t>
            </w:r>
            <w:r w:rsidR="00B96818" w:rsidRPr="00D52397">
              <w:rPr>
                <w:rFonts w:cs="Arial"/>
                <w:szCs w:val="22"/>
              </w:rPr>
              <w:t xml:space="preserve"> enabling </w:t>
            </w:r>
            <w:r w:rsidR="00B96818" w:rsidRPr="001D77CE">
              <w:rPr>
                <w:rFonts w:cs="Arial"/>
                <w:szCs w:val="22"/>
              </w:rPr>
              <w:t>continued investment in a transition to digital radio, and</w:t>
            </w:r>
            <w:r w:rsidRPr="00861553">
              <w:rPr>
                <w:rFonts w:cs="Arial"/>
                <w:szCs w:val="22"/>
              </w:rPr>
              <w:t xml:space="preserve"> </w:t>
            </w:r>
            <w:r w:rsidR="00A264FD" w:rsidRPr="00861553">
              <w:rPr>
                <w:rFonts w:cs="Arial"/>
                <w:szCs w:val="22"/>
              </w:rPr>
              <w:t>outweighing</w:t>
            </w:r>
            <w:r w:rsidRPr="00861553">
              <w:rPr>
                <w:rFonts w:cs="Arial"/>
                <w:szCs w:val="22"/>
              </w:rPr>
              <w:t xml:space="preserve"> the </w:t>
            </w:r>
            <w:r w:rsidR="001C5F46" w:rsidRPr="00861553">
              <w:rPr>
                <w:rFonts w:cs="Arial"/>
                <w:szCs w:val="22"/>
              </w:rPr>
              <w:t xml:space="preserve">potential </w:t>
            </w:r>
            <w:r w:rsidRPr="00861553">
              <w:rPr>
                <w:rFonts w:cs="Arial"/>
                <w:szCs w:val="22"/>
              </w:rPr>
              <w:t>benefits from opening up the analogue radio market to competition.</w:t>
            </w:r>
          </w:p>
        </w:tc>
      </w:tr>
    </w:tbl>
    <w:p w14:paraId="53C1D217" w14:textId="3720B22D" w:rsidR="00686F5E" w:rsidRPr="00861553" w:rsidRDefault="00686F5E" w:rsidP="00A264FD">
      <w:pPr>
        <w:pStyle w:val="IASpacer2"/>
        <w:spacing w:line="120" w:lineRule="auto"/>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720FFE" w:rsidRPr="00B96818" w14:paraId="62FEAAA1" w14:textId="77777777" w:rsidTr="008452D9">
        <w:tc>
          <w:tcPr>
            <w:tcW w:w="5000" w:type="pct"/>
            <w:shd w:val="clear" w:color="auto" w:fill="auto"/>
          </w:tcPr>
          <w:p w14:paraId="4DA58C28" w14:textId="17C159EB" w:rsidR="00720FFE" w:rsidRPr="00861553" w:rsidRDefault="00720FFE" w:rsidP="004D1922">
            <w:pPr>
              <w:pStyle w:val="IATableLabel"/>
              <w:spacing w:before="0" w:after="0"/>
              <w:rPr>
                <w:rFonts w:cs="Arial"/>
                <w:b w:val="0"/>
                <w:sz w:val="22"/>
                <w:szCs w:val="22"/>
              </w:rPr>
            </w:pPr>
            <w:r w:rsidRPr="00861553">
              <w:rPr>
                <w:rFonts w:cs="Arial"/>
                <w:sz w:val="22"/>
                <w:szCs w:val="22"/>
              </w:rPr>
              <w:t xml:space="preserve">Will the policy be reviewed?  </w:t>
            </w:r>
            <w:r w:rsidR="004D1922" w:rsidRPr="00D52397">
              <w:rPr>
                <w:rFonts w:cs="Arial"/>
                <w:b w:val="0"/>
                <w:sz w:val="22"/>
                <w:szCs w:val="22"/>
              </w:rPr>
              <w:t xml:space="preserve">Yes. </w:t>
            </w:r>
            <w:r w:rsidRPr="00861553">
              <w:rPr>
                <w:rFonts w:cs="Arial"/>
                <w:sz w:val="22"/>
                <w:szCs w:val="22"/>
              </w:rPr>
              <w:t>If applicable, set review date:</w:t>
            </w:r>
            <w:r w:rsidRPr="00861553">
              <w:rPr>
                <w:rFonts w:cs="Arial"/>
                <w:b w:val="0"/>
                <w:sz w:val="22"/>
                <w:szCs w:val="22"/>
              </w:rPr>
              <w:t xml:space="preserve">  </w:t>
            </w:r>
            <w:r w:rsidR="00A60B96" w:rsidRPr="00861553">
              <w:rPr>
                <w:rFonts w:cs="Arial"/>
                <w:b w:val="0"/>
                <w:sz w:val="22"/>
                <w:szCs w:val="22"/>
              </w:rPr>
              <w:t>2017 or 2018 as part of consideration of setting a future digital switchover timetable (subject to criteria on coverage and listening being met)</w:t>
            </w:r>
            <w:r w:rsidR="004D1922" w:rsidRPr="00861553">
              <w:rPr>
                <w:rFonts w:cs="Arial"/>
                <w:b w:val="0"/>
                <w:sz w:val="22"/>
                <w:szCs w:val="22"/>
              </w:rPr>
              <w:t>.</w:t>
            </w:r>
          </w:p>
        </w:tc>
      </w:tr>
    </w:tbl>
    <w:p w14:paraId="5EE4C2FF" w14:textId="77777777" w:rsidR="008452D9" w:rsidRPr="00861553" w:rsidRDefault="008452D9" w:rsidP="00A264FD">
      <w:pPr>
        <w:spacing w:line="120" w:lineRule="auto"/>
        <w:rPr>
          <w:rFonts w:cs="Arial"/>
          <w:vanish/>
          <w:sz w:val="22"/>
          <w:szCs w:val="22"/>
        </w:rPr>
      </w:pPr>
      <w:bookmarkStart w:id="9" w:name="Summary4"/>
      <w:bookmarkEnd w:id="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238"/>
        <w:gridCol w:w="975"/>
        <w:gridCol w:w="975"/>
        <w:gridCol w:w="975"/>
        <w:gridCol w:w="345"/>
        <w:gridCol w:w="713"/>
        <w:gridCol w:w="975"/>
        <w:gridCol w:w="19"/>
      </w:tblGrid>
      <w:tr w:rsidR="006656EC" w:rsidRPr="00B96818" w14:paraId="328A6B4A" w14:textId="77777777" w:rsidTr="002B6FB6">
        <w:trPr>
          <w:trHeight w:hRule="exact" w:val="340"/>
        </w:trPr>
        <w:tc>
          <w:tcPr>
            <w:tcW w:w="7175" w:type="dxa"/>
            <w:gridSpan w:val="3"/>
            <w:shd w:val="clear" w:color="auto" w:fill="E0E0E0"/>
            <w:vAlign w:val="center"/>
          </w:tcPr>
          <w:p w14:paraId="091988AE" w14:textId="77777777" w:rsidR="006656EC" w:rsidRPr="00861553" w:rsidRDefault="006656EC" w:rsidP="00B405DA">
            <w:pPr>
              <w:pStyle w:val="IATableText"/>
              <w:spacing w:before="0" w:after="0"/>
              <w:rPr>
                <w:rFonts w:cs="Arial"/>
                <w:szCs w:val="22"/>
              </w:rPr>
            </w:pPr>
            <w:r w:rsidRPr="00861553">
              <w:rPr>
                <w:rFonts w:cs="Arial"/>
                <w:szCs w:val="22"/>
              </w:rPr>
              <w:t>Does implementation go beyond minimum EU requirements?</w:t>
            </w:r>
          </w:p>
        </w:tc>
        <w:bookmarkStart w:id="10" w:name="IACheckEU"/>
        <w:tc>
          <w:tcPr>
            <w:tcW w:w="3021" w:type="dxa"/>
            <w:gridSpan w:val="5"/>
            <w:tcBorders>
              <w:bottom w:val="single" w:sz="4" w:space="0" w:color="auto"/>
            </w:tcBorders>
            <w:shd w:val="clear" w:color="auto" w:fill="E0E0E0"/>
            <w:vAlign w:val="center"/>
          </w:tcPr>
          <w:p w14:paraId="339D3F19" w14:textId="63C60456" w:rsidR="006656EC" w:rsidRPr="00861553" w:rsidRDefault="003A4CEE" w:rsidP="00B405DA">
            <w:pPr>
              <w:pStyle w:val="IAIOCheckEU"/>
              <w:rPr>
                <w:rFonts w:cs="Arial"/>
                <w:sz w:val="22"/>
                <w:szCs w:val="22"/>
              </w:rPr>
            </w:pPr>
            <w:r w:rsidRPr="00861553">
              <w:rPr>
                <w:rFonts w:cs="Arial"/>
                <w:sz w:val="22"/>
                <w:szCs w:val="22"/>
              </w:rPr>
              <w:fldChar w:fldCharType="begin">
                <w:ffData>
                  <w:name w:val="IACheckEU"/>
                  <w:enabled/>
                  <w:calcOnExit w:val="0"/>
                  <w:ddList>
                    <w:listEntry w:val="N/A"/>
                  </w:ddList>
                </w:ffData>
              </w:fldChar>
            </w:r>
            <w:r w:rsidRPr="00861553">
              <w:rPr>
                <w:rFonts w:cs="Arial"/>
                <w:sz w:val="22"/>
                <w:szCs w:val="22"/>
              </w:rPr>
              <w:instrText xml:space="preserve"> FORMDROPDOWN </w:instrText>
            </w:r>
            <w:r w:rsidRPr="00861553">
              <w:rPr>
                <w:rFonts w:cs="Arial"/>
                <w:sz w:val="22"/>
                <w:szCs w:val="22"/>
              </w:rPr>
            </w:r>
            <w:r w:rsidRPr="00861553">
              <w:rPr>
                <w:rFonts w:cs="Arial"/>
                <w:sz w:val="22"/>
                <w:szCs w:val="22"/>
              </w:rPr>
              <w:fldChar w:fldCharType="end"/>
            </w:r>
            <w:bookmarkEnd w:id="10"/>
          </w:p>
        </w:tc>
      </w:tr>
      <w:tr w:rsidR="006656EC" w:rsidRPr="00B96818" w14:paraId="79573CE6" w14:textId="77777777" w:rsidTr="002B6FB6">
        <w:trPr>
          <w:gridAfter w:val="1"/>
          <w:wAfter w:w="19" w:type="dxa"/>
          <w:trHeight w:val="460"/>
        </w:trPr>
        <w:tc>
          <w:tcPr>
            <w:tcW w:w="5229" w:type="dxa"/>
            <w:shd w:val="clear" w:color="auto" w:fill="E0E0E0"/>
            <w:vAlign w:val="center"/>
          </w:tcPr>
          <w:p w14:paraId="0342BB1F" w14:textId="77777777" w:rsidR="006656EC" w:rsidRPr="00861553" w:rsidRDefault="006656EC" w:rsidP="00B405DA">
            <w:pPr>
              <w:pStyle w:val="IATableText"/>
              <w:spacing w:before="0" w:after="0"/>
              <w:rPr>
                <w:rFonts w:cs="Arial"/>
                <w:szCs w:val="22"/>
              </w:rPr>
            </w:pPr>
            <w:r w:rsidRPr="00861553">
              <w:rPr>
                <w:rFonts w:cs="Arial"/>
                <w:szCs w:val="22"/>
              </w:rPr>
              <w:t>Are any of these organisations in scope? If Micros not exempted set out reason in Evidence Base.</w:t>
            </w:r>
          </w:p>
        </w:tc>
        <w:tc>
          <w:tcPr>
            <w:tcW w:w="973" w:type="dxa"/>
            <w:shd w:val="clear" w:color="auto" w:fill="E0E0E0"/>
            <w:vAlign w:val="center"/>
          </w:tcPr>
          <w:p w14:paraId="32114172" w14:textId="77777777" w:rsidR="006656EC" w:rsidRPr="00861553" w:rsidRDefault="006656EC" w:rsidP="00B405DA">
            <w:pPr>
              <w:pStyle w:val="IATableLines"/>
              <w:rPr>
                <w:rFonts w:cs="Arial"/>
                <w:b/>
                <w:color w:val="000000"/>
                <w:szCs w:val="22"/>
              </w:rPr>
            </w:pPr>
            <w:r w:rsidRPr="00861553">
              <w:rPr>
                <w:rFonts w:cs="Arial"/>
                <w:b/>
                <w:color w:val="000000"/>
                <w:szCs w:val="22"/>
              </w:rPr>
              <w:t>Micro</w:t>
            </w:r>
            <w:bookmarkStart w:id="11" w:name="IACheckMicro"/>
            <w:r w:rsidR="003A4CEE" w:rsidRPr="00861553">
              <w:rPr>
                <w:rStyle w:val="IAIOCheckMicroChar"/>
                <w:rFonts w:cs="Arial"/>
                <w:b w:val="0"/>
                <w:szCs w:val="22"/>
              </w:rPr>
              <w:fldChar w:fldCharType="begin">
                <w:ffData>
                  <w:name w:val="IACheckMicro"/>
                  <w:enabled/>
                  <w:calcOnExit w:val="0"/>
                  <w:ddList>
                    <w:listEntry w:val="Yes"/>
                  </w:ddList>
                </w:ffData>
              </w:fldChar>
            </w:r>
            <w:r w:rsidR="003A4CEE" w:rsidRPr="00861553">
              <w:rPr>
                <w:rStyle w:val="IAIOCheckMicroChar"/>
                <w:rFonts w:cs="Arial"/>
                <w:b w:val="0"/>
                <w:szCs w:val="22"/>
              </w:rPr>
              <w:instrText xml:space="preserve"> FORMDROPDOWN </w:instrText>
            </w:r>
            <w:r w:rsidR="003A4CEE" w:rsidRPr="00861553">
              <w:rPr>
                <w:rStyle w:val="IAIOCheckMicroChar"/>
                <w:rFonts w:cs="Arial"/>
                <w:b w:val="0"/>
                <w:szCs w:val="22"/>
              </w:rPr>
            </w:r>
            <w:r w:rsidR="003A4CEE" w:rsidRPr="00861553">
              <w:rPr>
                <w:rStyle w:val="IAIOCheckMicroChar"/>
                <w:rFonts w:cs="Arial"/>
                <w:b w:val="0"/>
                <w:szCs w:val="22"/>
              </w:rPr>
              <w:fldChar w:fldCharType="end"/>
            </w:r>
            <w:bookmarkEnd w:id="11"/>
          </w:p>
        </w:tc>
        <w:tc>
          <w:tcPr>
            <w:tcW w:w="973" w:type="dxa"/>
            <w:shd w:val="clear" w:color="auto" w:fill="E0E0E0"/>
            <w:vAlign w:val="center"/>
          </w:tcPr>
          <w:p w14:paraId="5B087A32" w14:textId="77777777" w:rsidR="00586D82" w:rsidRPr="00861553" w:rsidRDefault="006656EC" w:rsidP="00B405DA">
            <w:pPr>
              <w:pStyle w:val="IATableLines"/>
              <w:rPr>
                <w:rFonts w:cs="Arial"/>
                <w:b/>
                <w:color w:val="000000"/>
                <w:szCs w:val="22"/>
              </w:rPr>
            </w:pPr>
            <w:r w:rsidRPr="00861553">
              <w:rPr>
                <w:rFonts w:cs="Arial"/>
                <w:b/>
                <w:color w:val="000000"/>
                <w:szCs w:val="22"/>
              </w:rPr>
              <w:t>&lt; 20</w:t>
            </w:r>
          </w:p>
          <w:p w14:paraId="6F44C174" w14:textId="77777777" w:rsidR="006656EC" w:rsidRPr="00861553" w:rsidRDefault="00BB249D" w:rsidP="00B405DA">
            <w:pPr>
              <w:pStyle w:val="IAIOCheck20"/>
              <w:rPr>
                <w:rFonts w:cs="Arial"/>
                <w:b/>
                <w:color w:val="000000"/>
                <w:sz w:val="22"/>
                <w:szCs w:val="22"/>
              </w:rPr>
            </w:pPr>
            <w:r w:rsidRPr="00861553">
              <w:rPr>
                <w:rFonts w:cs="Arial"/>
                <w:b/>
                <w:color w:val="000000"/>
                <w:sz w:val="22"/>
                <w:szCs w:val="22"/>
              </w:rPr>
              <w:t xml:space="preserve"> </w:t>
            </w:r>
            <w:bookmarkStart w:id="12" w:name="IACheck20"/>
            <w:r w:rsidR="003A4CEE" w:rsidRPr="00861553">
              <w:rPr>
                <w:rFonts w:cs="Arial"/>
                <w:sz w:val="22"/>
                <w:szCs w:val="22"/>
              </w:rPr>
              <w:fldChar w:fldCharType="begin">
                <w:ffData>
                  <w:name w:val="IACheck20"/>
                  <w:enabled/>
                  <w:calcOnExit w:val="0"/>
                  <w:ddList>
                    <w:listEntry w:val="Yes"/>
                  </w:ddList>
                </w:ffData>
              </w:fldChar>
            </w:r>
            <w:r w:rsidR="003A4CEE" w:rsidRPr="00861553">
              <w:rPr>
                <w:rFonts w:cs="Arial"/>
                <w:sz w:val="22"/>
                <w:szCs w:val="22"/>
              </w:rPr>
              <w:instrText xml:space="preserve"> FORMDROPDOWN </w:instrText>
            </w:r>
            <w:r w:rsidR="003A4CEE" w:rsidRPr="00861553">
              <w:rPr>
                <w:rFonts w:cs="Arial"/>
                <w:sz w:val="22"/>
                <w:szCs w:val="22"/>
              </w:rPr>
            </w:r>
            <w:r w:rsidR="003A4CEE" w:rsidRPr="00861553">
              <w:rPr>
                <w:rFonts w:cs="Arial"/>
                <w:sz w:val="22"/>
                <w:szCs w:val="22"/>
              </w:rPr>
              <w:fldChar w:fldCharType="end"/>
            </w:r>
            <w:bookmarkEnd w:id="12"/>
          </w:p>
        </w:tc>
        <w:tc>
          <w:tcPr>
            <w:tcW w:w="973" w:type="dxa"/>
            <w:shd w:val="clear" w:color="auto" w:fill="E0E0E0"/>
            <w:vAlign w:val="center"/>
          </w:tcPr>
          <w:p w14:paraId="3BBE718F" w14:textId="77777777" w:rsidR="006656EC" w:rsidRPr="00861553" w:rsidRDefault="006656EC" w:rsidP="00B405DA">
            <w:pPr>
              <w:pStyle w:val="IATableLines"/>
              <w:rPr>
                <w:rFonts w:cs="Arial"/>
                <w:b/>
                <w:color w:val="000000"/>
                <w:szCs w:val="22"/>
              </w:rPr>
            </w:pPr>
            <w:r w:rsidRPr="00861553">
              <w:rPr>
                <w:rFonts w:cs="Arial"/>
                <w:b/>
                <w:color w:val="000000"/>
                <w:szCs w:val="22"/>
              </w:rPr>
              <w:t>Small</w:t>
            </w:r>
            <w:bookmarkStart w:id="13" w:name="IACheckSmall"/>
            <w:r w:rsidR="003A4CEE" w:rsidRPr="00861553">
              <w:rPr>
                <w:rStyle w:val="IAIOCheckSmallChar"/>
                <w:rFonts w:cs="Arial"/>
                <w:b w:val="0"/>
                <w:szCs w:val="22"/>
              </w:rPr>
              <w:fldChar w:fldCharType="begin">
                <w:ffData>
                  <w:name w:val="IACheckSmall"/>
                  <w:enabled/>
                  <w:calcOnExit w:val="0"/>
                  <w:ddList>
                    <w:listEntry w:val="Yes"/>
                  </w:ddList>
                </w:ffData>
              </w:fldChar>
            </w:r>
            <w:r w:rsidR="003A4CEE" w:rsidRPr="00861553">
              <w:rPr>
                <w:rStyle w:val="IAIOCheckSmallChar"/>
                <w:rFonts w:cs="Arial"/>
                <w:b w:val="0"/>
                <w:szCs w:val="22"/>
              </w:rPr>
              <w:instrText xml:space="preserve"> FORMDROPDOWN </w:instrText>
            </w:r>
            <w:r w:rsidR="003A4CEE" w:rsidRPr="00861553">
              <w:rPr>
                <w:rStyle w:val="IAIOCheckSmallChar"/>
                <w:rFonts w:cs="Arial"/>
                <w:b w:val="0"/>
                <w:szCs w:val="22"/>
              </w:rPr>
            </w:r>
            <w:r w:rsidR="003A4CEE" w:rsidRPr="00861553">
              <w:rPr>
                <w:rStyle w:val="IAIOCheckSmallChar"/>
                <w:rFonts w:cs="Arial"/>
                <w:b w:val="0"/>
                <w:szCs w:val="22"/>
              </w:rPr>
              <w:fldChar w:fldCharType="end"/>
            </w:r>
            <w:bookmarkEnd w:id="13"/>
          </w:p>
        </w:tc>
        <w:tc>
          <w:tcPr>
            <w:tcW w:w="1056" w:type="dxa"/>
            <w:gridSpan w:val="2"/>
            <w:shd w:val="clear" w:color="auto" w:fill="E0E0E0"/>
            <w:vAlign w:val="center"/>
          </w:tcPr>
          <w:p w14:paraId="14173C84" w14:textId="77777777" w:rsidR="006656EC" w:rsidRPr="00861553" w:rsidRDefault="006656EC" w:rsidP="00B405DA">
            <w:pPr>
              <w:pStyle w:val="IATableLines"/>
              <w:rPr>
                <w:rFonts w:cs="Arial"/>
                <w:b/>
                <w:color w:val="000000"/>
                <w:szCs w:val="22"/>
              </w:rPr>
            </w:pPr>
            <w:r w:rsidRPr="00861553">
              <w:rPr>
                <w:rFonts w:cs="Arial"/>
                <w:b/>
                <w:color w:val="000000"/>
                <w:szCs w:val="22"/>
              </w:rPr>
              <w:t>Medium</w:t>
            </w:r>
            <w:bookmarkStart w:id="14" w:name="IACheckMedium"/>
            <w:r w:rsidR="003932DD" w:rsidRPr="00861553">
              <w:rPr>
                <w:rStyle w:val="IAIOCheckMediumChar"/>
                <w:rFonts w:cs="Arial"/>
                <w:b w:val="0"/>
                <w:szCs w:val="22"/>
              </w:rPr>
              <w:fldChar w:fldCharType="begin">
                <w:ffData>
                  <w:name w:val="IACheckMedium"/>
                  <w:enabled/>
                  <w:calcOnExit w:val="0"/>
                  <w:ddList>
                    <w:listEntry w:val="Yes"/>
                  </w:ddList>
                </w:ffData>
              </w:fldChar>
            </w:r>
            <w:r w:rsidR="003932DD" w:rsidRPr="00861553">
              <w:rPr>
                <w:rStyle w:val="IAIOCheckMediumChar"/>
                <w:rFonts w:cs="Arial"/>
                <w:b w:val="0"/>
                <w:szCs w:val="22"/>
              </w:rPr>
              <w:instrText xml:space="preserve"> FORMDROPDOWN </w:instrText>
            </w:r>
            <w:r w:rsidR="003932DD" w:rsidRPr="00861553">
              <w:rPr>
                <w:rStyle w:val="IAIOCheckMediumChar"/>
                <w:rFonts w:cs="Arial"/>
                <w:b w:val="0"/>
                <w:szCs w:val="22"/>
              </w:rPr>
            </w:r>
            <w:r w:rsidR="003932DD" w:rsidRPr="00861553">
              <w:rPr>
                <w:rStyle w:val="IAIOCheckMediumChar"/>
                <w:rFonts w:cs="Arial"/>
                <w:b w:val="0"/>
                <w:szCs w:val="22"/>
              </w:rPr>
              <w:fldChar w:fldCharType="end"/>
            </w:r>
            <w:bookmarkEnd w:id="14"/>
          </w:p>
        </w:tc>
        <w:tc>
          <w:tcPr>
            <w:tcW w:w="973" w:type="dxa"/>
            <w:shd w:val="clear" w:color="auto" w:fill="E0E0E0"/>
            <w:vAlign w:val="center"/>
          </w:tcPr>
          <w:p w14:paraId="5A7944F4" w14:textId="77777777" w:rsidR="006656EC" w:rsidRPr="00861553" w:rsidRDefault="006656EC" w:rsidP="00B405DA">
            <w:pPr>
              <w:pStyle w:val="IATableLines"/>
              <w:rPr>
                <w:rFonts w:cs="Arial"/>
                <w:b/>
                <w:color w:val="000000"/>
                <w:szCs w:val="22"/>
              </w:rPr>
            </w:pPr>
            <w:r w:rsidRPr="00861553">
              <w:rPr>
                <w:rFonts w:cs="Arial"/>
                <w:b/>
                <w:color w:val="000000"/>
                <w:szCs w:val="22"/>
              </w:rPr>
              <w:t>Large</w:t>
            </w:r>
            <w:bookmarkStart w:id="15" w:name="IACheckLarge"/>
            <w:r w:rsidR="003932DD" w:rsidRPr="00861553">
              <w:rPr>
                <w:rStyle w:val="IAIOCheckLargeChar"/>
                <w:rFonts w:cs="Arial"/>
                <w:b w:val="0"/>
                <w:szCs w:val="22"/>
              </w:rPr>
              <w:fldChar w:fldCharType="begin">
                <w:ffData>
                  <w:name w:val="IACheckLarge"/>
                  <w:enabled/>
                  <w:calcOnExit w:val="0"/>
                  <w:ddList>
                    <w:listEntry w:val="Yes"/>
                  </w:ddList>
                </w:ffData>
              </w:fldChar>
            </w:r>
            <w:r w:rsidR="003932DD" w:rsidRPr="00861553">
              <w:rPr>
                <w:rStyle w:val="IAIOCheckLargeChar"/>
                <w:rFonts w:cs="Arial"/>
                <w:b w:val="0"/>
                <w:szCs w:val="22"/>
              </w:rPr>
              <w:instrText xml:space="preserve"> FORMDROPDOWN </w:instrText>
            </w:r>
            <w:r w:rsidR="003932DD" w:rsidRPr="00861553">
              <w:rPr>
                <w:rStyle w:val="IAIOCheckLargeChar"/>
                <w:rFonts w:cs="Arial"/>
                <w:b w:val="0"/>
                <w:szCs w:val="22"/>
              </w:rPr>
            </w:r>
            <w:r w:rsidR="003932DD" w:rsidRPr="00861553">
              <w:rPr>
                <w:rStyle w:val="IAIOCheckLargeChar"/>
                <w:rFonts w:cs="Arial"/>
                <w:b w:val="0"/>
                <w:szCs w:val="22"/>
              </w:rPr>
              <w:fldChar w:fldCharType="end"/>
            </w:r>
            <w:bookmarkEnd w:id="15"/>
          </w:p>
        </w:tc>
      </w:tr>
      <w:tr w:rsidR="00817638" w:rsidRPr="00B96818" w14:paraId="55AD3E14" w14:textId="77777777" w:rsidTr="002B6FB6">
        <w:tblPrEx>
          <w:shd w:val="clear" w:color="auto" w:fill="auto"/>
        </w:tblPrEx>
        <w:trPr>
          <w:trHeight w:hRule="exact" w:val="567"/>
        </w:trPr>
        <w:tc>
          <w:tcPr>
            <w:tcW w:w="717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2C831DA" w14:textId="77777777" w:rsidR="00817638" w:rsidRPr="00861553" w:rsidRDefault="00817638" w:rsidP="00B405DA">
            <w:pPr>
              <w:pStyle w:val="IATableText"/>
              <w:spacing w:before="0" w:after="0"/>
              <w:rPr>
                <w:rFonts w:cs="Arial"/>
                <w:szCs w:val="22"/>
              </w:rPr>
            </w:pPr>
            <w:r w:rsidRPr="00861553">
              <w:rPr>
                <w:rFonts w:cs="Arial"/>
                <w:szCs w:val="22"/>
              </w:rPr>
              <w:t>What is the CO</w:t>
            </w:r>
            <w:r w:rsidRPr="00861553">
              <w:rPr>
                <w:rFonts w:cs="Arial"/>
                <w:szCs w:val="22"/>
                <w:vertAlign w:val="subscript"/>
              </w:rPr>
              <w:t>2</w:t>
            </w:r>
            <w:r w:rsidRPr="00861553">
              <w:rPr>
                <w:rFonts w:cs="Arial"/>
                <w:szCs w:val="22"/>
              </w:rPr>
              <w:t xml:space="preserve"> equivalent change in greenhouse gas emissions? </w:t>
            </w:r>
            <w:r w:rsidRPr="00861553">
              <w:rPr>
                <w:rFonts w:cs="Arial"/>
                <w:szCs w:val="22"/>
              </w:rPr>
              <w:br/>
              <w:t xml:space="preserve">(Million tonnes </w:t>
            </w:r>
            <w:r w:rsidR="00FC07D5" w:rsidRPr="00861553">
              <w:rPr>
                <w:rFonts w:cs="Arial"/>
                <w:szCs w:val="22"/>
              </w:rPr>
              <w:t>CO</w:t>
            </w:r>
            <w:r w:rsidR="00FC07D5" w:rsidRPr="00861553">
              <w:rPr>
                <w:rFonts w:cs="Arial"/>
                <w:szCs w:val="22"/>
                <w:vertAlign w:val="subscript"/>
              </w:rPr>
              <w:t>2</w:t>
            </w:r>
            <w:r w:rsidRPr="00861553">
              <w:rPr>
                <w:rFonts w:cs="Arial"/>
                <w:szCs w:val="22"/>
              </w:rPr>
              <w:t xml:space="preserve"> equivalent)</w:t>
            </w:r>
            <w:r w:rsidRPr="00861553">
              <w:rPr>
                <w:rFonts w:cs="Arial"/>
                <w:spacing w:val="0"/>
                <w:szCs w:val="22"/>
              </w:rPr>
              <w:t xml:space="preserve">  </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0E0E0"/>
          </w:tcPr>
          <w:p w14:paraId="752D3A0E" w14:textId="2CC92441" w:rsidR="00817638" w:rsidRPr="00861553" w:rsidRDefault="00817638" w:rsidP="00B405DA">
            <w:pPr>
              <w:pStyle w:val="IATableLabel"/>
              <w:spacing w:before="0" w:after="0"/>
              <w:rPr>
                <w:rFonts w:cs="Arial"/>
                <w:sz w:val="22"/>
                <w:szCs w:val="22"/>
              </w:rPr>
            </w:pPr>
            <w:r w:rsidRPr="00861553">
              <w:rPr>
                <w:rFonts w:cs="Arial"/>
                <w:sz w:val="22"/>
                <w:szCs w:val="22"/>
              </w:rPr>
              <w:t xml:space="preserve">Traded:   </w:t>
            </w:r>
            <w:r w:rsidRPr="00861553">
              <w:rPr>
                <w:rFonts w:cs="Arial"/>
                <w:sz w:val="22"/>
                <w:szCs w:val="22"/>
              </w:rPr>
              <w:br/>
            </w:r>
            <w:r w:rsidR="003932DD" w:rsidRPr="00861553">
              <w:rPr>
                <w:rStyle w:val="IAIOCO2TradedChar"/>
                <w:rFonts w:cs="Arial"/>
                <w:szCs w:val="22"/>
              </w:rPr>
              <w:t>N/A</w:t>
            </w:r>
          </w:p>
        </w:tc>
        <w:tc>
          <w:tcPr>
            <w:tcW w:w="1704" w:type="dxa"/>
            <w:gridSpan w:val="3"/>
            <w:tcBorders>
              <w:top w:val="single" w:sz="4" w:space="0" w:color="auto"/>
              <w:left w:val="single" w:sz="4" w:space="0" w:color="auto"/>
              <w:bottom w:val="single" w:sz="4" w:space="0" w:color="auto"/>
              <w:right w:val="single" w:sz="4" w:space="0" w:color="auto"/>
            </w:tcBorders>
            <w:shd w:val="clear" w:color="auto" w:fill="E0E0E0"/>
          </w:tcPr>
          <w:p w14:paraId="63191E53" w14:textId="77777777" w:rsidR="00817638" w:rsidRPr="00861553" w:rsidRDefault="00817638" w:rsidP="00B405DA">
            <w:pPr>
              <w:pStyle w:val="IATableLabel"/>
              <w:spacing w:before="0" w:after="0"/>
              <w:rPr>
                <w:rFonts w:cs="Arial"/>
                <w:sz w:val="22"/>
                <w:szCs w:val="22"/>
              </w:rPr>
            </w:pPr>
            <w:r w:rsidRPr="00861553">
              <w:rPr>
                <w:rFonts w:cs="Arial"/>
                <w:sz w:val="22"/>
                <w:szCs w:val="22"/>
              </w:rPr>
              <w:t xml:space="preserve">Non-traded:   </w:t>
            </w:r>
            <w:r w:rsidRPr="00861553">
              <w:rPr>
                <w:rFonts w:cs="Arial"/>
                <w:sz w:val="22"/>
                <w:szCs w:val="22"/>
              </w:rPr>
              <w:br/>
            </w:r>
            <w:bookmarkStart w:id="16" w:name="IACO2NonTraded"/>
            <w:r w:rsidR="003932DD" w:rsidRPr="00861553">
              <w:rPr>
                <w:rStyle w:val="IAIOCO2NonTradedChar"/>
                <w:rFonts w:cs="Arial"/>
              </w:rPr>
              <w:t>N/A</w:t>
            </w:r>
            <w:r w:rsidR="00335C9A" w:rsidRPr="00861553">
              <w:rPr>
                <w:rStyle w:val="IAIOCO2NonTradedChar"/>
                <w:rFonts w:cs="Arial"/>
              </w:rPr>
              <w:fldChar w:fldCharType="begin">
                <w:ffData>
                  <w:name w:val="IACO2NonTraded"/>
                  <w:enabled/>
                  <w:calcOnExit w:val="0"/>
                  <w:textInput>
                    <w:maxLength w:val="8"/>
                  </w:textInput>
                </w:ffData>
              </w:fldChar>
            </w:r>
            <w:r w:rsidR="00335C9A" w:rsidRPr="00861553">
              <w:rPr>
                <w:rStyle w:val="IAIOCO2NonTradedChar"/>
                <w:rFonts w:cs="Arial"/>
              </w:rPr>
              <w:instrText xml:space="preserve"> FORMTEXT </w:instrText>
            </w:r>
            <w:r w:rsidR="00335C9A" w:rsidRPr="00861553">
              <w:rPr>
                <w:rStyle w:val="IAIOCO2NonTradedChar"/>
                <w:rFonts w:cs="Arial"/>
              </w:rPr>
            </w:r>
            <w:r w:rsidR="00335C9A" w:rsidRPr="00861553">
              <w:rPr>
                <w:rStyle w:val="IAIOCO2NonTradedChar"/>
                <w:rFonts w:cs="Arial"/>
              </w:rPr>
              <w:fldChar w:fldCharType="separate"/>
            </w:r>
            <w:r w:rsidR="00335C9A" w:rsidRPr="00861553">
              <w:rPr>
                <w:rStyle w:val="IAIOCO2NonTradedChar"/>
                <w:rFonts w:cs="Arial"/>
              </w:rPr>
              <w:t> </w:t>
            </w:r>
            <w:r w:rsidR="00335C9A" w:rsidRPr="00861553">
              <w:rPr>
                <w:rStyle w:val="IAIOCO2NonTradedChar"/>
                <w:rFonts w:cs="Arial"/>
              </w:rPr>
              <w:t> </w:t>
            </w:r>
            <w:r w:rsidR="00335C9A" w:rsidRPr="00861553">
              <w:rPr>
                <w:rStyle w:val="IAIOCO2NonTradedChar"/>
                <w:rFonts w:cs="Arial"/>
              </w:rPr>
              <w:t> </w:t>
            </w:r>
            <w:r w:rsidR="00335C9A" w:rsidRPr="00861553">
              <w:rPr>
                <w:rStyle w:val="IAIOCO2NonTradedChar"/>
                <w:rFonts w:cs="Arial"/>
              </w:rPr>
              <w:t> </w:t>
            </w:r>
            <w:r w:rsidR="00335C9A" w:rsidRPr="00861553">
              <w:rPr>
                <w:rStyle w:val="IAIOCO2NonTradedChar"/>
                <w:rFonts w:cs="Arial"/>
              </w:rPr>
              <w:t> </w:t>
            </w:r>
            <w:r w:rsidR="00335C9A" w:rsidRPr="00861553">
              <w:rPr>
                <w:rStyle w:val="IAIOCO2NonTradedChar"/>
                <w:rFonts w:cs="Arial"/>
              </w:rPr>
              <w:fldChar w:fldCharType="end"/>
            </w:r>
            <w:bookmarkEnd w:id="16"/>
          </w:p>
        </w:tc>
      </w:tr>
    </w:tbl>
    <w:p w14:paraId="72335CA1" w14:textId="6DA72EDB" w:rsidR="00452B35" w:rsidRPr="00861553" w:rsidRDefault="00452B35" w:rsidP="00B405DA">
      <w:pPr>
        <w:pStyle w:val="IASign-off"/>
        <w:rPr>
          <w:rFonts w:cs="Arial"/>
          <w:szCs w:val="22"/>
        </w:rPr>
      </w:pPr>
      <w:bookmarkStart w:id="17" w:name="SignOfftext"/>
      <w:bookmarkEnd w:id="9"/>
      <w:r w:rsidRPr="00861553">
        <w:rPr>
          <w:rFonts w:cs="Arial"/>
          <w:szCs w:val="22"/>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894"/>
        <w:gridCol w:w="2708"/>
        <w:gridCol w:w="625"/>
        <w:gridCol w:w="1978"/>
      </w:tblGrid>
      <w:tr w:rsidR="00452B35" w:rsidRPr="00B96818" w14:paraId="7E3A855D" w14:textId="77777777" w:rsidTr="00194E96">
        <w:trPr>
          <w:trHeight w:hRule="exact" w:val="767"/>
        </w:trPr>
        <w:tc>
          <w:tcPr>
            <w:tcW w:w="2350" w:type="pct"/>
            <w:vAlign w:val="bottom"/>
          </w:tcPr>
          <w:p w14:paraId="377584C0" w14:textId="77777777" w:rsidR="00452B35" w:rsidRPr="00861553" w:rsidRDefault="00452B35" w:rsidP="00B405DA">
            <w:pPr>
              <w:pStyle w:val="IASignature"/>
              <w:tabs>
                <w:tab w:val="clear" w:pos="6804"/>
                <w:tab w:val="left" w:leader="dot" w:pos="7380"/>
              </w:tabs>
              <w:rPr>
                <w:rFonts w:cs="Arial"/>
                <w:szCs w:val="22"/>
              </w:rPr>
            </w:pPr>
            <w:r w:rsidRPr="00861553">
              <w:rPr>
                <w:rFonts w:cs="Arial"/>
                <w:szCs w:val="22"/>
              </w:rPr>
              <w:t xml:space="preserve">Signed by the responsible </w:t>
            </w:r>
            <w:bookmarkStart w:id="18" w:name="IASignedBy"/>
            <w:r w:rsidR="003932DD" w:rsidRPr="00861553">
              <w:rPr>
                <w:rFonts w:cs="Arial"/>
                <w:szCs w:val="22"/>
              </w:rPr>
              <w:fldChar w:fldCharType="begin">
                <w:ffData>
                  <w:name w:val="IASignedBy"/>
                  <w:enabled/>
                  <w:calcOnExit w:val="0"/>
                  <w:ddList>
                    <w:listEntry w:val="Minister"/>
                  </w:ddList>
                </w:ffData>
              </w:fldChar>
            </w:r>
            <w:r w:rsidR="003932DD" w:rsidRPr="00861553">
              <w:rPr>
                <w:rFonts w:cs="Arial"/>
                <w:szCs w:val="22"/>
              </w:rPr>
              <w:instrText xml:space="preserve"> FORMDROPDOWN </w:instrText>
            </w:r>
            <w:r w:rsidR="003932DD" w:rsidRPr="00861553">
              <w:rPr>
                <w:rFonts w:cs="Arial"/>
                <w:szCs w:val="22"/>
              </w:rPr>
            </w:r>
            <w:r w:rsidR="003932DD" w:rsidRPr="00861553">
              <w:rPr>
                <w:rFonts w:cs="Arial"/>
                <w:szCs w:val="22"/>
              </w:rPr>
              <w:fldChar w:fldCharType="end"/>
            </w:r>
            <w:bookmarkEnd w:id="18"/>
            <w:r w:rsidRPr="00861553">
              <w:rPr>
                <w:rFonts w:cs="Arial"/>
                <w:szCs w:val="22"/>
              </w:rPr>
              <w:t>:</w:t>
            </w:r>
          </w:p>
        </w:tc>
        <w:tc>
          <w:tcPr>
            <w:tcW w:w="1300" w:type="pct"/>
            <w:tcBorders>
              <w:bottom w:val="dashSmallGap" w:sz="4" w:space="0" w:color="auto"/>
            </w:tcBorders>
            <w:vAlign w:val="bottom"/>
          </w:tcPr>
          <w:p w14:paraId="327281C2" w14:textId="259FA62F" w:rsidR="00452B35" w:rsidRPr="00861553" w:rsidRDefault="009F1111" w:rsidP="00B405DA">
            <w:pPr>
              <w:pStyle w:val="IAIOtextSign"/>
              <w:rPr>
                <w:rFonts w:cs="Arial"/>
                <w:sz w:val="22"/>
                <w:szCs w:val="22"/>
              </w:rPr>
            </w:pPr>
            <w:r>
              <w:rPr>
                <w:noProof/>
                <w:lang w:val="en-US"/>
              </w:rPr>
              <w:drawing>
                <wp:anchor distT="0" distB="0" distL="114300" distR="114300" simplePos="0" relativeHeight="251658240" behindDoc="0" locked="0" layoutInCell="1" allowOverlap="1" wp14:anchorId="5EF9AB65" wp14:editId="181D34E5">
                  <wp:simplePos x="0" y="0"/>
                  <wp:positionH relativeFrom="column">
                    <wp:posOffset>256540</wp:posOffset>
                  </wp:positionH>
                  <wp:positionV relativeFrom="paragraph">
                    <wp:posOffset>-193675</wp:posOffset>
                  </wp:positionV>
                  <wp:extent cx="1116330" cy="3327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316" t="32780" r="61032" b="63676"/>
                          <a:stretch/>
                        </pic:blipFill>
                        <pic:spPr bwMode="auto">
                          <a:xfrm>
                            <a:off x="0" y="0"/>
                            <a:ext cx="1116330" cy="33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0" w:type="pct"/>
            <w:vAlign w:val="bottom"/>
          </w:tcPr>
          <w:p w14:paraId="6DE8B84E" w14:textId="5A0FA7A7" w:rsidR="00452B35" w:rsidRPr="00861553" w:rsidRDefault="00452B35" w:rsidP="00B405DA">
            <w:pPr>
              <w:pStyle w:val="IASignature"/>
              <w:tabs>
                <w:tab w:val="clear" w:pos="6804"/>
                <w:tab w:val="left" w:leader="dot" w:pos="7380"/>
              </w:tabs>
              <w:rPr>
                <w:rFonts w:cs="Arial"/>
                <w:szCs w:val="22"/>
              </w:rPr>
            </w:pPr>
            <w:r w:rsidRPr="00861553">
              <w:rPr>
                <w:rFonts w:cs="Arial"/>
                <w:szCs w:val="22"/>
              </w:rPr>
              <w:t> Date:</w:t>
            </w:r>
          </w:p>
        </w:tc>
        <w:tc>
          <w:tcPr>
            <w:tcW w:w="950" w:type="pct"/>
            <w:tcBorders>
              <w:bottom w:val="dashSmallGap" w:sz="4" w:space="0" w:color="auto"/>
            </w:tcBorders>
            <w:vAlign w:val="bottom"/>
          </w:tcPr>
          <w:p w14:paraId="13F37775" w14:textId="183E7C6D" w:rsidR="00452B35" w:rsidRPr="00861553" w:rsidRDefault="009F1111" w:rsidP="00B405DA">
            <w:pPr>
              <w:pStyle w:val="IAIOSigDate"/>
              <w:rPr>
                <w:rFonts w:cs="Arial"/>
              </w:rPr>
            </w:pPr>
            <w:bookmarkStart w:id="19" w:name="SigDate"/>
            <w:r>
              <w:rPr>
                <w:rFonts w:cs="Arial"/>
              </w:rPr>
              <w:t>4/2/15</w:t>
            </w:r>
            <w:r w:rsidR="00452B35" w:rsidRPr="00861553">
              <w:rPr>
                <w:rFonts w:cs="Arial"/>
              </w:rPr>
              <w:fldChar w:fldCharType="begin">
                <w:ffData>
                  <w:name w:val="SigDate"/>
                  <w:enabled/>
                  <w:calcOnExit w:val="0"/>
                  <w:textInput/>
                </w:ffData>
              </w:fldChar>
            </w:r>
            <w:r w:rsidR="00452B35" w:rsidRPr="00861553">
              <w:rPr>
                <w:rFonts w:cs="Arial"/>
              </w:rPr>
              <w:instrText xml:space="preserve"> FORMTEXT </w:instrText>
            </w:r>
            <w:r w:rsidR="00452B35" w:rsidRPr="00861553">
              <w:rPr>
                <w:rFonts w:cs="Arial"/>
              </w:rPr>
            </w:r>
            <w:r w:rsidR="00452B35" w:rsidRPr="00861553">
              <w:rPr>
                <w:rFonts w:cs="Arial"/>
              </w:rPr>
              <w:fldChar w:fldCharType="separate"/>
            </w:r>
            <w:r w:rsidR="00452B35" w:rsidRPr="00861553">
              <w:rPr>
                <w:rFonts w:cs="Arial"/>
              </w:rPr>
              <w:t> </w:t>
            </w:r>
            <w:r w:rsidR="00452B35" w:rsidRPr="00861553">
              <w:rPr>
                <w:rFonts w:cs="Arial"/>
              </w:rPr>
              <w:t> </w:t>
            </w:r>
            <w:r w:rsidR="00452B35" w:rsidRPr="00861553">
              <w:rPr>
                <w:rFonts w:cs="Arial"/>
              </w:rPr>
              <w:t> </w:t>
            </w:r>
            <w:r w:rsidR="00452B35" w:rsidRPr="00861553">
              <w:rPr>
                <w:rFonts w:cs="Arial"/>
              </w:rPr>
              <w:t> </w:t>
            </w:r>
            <w:r w:rsidR="00452B35" w:rsidRPr="00861553">
              <w:rPr>
                <w:rFonts w:cs="Arial"/>
              </w:rPr>
              <w:t> </w:t>
            </w:r>
            <w:r w:rsidR="00452B35" w:rsidRPr="00861553">
              <w:rPr>
                <w:rFonts w:cs="Arial"/>
              </w:rPr>
              <w:fldChar w:fldCharType="end"/>
            </w:r>
            <w:bookmarkEnd w:id="19"/>
          </w:p>
        </w:tc>
      </w:tr>
      <w:bookmarkEnd w:id="17"/>
    </w:tbl>
    <w:p w14:paraId="261B3407" w14:textId="77777777" w:rsidR="00773B58" w:rsidRPr="00861553" w:rsidRDefault="00773B58" w:rsidP="00B405DA">
      <w:pPr>
        <w:rPr>
          <w:rFonts w:cs="Arial"/>
          <w:sz w:val="22"/>
          <w:szCs w:val="22"/>
        </w:rPr>
        <w:sectPr w:rsidR="00773B58" w:rsidRPr="00861553" w:rsidSect="00194E96">
          <w:headerReference w:type="default" r:id="rId10"/>
          <w:footerReference w:type="default" r:id="rId11"/>
          <w:footnotePr>
            <w:numRestart w:val="eachSect"/>
          </w:footnotePr>
          <w:pgSz w:w="11907" w:h="16840" w:code="9"/>
          <w:pgMar w:top="680" w:right="851" w:bottom="680" w:left="851" w:header="284" w:footer="284" w:gutter="0"/>
          <w:cols w:space="708"/>
          <w:docGrid w:linePitch="360"/>
        </w:sectPr>
      </w:pPr>
    </w:p>
    <w:p w14:paraId="7CA7B21A" w14:textId="77777777" w:rsidR="001844B6" w:rsidRPr="00861553" w:rsidRDefault="001844B6" w:rsidP="00B405DA">
      <w:pPr>
        <w:pStyle w:val="Heading1"/>
        <w:spacing w:before="0" w:after="0"/>
        <w:rPr>
          <w:rFonts w:ascii="Arial" w:hAnsi="Arial"/>
          <w:sz w:val="22"/>
          <w:szCs w:val="22"/>
        </w:rPr>
      </w:pPr>
      <w:r w:rsidRPr="00861553">
        <w:rPr>
          <w:rFonts w:ascii="Arial" w:hAnsi="Arial"/>
          <w:sz w:val="22"/>
          <w:szCs w:val="22"/>
        </w:rPr>
        <w:lastRenderedPageBreak/>
        <w:t>Summary: Analysis &amp; Evidence</w:t>
      </w:r>
      <w:r w:rsidRPr="00861553">
        <w:rPr>
          <w:rFonts w:ascii="Arial" w:hAnsi="Arial"/>
          <w:sz w:val="22"/>
          <w:szCs w:val="22"/>
        </w:rPr>
        <w:tab/>
      </w:r>
      <w:r w:rsidRPr="00861553">
        <w:rPr>
          <w:rFonts w:ascii="Arial" w:hAnsi="Arial"/>
          <w:b w:val="0"/>
          <w:sz w:val="22"/>
          <w:szCs w:val="22"/>
        </w:rPr>
        <w:t xml:space="preserve">Policy Option </w:t>
      </w:r>
      <w:r w:rsidR="0064547B" w:rsidRPr="00861553">
        <w:rPr>
          <w:rFonts w:ascii="Arial" w:hAnsi="Arial"/>
          <w:b w:val="0"/>
          <w:sz w:val="22"/>
          <w:szCs w:val="22"/>
        </w:rPr>
        <w:t>2</w:t>
      </w:r>
    </w:p>
    <w:p w14:paraId="48688D2D" w14:textId="77777777" w:rsidR="001F123E" w:rsidRPr="00861553" w:rsidRDefault="001F123E" w:rsidP="00A264FD">
      <w:pPr>
        <w:pStyle w:val="IAHeadLabel0"/>
        <w:spacing w:after="60"/>
        <w:ind w:left="113"/>
        <w:rPr>
          <w:rFonts w:cs="Arial"/>
          <w:sz w:val="22"/>
          <w:szCs w:val="22"/>
        </w:rPr>
      </w:pPr>
      <w:r w:rsidRPr="00861553">
        <w:rPr>
          <w:rFonts w:cs="Arial"/>
          <w:sz w:val="22"/>
          <w:szCs w:val="22"/>
        </w:rPr>
        <w:t>Review of current funding restrictions for community radio</w:t>
      </w:r>
    </w:p>
    <w:p w14:paraId="6DFCC964" w14:textId="3EFB38FF" w:rsidR="001844B6" w:rsidRPr="00861553" w:rsidRDefault="001844B6" w:rsidP="00B405DA">
      <w:pPr>
        <w:pStyle w:val="IAHeadLabel"/>
        <w:spacing w:before="0" w:after="0"/>
        <w:rPr>
          <w:rFonts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0"/>
        <w:gridCol w:w="1259"/>
        <w:gridCol w:w="1439"/>
        <w:gridCol w:w="1799"/>
        <w:gridCol w:w="1826"/>
        <w:gridCol w:w="2632"/>
      </w:tblGrid>
      <w:tr w:rsidR="008452D9" w:rsidRPr="00B96818" w14:paraId="55B65094" w14:textId="77777777" w:rsidTr="00AC6859">
        <w:trPr>
          <w:trHeight w:val="218"/>
        </w:trPr>
        <w:tc>
          <w:tcPr>
            <w:tcW w:w="1265" w:type="dxa"/>
            <w:vMerge w:val="restart"/>
            <w:shd w:val="clear" w:color="auto" w:fill="auto"/>
          </w:tcPr>
          <w:p w14:paraId="15C6FD90" w14:textId="745E7A03" w:rsidR="001844B6" w:rsidRPr="00861553" w:rsidRDefault="001844B6" w:rsidP="00B405DA">
            <w:pPr>
              <w:pStyle w:val="POPBY"/>
              <w:spacing w:before="0" w:after="0"/>
              <w:rPr>
                <w:rFonts w:cs="Arial"/>
                <w:sz w:val="22"/>
                <w:szCs w:val="22"/>
              </w:rPr>
            </w:pPr>
            <w:r w:rsidRPr="00861553">
              <w:rPr>
                <w:rFonts w:cs="Arial"/>
                <w:sz w:val="22"/>
                <w:szCs w:val="22"/>
              </w:rPr>
              <w:t xml:space="preserve">Price Base Year  </w:t>
            </w:r>
            <w:r w:rsidR="004B1D47">
              <w:rPr>
                <w:rFonts w:cs="Arial"/>
                <w:sz w:val="22"/>
                <w:szCs w:val="22"/>
              </w:rPr>
              <w:t>2014</w:t>
            </w:r>
          </w:p>
        </w:tc>
        <w:tc>
          <w:tcPr>
            <w:tcW w:w="1255" w:type="dxa"/>
            <w:vMerge w:val="restart"/>
            <w:shd w:val="clear" w:color="auto" w:fill="auto"/>
          </w:tcPr>
          <w:p w14:paraId="0DFA3716" w14:textId="77777777" w:rsidR="001844B6" w:rsidRPr="00861553" w:rsidRDefault="001844B6" w:rsidP="00CE5E4B">
            <w:pPr>
              <w:pStyle w:val="POPVBY"/>
              <w:spacing w:before="0" w:after="0"/>
              <w:rPr>
                <w:rFonts w:cs="Arial"/>
                <w:sz w:val="22"/>
                <w:szCs w:val="22"/>
              </w:rPr>
            </w:pPr>
            <w:r w:rsidRPr="00861553">
              <w:rPr>
                <w:rFonts w:cs="Arial"/>
                <w:sz w:val="22"/>
                <w:szCs w:val="22"/>
              </w:rPr>
              <w:t xml:space="preserve">PV Base Year  </w:t>
            </w:r>
            <w:r w:rsidR="00CE5E4B" w:rsidRPr="00861553">
              <w:rPr>
                <w:rFonts w:cs="Arial"/>
                <w:color w:val="auto"/>
                <w:sz w:val="22"/>
                <w:szCs w:val="22"/>
              </w:rPr>
              <w:t>2014</w:t>
            </w:r>
          </w:p>
        </w:tc>
        <w:tc>
          <w:tcPr>
            <w:tcW w:w="1434" w:type="dxa"/>
            <w:vMerge w:val="restart"/>
            <w:tcBorders>
              <w:right w:val="single" w:sz="12" w:space="0" w:color="auto"/>
            </w:tcBorders>
            <w:shd w:val="clear" w:color="auto" w:fill="auto"/>
          </w:tcPr>
          <w:p w14:paraId="531FFC31" w14:textId="77777777" w:rsidR="00A82240" w:rsidRPr="00861553" w:rsidRDefault="001844B6" w:rsidP="00CE5E4B">
            <w:pPr>
              <w:pStyle w:val="POTPY"/>
              <w:spacing w:before="0" w:after="0"/>
              <w:rPr>
                <w:rFonts w:cs="Arial"/>
                <w:sz w:val="22"/>
                <w:szCs w:val="22"/>
              </w:rPr>
            </w:pPr>
            <w:r w:rsidRPr="00861553">
              <w:rPr>
                <w:rFonts w:cs="Arial"/>
                <w:sz w:val="22"/>
                <w:szCs w:val="22"/>
              </w:rPr>
              <w:t xml:space="preserve">Time Period Years  </w:t>
            </w:r>
            <w:r w:rsidR="00A82240" w:rsidRPr="00861553">
              <w:rPr>
                <w:rFonts w:cs="Arial"/>
                <w:sz w:val="22"/>
                <w:szCs w:val="22"/>
              </w:rPr>
              <w:t>5</w:t>
            </w:r>
          </w:p>
        </w:tc>
        <w:tc>
          <w:tcPr>
            <w:tcW w:w="6236" w:type="dxa"/>
            <w:gridSpan w:val="3"/>
            <w:tcBorders>
              <w:top w:val="single" w:sz="12" w:space="0" w:color="auto"/>
              <w:left w:val="single" w:sz="12" w:space="0" w:color="auto"/>
              <w:bottom w:val="single" w:sz="4" w:space="0" w:color="auto"/>
              <w:right w:val="single" w:sz="12" w:space="0" w:color="auto"/>
            </w:tcBorders>
            <w:shd w:val="clear" w:color="auto" w:fill="FFFFFF"/>
          </w:tcPr>
          <w:p w14:paraId="0D1ABC4B" w14:textId="77777777" w:rsidR="001844B6" w:rsidRPr="00861553" w:rsidRDefault="001844B6" w:rsidP="00B405DA">
            <w:pPr>
              <w:pStyle w:val="IATableLabel"/>
              <w:spacing w:before="0" w:after="0"/>
              <w:jc w:val="center"/>
              <w:rPr>
                <w:rFonts w:cs="Arial"/>
                <w:sz w:val="22"/>
                <w:szCs w:val="22"/>
              </w:rPr>
            </w:pPr>
            <w:r w:rsidRPr="00861553">
              <w:rPr>
                <w:rFonts w:cs="Arial"/>
                <w:sz w:val="22"/>
                <w:szCs w:val="22"/>
              </w:rPr>
              <w:t>Net Benefit (Present Value (PV)) (£m)</w:t>
            </w:r>
          </w:p>
        </w:tc>
      </w:tr>
      <w:tr w:rsidR="008452D9" w:rsidRPr="00B96818" w14:paraId="4F5A4034" w14:textId="77777777" w:rsidTr="00861553">
        <w:trPr>
          <w:trHeight w:hRule="exact" w:val="490"/>
        </w:trPr>
        <w:tc>
          <w:tcPr>
            <w:tcW w:w="1265" w:type="dxa"/>
            <w:vMerge/>
            <w:shd w:val="clear" w:color="auto" w:fill="auto"/>
          </w:tcPr>
          <w:p w14:paraId="4E3E149B" w14:textId="77777777" w:rsidR="001844B6" w:rsidRPr="00861553" w:rsidRDefault="001844B6" w:rsidP="00B405DA">
            <w:pPr>
              <w:pStyle w:val="IATableNotes"/>
              <w:spacing w:before="0" w:after="0"/>
              <w:ind w:left="0"/>
              <w:rPr>
                <w:rFonts w:cs="Arial"/>
                <w:b/>
                <w:sz w:val="22"/>
                <w:szCs w:val="22"/>
              </w:rPr>
            </w:pPr>
          </w:p>
        </w:tc>
        <w:tc>
          <w:tcPr>
            <w:tcW w:w="1255" w:type="dxa"/>
            <w:vMerge/>
            <w:shd w:val="clear" w:color="auto" w:fill="auto"/>
          </w:tcPr>
          <w:p w14:paraId="3EA96C27" w14:textId="77777777" w:rsidR="001844B6" w:rsidRPr="00861553" w:rsidRDefault="001844B6" w:rsidP="00B405DA">
            <w:pPr>
              <w:pStyle w:val="IATableNotes"/>
              <w:spacing w:before="0" w:after="0"/>
              <w:ind w:left="0"/>
              <w:rPr>
                <w:rFonts w:cs="Arial"/>
                <w:b/>
                <w:sz w:val="22"/>
                <w:szCs w:val="22"/>
              </w:rPr>
            </w:pPr>
          </w:p>
        </w:tc>
        <w:tc>
          <w:tcPr>
            <w:tcW w:w="1434" w:type="dxa"/>
            <w:vMerge/>
            <w:tcBorders>
              <w:right w:val="single" w:sz="12" w:space="0" w:color="auto"/>
            </w:tcBorders>
            <w:shd w:val="clear" w:color="auto" w:fill="auto"/>
          </w:tcPr>
          <w:p w14:paraId="04A6F8F3" w14:textId="77777777" w:rsidR="001844B6" w:rsidRPr="00861553" w:rsidRDefault="001844B6" w:rsidP="00B405DA">
            <w:pPr>
              <w:pStyle w:val="IATableNotes"/>
              <w:spacing w:before="0" w:after="0"/>
              <w:ind w:left="0"/>
              <w:rPr>
                <w:rFonts w:cs="Arial"/>
                <w:b/>
                <w:sz w:val="22"/>
                <w:szCs w:val="22"/>
              </w:rPr>
            </w:pPr>
          </w:p>
        </w:tc>
        <w:tc>
          <w:tcPr>
            <w:tcW w:w="1793" w:type="dxa"/>
            <w:tcBorders>
              <w:top w:val="single" w:sz="4" w:space="0" w:color="auto"/>
              <w:left w:val="single" w:sz="12" w:space="0" w:color="auto"/>
              <w:bottom w:val="single" w:sz="12" w:space="0" w:color="auto"/>
              <w:right w:val="single" w:sz="4" w:space="0" w:color="auto"/>
            </w:tcBorders>
            <w:shd w:val="clear" w:color="auto" w:fill="auto"/>
          </w:tcPr>
          <w:p w14:paraId="14A94185" w14:textId="0EF9C647" w:rsidR="001844B6" w:rsidRPr="00861553" w:rsidRDefault="001844B6" w:rsidP="00B405DA">
            <w:pPr>
              <w:pStyle w:val="IATableLabel"/>
              <w:spacing w:before="0" w:after="0"/>
              <w:rPr>
                <w:rFonts w:cs="Arial"/>
                <w:sz w:val="22"/>
                <w:szCs w:val="22"/>
              </w:rPr>
            </w:pPr>
            <w:r w:rsidRPr="00861553">
              <w:rPr>
                <w:rFonts w:cs="Arial"/>
                <w:sz w:val="22"/>
                <w:szCs w:val="22"/>
              </w:rPr>
              <w:t xml:space="preserve">Low: </w:t>
            </w:r>
            <w:r w:rsidR="009A699A" w:rsidRPr="00861553">
              <w:rPr>
                <w:rFonts w:cs="Arial"/>
                <w:sz w:val="22"/>
                <w:szCs w:val="22"/>
              </w:rPr>
              <w:t>2</w:t>
            </w:r>
            <w:r w:rsidR="00BE2726" w:rsidRPr="00861553">
              <w:rPr>
                <w:rFonts w:cs="Arial"/>
                <w:sz w:val="22"/>
                <w:szCs w:val="22"/>
              </w:rPr>
              <w:t>.</w:t>
            </w:r>
            <w:r w:rsidR="004B1D47">
              <w:rPr>
                <w:rFonts w:cs="Arial"/>
                <w:sz w:val="22"/>
                <w:szCs w:val="22"/>
              </w:rPr>
              <w:t>54</w:t>
            </w:r>
          </w:p>
        </w:tc>
        <w:tc>
          <w:tcPr>
            <w:tcW w:w="1820" w:type="dxa"/>
            <w:tcBorders>
              <w:top w:val="single" w:sz="4" w:space="0" w:color="auto"/>
              <w:left w:val="single" w:sz="4" w:space="0" w:color="auto"/>
              <w:bottom w:val="single" w:sz="12" w:space="0" w:color="auto"/>
              <w:right w:val="single" w:sz="12" w:space="0" w:color="auto"/>
            </w:tcBorders>
            <w:shd w:val="clear" w:color="auto" w:fill="auto"/>
          </w:tcPr>
          <w:p w14:paraId="3C434A7B" w14:textId="4C955BF0" w:rsidR="001844B6" w:rsidRPr="00861553" w:rsidRDefault="001844B6" w:rsidP="00B405DA">
            <w:pPr>
              <w:pStyle w:val="IATableLabel"/>
              <w:spacing w:before="0" w:after="0"/>
              <w:rPr>
                <w:rFonts w:cs="Arial"/>
                <w:sz w:val="22"/>
                <w:szCs w:val="22"/>
              </w:rPr>
            </w:pPr>
            <w:r w:rsidRPr="00861553">
              <w:rPr>
                <w:rFonts w:cs="Arial"/>
                <w:sz w:val="22"/>
                <w:szCs w:val="22"/>
              </w:rPr>
              <w:t xml:space="preserve">High: </w:t>
            </w:r>
            <w:r w:rsidR="009A699A" w:rsidRPr="00861553">
              <w:rPr>
                <w:rFonts w:cs="Arial"/>
                <w:sz w:val="22"/>
                <w:szCs w:val="22"/>
              </w:rPr>
              <w:t>7</w:t>
            </w:r>
            <w:r w:rsidR="00BE2726" w:rsidRPr="00861553">
              <w:rPr>
                <w:rFonts w:cs="Arial"/>
                <w:sz w:val="22"/>
                <w:szCs w:val="22"/>
              </w:rPr>
              <w:t>.</w:t>
            </w:r>
            <w:r w:rsidR="004B1D47">
              <w:rPr>
                <w:rFonts w:cs="Arial"/>
                <w:sz w:val="22"/>
                <w:szCs w:val="22"/>
              </w:rPr>
              <w:t>18</w:t>
            </w:r>
          </w:p>
        </w:tc>
        <w:tc>
          <w:tcPr>
            <w:tcW w:w="2623" w:type="dxa"/>
            <w:tcBorders>
              <w:top w:val="single" w:sz="12" w:space="0" w:color="auto"/>
              <w:left w:val="single" w:sz="12" w:space="0" w:color="auto"/>
              <w:bottom w:val="single" w:sz="12" w:space="0" w:color="auto"/>
              <w:right w:val="single" w:sz="12" w:space="0" w:color="auto"/>
            </w:tcBorders>
            <w:shd w:val="clear" w:color="auto" w:fill="FFFFFF"/>
          </w:tcPr>
          <w:p w14:paraId="7C8D2F3D" w14:textId="2C9D9D05" w:rsidR="001844B6" w:rsidRPr="00861553" w:rsidRDefault="001844B6" w:rsidP="00FB623A">
            <w:pPr>
              <w:pStyle w:val="IATableLabel"/>
              <w:spacing w:before="0" w:after="0"/>
              <w:rPr>
                <w:rFonts w:cs="Arial"/>
                <w:sz w:val="22"/>
                <w:szCs w:val="22"/>
              </w:rPr>
            </w:pPr>
            <w:r w:rsidRPr="00861553">
              <w:rPr>
                <w:rFonts w:cs="Arial"/>
                <w:sz w:val="22"/>
                <w:szCs w:val="22"/>
              </w:rPr>
              <w:t>Best Estimate:</w:t>
            </w:r>
            <w:r w:rsidR="00DD75BE" w:rsidRPr="00861553">
              <w:rPr>
                <w:rFonts w:cs="Arial"/>
                <w:sz w:val="22"/>
                <w:szCs w:val="22"/>
              </w:rPr>
              <w:t xml:space="preserve"> </w:t>
            </w:r>
            <w:r w:rsidR="009A699A" w:rsidRPr="00861553">
              <w:rPr>
                <w:rFonts w:cs="Arial"/>
                <w:sz w:val="22"/>
                <w:szCs w:val="22"/>
              </w:rPr>
              <w:t>4</w:t>
            </w:r>
            <w:r w:rsidR="00987FB9">
              <w:rPr>
                <w:rFonts w:cs="Arial"/>
                <w:sz w:val="22"/>
                <w:szCs w:val="22"/>
              </w:rPr>
              <w:t>.84</w:t>
            </w:r>
          </w:p>
        </w:tc>
      </w:tr>
    </w:tbl>
    <w:p w14:paraId="545DED45" w14:textId="77777777" w:rsidR="001844B6" w:rsidRPr="00861553" w:rsidRDefault="001844B6" w:rsidP="00A264FD">
      <w:pPr>
        <w:pStyle w:val="IASpacer"/>
        <w:spacing w:line="120" w:lineRule="auto"/>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696"/>
        <w:gridCol w:w="2249"/>
        <w:gridCol w:w="603"/>
        <w:gridCol w:w="3280"/>
        <w:gridCol w:w="1547"/>
        <w:gridCol w:w="860"/>
      </w:tblGrid>
      <w:tr w:rsidR="008452D9" w:rsidRPr="00B96818" w14:paraId="5B3AE01D" w14:textId="77777777" w:rsidTr="002B6FB6">
        <w:trPr>
          <w:trHeight w:hRule="exact" w:val="697"/>
        </w:trPr>
        <w:tc>
          <w:tcPr>
            <w:tcW w:w="1686" w:type="dxa"/>
            <w:shd w:val="clear" w:color="auto" w:fill="FFFFFF"/>
          </w:tcPr>
          <w:p w14:paraId="32645CDD" w14:textId="77777777" w:rsidR="001844B6" w:rsidRPr="00861553" w:rsidRDefault="001844B6" w:rsidP="00B405DA">
            <w:pPr>
              <w:pStyle w:val="IATableLabel"/>
              <w:spacing w:before="0" w:after="0"/>
              <w:rPr>
                <w:rFonts w:cs="Arial"/>
                <w:sz w:val="22"/>
                <w:szCs w:val="22"/>
              </w:rPr>
            </w:pPr>
            <w:r w:rsidRPr="00861553">
              <w:rPr>
                <w:rFonts w:cs="Arial"/>
                <w:sz w:val="22"/>
                <w:szCs w:val="22"/>
              </w:rPr>
              <w:t>COSTS (£m)</w:t>
            </w:r>
          </w:p>
        </w:tc>
        <w:tc>
          <w:tcPr>
            <w:tcW w:w="2835" w:type="dxa"/>
            <w:gridSpan w:val="2"/>
            <w:tcBorders>
              <w:top w:val="single" w:sz="12" w:space="0" w:color="auto"/>
              <w:bottom w:val="single" w:sz="6" w:space="0" w:color="auto"/>
            </w:tcBorders>
            <w:shd w:val="clear" w:color="auto" w:fill="auto"/>
          </w:tcPr>
          <w:p w14:paraId="4F4B5A3C" w14:textId="77777777" w:rsidR="001844B6" w:rsidRPr="00861553" w:rsidRDefault="001844B6" w:rsidP="00B405DA">
            <w:pPr>
              <w:pStyle w:val="IATableLabel"/>
              <w:tabs>
                <w:tab w:val="right" w:pos="1800"/>
                <w:tab w:val="center" w:pos="2340"/>
              </w:tabs>
              <w:spacing w:before="0" w:after="0"/>
              <w:jc w:val="right"/>
              <w:rPr>
                <w:rFonts w:cs="Arial"/>
                <w:sz w:val="22"/>
                <w:szCs w:val="22"/>
              </w:rPr>
            </w:pPr>
            <w:r w:rsidRPr="00861553">
              <w:rPr>
                <w:rFonts w:cs="Arial"/>
                <w:sz w:val="22"/>
                <w:szCs w:val="22"/>
              </w:rPr>
              <w:t xml:space="preserve">Total Transition </w:t>
            </w:r>
            <w:r w:rsidRPr="00861553">
              <w:rPr>
                <w:rFonts w:cs="Arial"/>
                <w:sz w:val="22"/>
                <w:szCs w:val="22"/>
              </w:rPr>
              <w:br/>
            </w:r>
            <w:r w:rsidRPr="00861553">
              <w:rPr>
                <w:rFonts w:cs="Arial"/>
                <w:sz w:val="22"/>
                <w:szCs w:val="22"/>
              </w:rPr>
              <w:tab/>
            </w:r>
            <w:r w:rsidRPr="00861553">
              <w:rPr>
                <w:rFonts w:cs="Arial"/>
                <w:b w:val="0"/>
                <w:sz w:val="22"/>
                <w:szCs w:val="22"/>
              </w:rPr>
              <w:t>(Constant Price)</w:t>
            </w:r>
            <w:r w:rsidRPr="00861553">
              <w:rPr>
                <w:rFonts w:cs="Arial"/>
                <w:sz w:val="22"/>
                <w:szCs w:val="22"/>
              </w:rPr>
              <w:tab/>
            </w:r>
            <w:r w:rsidRPr="00861553">
              <w:rPr>
                <w:rFonts w:cs="Arial"/>
                <w:b w:val="0"/>
                <w:sz w:val="22"/>
                <w:szCs w:val="22"/>
              </w:rPr>
              <w:t>Years</w:t>
            </w:r>
          </w:p>
          <w:p w14:paraId="18D1825F" w14:textId="77777777" w:rsidR="001844B6" w:rsidRPr="00861553" w:rsidRDefault="001844B6" w:rsidP="00B405DA">
            <w:pPr>
              <w:pStyle w:val="IATableLabel"/>
              <w:spacing w:before="0" w:after="0"/>
              <w:jc w:val="right"/>
              <w:rPr>
                <w:rFonts w:cs="Arial"/>
                <w:sz w:val="22"/>
                <w:szCs w:val="22"/>
              </w:rPr>
            </w:pPr>
            <w:r w:rsidRPr="00861553">
              <w:rPr>
                <w:rFonts w:cs="Arial"/>
                <w:sz w:val="22"/>
                <w:szCs w:val="22"/>
              </w:rPr>
              <w:br/>
            </w:r>
          </w:p>
        </w:tc>
        <w:tc>
          <w:tcPr>
            <w:tcW w:w="3261" w:type="dxa"/>
            <w:tcBorders>
              <w:bottom w:val="single" w:sz="6" w:space="0" w:color="auto"/>
              <w:right w:val="single" w:sz="12" w:space="0" w:color="auto"/>
            </w:tcBorders>
            <w:shd w:val="clear" w:color="auto" w:fill="auto"/>
          </w:tcPr>
          <w:p w14:paraId="3883306F" w14:textId="50714C15" w:rsidR="001844B6" w:rsidRPr="00861553" w:rsidRDefault="001844B6" w:rsidP="00B405DA">
            <w:pPr>
              <w:pStyle w:val="IATableLabel"/>
              <w:spacing w:before="0" w:after="0"/>
              <w:jc w:val="right"/>
              <w:rPr>
                <w:rFonts w:cs="Arial"/>
                <w:sz w:val="22"/>
                <w:szCs w:val="22"/>
              </w:rPr>
            </w:pPr>
            <w:r w:rsidRPr="00861553">
              <w:rPr>
                <w:rFonts w:cs="Arial"/>
                <w:sz w:val="22"/>
                <w:szCs w:val="22"/>
              </w:rPr>
              <w:t xml:space="preserve">Average Annual </w:t>
            </w:r>
            <w:r w:rsidRPr="00861553">
              <w:rPr>
                <w:rFonts w:cs="Arial"/>
                <w:b w:val="0"/>
                <w:sz w:val="22"/>
                <w:szCs w:val="22"/>
              </w:rPr>
              <w:t>(excl. Transition) (Constant Price)</w:t>
            </w:r>
            <w:r w:rsidR="00FB5196">
              <w:rPr>
                <w:rFonts w:cs="Arial"/>
                <w:b w:val="0"/>
                <w:sz w:val="22"/>
                <w:szCs w:val="22"/>
              </w:rPr>
              <w:t>(£m)</w:t>
            </w:r>
          </w:p>
        </w:tc>
        <w:tc>
          <w:tcPr>
            <w:tcW w:w="2393" w:type="dxa"/>
            <w:gridSpan w:val="2"/>
            <w:tcBorders>
              <w:top w:val="single" w:sz="12" w:space="0" w:color="auto"/>
              <w:left w:val="single" w:sz="12" w:space="0" w:color="auto"/>
              <w:bottom w:val="single" w:sz="6" w:space="0" w:color="auto"/>
            </w:tcBorders>
            <w:shd w:val="clear" w:color="auto" w:fill="auto"/>
          </w:tcPr>
          <w:p w14:paraId="1BE5D576" w14:textId="199072A3" w:rsidR="001844B6" w:rsidRPr="00861553" w:rsidRDefault="001844B6" w:rsidP="00B405DA">
            <w:pPr>
              <w:pStyle w:val="IATableLabel"/>
              <w:spacing w:before="0" w:after="0"/>
              <w:jc w:val="right"/>
              <w:rPr>
                <w:rFonts w:cs="Arial"/>
                <w:sz w:val="22"/>
                <w:szCs w:val="22"/>
              </w:rPr>
            </w:pPr>
            <w:r w:rsidRPr="00861553">
              <w:rPr>
                <w:rFonts w:cs="Arial"/>
                <w:sz w:val="22"/>
                <w:szCs w:val="22"/>
              </w:rPr>
              <w:t>Total Cost</w:t>
            </w:r>
            <w:r w:rsidRPr="00861553">
              <w:rPr>
                <w:rFonts w:cs="Arial"/>
                <w:b w:val="0"/>
                <w:sz w:val="22"/>
                <w:szCs w:val="22"/>
              </w:rPr>
              <w:t xml:space="preserve"> </w:t>
            </w:r>
            <w:r w:rsidRPr="00861553">
              <w:rPr>
                <w:rFonts w:cs="Arial"/>
                <w:b w:val="0"/>
                <w:sz w:val="22"/>
                <w:szCs w:val="22"/>
              </w:rPr>
              <w:br/>
            </w:r>
            <w:r w:rsidR="00FB5196">
              <w:rPr>
                <w:rFonts w:cs="Arial"/>
                <w:b w:val="0"/>
                <w:sz w:val="22"/>
                <w:szCs w:val="22"/>
              </w:rPr>
              <w:t>(£m)</w:t>
            </w:r>
            <w:r w:rsidRPr="00861553">
              <w:rPr>
                <w:rFonts w:cs="Arial"/>
                <w:b w:val="0"/>
                <w:sz w:val="22"/>
                <w:szCs w:val="22"/>
              </w:rPr>
              <w:t>(Present Value)</w:t>
            </w:r>
          </w:p>
        </w:tc>
      </w:tr>
      <w:tr w:rsidR="00987FB9" w:rsidRPr="00B96818" w14:paraId="126C275B" w14:textId="77777777" w:rsidTr="004B5E39">
        <w:trPr>
          <w:trHeight w:hRule="exact" w:val="348"/>
        </w:trPr>
        <w:tc>
          <w:tcPr>
            <w:tcW w:w="1686" w:type="dxa"/>
            <w:tcBorders>
              <w:top w:val="single" w:sz="6" w:space="0" w:color="auto"/>
              <w:bottom w:val="single" w:sz="6" w:space="0" w:color="auto"/>
            </w:tcBorders>
            <w:shd w:val="clear" w:color="auto" w:fill="auto"/>
            <w:vAlign w:val="center"/>
          </w:tcPr>
          <w:p w14:paraId="7CB4A6FA" w14:textId="77777777" w:rsidR="00987FB9" w:rsidRPr="00861553" w:rsidRDefault="00987FB9" w:rsidP="00987FB9">
            <w:pPr>
              <w:pStyle w:val="IATableLabel"/>
              <w:spacing w:before="0" w:after="0"/>
              <w:rPr>
                <w:rFonts w:cs="Arial"/>
                <w:sz w:val="22"/>
                <w:szCs w:val="22"/>
              </w:rPr>
            </w:pPr>
            <w:r w:rsidRPr="00861553">
              <w:rPr>
                <w:rFonts w:cs="Arial"/>
                <w:sz w:val="22"/>
                <w:szCs w:val="22"/>
              </w:rPr>
              <w:t xml:space="preserve">Low </w:t>
            </w:r>
          </w:p>
        </w:tc>
        <w:tc>
          <w:tcPr>
            <w:tcW w:w="2236" w:type="dxa"/>
            <w:tcBorders>
              <w:top w:val="single" w:sz="6" w:space="0" w:color="auto"/>
              <w:bottom w:val="single" w:sz="6" w:space="0" w:color="auto"/>
            </w:tcBorders>
            <w:shd w:val="clear" w:color="auto" w:fill="auto"/>
            <w:vAlign w:val="center"/>
          </w:tcPr>
          <w:p w14:paraId="3976BAFC" w14:textId="415B009F" w:rsidR="00987FB9" w:rsidRPr="00861553" w:rsidRDefault="00987FB9" w:rsidP="00987FB9">
            <w:pPr>
              <w:pStyle w:val="POTTCostsLow"/>
              <w:spacing w:before="0" w:after="0"/>
              <w:rPr>
                <w:rFonts w:cs="Arial"/>
                <w:szCs w:val="22"/>
              </w:rPr>
            </w:pPr>
            <w:r w:rsidRPr="00861553">
              <w:rPr>
                <w:rFonts w:cs="Arial"/>
                <w:szCs w:val="22"/>
              </w:rPr>
              <w:t>n/a</w:t>
            </w:r>
          </w:p>
        </w:tc>
        <w:tc>
          <w:tcPr>
            <w:tcW w:w="599" w:type="dxa"/>
            <w:vMerge w:val="restart"/>
            <w:tcBorders>
              <w:top w:val="single" w:sz="6" w:space="0" w:color="auto"/>
            </w:tcBorders>
            <w:shd w:val="clear" w:color="auto" w:fill="auto"/>
            <w:vAlign w:val="center"/>
          </w:tcPr>
          <w:p w14:paraId="1AF01A42" w14:textId="7932EF9D" w:rsidR="00987FB9" w:rsidRPr="00861553" w:rsidRDefault="00987FB9" w:rsidP="00987FB9">
            <w:pPr>
              <w:pStyle w:val="POTTCostsYear"/>
              <w:spacing w:before="0" w:after="0"/>
              <w:rPr>
                <w:rFonts w:cs="Arial"/>
                <w:szCs w:val="22"/>
              </w:rPr>
            </w:pPr>
            <w:r w:rsidRPr="00861553">
              <w:rPr>
                <w:rFonts w:cs="Arial"/>
                <w:szCs w:val="22"/>
              </w:rPr>
              <w:t>n/a</w:t>
            </w:r>
          </w:p>
        </w:tc>
        <w:tc>
          <w:tcPr>
            <w:tcW w:w="3261" w:type="dxa"/>
            <w:tcBorders>
              <w:top w:val="single" w:sz="6" w:space="0" w:color="auto"/>
              <w:bottom w:val="single" w:sz="6" w:space="0" w:color="auto"/>
              <w:right w:val="single" w:sz="12" w:space="0" w:color="auto"/>
            </w:tcBorders>
            <w:shd w:val="clear" w:color="auto" w:fill="auto"/>
            <w:vAlign w:val="bottom"/>
          </w:tcPr>
          <w:p w14:paraId="082C1F1C" w14:textId="59CA4BFA" w:rsidR="00987FB9" w:rsidRPr="00861553" w:rsidRDefault="00987FB9" w:rsidP="00987FB9">
            <w:pPr>
              <w:pStyle w:val="POAACostsLow"/>
              <w:spacing w:before="0" w:after="0"/>
              <w:rPr>
                <w:rFonts w:cs="Arial"/>
                <w:szCs w:val="22"/>
              </w:rPr>
            </w:pPr>
            <w:r>
              <w:rPr>
                <w:rFonts w:cs="Arial"/>
                <w:color w:val="000000"/>
              </w:rPr>
              <w:t>0.003</w:t>
            </w:r>
          </w:p>
        </w:tc>
        <w:tc>
          <w:tcPr>
            <w:tcW w:w="2393" w:type="dxa"/>
            <w:gridSpan w:val="2"/>
            <w:tcBorders>
              <w:top w:val="single" w:sz="6" w:space="0" w:color="auto"/>
              <w:left w:val="single" w:sz="12" w:space="0" w:color="auto"/>
              <w:bottom w:val="single" w:sz="6" w:space="0" w:color="auto"/>
            </w:tcBorders>
            <w:shd w:val="clear" w:color="auto" w:fill="auto"/>
            <w:vAlign w:val="center"/>
          </w:tcPr>
          <w:p w14:paraId="1FB23371" w14:textId="1F47DF80" w:rsidR="00987FB9" w:rsidRPr="00861553" w:rsidRDefault="00987FB9" w:rsidP="00987FB9">
            <w:pPr>
              <w:pStyle w:val="POTCCostsLow"/>
              <w:spacing w:before="0" w:after="0"/>
              <w:rPr>
                <w:rFonts w:cs="Arial"/>
                <w:szCs w:val="22"/>
              </w:rPr>
            </w:pPr>
            <w:r w:rsidRPr="00861553">
              <w:rPr>
                <w:rFonts w:cs="Arial"/>
                <w:szCs w:val="22"/>
              </w:rPr>
              <w:t>0.01</w:t>
            </w:r>
          </w:p>
        </w:tc>
      </w:tr>
      <w:tr w:rsidR="00987FB9" w:rsidRPr="00B96818" w14:paraId="0FEA01F4" w14:textId="77777777" w:rsidTr="004B5E39">
        <w:trPr>
          <w:trHeight w:hRule="exact" w:val="348"/>
        </w:trPr>
        <w:tc>
          <w:tcPr>
            <w:tcW w:w="1686" w:type="dxa"/>
            <w:tcBorders>
              <w:top w:val="single" w:sz="6" w:space="0" w:color="auto"/>
              <w:bottom w:val="single" w:sz="12" w:space="0" w:color="auto"/>
            </w:tcBorders>
            <w:shd w:val="clear" w:color="auto" w:fill="auto"/>
            <w:vAlign w:val="center"/>
          </w:tcPr>
          <w:p w14:paraId="5A2E9577" w14:textId="77777777" w:rsidR="00987FB9" w:rsidRPr="00861553" w:rsidRDefault="00987FB9" w:rsidP="00987FB9">
            <w:pPr>
              <w:pStyle w:val="IATableLabel"/>
              <w:spacing w:before="0" w:after="0"/>
              <w:rPr>
                <w:rFonts w:cs="Arial"/>
                <w:sz w:val="22"/>
                <w:szCs w:val="22"/>
              </w:rPr>
            </w:pPr>
            <w:r w:rsidRPr="00861553">
              <w:rPr>
                <w:rFonts w:cs="Arial"/>
                <w:sz w:val="22"/>
                <w:szCs w:val="22"/>
              </w:rPr>
              <w:t xml:space="preserve">High </w:t>
            </w:r>
          </w:p>
        </w:tc>
        <w:tc>
          <w:tcPr>
            <w:tcW w:w="2236" w:type="dxa"/>
            <w:tcBorders>
              <w:top w:val="single" w:sz="6" w:space="0" w:color="auto"/>
              <w:bottom w:val="single" w:sz="12" w:space="0" w:color="auto"/>
            </w:tcBorders>
            <w:shd w:val="clear" w:color="auto" w:fill="auto"/>
            <w:vAlign w:val="center"/>
          </w:tcPr>
          <w:p w14:paraId="4828D40A" w14:textId="5B339D91" w:rsidR="00987FB9" w:rsidRPr="00861553" w:rsidRDefault="00987FB9" w:rsidP="00987FB9">
            <w:pPr>
              <w:pStyle w:val="POTTCostsHigh"/>
              <w:spacing w:before="0" w:after="0"/>
              <w:rPr>
                <w:rFonts w:cs="Arial"/>
                <w:szCs w:val="22"/>
              </w:rPr>
            </w:pPr>
            <w:r w:rsidRPr="00861553">
              <w:rPr>
                <w:rFonts w:cs="Arial"/>
                <w:szCs w:val="22"/>
              </w:rPr>
              <w:t>n/a</w:t>
            </w:r>
          </w:p>
        </w:tc>
        <w:tc>
          <w:tcPr>
            <w:tcW w:w="599" w:type="dxa"/>
            <w:vMerge/>
            <w:shd w:val="clear" w:color="auto" w:fill="FFFFFF"/>
            <w:vAlign w:val="center"/>
          </w:tcPr>
          <w:p w14:paraId="615B6D5B" w14:textId="77777777" w:rsidR="00987FB9" w:rsidRPr="00861553" w:rsidRDefault="00987FB9" w:rsidP="00987FB9">
            <w:pPr>
              <w:pStyle w:val="IATableText"/>
              <w:spacing w:before="0" w:after="0"/>
              <w:jc w:val="right"/>
              <w:rPr>
                <w:rFonts w:cs="Arial"/>
                <w:szCs w:val="22"/>
              </w:rPr>
            </w:pPr>
          </w:p>
        </w:tc>
        <w:tc>
          <w:tcPr>
            <w:tcW w:w="3261" w:type="dxa"/>
            <w:tcBorders>
              <w:top w:val="single" w:sz="6" w:space="0" w:color="auto"/>
              <w:bottom w:val="single" w:sz="12" w:space="0" w:color="auto"/>
              <w:right w:val="single" w:sz="12" w:space="0" w:color="auto"/>
            </w:tcBorders>
            <w:shd w:val="clear" w:color="auto" w:fill="auto"/>
            <w:vAlign w:val="bottom"/>
          </w:tcPr>
          <w:p w14:paraId="0B7F2137" w14:textId="60E945BC" w:rsidR="00987FB9" w:rsidRPr="00861553" w:rsidRDefault="00987FB9" w:rsidP="00987FB9">
            <w:pPr>
              <w:pStyle w:val="POAACostsHigh"/>
              <w:spacing w:before="0" w:after="0"/>
              <w:ind w:left="0"/>
              <w:rPr>
                <w:rFonts w:cs="Arial"/>
                <w:szCs w:val="22"/>
              </w:rPr>
            </w:pPr>
            <w:r>
              <w:rPr>
                <w:rFonts w:cs="Arial"/>
                <w:color w:val="000000"/>
              </w:rPr>
              <w:t>0.008</w:t>
            </w:r>
          </w:p>
        </w:tc>
        <w:tc>
          <w:tcPr>
            <w:tcW w:w="2393" w:type="dxa"/>
            <w:gridSpan w:val="2"/>
            <w:tcBorders>
              <w:top w:val="single" w:sz="6" w:space="0" w:color="auto"/>
              <w:left w:val="single" w:sz="12" w:space="0" w:color="auto"/>
              <w:bottom w:val="single" w:sz="12" w:space="0" w:color="auto"/>
            </w:tcBorders>
            <w:shd w:val="clear" w:color="auto" w:fill="auto"/>
            <w:vAlign w:val="center"/>
          </w:tcPr>
          <w:p w14:paraId="2729F6B3" w14:textId="71ECAA22" w:rsidR="00987FB9" w:rsidRPr="00861553" w:rsidRDefault="00987FB9" w:rsidP="00987FB9">
            <w:pPr>
              <w:pStyle w:val="POTCCostsHigh"/>
              <w:spacing w:before="0" w:after="0"/>
              <w:rPr>
                <w:rFonts w:cs="Arial"/>
                <w:szCs w:val="22"/>
              </w:rPr>
            </w:pPr>
            <w:r w:rsidRPr="00861553">
              <w:rPr>
                <w:rFonts w:cs="Arial"/>
                <w:szCs w:val="22"/>
              </w:rPr>
              <w:t>0.04</w:t>
            </w:r>
          </w:p>
        </w:tc>
      </w:tr>
      <w:tr w:rsidR="00987FB9" w:rsidRPr="00B96818" w14:paraId="7A3431C4" w14:textId="77777777" w:rsidTr="004B5E39">
        <w:trPr>
          <w:trHeight w:hRule="exact" w:val="307"/>
        </w:trPr>
        <w:tc>
          <w:tcPr>
            <w:tcW w:w="1686" w:type="dxa"/>
            <w:tcBorders>
              <w:top w:val="single" w:sz="12" w:space="0" w:color="auto"/>
              <w:bottom w:val="single" w:sz="12" w:space="0" w:color="auto"/>
              <w:right w:val="single" w:sz="12" w:space="0" w:color="auto"/>
            </w:tcBorders>
            <w:shd w:val="clear" w:color="auto" w:fill="FFFFFF"/>
            <w:vAlign w:val="center"/>
          </w:tcPr>
          <w:p w14:paraId="1F59A7B6" w14:textId="77777777" w:rsidR="00987FB9" w:rsidRPr="00861553" w:rsidRDefault="00987FB9" w:rsidP="00987FB9">
            <w:pPr>
              <w:pStyle w:val="IATableLabel"/>
              <w:spacing w:before="0" w:after="0"/>
              <w:rPr>
                <w:rFonts w:cs="Arial"/>
                <w:sz w:val="22"/>
                <w:szCs w:val="22"/>
              </w:rPr>
            </w:pPr>
            <w:r w:rsidRPr="00861553">
              <w:rPr>
                <w:rFonts w:cs="Arial"/>
                <w:sz w:val="22"/>
                <w:szCs w:val="22"/>
              </w:rPr>
              <w:t>Best Estimate</w:t>
            </w:r>
          </w:p>
          <w:p w14:paraId="4D83C230" w14:textId="77777777" w:rsidR="00987FB9" w:rsidRPr="00861553" w:rsidRDefault="00987FB9" w:rsidP="00987FB9">
            <w:pPr>
              <w:pStyle w:val="IATableNotes"/>
              <w:spacing w:beforeLines="40" w:before="96" w:after="0"/>
              <w:ind w:left="0" w:right="18"/>
              <w:jc w:val="center"/>
              <w:rPr>
                <w:rFonts w:cs="Arial"/>
                <w:b/>
                <w:sz w:val="22"/>
                <w:szCs w:val="22"/>
              </w:rPr>
            </w:pPr>
          </w:p>
        </w:tc>
        <w:tc>
          <w:tcPr>
            <w:tcW w:w="2236" w:type="dxa"/>
            <w:tcBorders>
              <w:top w:val="single" w:sz="12" w:space="0" w:color="auto"/>
              <w:left w:val="single" w:sz="12" w:space="0" w:color="auto"/>
              <w:bottom w:val="single" w:sz="12" w:space="0" w:color="auto"/>
              <w:right w:val="single" w:sz="12" w:space="0" w:color="auto"/>
            </w:tcBorders>
            <w:shd w:val="clear" w:color="auto" w:fill="FFFFFF"/>
            <w:vAlign w:val="center"/>
          </w:tcPr>
          <w:p w14:paraId="52BD99CE" w14:textId="66309A4A" w:rsidR="00987FB9" w:rsidRPr="00861553" w:rsidRDefault="00987FB9" w:rsidP="00987FB9">
            <w:pPr>
              <w:pStyle w:val="POTTCostsBest"/>
              <w:spacing w:before="0" w:after="0"/>
              <w:rPr>
                <w:rFonts w:cs="Arial"/>
                <w:szCs w:val="22"/>
              </w:rPr>
            </w:pPr>
            <w:r w:rsidRPr="00861553">
              <w:rPr>
                <w:rFonts w:cs="Arial"/>
                <w:szCs w:val="22"/>
              </w:rPr>
              <w:t>n/a</w:t>
            </w:r>
          </w:p>
        </w:tc>
        <w:tc>
          <w:tcPr>
            <w:tcW w:w="599" w:type="dxa"/>
            <w:vMerge/>
            <w:tcBorders>
              <w:left w:val="single" w:sz="12" w:space="0" w:color="auto"/>
              <w:right w:val="single" w:sz="12" w:space="0" w:color="auto"/>
            </w:tcBorders>
            <w:shd w:val="clear" w:color="auto" w:fill="FFFFFF"/>
            <w:vAlign w:val="center"/>
          </w:tcPr>
          <w:p w14:paraId="4EC26307" w14:textId="77777777" w:rsidR="00987FB9" w:rsidRPr="00861553" w:rsidRDefault="00987FB9" w:rsidP="00987FB9">
            <w:pPr>
              <w:pStyle w:val="IATableText"/>
              <w:spacing w:before="0" w:after="0"/>
              <w:jc w:val="right"/>
              <w:rPr>
                <w:rFonts w:cs="Arial"/>
                <w:szCs w:val="22"/>
              </w:rPr>
            </w:pPr>
          </w:p>
        </w:tc>
        <w:tc>
          <w:tcPr>
            <w:tcW w:w="3261" w:type="dxa"/>
            <w:tcBorders>
              <w:top w:val="single" w:sz="12" w:space="0" w:color="auto"/>
              <w:left w:val="single" w:sz="12" w:space="0" w:color="auto"/>
              <w:bottom w:val="single" w:sz="12" w:space="0" w:color="auto"/>
              <w:right w:val="single" w:sz="12" w:space="0" w:color="auto"/>
            </w:tcBorders>
            <w:shd w:val="clear" w:color="auto" w:fill="FFFFFF"/>
            <w:vAlign w:val="bottom"/>
          </w:tcPr>
          <w:p w14:paraId="125DF2AA" w14:textId="3AF356A2" w:rsidR="00987FB9" w:rsidRPr="00861553" w:rsidRDefault="00987FB9" w:rsidP="00987FB9">
            <w:pPr>
              <w:pStyle w:val="POAACostsBest"/>
              <w:spacing w:before="0" w:after="0"/>
              <w:rPr>
                <w:rFonts w:cs="Arial"/>
                <w:szCs w:val="22"/>
              </w:rPr>
            </w:pPr>
            <w:r>
              <w:rPr>
                <w:rFonts w:cs="Arial"/>
                <w:color w:val="000000"/>
              </w:rPr>
              <w:t>0.001</w:t>
            </w:r>
          </w:p>
        </w:tc>
        <w:tc>
          <w:tcPr>
            <w:tcW w:w="2393" w:type="dxa"/>
            <w:gridSpan w:val="2"/>
            <w:tcBorders>
              <w:top w:val="single" w:sz="12" w:space="0" w:color="auto"/>
              <w:left w:val="single" w:sz="12" w:space="0" w:color="auto"/>
              <w:bottom w:val="single" w:sz="12" w:space="0" w:color="auto"/>
            </w:tcBorders>
            <w:shd w:val="clear" w:color="auto" w:fill="FFFFFF"/>
            <w:vAlign w:val="center"/>
          </w:tcPr>
          <w:p w14:paraId="3933258C" w14:textId="143AD001" w:rsidR="00987FB9" w:rsidRPr="00861553" w:rsidRDefault="00987FB9" w:rsidP="00987FB9">
            <w:pPr>
              <w:pStyle w:val="POTCCostsBest"/>
              <w:spacing w:before="0" w:after="0"/>
              <w:rPr>
                <w:rFonts w:cs="Arial"/>
                <w:szCs w:val="22"/>
              </w:rPr>
            </w:pPr>
            <w:r w:rsidRPr="00861553">
              <w:rPr>
                <w:rFonts w:cs="Arial"/>
                <w:szCs w:val="22"/>
              </w:rPr>
              <w:t>0.02</w:t>
            </w:r>
          </w:p>
        </w:tc>
      </w:tr>
      <w:tr w:rsidR="001844B6" w:rsidRPr="00B96818" w14:paraId="7B586AAE" w14:textId="77777777" w:rsidTr="002B6FB6">
        <w:trPr>
          <w:trHeight w:hRule="exact" w:val="2341"/>
        </w:trPr>
        <w:tc>
          <w:tcPr>
            <w:tcW w:w="10175" w:type="dxa"/>
            <w:gridSpan w:val="6"/>
            <w:tcBorders>
              <w:bottom w:val="single" w:sz="6" w:space="0" w:color="auto"/>
            </w:tcBorders>
            <w:shd w:val="clear" w:color="auto" w:fill="auto"/>
          </w:tcPr>
          <w:p w14:paraId="3F66181A" w14:textId="77777777" w:rsidR="001844B6" w:rsidRPr="00861553" w:rsidRDefault="001844B6" w:rsidP="00B405DA">
            <w:pPr>
              <w:pStyle w:val="IAPOQ1"/>
              <w:spacing w:before="0" w:after="0"/>
              <w:rPr>
                <w:rFonts w:cs="Arial"/>
                <w:sz w:val="22"/>
                <w:szCs w:val="22"/>
              </w:rPr>
            </w:pPr>
            <w:r w:rsidRPr="00861553">
              <w:rPr>
                <w:rFonts w:cs="Arial"/>
                <w:sz w:val="22"/>
                <w:szCs w:val="22"/>
              </w:rPr>
              <w:t xml:space="preserve">Description and scale of key monetised costs by ‘main affected groups’ </w:t>
            </w:r>
          </w:p>
          <w:p w14:paraId="4AB76680" w14:textId="20F9ED9C" w:rsidR="00E326F4" w:rsidRPr="00861553" w:rsidRDefault="00326939" w:rsidP="00B405DA">
            <w:pPr>
              <w:pStyle w:val="IAPOA1"/>
              <w:rPr>
                <w:rFonts w:cs="Arial"/>
                <w:szCs w:val="22"/>
              </w:rPr>
            </w:pPr>
            <w:r w:rsidRPr="00861553">
              <w:rPr>
                <w:rFonts w:cs="Arial"/>
                <w:szCs w:val="22"/>
              </w:rPr>
              <w:t>We would not expect the licence renewal to impose significant costs</w:t>
            </w:r>
            <w:r w:rsidR="00B405DA" w:rsidRPr="00861553">
              <w:rPr>
                <w:rFonts w:cs="Arial"/>
                <w:szCs w:val="22"/>
              </w:rPr>
              <w:t xml:space="preserve"> on</w:t>
            </w:r>
            <w:r w:rsidRPr="00861553">
              <w:rPr>
                <w:rFonts w:cs="Arial"/>
                <w:szCs w:val="22"/>
              </w:rPr>
              <w:t xml:space="preserve"> any affected groups</w:t>
            </w:r>
            <w:r w:rsidR="001C5F46" w:rsidRPr="00861553">
              <w:rPr>
                <w:rFonts w:cs="Arial"/>
                <w:szCs w:val="22"/>
              </w:rPr>
              <w:t xml:space="preserve"> (nor is there any issue with these costs)</w:t>
            </w:r>
            <w:r w:rsidRPr="00861553">
              <w:rPr>
                <w:rFonts w:cs="Arial"/>
                <w:szCs w:val="22"/>
              </w:rPr>
              <w:t xml:space="preserve">. The costs to Ofcom would be negligible, as the process of renewing licences is not significantly time consuming, and would largely be absorbed into Ofcom’s regular course of business. The cost </w:t>
            </w:r>
            <w:r w:rsidR="001C5F46" w:rsidRPr="00861553">
              <w:rPr>
                <w:rFonts w:cs="Arial"/>
                <w:szCs w:val="22"/>
              </w:rPr>
              <w:t xml:space="preserve">to Ofcom </w:t>
            </w:r>
            <w:r w:rsidRPr="00861553">
              <w:rPr>
                <w:rFonts w:cs="Arial"/>
                <w:szCs w:val="22"/>
              </w:rPr>
              <w:t>of renewing one individual licence would, at the very most, be in the low £100s</w:t>
            </w:r>
            <w:r w:rsidR="0064547B" w:rsidRPr="00861553">
              <w:rPr>
                <w:rFonts w:cs="Arial"/>
                <w:szCs w:val="22"/>
              </w:rPr>
              <w:t xml:space="preserve">. Assuming all 63 licences plus 3 national licences </w:t>
            </w:r>
            <w:r w:rsidR="001C5F46" w:rsidRPr="00861553">
              <w:rPr>
                <w:rFonts w:cs="Arial"/>
                <w:szCs w:val="22"/>
              </w:rPr>
              <w:t xml:space="preserve">that </w:t>
            </w:r>
            <w:r w:rsidR="0064547B" w:rsidRPr="00861553">
              <w:rPr>
                <w:rFonts w:cs="Arial"/>
                <w:szCs w:val="22"/>
              </w:rPr>
              <w:t xml:space="preserve">expire </w:t>
            </w:r>
            <w:r w:rsidR="001C5F46" w:rsidRPr="00861553">
              <w:rPr>
                <w:rFonts w:cs="Arial"/>
                <w:szCs w:val="22"/>
              </w:rPr>
              <w:t xml:space="preserve">from 2017-2020 are renewed, </w:t>
            </w:r>
            <w:r w:rsidR="0064547B" w:rsidRPr="00861553">
              <w:rPr>
                <w:rFonts w:cs="Arial"/>
                <w:szCs w:val="22"/>
              </w:rPr>
              <w:t>the cost would be in the approx. range of  £13,200 to £39,600 distributed across the years 2017 to 2023, using a cost of £200 for a min and £600 as a max per licence.</w:t>
            </w:r>
            <w:r w:rsidR="001C5F46" w:rsidRPr="00861553">
              <w:rPr>
                <w:rFonts w:cs="Arial"/>
                <w:szCs w:val="22"/>
              </w:rPr>
              <w:t xml:space="preserve"> These costs are ultimately met by the licensees through charges set by Ofcom.</w:t>
            </w:r>
            <w:r w:rsidR="00B50785" w:rsidRPr="00861553">
              <w:rPr>
                <w:rFonts w:cs="Arial"/>
                <w:szCs w:val="22"/>
              </w:rPr>
              <w:t xml:space="preserve"> </w:t>
            </w:r>
          </w:p>
          <w:p w14:paraId="78E41A28" w14:textId="77777777" w:rsidR="00F66105" w:rsidRPr="00861553" w:rsidRDefault="00F66105" w:rsidP="00B405DA">
            <w:pPr>
              <w:pStyle w:val="IAPOA1"/>
              <w:ind w:left="0"/>
              <w:rPr>
                <w:rFonts w:cs="Arial"/>
                <w:szCs w:val="22"/>
              </w:rPr>
            </w:pPr>
          </w:p>
          <w:p w14:paraId="61CC72AE" w14:textId="77777777" w:rsidR="004177C5" w:rsidRPr="00861553" w:rsidRDefault="004177C5" w:rsidP="00B405DA">
            <w:pPr>
              <w:pStyle w:val="IAPOA1"/>
              <w:ind w:left="0"/>
              <w:rPr>
                <w:rFonts w:cs="Arial"/>
                <w:szCs w:val="22"/>
              </w:rPr>
            </w:pPr>
          </w:p>
        </w:tc>
      </w:tr>
      <w:tr w:rsidR="001844B6" w:rsidRPr="00B96818" w14:paraId="7638DE6E" w14:textId="77777777" w:rsidTr="002B6FB6">
        <w:trPr>
          <w:trHeight w:hRule="exact" w:val="2283"/>
        </w:trPr>
        <w:tc>
          <w:tcPr>
            <w:tcW w:w="10175" w:type="dxa"/>
            <w:gridSpan w:val="6"/>
            <w:tcBorders>
              <w:top w:val="single" w:sz="6" w:space="0" w:color="auto"/>
              <w:bottom w:val="single" w:sz="12" w:space="0" w:color="auto"/>
            </w:tcBorders>
            <w:shd w:val="clear" w:color="auto" w:fill="auto"/>
          </w:tcPr>
          <w:p w14:paraId="0A017D84" w14:textId="35BCCB0B" w:rsidR="001844B6" w:rsidRPr="00861553" w:rsidRDefault="001844B6" w:rsidP="00A47E69">
            <w:pPr>
              <w:pStyle w:val="IAPOQ2"/>
              <w:spacing w:before="0" w:after="0"/>
              <w:rPr>
                <w:rFonts w:cs="Arial"/>
                <w:sz w:val="22"/>
                <w:szCs w:val="22"/>
              </w:rPr>
            </w:pPr>
            <w:r w:rsidRPr="00861553">
              <w:rPr>
                <w:rFonts w:cs="Arial"/>
                <w:sz w:val="22"/>
                <w:szCs w:val="22"/>
              </w:rPr>
              <w:t xml:space="preserve">Other key non-monetised costs by ‘main affected groups’ </w:t>
            </w:r>
            <w:r w:rsidR="00122544" w:rsidRPr="00861553">
              <w:rPr>
                <w:rFonts w:cs="Arial"/>
                <w:b w:val="0"/>
                <w:sz w:val="22"/>
                <w:szCs w:val="22"/>
              </w:rPr>
              <w:t xml:space="preserve">The </w:t>
            </w:r>
            <w:r w:rsidR="006B34DB" w:rsidRPr="00861553">
              <w:rPr>
                <w:rFonts w:cs="Arial"/>
                <w:b w:val="0"/>
                <w:sz w:val="22"/>
                <w:szCs w:val="22"/>
              </w:rPr>
              <w:t xml:space="preserve">non-monetised </w:t>
            </w:r>
            <w:r w:rsidR="00122544" w:rsidRPr="00861553">
              <w:rPr>
                <w:rFonts w:cs="Arial"/>
                <w:b w:val="0"/>
                <w:sz w:val="22"/>
                <w:szCs w:val="22"/>
              </w:rPr>
              <w:t xml:space="preserve">cost of not re-opening the market to competition is the barrier to entry to any potential new entrants. By renewing the current licences for a further 5 years, any </w:t>
            </w:r>
            <w:r w:rsidR="00FB0D9E" w:rsidRPr="00861553">
              <w:rPr>
                <w:rFonts w:cs="Arial"/>
                <w:b w:val="0"/>
                <w:sz w:val="22"/>
                <w:szCs w:val="22"/>
              </w:rPr>
              <w:t xml:space="preserve">existing station (broadcasting on DAB or the internet) or </w:t>
            </w:r>
            <w:r w:rsidR="00122544" w:rsidRPr="00861553">
              <w:rPr>
                <w:rFonts w:cs="Arial"/>
                <w:b w:val="0"/>
                <w:sz w:val="22"/>
                <w:szCs w:val="22"/>
              </w:rPr>
              <w:t xml:space="preserve">new </w:t>
            </w:r>
            <w:r w:rsidR="00FB0D9E" w:rsidRPr="00861553">
              <w:rPr>
                <w:rFonts w:cs="Arial"/>
                <w:b w:val="0"/>
                <w:sz w:val="22"/>
                <w:szCs w:val="22"/>
              </w:rPr>
              <w:t xml:space="preserve">ventures </w:t>
            </w:r>
            <w:r w:rsidR="00122544" w:rsidRPr="00861553">
              <w:rPr>
                <w:rFonts w:cs="Arial"/>
                <w:b w:val="0"/>
                <w:sz w:val="22"/>
                <w:szCs w:val="22"/>
              </w:rPr>
              <w:t xml:space="preserve">stations </w:t>
            </w:r>
            <w:r w:rsidR="00B405DA" w:rsidRPr="00861553">
              <w:rPr>
                <w:rFonts w:cs="Arial"/>
                <w:b w:val="0"/>
                <w:sz w:val="22"/>
                <w:szCs w:val="22"/>
              </w:rPr>
              <w:t xml:space="preserve">who may have </w:t>
            </w:r>
            <w:r w:rsidR="00FB0D9E" w:rsidRPr="00861553">
              <w:rPr>
                <w:rFonts w:cs="Arial"/>
                <w:b w:val="0"/>
                <w:sz w:val="22"/>
                <w:szCs w:val="22"/>
              </w:rPr>
              <w:t xml:space="preserve">planned </w:t>
            </w:r>
            <w:r w:rsidR="00B405DA" w:rsidRPr="00861553">
              <w:rPr>
                <w:rFonts w:cs="Arial"/>
                <w:b w:val="0"/>
                <w:sz w:val="22"/>
                <w:szCs w:val="22"/>
              </w:rPr>
              <w:t>to</w:t>
            </w:r>
            <w:r w:rsidR="00122544" w:rsidRPr="00861553">
              <w:rPr>
                <w:rFonts w:cs="Arial"/>
                <w:b w:val="0"/>
                <w:sz w:val="22"/>
                <w:szCs w:val="22"/>
              </w:rPr>
              <w:t xml:space="preserve"> </w:t>
            </w:r>
            <w:r w:rsidR="00C026B1" w:rsidRPr="00861553">
              <w:rPr>
                <w:rFonts w:cs="Arial"/>
                <w:b w:val="0"/>
                <w:sz w:val="22"/>
                <w:szCs w:val="22"/>
              </w:rPr>
              <w:t xml:space="preserve">bid for one of these licences would be </w:t>
            </w:r>
            <w:r w:rsidR="00FB0D9E" w:rsidRPr="00861553">
              <w:rPr>
                <w:rFonts w:cs="Arial"/>
                <w:b w:val="0"/>
                <w:sz w:val="22"/>
                <w:szCs w:val="22"/>
              </w:rPr>
              <w:t xml:space="preserve">unable to do </w:t>
            </w:r>
            <w:r w:rsidR="00C026B1" w:rsidRPr="00861553">
              <w:rPr>
                <w:rFonts w:cs="Arial"/>
                <w:b w:val="0"/>
                <w:sz w:val="22"/>
                <w:szCs w:val="22"/>
              </w:rPr>
              <w:t>so</w:t>
            </w:r>
            <w:r w:rsidR="00122544" w:rsidRPr="00861553">
              <w:rPr>
                <w:rFonts w:cs="Arial"/>
                <w:b w:val="0"/>
                <w:sz w:val="22"/>
                <w:szCs w:val="22"/>
              </w:rPr>
              <w:t xml:space="preserve">. </w:t>
            </w:r>
            <w:r w:rsidR="00FB0D9E" w:rsidRPr="00861553">
              <w:rPr>
                <w:rFonts w:cs="Arial"/>
                <w:b w:val="0"/>
                <w:sz w:val="22"/>
                <w:szCs w:val="22"/>
              </w:rPr>
              <w:t xml:space="preserve">There </w:t>
            </w:r>
            <w:r w:rsidR="004D1922" w:rsidRPr="00D52397">
              <w:rPr>
                <w:rFonts w:cs="Arial"/>
                <w:b w:val="0"/>
                <w:sz w:val="22"/>
                <w:szCs w:val="22"/>
              </w:rPr>
              <w:t>are</w:t>
            </w:r>
            <w:r w:rsidR="00FB0D9E" w:rsidRPr="00861553">
              <w:rPr>
                <w:rFonts w:cs="Arial"/>
                <w:b w:val="0"/>
                <w:sz w:val="22"/>
                <w:szCs w:val="22"/>
              </w:rPr>
              <w:t xml:space="preserve"> no practical means of making sufficient suitable FM spectrum available as an a</w:t>
            </w:r>
            <w:r w:rsidR="002B1167">
              <w:rPr>
                <w:rFonts w:cs="Arial"/>
                <w:b w:val="0"/>
                <w:sz w:val="22"/>
                <w:szCs w:val="22"/>
              </w:rPr>
              <w:t>lternative for stations wanting to broadcast on FM.</w:t>
            </w:r>
            <w:r w:rsidR="00FB0D9E" w:rsidRPr="00861553">
              <w:rPr>
                <w:rFonts w:cs="Arial"/>
                <w:b w:val="0"/>
                <w:sz w:val="22"/>
                <w:szCs w:val="22"/>
              </w:rPr>
              <w:t xml:space="preserve"> </w:t>
            </w:r>
            <w:r w:rsidR="00122544" w:rsidRPr="00861553">
              <w:rPr>
                <w:rFonts w:cs="Arial"/>
                <w:b w:val="0"/>
                <w:sz w:val="22"/>
                <w:szCs w:val="22"/>
              </w:rPr>
              <w:t>It is not possible to monetise th</w:t>
            </w:r>
            <w:r w:rsidR="00FB0D9E" w:rsidRPr="00861553">
              <w:rPr>
                <w:rFonts w:cs="Arial"/>
                <w:b w:val="0"/>
                <w:sz w:val="22"/>
                <w:szCs w:val="22"/>
              </w:rPr>
              <w:t>e</w:t>
            </w:r>
            <w:r w:rsidR="00122544" w:rsidRPr="00861553">
              <w:rPr>
                <w:rFonts w:cs="Arial"/>
                <w:b w:val="0"/>
                <w:sz w:val="22"/>
                <w:szCs w:val="22"/>
              </w:rPr>
              <w:t xml:space="preserve"> </w:t>
            </w:r>
            <w:r w:rsidR="00FB0D9E" w:rsidRPr="00861553">
              <w:rPr>
                <w:rFonts w:cs="Arial"/>
                <w:b w:val="0"/>
                <w:sz w:val="22"/>
                <w:szCs w:val="22"/>
              </w:rPr>
              <w:t xml:space="preserve">potential </w:t>
            </w:r>
            <w:r w:rsidR="00122544" w:rsidRPr="00861553">
              <w:rPr>
                <w:rFonts w:cs="Arial"/>
                <w:b w:val="0"/>
                <w:sz w:val="22"/>
                <w:szCs w:val="22"/>
              </w:rPr>
              <w:t xml:space="preserve">impact </w:t>
            </w:r>
            <w:r w:rsidR="00C026B1" w:rsidRPr="00861553">
              <w:rPr>
                <w:rFonts w:cs="Arial"/>
                <w:b w:val="0"/>
                <w:sz w:val="22"/>
                <w:szCs w:val="22"/>
              </w:rPr>
              <w:t>as</w:t>
            </w:r>
            <w:r w:rsidR="00122544" w:rsidRPr="00861553">
              <w:rPr>
                <w:rFonts w:cs="Arial"/>
                <w:b w:val="0"/>
                <w:sz w:val="22"/>
                <w:szCs w:val="22"/>
              </w:rPr>
              <w:t xml:space="preserve"> the number of potential new entrants </w:t>
            </w:r>
            <w:r w:rsidR="00C026B1" w:rsidRPr="00861553">
              <w:rPr>
                <w:rFonts w:cs="Arial"/>
                <w:b w:val="0"/>
                <w:sz w:val="22"/>
                <w:szCs w:val="22"/>
              </w:rPr>
              <w:t>is</w:t>
            </w:r>
            <w:r w:rsidR="00122544" w:rsidRPr="00861553">
              <w:rPr>
                <w:rFonts w:cs="Arial"/>
                <w:b w:val="0"/>
                <w:sz w:val="22"/>
                <w:szCs w:val="22"/>
              </w:rPr>
              <w:t xml:space="preserve"> unknown.</w:t>
            </w:r>
            <w:r w:rsidR="006B34DB" w:rsidRPr="00861553">
              <w:rPr>
                <w:rFonts w:cs="Arial"/>
                <w:b w:val="0"/>
                <w:sz w:val="22"/>
                <w:szCs w:val="22"/>
              </w:rPr>
              <w:t xml:space="preserve"> </w:t>
            </w:r>
            <w:r w:rsidR="00C026B1" w:rsidRPr="00861553">
              <w:rPr>
                <w:rFonts w:cs="Arial"/>
                <w:b w:val="0"/>
                <w:sz w:val="22"/>
                <w:szCs w:val="22"/>
              </w:rPr>
              <w:t>P</w:t>
            </w:r>
            <w:r w:rsidR="00B405DA" w:rsidRPr="00861553">
              <w:rPr>
                <w:rFonts w:cs="Arial"/>
                <w:b w:val="0"/>
                <w:sz w:val="22"/>
                <w:szCs w:val="22"/>
              </w:rPr>
              <w:t xml:space="preserve">ast </w:t>
            </w:r>
            <w:r w:rsidR="006B34DB" w:rsidRPr="00861553">
              <w:rPr>
                <w:rFonts w:cs="Arial"/>
                <w:b w:val="0"/>
                <w:sz w:val="22"/>
                <w:szCs w:val="22"/>
              </w:rPr>
              <w:t>evidence suggest</w:t>
            </w:r>
            <w:r w:rsidR="00C026B1" w:rsidRPr="00861553">
              <w:rPr>
                <w:rFonts w:cs="Arial"/>
                <w:b w:val="0"/>
                <w:sz w:val="22"/>
                <w:szCs w:val="22"/>
              </w:rPr>
              <w:t>s</w:t>
            </w:r>
            <w:r w:rsidR="006B34DB" w:rsidRPr="00861553">
              <w:rPr>
                <w:rFonts w:cs="Arial"/>
                <w:b w:val="0"/>
                <w:sz w:val="22"/>
                <w:szCs w:val="22"/>
              </w:rPr>
              <w:t xml:space="preserve"> the number of potential entrants if the market was re-opened would be small</w:t>
            </w:r>
            <w:r w:rsidR="00487E0B" w:rsidRPr="00861553">
              <w:rPr>
                <w:rFonts w:cs="Arial"/>
                <w:b w:val="0"/>
                <w:sz w:val="22"/>
                <w:szCs w:val="22"/>
              </w:rPr>
              <w:t>, and</w:t>
            </w:r>
            <w:r w:rsidR="00E642F8" w:rsidRPr="00861553">
              <w:rPr>
                <w:rFonts w:cs="Arial"/>
                <w:b w:val="0"/>
                <w:sz w:val="22"/>
                <w:szCs w:val="22"/>
              </w:rPr>
              <w:t xml:space="preserve"> </w:t>
            </w:r>
            <w:r w:rsidR="006B34DB" w:rsidRPr="00861553">
              <w:rPr>
                <w:rFonts w:cs="Arial"/>
                <w:b w:val="0"/>
                <w:sz w:val="22"/>
                <w:szCs w:val="22"/>
              </w:rPr>
              <w:t xml:space="preserve">hence we </w:t>
            </w:r>
            <w:r w:rsidR="00015D1E" w:rsidRPr="00861553">
              <w:rPr>
                <w:rFonts w:cs="Arial"/>
                <w:b w:val="0"/>
                <w:sz w:val="22"/>
                <w:szCs w:val="22"/>
              </w:rPr>
              <w:t xml:space="preserve">believe </w:t>
            </w:r>
            <w:r w:rsidR="00E642F8" w:rsidRPr="00861553">
              <w:rPr>
                <w:rFonts w:cs="Arial"/>
                <w:b w:val="0"/>
                <w:sz w:val="22"/>
                <w:szCs w:val="22"/>
              </w:rPr>
              <w:t>any</w:t>
            </w:r>
            <w:r w:rsidR="00487E0B" w:rsidRPr="00861553">
              <w:rPr>
                <w:rFonts w:cs="Arial"/>
                <w:b w:val="0"/>
                <w:sz w:val="22"/>
                <w:szCs w:val="22"/>
              </w:rPr>
              <w:t xml:space="preserve"> </w:t>
            </w:r>
            <w:r w:rsidR="00015D1E" w:rsidRPr="00861553">
              <w:rPr>
                <w:rFonts w:cs="Arial"/>
                <w:b w:val="0"/>
                <w:sz w:val="22"/>
                <w:szCs w:val="22"/>
              </w:rPr>
              <w:t xml:space="preserve">cost </w:t>
            </w:r>
            <w:r w:rsidR="00E642F8" w:rsidRPr="00861553">
              <w:rPr>
                <w:rFonts w:cs="Arial"/>
                <w:b w:val="0"/>
                <w:sz w:val="22"/>
                <w:szCs w:val="22"/>
              </w:rPr>
              <w:t>will be</w:t>
            </w:r>
            <w:r w:rsidR="006B34DB" w:rsidRPr="00861553">
              <w:rPr>
                <w:rFonts w:cs="Arial"/>
                <w:b w:val="0"/>
                <w:sz w:val="22"/>
                <w:szCs w:val="22"/>
              </w:rPr>
              <w:t xml:space="preserve"> </w:t>
            </w:r>
            <w:r w:rsidR="00015D1E" w:rsidRPr="00861553">
              <w:rPr>
                <w:rFonts w:cs="Arial"/>
                <w:b w:val="0"/>
                <w:sz w:val="22"/>
                <w:szCs w:val="22"/>
              </w:rPr>
              <w:t>small</w:t>
            </w:r>
            <w:r w:rsidR="006B34DB" w:rsidRPr="00861553">
              <w:rPr>
                <w:rFonts w:cs="Arial"/>
                <w:b w:val="0"/>
                <w:sz w:val="22"/>
                <w:szCs w:val="22"/>
              </w:rPr>
              <w:t>.</w:t>
            </w:r>
            <w:r w:rsidR="00C026B1" w:rsidRPr="00861553">
              <w:rPr>
                <w:rFonts w:cs="Arial"/>
                <w:b w:val="0"/>
                <w:sz w:val="22"/>
                <w:szCs w:val="22"/>
              </w:rPr>
              <w:t xml:space="preserve"> It is important to note</w:t>
            </w:r>
            <w:r w:rsidR="00B85A8F" w:rsidRPr="00D52397">
              <w:rPr>
                <w:rFonts w:cs="Arial"/>
                <w:b w:val="0"/>
                <w:sz w:val="22"/>
                <w:szCs w:val="22"/>
              </w:rPr>
              <w:t xml:space="preserve"> </w:t>
            </w:r>
            <w:r w:rsidR="00C026B1" w:rsidRPr="00861553">
              <w:rPr>
                <w:rFonts w:cs="Arial"/>
                <w:b w:val="0"/>
                <w:sz w:val="22"/>
                <w:szCs w:val="22"/>
              </w:rPr>
              <w:t>that any demand for analogue licences is</w:t>
            </w:r>
            <w:r w:rsidR="00B405DA" w:rsidRPr="00861553">
              <w:rPr>
                <w:rFonts w:cs="Arial"/>
                <w:b w:val="0"/>
                <w:sz w:val="22"/>
                <w:szCs w:val="22"/>
              </w:rPr>
              <w:t xml:space="preserve"> likely to reduce</w:t>
            </w:r>
            <w:r w:rsidR="00C026B1" w:rsidRPr="00861553">
              <w:rPr>
                <w:rFonts w:cs="Arial"/>
                <w:b w:val="0"/>
                <w:sz w:val="22"/>
                <w:szCs w:val="22"/>
              </w:rPr>
              <w:t xml:space="preserve"> as their perceived value declines as digital listening continues to grow.</w:t>
            </w:r>
          </w:p>
        </w:tc>
      </w:tr>
      <w:tr w:rsidR="008452D9" w:rsidRPr="00B96818" w14:paraId="60386950" w14:textId="77777777" w:rsidTr="002B6FB6">
        <w:trPr>
          <w:trHeight w:hRule="exact" w:val="567"/>
        </w:trPr>
        <w:tc>
          <w:tcPr>
            <w:tcW w:w="1686" w:type="dxa"/>
            <w:shd w:val="clear" w:color="auto" w:fill="FFFFFF"/>
          </w:tcPr>
          <w:p w14:paraId="7EBA2BFA" w14:textId="77777777" w:rsidR="001844B6" w:rsidRPr="00861553" w:rsidRDefault="001844B6" w:rsidP="00B405DA">
            <w:pPr>
              <w:pStyle w:val="IATableLabel"/>
              <w:spacing w:before="0" w:after="0"/>
              <w:rPr>
                <w:rFonts w:cs="Arial"/>
                <w:sz w:val="22"/>
                <w:szCs w:val="22"/>
              </w:rPr>
            </w:pPr>
            <w:r w:rsidRPr="00861553">
              <w:rPr>
                <w:rFonts w:cs="Arial"/>
                <w:sz w:val="22"/>
                <w:szCs w:val="22"/>
              </w:rPr>
              <w:t>BENEFITS (£m)</w:t>
            </w:r>
          </w:p>
        </w:tc>
        <w:tc>
          <w:tcPr>
            <w:tcW w:w="2835" w:type="dxa"/>
            <w:gridSpan w:val="2"/>
            <w:tcBorders>
              <w:top w:val="single" w:sz="12" w:space="0" w:color="auto"/>
              <w:bottom w:val="single" w:sz="6" w:space="0" w:color="auto"/>
            </w:tcBorders>
            <w:shd w:val="clear" w:color="auto" w:fill="auto"/>
          </w:tcPr>
          <w:p w14:paraId="47360623" w14:textId="77777777" w:rsidR="001844B6" w:rsidRPr="00861553" w:rsidRDefault="001844B6" w:rsidP="00B405DA">
            <w:pPr>
              <w:pStyle w:val="IATableLabel"/>
              <w:tabs>
                <w:tab w:val="right" w:pos="1797"/>
                <w:tab w:val="center" w:pos="2340"/>
              </w:tabs>
              <w:spacing w:before="0" w:after="0"/>
              <w:jc w:val="right"/>
              <w:rPr>
                <w:rFonts w:cs="Arial"/>
                <w:sz w:val="22"/>
                <w:szCs w:val="22"/>
              </w:rPr>
            </w:pPr>
            <w:r w:rsidRPr="00861553">
              <w:rPr>
                <w:rFonts w:cs="Arial"/>
                <w:sz w:val="22"/>
                <w:szCs w:val="22"/>
              </w:rPr>
              <w:t xml:space="preserve">Total Transition </w:t>
            </w:r>
            <w:r w:rsidRPr="00861553">
              <w:rPr>
                <w:rFonts w:cs="Arial"/>
                <w:sz w:val="22"/>
                <w:szCs w:val="22"/>
              </w:rPr>
              <w:br/>
            </w:r>
            <w:r w:rsidRPr="00861553">
              <w:rPr>
                <w:rFonts w:cs="Arial"/>
                <w:sz w:val="22"/>
                <w:szCs w:val="22"/>
              </w:rPr>
              <w:tab/>
            </w:r>
            <w:r w:rsidRPr="00861553">
              <w:rPr>
                <w:rFonts w:cs="Arial"/>
                <w:b w:val="0"/>
                <w:sz w:val="22"/>
                <w:szCs w:val="22"/>
              </w:rPr>
              <w:t>(Constant Price)</w:t>
            </w:r>
            <w:r w:rsidRPr="00861553">
              <w:rPr>
                <w:rFonts w:cs="Arial"/>
                <w:sz w:val="22"/>
                <w:szCs w:val="22"/>
              </w:rPr>
              <w:tab/>
            </w:r>
            <w:r w:rsidRPr="00861553">
              <w:rPr>
                <w:rFonts w:cs="Arial"/>
                <w:b w:val="0"/>
                <w:sz w:val="22"/>
                <w:szCs w:val="22"/>
              </w:rPr>
              <w:t>Years</w:t>
            </w:r>
          </w:p>
          <w:p w14:paraId="7E965157" w14:textId="77777777" w:rsidR="001844B6" w:rsidRPr="00861553" w:rsidRDefault="001844B6" w:rsidP="00B405DA">
            <w:pPr>
              <w:pStyle w:val="IATableLabel"/>
              <w:spacing w:before="0" w:after="0"/>
              <w:jc w:val="right"/>
              <w:rPr>
                <w:rFonts w:cs="Arial"/>
                <w:sz w:val="22"/>
                <w:szCs w:val="22"/>
              </w:rPr>
            </w:pPr>
            <w:r w:rsidRPr="00861553">
              <w:rPr>
                <w:rFonts w:cs="Arial"/>
                <w:sz w:val="22"/>
                <w:szCs w:val="22"/>
              </w:rPr>
              <w:br/>
            </w:r>
          </w:p>
        </w:tc>
        <w:tc>
          <w:tcPr>
            <w:tcW w:w="3261" w:type="dxa"/>
            <w:tcBorders>
              <w:bottom w:val="single" w:sz="6" w:space="0" w:color="auto"/>
              <w:right w:val="single" w:sz="12" w:space="0" w:color="auto"/>
            </w:tcBorders>
            <w:shd w:val="clear" w:color="auto" w:fill="auto"/>
          </w:tcPr>
          <w:p w14:paraId="67BB74A2" w14:textId="282813D7" w:rsidR="001844B6" w:rsidRPr="00861553" w:rsidRDefault="001844B6" w:rsidP="00B405DA">
            <w:pPr>
              <w:pStyle w:val="IATableLabel"/>
              <w:spacing w:before="0" w:after="0"/>
              <w:jc w:val="right"/>
              <w:rPr>
                <w:rFonts w:cs="Arial"/>
                <w:sz w:val="22"/>
                <w:szCs w:val="22"/>
              </w:rPr>
            </w:pPr>
            <w:r w:rsidRPr="00861553">
              <w:rPr>
                <w:rFonts w:cs="Arial"/>
                <w:sz w:val="22"/>
                <w:szCs w:val="22"/>
              </w:rPr>
              <w:t xml:space="preserve">Average Annual </w:t>
            </w:r>
            <w:r w:rsidRPr="00861553">
              <w:rPr>
                <w:rFonts w:cs="Arial"/>
                <w:sz w:val="22"/>
                <w:szCs w:val="22"/>
              </w:rPr>
              <w:br/>
            </w:r>
            <w:r w:rsidR="00FB5196">
              <w:rPr>
                <w:rFonts w:cs="Arial"/>
                <w:b w:val="0"/>
                <w:sz w:val="22"/>
                <w:szCs w:val="22"/>
              </w:rPr>
              <w:t>(£m)</w:t>
            </w:r>
            <w:r w:rsidRPr="00861553">
              <w:rPr>
                <w:rFonts w:cs="Arial"/>
                <w:b w:val="0"/>
                <w:sz w:val="22"/>
                <w:szCs w:val="22"/>
              </w:rPr>
              <w:t>(excl. Transition) (Constant Price)</w:t>
            </w:r>
          </w:p>
        </w:tc>
        <w:tc>
          <w:tcPr>
            <w:tcW w:w="2393" w:type="dxa"/>
            <w:gridSpan w:val="2"/>
            <w:tcBorders>
              <w:top w:val="single" w:sz="12" w:space="0" w:color="auto"/>
              <w:left w:val="single" w:sz="12" w:space="0" w:color="auto"/>
              <w:bottom w:val="single" w:sz="6" w:space="0" w:color="auto"/>
            </w:tcBorders>
            <w:shd w:val="clear" w:color="auto" w:fill="auto"/>
          </w:tcPr>
          <w:p w14:paraId="1D7658C6" w14:textId="39B4E1CD" w:rsidR="001844B6" w:rsidRPr="00861553" w:rsidRDefault="001844B6" w:rsidP="00B405DA">
            <w:pPr>
              <w:pStyle w:val="IATableLabel"/>
              <w:spacing w:before="0" w:after="0"/>
              <w:jc w:val="right"/>
              <w:rPr>
                <w:rFonts w:cs="Arial"/>
                <w:sz w:val="22"/>
                <w:szCs w:val="22"/>
              </w:rPr>
            </w:pPr>
            <w:r w:rsidRPr="00861553">
              <w:rPr>
                <w:rFonts w:cs="Arial"/>
                <w:sz w:val="22"/>
                <w:szCs w:val="22"/>
              </w:rPr>
              <w:t>Total Benefit</w:t>
            </w:r>
            <w:r w:rsidRPr="00861553">
              <w:rPr>
                <w:rFonts w:cs="Arial"/>
                <w:b w:val="0"/>
                <w:sz w:val="22"/>
                <w:szCs w:val="22"/>
              </w:rPr>
              <w:t xml:space="preserve"> </w:t>
            </w:r>
            <w:r w:rsidRPr="00861553">
              <w:rPr>
                <w:rFonts w:cs="Arial"/>
                <w:b w:val="0"/>
                <w:sz w:val="22"/>
                <w:szCs w:val="22"/>
              </w:rPr>
              <w:br/>
            </w:r>
            <w:r w:rsidR="00FB5196">
              <w:rPr>
                <w:rFonts w:cs="Arial"/>
                <w:b w:val="0"/>
                <w:sz w:val="22"/>
                <w:szCs w:val="22"/>
              </w:rPr>
              <w:t>(£m)</w:t>
            </w:r>
            <w:r w:rsidRPr="00861553">
              <w:rPr>
                <w:rFonts w:cs="Arial"/>
                <w:b w:val="0"/>
                <w:sz w:val="22"/>
                <w:szCs w:val="22"/>
              </w:rPr>
              <w:t>(Present Value)</w:t>
            </w:r>
          </w:p>
        </w:tc>
      </w:tr>
      <w:tr w:rsidR="00987FB9" w:rsidRPr="00B96818" w14:paraId="09BF7652" w14:textId="77777777" w:rsidTr="00DA2729">
        <w:trPr>
          <w:trHeight w:hRule="exact" w:val="348"/>
        </w:trPr>
        <w:tc>
          <w:tcPr>
            <w:tcW w:w="1686" w:type="dxa"/>
            <w:tcBorders>
              <w:top w:val="single" w:sz="6" w:space="0" w:color="auto"/>
              <w:bottom w:val="single" w:sz="6" w:space="0" w:color="auto"/>
            </w:tcBorders>
            <w:shd w:val="clear" w:color="auto" w:fill="auto"/>
            <w:vAlign w:val="center"/>
          </w:tcPr>
          <w:p w14:paraId="6F2D038B" w14:textId="77777777" w:rsidR="00987FB9" w:rsidRPr="00861553" w:rsidRDefault="00987FB9" w:rsidP="00987FB9">
            <w:pPr>
              <w:pStyle w:val="IATableLabel"/>
              <w:spacing w:before="0" w:after="0"/>
              <w:rPr>
                <w:rFonts w:cs="Arial"/>
                <w:sz w:val="22"/>
                <w:szCs w:val="22"/>
              </w:rPr>
            </w:pPr>
            <w:r w:rsidRPr="00861553">
              <w:rPr>
                <w:rFonts w:cs="Arial"/>
                <w:sz w:val="22"/>
                <w:szCs w:val="22"/>
              </w:rPr>
              <w:t xml:space="preserve">Low </w:t>
            </w:r>
          </w:p>
        </w:tc>
        <w:tc>
          <w:tcPr>
            <w:tcW w:w="2236" w:type="dxa"/>
            <w:tcBorders>
              <w:top w:val="single" w:sz="6" w:space="0" w:color="auto"/>
              <w:bottom w:val="single" w:sz="6" w:space="0" w:color="auto"/>
            </w:tcBorders>
            <w:shd w:val="clear" w:color="auto" w:fill="auto"/>
            <w:vAlign w:val="center"/>
          </w:tcPr>
          <w:p w14:paraId="2CEDD166" w14:textId="66944202" w:rsidR="00987FB9" w:rsidRPr="00861553" w:rsidRDefault="00987FB9" w:rsidP="00987FB9">
            <w:pPr>
              <w:pStyle w:val="POTTBenLow"/>
              <w:spacing w:before="0" w:after="0"/>
              <w:rPr>
                <w:rFonts w:cs="Arial"/>
                <w:szCs w:val="22"/>
              </w:rPr>
            </w:pPr>
            <w:r w:rsidRPr="00861553">
              <w:rPr>
                <w:rFonts w:cs="Arial"/>
                <w:szCs w:val="22"/>
              </w:rPr>
              <w:t>n/a</w:t>
            </w:r>
          </w:p>
        </w:tc>
        <w:tc>
          <w:tcPr>
            <w:tcW w:w="599" w:type="dxa"/>
            <w:vMerge w:val="restart"/>
            <w:tcBorders>
              <w:top w:val="single" w:sz="6" w:space="0" w:color="auto"/>
            </w:tcBorders>
            <w:shd w:val="clear" w:color="auto" w:fill="auto"/>
            <w:vAlign w:val="center"/>
          </w:tcPr>
          <w:p w14:paraId="3A871118" w14:textId="154F7A83" w:rsidR="00987FB9" w:rsidRPr="00861553" w:rsidRDefault="00987FB9" w:rsidP="00987FB9">
            <w:pPr>
              <w:pStyle w:val="IATableText"/>
              <w:spacing w:before="0" w:after="0"/>
              <w:jc w:val="right"/>
              <w:rPr>
                <w:rFonts w:cs="Arial"/>
                <w:szCs w:val="22"/>
              </w:rPr>
            </w:pPr>
            <w:r w:rsidRPr="00861553">
              <w:rPr>
                <w:rFonts w:cs="Arial"/>
                <w:szCs w:val="22"/>
              </w:rPr>
              <w:t>n/a</w:t>
            </w:r>
          </w:p>
        </w:tc>
        <w:tc>
          <w:tcPr>
            <w:tcW w:w="3261" w:type="dxa"/>
            <w:tcBorders>
              <w:top w:val="single" w:sz="6" w:space="0" w:color="auto"/>
              <w:bottom w:val="single" w:sz="6" w:space="0" w:color="auto"/>
              <w:right w:val="single" w:sz="12" w:space="0" w:color="auto"/>
            </w:tcBorders>
            <w:shd w:val="clear" w:color="auto" w:fill="auto"/>
            <w:vAlign w:val="bottom"/>
          </w:tcPr>
          <w:p w14:paraId="6AA793CB" w14:textId="1F269B14" w:rsidR="00987FB9" w:rsidRPr="00861553" w:rsidRDefault="00987FB9" w:rsidP="00987FB9">
            <w:pPr>
              <w:pStyle w:val="POAABenLow"/>
              <w:spacing w:before="0" w:after="0"/>
              <w:rPr>
                <w:rFonts w:cs="Arial"/>
                <w:szCs w:val="22"/>
              </w:rPr>
            </w:pPr>
            <w:r>
              <w:rPr>
                <w:rFonts w:cs="Arial"/>
                <w:color w:val="000000"/>
              </w:rPr>
              <w:t>0.6</w:t>
            </w:r>
          </w:p>
        </w:tc>
        <w:tc>
          <w:tcPr>
            <w:tcW w:w="2393" w:type="dxa"/>
            <w:gridSpan w:val="2"/>
            <w:tcBorders>
              <w:top w:val="single" w:sz="6" w:space="0" w:color="auto"/>
              <w:left w:val="single" w:sz="12" w:space="0" w:color="auto"/>
              <w:bottom w:val="single" w:sz="6" w:space="0" w:color="auto"/>
            </w:tcBorders>
            <w:shd w:val="clear" w:color="auto" w:fill="auto"/>
            <w:vAlign w:val="center"/>
          </w:tcPr>
          <w:p w14:paraId="39DDB6ED" w14:textId="4BD70747" w:rsidR="00987FB9" w:rsidRPr="00861553" w:rsidRDefault="00987FB9" w:rsidP="00987FB9">
            <w:pPr>
              <w:pStyle w:val="POTBBenLow"/>
              <w:spacing w:before="0" w:after="0"/>
              <w:rPr>
                <w:rFonts w:cs="Arial"/>
                <w:szCs w:val="22"/>
              </w:rPr>
            </w:pPr>
            <w:r w:rsidRPr="00861553">
              <w:rPr>
                <w:rFonts w:cs="Arial"/>
                <w:szCs w:val="22"/>
              </w:rPr>
              <w:t>2.5</w:t>
            </w:r>
          </w:p>
        </w:tc>
      </w:tr>
      <w:tr w:rsidR="00987FB9" w:rsidRPr="00B96818" w14:paraId="48D4D719" w14:textId="77777777" w:rsidTr="00DA2729">
        <w:trPr>
          <w:trHeight w:hRule="exact" w:val="348"/>
        </w:trPr>
        <w:tc>
          <w:tcPr>
            <w:tcW w:w="1686" w:type="dxa"/>
            <w:tcBorders>
              <w:top w:val="single" w:sz="6" w:space="0" w:color="auto"/>
              <w:bottom w:val="single" w:sz="12" w:space="0" w:color="auto"/>
            </w:tcBorders>
            <w:shd w:val="clear" w:color="auto" w:fill="auto"/>
            <w:vAlign w:val="center"/>
          </w:tcPr>
          <w:p w14:paraId="112AE190" w14:textId="77777777" w:rsidR="00987FB9" w:rsidRPr="00861553" w:rsidRDefault="00987FB9" w:rsidP="00987FB9">
            <w:pPr>
              <w:pStyle w:val="IATableLabel"/>
              <w:spacing w:before="0" w:after="0"/>
              <w:rPr>
                <w:rFonts w:cs="Arial"/>
                <w:sz w:val="22"/>
                <w:szCs w:val="22"/>
              </w:rPr>
            </w:pPr>
            <w:r w:rsidRPr="00861553">
              <w:rPr>
                <w:rFonts w:cs="Arial"/>
                <w:sz w:val="22"/>
                <w:szCs w:val="22"/>
              </w:rPr>
              <w:t xml:space="preserve">High </w:t>
            </w:r>
          </w:p>
        </w:tc>
        <w:tc>
          <w:tcPr>
            <w:tcW w:w="2236" w:type="dxa"/>
            <w:tcBorders>
              <w:top w:val="single" w:sz="6" w:space="0" w:color="auto"/>
              <w:bottom w:val="single" w:sz="12" w:space="0" w:color="auto"/>
            </w:tcBorders>
            <w:shd w:val="clear" w:color="auto" w:fill="auto"/>
            <w:vAlign w:val="center"/>
          </w:tcPr>
          <w:p w14:paraId="351C0683" w14:textId="60B52F06" w:rsidR="00987FB9" w:rsidRPr="00861553" w:rsidRDefault="00987FB9" w:rsidP="00987FB9">
            <w:pPr>
              <w:pStyle w:val="POTTBenHigh"/>
              <w:spacing w:before="0" w:after="0"/>
              <w:rPr>
                <w:rFonts w:cs="Arial"/>
                <w:szCs w:val="22"/>
              </w:rPr>
            </w:pPr>
            <w:r w:rsidRPr="00861553">
              <w:rPr>
                <w:rFonts w:cs="Arial"/>
                <w:szCs w:val="22"/>
              </w:rPr>
              <w:t>n/a</w:t>
            </w:r>
          </w:p>
        </w:tc>
        <w:tc>
          <w:tcPr>
            <w:tcW w:w="599" w:type="dxa"/>
            <w:vMerge/>
            <w:shd w:val="clear" w:color="auto" w:fill="FFFFFF"/>
            <w:vAlign w:val="center"/>
          </w:tcPr>
          <w:p w14:paraId="0F32A815" w14:textId="77777777" w:rsidR="00987FB9" w:rsidRPr="00861553" w:rsidRDefault="00987FB9" w:rsidP="00987FB9">
            <w:pPr>
              <w:pStyle w:val="IATableText"/>
              <w:spacing w:before="0" w:after="0"/>
              <w:jc w:val="right"/>
              <w:rPr>
                <w:rFonts w:cs="Arial"/>
                <w:szCs w:val="22"/>
              </w:rPr>
            </w:pPr>
          </w:p>
        </w:tc>
        <w:tc>
          <w:tcPr>
            <w:tcW w:w="3261" w:type="dxa"/>
            <w:tcBorders>
              <w:top w:val="single" w:sz="6" w:space="0" w:color="auto"/>
              <w:bottom w:val="single" w:sz="12" w:space="0" w:color="auto"/>
              <w:right w:val="single" w:sz="12" w:space="0" w:color="auto"/>
            </w:tcBorders>
            <w:shd w:val="clear" w:color="auto" w:fill="auto"/>
            <w:vAlign w:val="bottom"/>
          </w:tcPr>
          <w:p w14:paraId="2566F4F6" w14:textId="5ECB4A69" w:rsidR="00987FB9" w:rsidRPr="00861553" w:rsidRDefault="00987FB9" w:rsidP="00987FB9">
            <w:pPr>
              <w:pStyle w:val="POAABenHigh"/>
              <w:spacing w:before="0" w:after="0"/>
              <w:rPr>
                <w:rFonts w:cs="Arial"/>
                <w:szCs w:val="22"/>
              </w:rPr>
            </w:pPr>
            <w:r>
              <w:rPr>
                <w:rFonts w:cs="Arial"/>
                <w:color w:val="000000"/>
              </w:rPr>
              <w:t>1.6</w:t>
            </w:r>
          </w:p>
        </w:tc>
        <w:tc>
          <w:tcPr>
            <w:tcW w:w="2393" w:type="dxa"/>
            <w:gridSpan w:val="2"/>
            <w:tcBorders>
              <w:top w:val="single" w:sz="6" w:space="0" w:color="auto"/>
              <w:left w:val="single" w:sz="12" w:space="0" w:color="auto"/>
              <w:bottom w:val="single" w:sz="12" w:space="0" w:color="auto"/>
            </w:tcBorders>
            <w:shd w:val="clear" w:color="auto" w:fill="auto"/>
            <w:vAlign w:val="center"/>
          </w:tcPr>
          <w:p w14:paraId="79D05835" w14:textId="133EFFCB" w:rsidR="00987FB9" w:rsidRPr="00861553" w:rsidRDefault="00987FB9" w:rsidP="00987FB9">
            <w:pPr>
              <w:pStyle w:val="POTBBenHigh"/>
              <w:spacing w:before="0" w:after="0"/>
              <w:rPr>
                <w:rFonts w:cs="Arial"/>
                <w:szCs w:val="22"/>
              </w:rPr>
            </w:pPr>
            <w:r w:rsidRPr="00861553">
              <w:rPr>
                <w:rFonts w:cs="Arial"/>
                <w:szCs w:val="22"/>
              </w:rPr>
              <w:t>7.2</w:t>
            </w:r>
          </w:p>
        </w:tc>
      </w:tr>
      <w:tr w:rsidR="00987FB9" w:rsidRPr="00B96818" w14:paraId="1F1B7128" w14:textId="77777777" w:rsidTr="00DA2729">
        <w:trPr>
          <w:trHeight w:hRule="exact" w:val="348"/>
        </w:trPr>
        <w:tc>
          <w:tcPr>
            <w:tcW w:w="1686" w:type="dxa"/>
            <w:tcBorders>
              <w:top w:val="single" w:sz="12" w:space="0" w:color="auto"/>
              <w:bottom w:val="single" w:sz="12" w:space="0" w:color="auto"/>
              <w:right w:val="single" w:sz="12" w:space="0" w:color="auto"/>
            </w:tcBorders>
            <w:shd w:val="clear" w:color="auto" w:fill="FFFFFF"/>
            <w:vAlign w:val="center"/>
          </w:tcPr>
          <w:p w14:paraId="284CBF03" w14:textId="77777777" w:rsidR="00987FB9" w:rsidRPr="00861553" w:rsidRDefault="00987FB9" w:rsidP="00987FB9">
            <w:pPr>
              <w:pStyle w:val="IATableLabel"/>
              <w:spacing w:before="0" w:after="0"/>
              <w:rPr>
                <w:rFonts w:cs="Arial"/>
                <w:sz w:val="22"/>
                <w:szCs w:val="22"/>
              </w:rPr>
            </w:pPr>
            <w:r w:rsidRPr="00861553">
              <w:rPr>
                <w:rFonts w:cs="Arial"/>
                <w:sz w:val="22"/>
                <w:szCs w:val="22"/>
              </w:rPr>
              <w:t>Best Estimate</w:t>
            </w:r>
          </w:p>
          <w:p w14:paraId="2348A345" w14:textId="77777777" w:rsidR="00987FB9" w:rsidRPr="00861553" w:rsidRDefault="00987FB9" w:rsidP="00987FB9">
            <w:pPr>
              <w:pStyle w:val="IATableNotes"/>
              <w:spacing w:beforeLines="40" w:before="96" w:after="0"/>
              <w:ind w:left="0" w:right="18"/>
              <w:jc w:val="center"/>
              <w:rPr>
                <w:rFonts w:cs="Arial"/>
                <w:b/>
                <w:sz w:val="22"/>
                <w:szCs w:val="22"/>
              </w:rPr>
            </w:pPr>
          </w:p>
        </w:tc>
        <w:tc>
          <w:tcPr>
            <w:tcW w:w="2236" w:type="dxa"/>
            <w:tcBorders>
              <w:top w:val="single" w:sz="12" w:space="0" w:color="auto"/>
              <w:left w:val="single" w:sz="12" w:space="0" w:color="auto"/>
              <w:bottom w:val="single" w:sz="12" w:space="0" w:color="auto"/>
              <w:right w:val="single" w:sz="12" w:space="0" w:color="auto"/>
            </w:tcBorders>
            <w:shd w:val="clear" w:color="auto" w:fill="FFFFFF"/>
            <w:vAlign w:val="center"/>
          </w:tcPr>
          <w:p w14:paraId="34AC44FD" w14:textId="21D9F364" w:rsidR="00987FB9" w:rsidRPr="00861553" w:rsidRDefault="00987FB9" w:rsidP="00987FB9">
            <w:pPr>
              <w:pStyle w:val="POTTBenBest"/>
              <w:spacing w:before="0" w:after="0"/>
              <w:rPr>
                <w:rFonts w:cs="Arial"/>
                <w:szCs w:val="22"/>
              </w:rPr>
            </w:pPr>
            <w:r w:rsidRPr="00861553">
              <w:rPr>
                <w:rFonts w:cs="Arial"/>
                <w:szCs w:val="22"/>
              </w:rPr>
              <w:t>n/a</w:t>
            </w:r>
          </w:p>
        </w:tc>
        <w:tc>
          <w:tcPr>
            <w:tcW w:w="599" w:type="dxa"/>
            <w:vMerge/>
            <w:tcBorders>
              <w:left w:val="single" w:sz="12" w:space="0" w:color="auto"/>
              <w:right w:val="single" w:sz="12" w:space="0" w:color="auto"/>
            </w:tcBorders>
            <w:shd w:val="clear" w:color="auto" w:fill="FFFFFF"/>
            <w:vAlign w:val="center"/>
          </w:tcPr>
          <w:p w14:paraId="4FDF7D38" w14:textId="77777777" w:rsidR="00987FB9" w:rsidRPr="00861553" w:rsidRDefault="00987FB9" w:rsidP="00987FB9">
            <w:pPr>
              <w:pStyle w:val="IATableText"/>
              <w:spacing w:before="0" w:after="0"/>
              <w:jc w:val="right"/>
              <w:rPr>
                <w:rFonts w:cs="Arial"/>
                <w:szCs w:val="22"/>
              </w:rPr>
            </w:pPr>
          </w:p>
        </w:tc>
        <w:tc>
          <w:tcPr>
            <w:tcW w:w="3261" w:type="dxa"/>
            <w:tcBorders>
              <w:top w:val="single" w:sz="12" w:space="0" w:color="auto"/>
              <w:left w:val="single" w:sz="12" w:space="0" w:color="auto"/>
              <w:bottom w:val="single" w:sz="12" w:space="0" w:color="auto"/>
              <w:right w:val="single" w:sz="12" w:space="0" w:color="auto"/>
            </w:tcBorders>
            <w:shd w:val="clear" w:color="auto" w:fill="FFFFFF"/>
            <w:vAlign w:val="bottom"/>
          </w:tcPr>
          <w:p w14:paraId="4BD3A8FB" w14:textId="6D59200D" w:rsidR="00987FB9" w:rsidRPr="00861553" w:rsidRDefault="00987FB9" w:rsidP="00987FB9">
            <w:pPr>
              <w:pStyle w:val="POAABenBest"/>
              <w:spacing w:before="0" w:after="0"/>
              <w:rPr>
                <w:rFonts w:cs="Arial"/>
                <w:szCs w:val="22"/>
              </w:rPr>
            </w:pPr>
            <w:r>
              <w:rPr>
                <w:rFonts w:cs="Arial"/>
                <w:color w:val="000000"/>
              </w:rPr>
              <w:t>1.1</w:t>
            </w:r>
          </w:p>
        </w:tc>
        <w:tc>
          <w:tcPr>
            <w:tcW w:w="2393" w:type="dxa"/>
            <w:gridSpan w:val="2"/>
            <w:tcBorders>
              <w:top w:val="single" w:sz="12" w:space="0" w:color="auto"/>
              <w:left w:val="single" w:sz="12" w:space="0" w:color="auto"/>
              <w:bottom w:val="single" w:sz="12" w:space="0" w:color="auto"/>
            </w:tcBorders>
            <w:shd w:val="clear" w:color="auto" w:fill="FFFFFF"/>
            <w:vAlign w:val="center"/>
          </w:tcPr>
          <w:p w14:paraId="120684A5" w14:textId="72E7CFC8" w:rsidR="00987FB9" w:rsidRPr="00861553" w:rsidRDefault="00987FB9" w:rsidP="00987FB9">
            <w:pPr>
              <w:pStyle w:val="POTBBenBest"/>
              <w:spacing w:before="0" w:after="0"/>
              <w:rPr>
                <w:rFonts w:cs="Arial"/>
                <w:szCs w:val="22"/>
              </w:rPr>
            </w:pPr>
            <w:r w:rsidRPr="00861553">
              <w:rPr>
                <w:rFonts w:cs="Arial"/>
                <w:szCs w:val="22"/>
              </w:rPr>
              <w:t>4.9</w:t>
            </w:r>
          </w:p>
        </w:tc>
      </w:tr>
      <w:tr w:rsidR="001844B6" w:rsidRPr="00B96818" w14:paraId="64B46F69" w14:textId="77777777" w:rsidTr="002B6FB6">
        <w:trPr>
          <w:trHeight w:hRule="exact" w:val="1831"/>
        </w:trPr>
        <w:tc>
          <w:tcPr>
            <w:tcW w:w="10175" w:type="dxa"/>
            <w:gridSpan w:val="6"/>
            <w:shd w:val="clear" w:color="auto" w:fill="auto"/>
          </w:tcPr>
          <w:p w14:paraId="7AD0BC62" w14:textId="77777777" w:rsidR="001844B6" w:rsidRPr="00861553" w:rsidRDefault="001844B6" w:rsidP="00B405DA">
            <w:pPr>
              <w:pStyle w:val="IPPOQ3"/>
              <w:spacing w:before="0" w:after="0"/>
              <w:rPr>
                <w:rFonts w:cs="Arial"/>
                <w:sz w:val="22"/>
                <w:szCs w:val="22"/>
              </w:rPr>
            </w:pPr>
            <w:r w:rsidRPr="00861553">
              <w:rPr>
                <w:rFonts w:cs="Arial"/>
                <w:sz w:val="22"/>
                <w:szCs w:val="22"/>
              </w:rPr>
              <w:t xml:space="preserve">Description and scale of key monetised benefits by ‘main affected groups’ </w:t>
            </w:r>
          </w:p>
          <w:p w14:paraId="34D7E5ED" w14:textId="038F01BC" w:rsidR="00705D66" w:rsidRPr="00861553" w:rsidRDefault="00384017" w:rsidP="00115388">
            <w:pPr>
              <w:pStyle w:val="IAPOA3"/>
              <w:jc w:val="both"/>
              <w:rPr>
                <w:rFonts w:cs="Arial"/>
                <w:szCs w:val="22"/>
              </w:rPr>
            </w:pPr>
            <w:r w:rsidRPr="00861553">
              <w:rPr>
                <w:rFonts w:cs="Arial"/>
                <w:szCs w:val="22"/>
              </w:rPr>
              <w:t xml:space="preserve">The </w:t>
            </w:r>
            <w:r w:rsidR="00D133E0" w:rsidRPr="00861553">
              <w:rPr>
                <w:rFonts w:cs="Arial"/>
                <w:szCs w:val="22"/>
              </w:rPr>
              <w:t>quantifiable</w:t>
            </w:r>
            <w:r w:rsidR="00122544" w:rsidRPr="00861553">
              <w:rPr>
                <w:rFonts w:cs="Arial"/>
                <w:szCs w:val="22"/>
              </w:rPr>
              <w:t xml:space="preserve"> bene</w:t>
            </w:r>
            <w:r w:rsidR="00B405DA" w:rsidRPr="00861553">
              <w:rPr>
                <w:rFonts w:cs="Arial"/>
                <w:szCs w:val="22"/>
              </w:rPr>
              <w:t xml:space="preserve">fit of renewing the licences for </w:t>
            </w:r>
            <w:r w:rsidR="00122544" w:rsidRPr="00861553">
              <w:rPr>
                <w:rFonts w:cs="Arial"/>
                <w:szCs w:val="22"/>
              </w:rPr>
              <w:t>a further 5 years is</w:t>
            </w:r>
            <w:r w:rsidR="00D133E0" w:rsidRPr="00861553">
              <w:rPr>
                <w:rFonts w:cs="Arial"/>
                <w:szCs w:val="22"/>
              </w:rPr>
              <w:t xml:space="preserve"> the cost saving</w:t>
            </w:r>
            <w:r w:rsidR="00122544" w:rsidRPr="00861553">
              <w:rPr>
                <w:rFonts w:cs="Arial"/>
                <w:szCs w:val="22"/>
              </w:rPr>
              <w:t xml:space="preserve"> to </w:t>
            </w:r>
            <w:r w:rsidR="00294BDE" w:rsidRPr="00861553">
              <w:rPr>
                <w:rFonts w:cs="Arial"/>
                <w:szCs w:val="22"/>
              </w:rPr>
              <w:t xml:space="preserve">existing </w:t>
            </w:r>
            <w:r w:rsidR="005015B8" w:rsidRPr="00861553">
              <w:rPr>
                <w:rFonts w:cs="Arial"/>
                <w:szCs w:val="22"/>
              </w:rPr>
              <w:t>licensees</w:t>
            </w:r>
            <w:r w:rsidR="00294BDE" w:rsidRPr="00861553">
              <w:rPr>
                <w:rFonts w:cs="Arial"/>
                <w:szCs w:val="22"/>
              </w:rPr>
              <w:t xml:space="preserve"> from not having to reapply</w:t>
            </w:r>
            <w:r w:rsidR="00122544" w:rsidRPr="00861553">
              <w:rPr>
                <w:rFonts w:cs="Arial"/>
                <w:szCs w:val="22"/>
              </w:rPr>
              <w:t>. Through the proposed extension</w:t>
            </w:r>
            <w:r w:rsidR="00A83B1A" w:rsidRPr="00861553">
              <w:rPr>
                <w:rFonts w:cs="Arial"/>
                <w:szCs w:val="22"/>
              </w:rPr>
              <w:t>,</w:t>
            </w:r>
            <w:r w:rsidR="00122544" w:rsidRPr="00861553">
              <w:rPr>
                <w:rFonts w:cs="Arial"/>
                <w:szCs w:val="22"/>
              </w:rPr>
              <w:t xml:space="preserve"> current licence holders would not bear the cost of re-bidding and buying a licence for a</w:t>
            </w:r>
            <w:r w:rsidR="00B405DA" w:rsidRPr="00861553">
              <w:rPr>
                <w:rFonts w:cs="Arial"/>
                <w:szCs w:val="22"/>
              </w:rPr>
              <w:t xml:space="preserve"> further 5 years from their expiry</w:t>
            </w:r>
            <w:r w:rsidR="00122544" w:rsidRPr="00861553">
              <w:rPr>
                <w:rFonts w:cs="Arial"/>
                <w:szCs w:val="22"/>
              </w:rPr>
              <w:t xml:space="preserve"> date. </w:t>
            </w:r>
            <w:r w:rsidR="00294BDE" w:rsidRPr="00861553">
              <w:rPr>
                <w:rFonts w:cs="Arial"/>
                <w:szCs w:val="22"/>
              </w:rPr>
              <w:t>Taking account of representations made during the consultation, t</w:t>
            </w:r>
            <w:r w:rsidR="00122544" w:rsidRPr="00861553">
              <w:rPr>
                <w:rFonts w:cs="Arial"/>
                <w:szCs w:val="22"/>
              </w:rPr>
              <w:t>he</w:t>
            </w:r>
            <w:r w:rsidR="004D1922" w:rsidRPr="00861553">
              <w:rPr>
                <w:rFonts w:cs="Arial"/>
                <w:szCs w:val="22"/>
              </w:rPr>
              <w:t xml:space="preserve"> </w:t>
            </w:r>
            <w:r w:rsidR="004D1922" w:rsidRPr="00D52397">
              <w:rPr>
                <w:rFonts w:cs="Arial"/>
                <w:szCs w:val="22"/>
              </w:rPr>
              <w:t>anticipated</w:t>
            </w:r>
            <w:r w:rsidR="00122544" w:rsidRPr="00D52397">
              <w:rPr>
                <w:rFonts w:cs="Arial"/>
                <w:szCs w:val="22"/>
              </w:rPr>
              <w:t xml:space="preserve"> </w:t>
            </w:r>
            <w:r w:rsidR="00122544" w:rsidRPr="00861553">
              <w:rPr>
                <w:rFonts w:cs="Arial"/>
                <w:szCs w:val="22"/>
              </w:rPr>
              <w:t xml:space="preserve">cost for the licence renewal process for all 63 local licences </w:t>
            </w:r>
            <w:r w:rsidR="004D1922" w:rsidRPr="00D52397">
              <w:rPr>
                <w:rFonts w:cs="Arial"/>
                <w:szCs w:val="22"/>
              </w:rPr>
              <w:t>is</w:t>
            </w:r>
            <w:r w:rsidR="00122544" w:rsidRPr="00861553">
              <w:rPr>
                <w:rFonts w:cs="Arial"/>
                <w:szCs w:val="22"/>
              </w:rPr>
              <w:t xml:space="preserve"> in the range of</w:t>
            </w:r>
            <w:r w:rsidRPr="00861553">
              <w:rPr>
                <w:rFonts w:cs="Arial"/>
                <w:szCs w:val="22"/>
              </w:rPr>
              <w:t xml:space="preserve"> £2,758,856 and £7,798,856</w:t>
            </w:r>
            <w:r w:rsidR="00862109" w:rsidRPr="00861553">
              <w:rPr>
                <w:rFonts w:cs="Arial"/>
                <w:szCs w:val="22"/>
              </w:rPr>
              <w:t>, assuming a cost of between £20k and £100k per application plus the costs of buying a licence, which were calculated using data from Ofcom.</w:t>
            </w:r>
          </w:p>
          <w:p w14:paraId="43203CF8" w14:textId="77777777" w:rsidR="00657DB4" w:rsidRPr="00861553" w:rsidRDefault="00657DB4" w:rsidP="00B405DA">
            <w:pPr>
              <w:pStyle w:val="IAPOA3"/>
              <w:jc w:val="both"/>
              <w:rPr>
                <w:rFonts w:cs="Arial"/>
                <w:szCs w:val="22"/>
              </w:rPr>
            </w:pPr>
          </w:p>
          <w:p w14:paraId="46CFD4F4" w14:textId="77777777" w:rsidR="00657DB4" w:rsidRPr="00861553" w:rsidRDefault="00657DB4" w:rsidP="00B405DA">
            <w:pPr>
              <w:pStyle w:val="IAPOA3"/>
              <w:jc w:val="both"/>
              <w:rPr>
                <w:rFonts w:cs="Arial"/>
                <w:szCs w:val="22"/>
              </w:rPr>
            </w:pPr>
          </w:p>
          <w:p w14:paraId="2E296CD5" w14:textId="77777777" w:rsidR="00657DB4" w:rsidRPr="00861553" w:rsidRDefault="00657DB4" w:rsidP="00B405DA">
            <w:pPr>
              <w:pStyle w:val="IAPOA3"/>
              <w:jc w:val="both"/>
              <w:rPr>
                <w:rFonts w:cs="Arial"/>
                <w:szCs w:val="22"/>
              </w:rPr>
            </w:pPr>
          </w:p>
          <w:p w14:paraId="599C8558" w14:textId="77777777" w:rsidR="00122544" w:rsidRPr="00861553" w:rsidRDefault="00122544" w:rsidP="00B405DA">
            <w:pPr>
              <w:pStyle w:val="IAPOA3"/>
              <w:rPr>
                <w:rFonts w:cs="Arial"/>
                <w:szCs w:val="22"/>
              </w:rPr>
            </w:pPr>
          </w:p>
        </w:tc>
      </w:tr>
      <w:tr w:rsidR="001844B6" w:rsidRPr="00B96818" w14:paraId="4C3BE167" w14:textId="77777777" w:rsidTr="002B6FB6">
        <w:trPr>
          <w:trHeight w:hRule="exact" w:val="1832"/>
        </w:trPr>
        <w:tc>
          <w:tcPr>
            <w:tcW w:w="10175" w:type="dxa"/>
            <w:gridSpan w:val="6"/>
            <w:shd w:val="clear" w:color="auto" w:fill="auto"/>
          </w:tcPr>
          <w:p w14:paraId="7923054E" w14:textId="77777777" w:rsidR="001844B6" w:rsidRPr="00861553" w:rsidRDefault="001844B6" w:rsidP="00B405DA">
            <w:pPr>
              <w:pStyle w:val="IAPOQ4"/>
              <w:spacing w:before="0" w:after="0"/>
              <w:rPr>
                <w:rFonts w:cs="Arial"/>
                <w:sz w:val="22"/>
                <w:szCs w:val="22"/>
              </w:rPr>
            </w:pPr>
            <w:r w:rsidRPr="00861553">
              <w:rPr>
                <w:rFonts w:cs="Arial"/>
                <w:sz w:val="22"/>
                <w:szCs w:val="22"/>
              </w:rPr>
              <w:t xml:space="preserve">Other key non-monetised benefits by ‘main affected groups’ </w:t>
            </w:r>
          </w:p>
          <w:p w14:paraId="4F8F6C55" w14:textId="6069E222" w:rsidR="00983E05" w:rsidRPr="00861553" w:rsidRDefault="00B405DA" w:rsidP="004D1922">
            <w:pPr>
              <w:pStyle w:val="IAPOA4"/>
              <w:rPr>
                <w:rFonts w:cs="Arial"/>
                <w:szCs w:val="22"/>
              </w:rPr>
            </w:pPr>
            <w:r w:rsidRPr="00861553">
              <w:rPr>
                <w:rFonts w:cs="Arial"/>
                <w:szCs w:val="22"/>
              </w:rPr>
              <w:t>The main benefit of</w:t>
            </w:r>
            <w:r w:rsidR="00D133E0" w:rsidRPr="00861553">
              <w:rPr>
                <w:rFonts w:cs="Arial"/>
                <w:szCs w:val="22"/>
              </w:rPr>
              <w:t xml:space="preserve"> extending licences is increased </w:t>
            </w:r>
            <w:r w:rsidR="00294BDE" w:rsidRPr="00861553">
              <w:rPr>
                <w:rFonts w:cs="Arial"/>
                <w:szCs w:val="22"/>
              </w:rPr>
              <w:t xml:space="preserve">stability for existing radio stations by </w:t>
            </w:r>
            <w:r w:rsidR="00D133E0" w:rsidRPr="00861553">
              <w:rPr>
                <w:rFonts w:cs="Arial"/>
                <w:szCs w:val="22"/>
              </w:rPr>
              <w:t>eliminat</w:t>
            </w:r>
            <w:r w:rsidR="00294BDE" w:rsidRPr="00861553">
              <w:rPr>
                <w:rFonts w:cs="Arial"/>
                <w:szCs w:val="22"/>
              </w:rPr>
              <w:t>ing</w:t>
            </w:r>
            <w:r w:rsidR="00E637D6" w:rsidRPr="00861553">
              <w:rPr>
                <w:rFonts w:cs="Arial"/>
                <w:szCs w:val="22"/>
              </w:rPr>
              <w:t xml:space="preserve"> any uncertainty of the effects of re-tendering and opening up </w:t>
            </w:r>
            <w:r w:rsidR="00294BDE" w:rsidRPr="00861553">
              <w:rPr>
                <w:rFonts w:cs="Arial"/>
                <w:szCs w:val="22"/>
              </w:rPr>
              <w:t xml:space="preserve">analogue licences </w:t>
            </w:r>
            <w:r w:rsidR="00D133E0" w:rsidRPr="00861553">
              <w:rPr>
                <w:rFonts w:cs="Arial"/>
                <w:szCs w:val="22"/>
              </w:rPr>
              <w:t>to competition</w:t>
            </w:r>
            <w:r w:rsidR="00E637D6" w:rsidRPr="00861553">
              <w:rPr>
                <w:rFonts w:cs="Arial"/>
                <w:szCs w:val="22"/>
              </w:rPr>
              <w:t xml:space="preserve">. </w:t>
            </w:r>
            <w:r w:rsidR="00C026B1" w:rsidRPr="00861553">
              <w:rPr>
                <w:rFonts w:cs="Arial"/>
                <w:szCs w:val="22"/>
              </w:rPr>
              <w:t xml:space="preserve">The primary benefit of this is that it will </w:t>
            </w:r>
            <w:r w:rsidR="00E637D6" w:rsidRPr="00861553">
              <w:rPr>
                <w:rFonts w:cs="Arial"/>
                <w:szCs w:val="22"/>
              </w:rPr>
              <w:t xml:space="preserve">provide </w:t>
            </w:r>
            <w:r w:rsidR="00326939" w:rsidRPr="00861553">
              <w:rPr>
                <w:rFonts w:cs="Arial"/>
                <w:szCs w:val="22"/>
              </w:rPr>
              <w:t xml:space="preserve">commercial broadcasters with </w:t>
            </w:r>
            <w:r w:rsidR="00C026B1" w:rsidRPr="00861553">
              <w:rPr>
                <w:rFonts w:cs="Arial"/>
                <w:szCs w:val="22"/>
              </w:rPr>
              <w:t xml:space="preserve">the </w:t>
            </w:r>
            <w:r w:rsidR="00326939" w:rsidRPr="00861553">
              <w:rPr>
                <w:rFonts w:cs="Arial"/>
                <w:szCs w:val="22"/>
              </w:rPr>
              <w:t xml:space="preserve">certainty </w:t>
            </w:r>
            <w:r w:rsidR="00C026B1" w:rsidRPr="00861553">
              <w:rPr>
                <w:rFonts w:cs="Arial"/>
                <w:szCs w:val="22"/>
              </w:rPr>
              <w:t>to</w:t>
            </w:r>
            <w:r w:rsidR="00326939" w:rsidRPr="00861553">
              <w:rPr>
                <w:rFonts w:cs="Arial"/>
                <w:szCs w:val="22"/>
              </w:rPr>
              <w:t xml:space="preserve"> </w:t>
            </w:r>
            <w:r w:rsidR="00754F67" w:rsidRPr="00861553">
              <w:rPr>
                <w:rFonts w:cs="Arial"/>
                <w:szCs w:val="22"/>
              </w:rPr>
              <w:t xml:space="preserve">continue to invest in digital radio, in line with Government policy and to work towards </w:t>
            </w:r>
            <w:r w:rsidR="00326939" w:rsidRPr="00861553">
              <w:rPr>
                <w:rFonts w:cs="Arial"/>
                <w:szCs w:val="22"/>
              </w:rPr>
              <w:t>a managed transition to digital</w:t>
            </w:r>
            <w:r w:rsidR="00C026B1" w:rsidRPr="00861553">
              <w:rPr>
                <w:rFonts w:cs="Arial"/>
                <w:szCs w:val="22"/>
              </w:rPr>
              <w:t>, to which Government remains committed.</w:t>
            </w:r>
            <w:r w:rsidR="00326939" w:rsidRPr="00861553">
              <w:rPr>
                <w:rFonts w:cs="Arial"/>
                <w:szCs w:val="22"/>
              </w:rPr>
              <w:t xml:space="preserve"> It would also allow them to focus</w:t>
            </w:r>
            <w:r w:rsidR="00E637D6" w:rsidRPr="00861553">
              <w:rPr>
                <w:rFonts w:cs="Arial"/>
                <w:szCs w:val="22"/>
              </w:rPr>
              <w:t xml:space="preserve"> </w:t>
            </w:r>
            <w:r w:rsidR="00754F67" w:rsidRPr="00861553">
              <w:rPr>
                <w:rFonts w:cs="Arial"/>
                <w:szCs w:val="22"/>
              </w:rPr>
              <w:t xml:space="preserve">investment </w:t>
            </w:r>
            <w:r w:rsidR="00326939" w:rsidRPr="00861553">
              <w:rPr>
                <w:rFonts w:cs="Arial"/>
                <w:szCs w:val="22"/>
              </w:rPr>
              <w:t xml:space="preserve">on developing </w:t>
            </w:r>
            <w:r w:rsidR="00754F67" w:rsidRPr="00861553">
              <w:rPr>
                <w:rFonts w:cs="Arial"/>
                <w:szCs w:val="22"/>
              </w:rPr>
              <w:t xml:space="preserve">their business </w:t>
            </w:r>
            <w:r w:rsidR="004D1922" w:rsidRPr="00D52397">
              <w:rPr>
                <w:rFonts w:cs="Arial"/>
                <w:szCs w:val="22"/>
              </w:rPr>
              <w:t xml:space="preserve">in the face of </w:t>
            </w:r>
            <w:r w:rsidR="00326939" w:rsidRPr="00861553">
              <w:rPr>
                <w:rFonts w:cs="Arial"/>
                <w:szCs w:val="22"/>
              </w:rPr>
              <w:t xml:space="preserve">innovative </w:t>
            </w:r>
            <w:r w:rsidR="00754F67" w:rsidRPr="00861553">
              <w:rPr>
                <w:rFonts w:cs="Arial"/>
                <w:szCs w:val="22"/>
              </w:rPr>
              <w:t xml:space="preserve">competition from </w:t>
            </w:r>
            <w:r w:rsidR="004D1922" w:rsidRPr="00D52397">
              <w:rPr>
                <w:rFonts w:cs="Arial"/>
                <w:szCs w:val="22"/>
              </w:rPr>
              <w:t>online streaming services</w:t>
            </w:r>
            <w:r w:rsidR="00754F67" w:rsidRPr="00861553">
              <w:rPr>
                <w:rFonts w:cs="Arial"/>
                <w:szCs w:val="22"/>
              </w:rPr>
              <w:t>.</w:t>
            </w:r>
          </w:p>
        </w:tc>
      </w:tr>
      <w:tr w:rsidR="001844B6" w:rsidRPr="00B96818" w14:paraId="3ED86303" w14:textId="77777777" w:rsidTr="002B6FB6">
        <w:trPr>
          <w:trHeight w:hRule="exact" w:val="346"/>
        </w:trPr>
        <w:tc>
          <w:tcPr>
            <w:tcW w:w="9320" w:type="dxa"/>
            <w:gridSpan w:val="5"/>
            <w:tcBorders>
              <w:top w:val="single" w:sz="6" w:space="0" w:color="auto"/>
              <w:bottom w:val="nil"/>
            </w:tcBorders>
            <w:shd w:val="clear" w:color="auto" w:fill="auto"/>
          </w:tcPr>
          <w:p w14:paraId="3043152B" w14:textId="25809D45" w:rsidR="001844B6" w:rsidRPr="00861553" w:rsidRDefault="001844B6" w:rsidP="00B405DA">
            <w:pPr>
              <w:pStyle w:val="IATableLabel"/>
              <w:tabs>
                <w:tab w:val="left" w:pos="7655"/>
              </w:tabs>
              <w:spacing w:before="0" w:after="0"/>
              <w:rPr>
                <w:rFonts w:cs="Arial"/>
                <w:sz w:val="22"/>
                <w:szCs w:val="22"/>
              </w:rPr>
            </w:pPr>
            <w:r w:rsidRPr="00861553">
              <w:rPr>
                <w:rStyle w:val="IAPOQ5Char"/>
                <w:rFonts w:cs="Arial"/>
                <w:b/>
                <w:sz w:val="22"/>
                <w:szCs w:val="22"/>
              </w:rPr>
              <w:t>Key assumptions/sensitivities/risks</w:t>
            </w:r>
            <w:r w:rsidR="00FB5196">
              <w:rPr>
                <w:rFonts w:cs="Arial"/>
                <w:sz w:val="22"/>
                <w:szCs w:val="22"/>
              </w:rPr>
              <w:t xml:space="preserve"> </w:t>
            </w:r>
            <w:r w:rsidRPr="00861553">
              <w:rPr>
                <w:rFonts w:cs="Arial"/>
                <w:sz w:val="22"/>
                <w:szCs w:val="22"/>
              </w:rPr>
              <w:t>Discount rate (</w:t>
            </w:r>
            <w:r w:rsidR="00FB5196">
              <w:rPr>
                <w:rFonts w:cs="Arial"/>
                <w:sz w:val="22"/>
                <w:szCs w:val="22"/>
              </w:rPr>
              <w:t>3.5</w:t>
            </w:r>
            <w:r w:rsidRPr="00861553">
              <w:rPr>
                <w:rFonts w:cs="Arial"/>
                <w:sz w:val="22"/>
                <w:szCs w:val="22"/>
              </w:rPr>
              <w:t>%)</w:t>
            </w:r>
          </w:p>
          <w:p w14:paraId="188FE9EA" w14:textId="77777777" w:rsidR="00282042" w:rsidRPr="00861553" w:rsidRDefault="00282042" w:rsidP="00B405DA">
            <w:pPr>
              <w:pStyle w:val="IATableLabel"/>
              <w:spacing w:before="0" w:after="0"/>
              <w:rPr>
                <w:rFonts w:cs="Arial"/>
                <w:sz w:val="22"/>
                <w:szCs w:val="22"/>
              </w:rPr>
            </w:pPr>
          </w:p>
          <w:p w14:paraId="640D80EF" w14:textId="77777777" w:rsidR="00282042" w:rsidRPr="00861553" w:rsidRDefault="00835BDB" w:rsidP="00B405DA">
            <w:pPr>
              <w:pStyle w:val="IATableLabel"/>
              <w:spacing w:before="0" w:after="0"/>
              <w:rPr>
                <w:rFonts w:cs="Arial"/>
                <w:sz w:val="22"/>
                <w:szCs w:val="22"/>
              </w:rPr>
            </w:pPr>
            <w:r w:rsidRPr="00861553">
              <w:rPr>
                <w:rFonts w:cs="Arial"/>
                <w:sz w:val="22"/>
                <w:szCs w:val="22"/>
              </w:rPr>
              <w:t>stations</w:t>
            </w:r>
          </w:p>
        </w:tc>
        <w:tc>
          <w:tcPr>
            <w:tcW w:w="855" w:type="dxa"/>
            <w:tcBorders>
              <w:top w:val="single" w:sz="6" w:space="0" w:color="auto"/>
              <w:bottom w:val="single" w:sz="4" w:space="0" w:color="auto"/>
            </w:tcBorders>
            <w:shd w:val="clear" w:color="auto" w:fill="auto"/>
          </w:tcPr>
          <w:p w14:paraId="7518433D" w14:textId="77777777" w:rsidR="001844B6" w:rsidRPr="00861553" w:rsidRDefault="00AC6779" w:rsidP="00B405DA">
            <w:pPr>
              <w:pStyle w:val="IAPODisRate"/>
              <w:spacing w:before="0" w:after="0"/>
              <w:rPr>
                <w:rFonts w:cs="Arial"/>
                <w:sz w:val="22"/>
                <w:szCs w:val="22"/>
              </w:rPr>
            </w:pPr>
            <w:r w:rsidRPr="00861553">
              <w:rPr>
                <w:rFonts w:cs="Arial"/>
                <w:sz w:val="22"/>
                <w:szCs w:val="22"/>
              </w:rPr>
              <w:t>3.5%</w:t>
            </w:r>
            <w:r w:rsidR="001844B6" w:rsidRPr="00861553">
              <w:rPr>
                <w:rFonts w:cs="Arial"/>
                <w:sz w:val="22"/>
                <w:szCs w:val="22"/>
              </w:rPr>
              <w:fldChar w:fldCharType="begin">
                <w:ffData>
                  <w:name w:val=""/>
                  <w:enabled/>
                  <w:calcOnExit w:val="0"/>
                  <w:textInput>
                    <w:maxLength w:val="5"/>
                  </w:textInput>
                </w:ffData>
              </w:fldChar>
            </w:r>
            <w:r w:rsidR="001844B6" w:rsidRPr="00861553">
              <w:rPr>
                <w:rFonts w:cs="Arial"/>
                <w:sz w:val="22"/>
                <w:szCs w:val="22"/>
              </w:rPr>
              <w:instrText xml:space="preserve"> FORMTEXT </w:instrText>
            </w:r>
            <w:r w:rsidR="001844B6" w:rsidRPr="00861553">
              <w:rPr>
                <w:rFonts w:cs="Arial"/>
                <w:sz w:val="22"/>
                <w:szCs w:val="22"/>
              </w:rPr>
            </w:r>
            <w:r w:rsidR="001844B6" w:rsidRPr="00861553">
              <w:rPr>
                <w:rFonts w:cs="Arial"/>
                <w:sz w:val="22"/>
                <w:szCs w:val="22"/>
              </w:rPr>
              <w:fldChar w:fldCharType="separate"/>
            </w:r>
            <w:r w:rsidR="001844B6" w:rsidRPr="00861553">
              <w:rPr>
                <w:rFonts w:cs="Arial"/>
                <w:sz w:val="22"/>
                <w:szCs w:val="22"/>
              </w:rPr>
              <w:t> </w:t>
            </w:r>
            <w:r w:rsidR="001844B6" w:rsidRPr="00861553">
              <w:rPr>
                <w:rFonts w:cs="Arial"/>
                <w:sz w:val="22"/>
                <w:szCs w:val="22"/>
              </w:rPr>
              <w:t> </w:t>
            </w:r>
            <w:r w:rsidR="001844B6" w:rsidRPr="00861553">
              <w:rPr>
                <w:rFonts w:cs="Arial"/>
                <w:sz w:val="22"/>
                <w:szCs w:val="22"/>
              </w:rPr>
              <w:t> </w:t>
            </w:r>
            <w:r w:rsidR="001844B6" w:rsidRPr="00861553">
              <w:rPr>
                <w:rFonts w:cs="Arial"/>
                <w:sz w:val="22"/>
                <w:szCs w:val="22"/>
              </w:rPr>
              <w:t> </w:t>
            </w:r>
            <w:r w:rsidR="001844B6" w:rsidRPr="00861553">
              <w:rPr>
                <w:rFonts w:cs="Arial"/>
                <w:sz w:val="22"/>
                <w:szCs w:val="22"/>
              </w:rPr>
              <w:t> </w:t>
            </w:r>
            <w:r w:rsidR="001844B6" w:rsidRPr="00861553">
              <w:rPr>
                <w:rFonts w:cs="Arial"/>
                <w:sz w:val="22"/>
                <w:szCs w:val="22"/>
              </w:rPr>
              <w:fldChar w:fldCharType="end"/>
            </w:r>
          </w:p>
        </w:tc>
      </w:tr>
      <w:tr w:rsidR="001844B6" w:rsidRPr="00B96818" w14:paraId="5CE5632B" w14:textId="77777777" w:rsidTr="002B6FB6">
        <w:trPr>
          <w:trHeight w:hRule="exact" w:val="566"/>
        </w:trPr>
        <w:tc>
          <w:tcPr>
            <w:tcW w:w="10175" w:type="dxa"/>
            <w:gridSpan w:val="6"/>
            <w:tcBorders>
              <w:top w:val="nil"/>
              <w:bottom w:val="single" w:sz="12" w:space="0" w:color="auto"/>
            </w:tcBorders>
            <w:shd w:val="clear" w:color="auto" w:fill="auto"/>
          </w:tcPr>
          <w:p w14:paraId="0E5B3AA4" w14:textId="31A044C1" w:rsidR="00754F67" w:rsidRPr="00861553" w:rsidRDefault="00883486" w:rsidP="00883486">
            <w:pPr>
              <w:autoSpaceDE w:val="0"/>
              <w:autoSpaceDN w:val="0"/>
              <w:adjustRightInd w:val="0"/>
              <w:rPr>
                <w:rFonts w:cs="Arial"/>
                <w:sz w:val="22"/>
                <w:szCs w:val="22"/>
              </w:rPr>
            </w:pPr>
            <w:r w:rsidRPr="00861553">
              <w:rPr>
                <w:rFonts w:cs="Arial"/>
                <w:sz w:val="22"/>
                <w:szCs w:val="22"/>
              </w:rPr>
              <w:t>We are assuming that</w:t>
            </w:r>
            <w:r w:rsidR="00754F67" w:rsidRPr="00861553">
              <w:rPr>
                <w:rFonts w:cs="Arial"/>
                <w:sz w:val="22"/>
                <w:szCs w:val="22"/>
              </w:rPr>
              <w:t xml:space="preserve"> the progress to develop digital radio coverage and listening continues to grow, creating more opportunities for new entrants to build businesses without analogue. </w:t>
            </w:r>
          </w:p>
        </w:tc>
      </w:tr>
    </w:tbl>
    <w:p w14:paraId="671A4E4C" w14:textId="77777777" w:rsidR="001844B6" w:rsidRPr="00861553" w:rsidRDefault="001844B6" w:rsidP="00B405DA">
      <w:pPr>
        <w:pStyle w:val="IASpacer"/>
        <w:spacing w:line="240" w:lineRule="auto"/>
        <w:rPr>
          <w:rFonts w:cs="Arial"/>
          <w:szCs w:val="22"/>
        </w:rPr>
      </w:pPr>
    </w:p>
    <w:p w14:paraId="773AA61A" w14:textId="278430B7" w:rsidR="001844B6" w:rsidRPr="00861553" w:rsidRDefault="00F63895" w:rsidP="00B405DA">
      <w:pPr>
        <w:pStyle w:val="IAHeadLabel"/>
        <w:spacing w:before="0" w:after="0"/>
        <w:rPr>
          <w:rFonts w:cs="Arial"/>
          <w:sz w:val="22"/>
          <w:szCs w:val="22"/>
        </w:rPr>
      </w:pPr>
      <w:r w:rsidRPr="00861553">
        <w:rPr>
          <w:rFonts w:cs="Arial"/>
          <w:sz w:val="22"/>
          <w:szCs w:val="22"/>
        </w:rPr>
        <w:t xml:space="preserve">BUSINESS </w:t>
      </w:r>
      <w:r w:rsidR="001844B6" w:rsidRPr="00861553">
        <w:rPr>
          <w:rFonts w:cs="Arial"/>
          <w:sz w:val="22"/>
          <w:szCs w:val="22"/>
        </w:rPr>
        <w:t xml:space="preserve">ASSESSMENT (Option </w:t>
      </w:r>
      <w:r w:rsidR="002C518E" w:rsidRPr="00861553">
        <w:rPr>
          <w:rFonts w:cs="Arial"/>
          <w:sz w:val="22"/>
          <w:szCs w:val="22"/>
        </w:rPr>
        <w:t>2)</w:t>
      </w:r>
    </w:p>
    <w:tbl>
      <w:tblPr>
        <w:tblW w:w="555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09"/>
        <w:gridCol w:w="2392"/>
        <w:gridCol w:w="2198"/>
        <w:gridCol w:w="2198"/>
        <w:gridCol w:w="2342"/>
      </w:tblGrid>
      <w:tr w:rsidR="001844B6" w:rsidRPr="00B96818" w14:paraId="5911D95B" w14:textId="77777777" w:rsidTr="00657DB4">
        <w:trPr>
          <w:trHeight w:hRule="exact" w:val="312"/>
        </w:trPr>
        <w:tc>
          <w:tcPr>
            <w:tcW w:w="6113" w:type="dxa"/>
            <w:gridSpan w:val="3"/>
            <w:tcBorders>
              <w:top w:val="single" w:sz="4" w:space="0" w:color="auto"/>
              <w:bottom w:val="nil"/>
              <w:right w:val="single" w:sz="4" w:space="0" w:color="auto"/>
            </w:tcBorders>
          </w:tcPr>
          <w:p w14:paraId="20033440" w14:textId="77777777" w:rsidR="001844B6" w:rsidRPr="00861553" w:rsidRDefault="001844B6" w:rsidP="00B405DA">
            <w:pPr>
              <w:pStyle w:val="IATableLabel"/>
              <w:spacing w:before="0" w:after="0"/>
              <w:rPr>
                <w:rFonts w:cs="Arial"/>
                <w:sz w:val="22"/>
                <w:szCs w:val="22"/>
              </w:rPr>
            </w:pPr>
            <w:r w:rsidRPr="00861553">
              <w:rPr>
                <w:rFonts w:cs="Arial"/>
                <w:sz w:val="22"/>
                <w:szCs w:val="22"/>
              </w:rPr>
              <w:t xml:space="preserve">Direct impact on business (Equivalent Annual) £m: </w:t>
            </w:r>
          </w:p>
        </w:tc>
        <w:tc>
          <w:tcPr>
            <w:tcW w:w="1976" w:type="dxa"/>
            <w:tcBorders>
              <w:top w:val="single" w:sz="4" w:space="0" w:color="auto"/>
              <w:left w:val="single" w:sz="4" w:space="0" w:color="auto"/>
              <w:bottom w:val="nil"/>
              <w:right w:val="nil"/>
            </w:tcBorders>
          </w:tcPr>
          <w:p w14:paraId="35F83805" w14:textId="77777777" w:rsidR="001844B6" w:rsidRPr="00861553" w:rsidRDefault="001844B6" w:rsidP="00B405DA">
            <w:pPr>
              <w:pStyle w:val="IATableLabel"/>
              <w:spacing w:before="0" w:after="0"/>
              <w:rPr>
                <w:rFonts w:cs="Arial"/>
                <w:sz w:val="22"/>
                <w:szCs w:val="22"/>
              </w:rPr>
            </w:pPr>
            <w:r w:rsidRPr="00861553">
              <w:rPr>
                <w:rFonts w:cs="Arial"/>
                <w:sz w:val="22"/>
                <w:szCs w:val="22"/>
              </w:rPr>
              <w:t>In scope of OI</w:t>
            </w:r>
            <w:r w:rsidR="00EF3AFB" w:rsidRPr="00861553">
              <w:rPr>
                <w:rFonts w:cs="Arial"/>
                <w:sz w:val="22"/>
                <w:szCs w:val="22"/>
              </w:rPr>
              <w:t>T</w:t>
            </w:r>
            <w:r w:rsidRPr="00861553">
              <w:rPr>
                <w:rFonts w:cs="Arial"/>
                <w:sz w:val="22"/>
                <w:szCs w:val="22"/>
              </w:rPr>
              <w:t>O?</w:t>
            </w:r>
          </w:p>
        </w:tc>
        <w:tc>
          <w:tcPr>
            <w:tcW w:w="2106" w:type="dxa"/>
            <w:tcBorders>
              <w:top w:val="single" w:sz="4" w:space="0" w:color="auto"/>
              <w:left w:val="nil"/>
              <w:bottom w:val="nil"/>
              <w:right w:val="single" w:sz="4" w:space="0" w:color="auto"/>
            </w:tcBorders>
            <w:shd w:val="clear" w:color="auto" w:fill="auto"/>
          </w:tcPr>
          <w:p w14:paraId="0E89D736" w14:textId="77777777" w:rsidR="001844B6" w:rsidRPr="00861553" w:rsidRDefault="001844B6" w:rsidP="00B405DA">
            <w:pPr>
              <w:pStyle w:val="IATableLabel"/>
              <w:spacing w:before="0" w:after="0"/>
              <w:ind w:left="0"/>
              <w:rPr>
                <w:rFonts w:cs="Arial"/>
                <w:sz w:val="22"/>
                <w:szCs w:val="22"/>
              </w:rPr>
            </w:pPr>
            <w:r w:rsidRPr="00861553">
              <w:rPr>
                <w:rFonts w:cs="Arial"/>
                <w:sz w:val="22"/>
                <w:szCs w:val="22"/>
              </w:rPr>
              <w:t xml:space="preserve">  Measure qualifies as</w:t>
            </w:r>
          </w:p>
        </w:tc>
      </w:tr>
      <w:tr w:rsidR="001844B6" w:rsidRPr="00B96818" w14:paraId="58366655" w14:textId="77777777" w:rsidTr="00657DB4">
        <w:trPr>
          <w:trHeight w:hRule="exact" w:val="340"/>
        </w:trPr>
        <w:tc>
          <w:tcPr>
            <w:tcW w:w="1986" w:type="dxa"/>
            <w:tcBorders>
              <w:top w:val="nil"/>
              <w:bottom w:val="single" w:sz="4" w:space="0" w:color="auto"/>
              <w:right w:val="single" w:sz="4" w:space="0" w:color="auto"/>
            </w:tcBorders>
            <w:shd w:val="clear" w:color="auto" w:fill="FFFFFF"/>
          </w:tcPr>
          <w:p w14:paraId="1CCC4E61" w14:textId="154DB25A" w:rsidR="001844B6" w:rsidRPr="00861553" w:rsidRDefault="00657DB4" w:rsidP="00B405DA">
            <w:pPr>
              <w:pStyle w:val="IATableLabel"/>
              <w:spacing w:before="0" w:after="0"/>
              <w:rPr>
                <w:rFonts w:cs="Arial"/>
                <w:sz w:val="22"/>
                <w:szCs w:val="22"/>
              </w:rPr>
            </w:pPr>
            <w:r w:rsidRPr="00861553">
              <w:rPr>
                <w:rFonts w:cs="Arial"/>
                <w:sz w:val="22"/>
                <w:szCs w:val="22"/>
              </w:rPr>
              <w:t>Costs: 0.</w:t>
            </w:r>
            <w:r w:rsidR="002C518E" w:rsidRPr="00861553">
              <w:rPr>
                <w:rFonts w:cs="Arial"/>
                <w:sz w:val="22"/>
                <w:szCs w:val="22"/>
              </w:rPr>
              <w:t>0</w:t>
            </w:r>
          </w:p>
        </w:tc>
        <w:tc>
          <w:tcPr>
            <w:tcW w:w="2151" w:type="dxa"/>
            <w:tcBorders>
              <w:top w:val="nil"/>
              <w:bottom w:val="single" w:sz="4" w:space="0" w:color="auto"/>
              <w:right w:val="single" w:sz="4" w:space="0" w:color="auto"/>
            </w:tcBorders>
            <w:shd w:val="clear" w:color="auto" w:fill="FFFFFF"/>
          </w:tcPr>
          <w:p w14:paraId="64E79C4E" w14:textId="7E2E7AB4" w:rsidR="001844B6" w:rsidRPr="00861553" w:rsidRDefault="00657DB4" w:rsidP="00BE2726">
            <w:pPr>
              <w:pStyle w:val="IATableLabel"/>
              <w:spacing w:before="0" w:after="0"/>
              <w:rPr>
                <w:rFonts w:cs="Arial"/>
                <w:sz w:val="22"/>
                <w:szCs w:val="22"/>
              </w:rPr>
            </w:pPr>
            <w:r w:rsidRPr="00861553">
              <w:rPr>
                <w:rFonts w:cs="Arial"/>
                <w:sz w:val="22"/>
                <w:szCs w:val="22"/>
              </w:rPr>
              <w:t>Benefits: 0.</w:t>
            </w:r>
            <w:r w:rsidR="00014F70">
              <w:rPr>
                <w:rFonts w:cs="Arial"/>
                <w:sz w:val="22"/>
                <w:szCs w:val="22"/>
              </w:rPr>
              <w:t>8</w:t>
            </w:r>
          </w:p>
        </w:tc>
        <w:tc>
          <w:tcPr>
            <w:tcW w:w="1976" w:type="dxa"/>
            <w:tcBorders>
              <w:top w:val="nil"/>
              <w:bottom w:val="single" w:sz="4" w:space="0" w:color="auto"/>
              <w:right w:val="single" w:sz="4" w:space="0" w:color="auto"/>
            </w:tcBorders>
            <w:shd w:val="clear" w:color="auto" w:fill="FFFFFF"/>
          </w:tcPr>
          <w:p w14:paraId="2464379A" w14:textId="523A006D" w:rsidR="001844B6" w:rsidRPr="00861553" w:rsidRDefault="00657DB4" w:rsidP="00B405DA">
            <w:pPr>
              <w:pStyle w:val="IATableLabel"/>
              <w:spacing w:before="0" w:after="0"/>
              <w:rPr>
                <w:rFonts w:cs="Arial"/>
                <w:sz w:val="22"/>
                <w:szCs w:val="22"/>
              </w:rPr>
            </w:pPr>
            <w:r w:rsidRPr="00861553">
              <w:rPr>
                <w:rFonts w:cs="Arial"/>
                <w:sz w:val="22"/>
                <w:szCs w:val="22"/>
              </w:rPr>
              <w:t>Net: 0.</w:t>
            </w:r>
            <w:r w:rsidR="00014F70">
              <w:rPr>
                <w:rFonts w:cs="Arial"/>
                <w:sz w:val="22"/>
                <w:szCs w:val="22"/>
              </w:rPr>
              <w:t>8</w:t>
            </w:r>
          </w:p>
        </w:tc>
        <w:tc>
          <w:tcPr>
            <w:tcW w:w="1976" w:type="dxa"/>
            <w:tcBorders>
              <w:top w:val="nil"/>
              <w:left w:val="single" w:sz="4" w:space="0" w:color="auto"/>
              <w:bottom w:val="single" w:sz="4" w:space="0" w:color="auto"/>
              <w:right w:val="single" w:sz="4" w:space="0" w:color="auto"/>
            </w:tcBorders>
            <w:shd w:val="clear" w:color="auto" w:fill="FFFFFF"/>
          </w:tcPr>
          <w:p w14:paraId="33B5CB90" w14:textId="77777777" w:rsidR="001844B6" w:rsidRPr="00861553" w:rsidRDefault="00A82240" w:rsidP="00B405DA">
            <w:pPr>
              <w:pStyle w:val="IAPODIOIOO"/>
              <w:spacing w:before="0" w:after="0"/>
              <w:rPr>
                <w:rFonts w:cs="Arial"/>
              </w:rPr>
            </w:pPr>
            <w:r w:rsidRPr="00861553">
              <w:rPr>
                <w:rFonts w:cs="Arial"/>
              </w:rPr>
              <w:t>Yes</w:t>
            </w:r>
          </w:p>
        </w:tc>
        <w:tc>
          <w:tcPr>
            <w:tcW w:w="2106" w:type="dxa"/>
            <w:tcBorders>
              <w:top w:val="nil"/>
              <w:left w:val="single" w:sz="4" w:space="0" w:color="auto"/>
              <w:bottom w:val="single" w:sz="4" w:space="0" w:color="auto"/>
              <w:right w:val="single" w:sz="4" w:space="0" w:color="auto"/>
            </w:tcBorders>
            <w:shd w:val="clear" w:color="auto" w:fill="auto"/>
          </w:tcPr>
          <w:p w14:paraId="604F2B20" w14:textId="77777777" w:rsidR="001844B6" w:rsidRPr="00861553" w:rsidRDefault="00A82240" w:rsidP="00A82240">
            <w:pPr>
              <w:pStyle w:val="IAPODIMQ"/>
              <w:spacing w:before="0" w:after="0"/>
              <w:ind w:left="0"/>
              <w:rPr>
                <w:rFonts w:cs="Arial"/>
                <w:sz w:val="22"/>
                <w:szCs w:val="22"/>
              </w:rPr>
            </w:pPr>
            <w:r w:rsidRPr="00861553">
              <w:rPr>
                <w:rFonts w:cs="Arial"/>
                <w:sz w:val="22"/>
                <w:szCs w:val="22"/>
              </w:rPr>
              <w:t>OUT</w:t>
            </w:r>
          </w:p>
        </w:tc>
      </w:tr>
    </w:tbl>
    <w:p w14:paraId="45181FE3" w14:textId="77777777" w:rsidR="00F70A77" w:rsidRPr="00861553" w:rsidRDefault="00F70A77" w:rsidP="00B405DA">
      <w:pPr>
        <w:pStyle w:val="Heading1"/>
        <w:spacing w:before="0" w:after="0"/>
        <w:jc w:val="both"/>
        <w:rPr>
          <w:rFonts w:ascii="Arial" w:hAnsi="Arial"/>
          <w:sz w:val="22"/>
          <w:szCs w:val="22"/>
        </w:rPr>
      </w:pPr>
      <w:bookmarkStart w:id="21" w:name="EvidenceHead"/>
      <w:r w:rsidRPr="00861553">
        <w:rPr>
          <w:rFonts w:ascii="Arial" w:hAnsi="Arial"/>
          <w:sz w:val="22"/>
          <w:szCs w:val="22"/>
        </w:rPr>
        <w:lastRenderedPageBreak/>
        <w:t xml:space="preserve">Evidence Base </w:t>
      </w:r>
      <w:bookmarkStart w:id="22" w:name="EvidenceBase"/>
      <w:bookmarkEnd w:id="22"/>
      <w:r w:rsidRPr="00861553">
        <w:rPr>
          <w:rFonts w:ascii="Arial" w:hAnsi="Arial"/>
          <w:sz w:val="22"/>
          <w:szCs w:val="22"/>
        </w:rPr>
        <w:t>(for summary sheets)</w:t>
      </w:r>
    </w:p>
    <w:p w14:paraId="498C2593" w14:textId="77777777" w:rsidR="00446B5F" w:rsidRPr="00861553" w:rsidRDefault="00446B5F" w:rsidP="00B405DA">
      <w:pPr>
        <w:rPr>
          <w:rFonts w:cs="Arial"/>
          <w:sz w:val="22"/>
          <w:szCs w:val="22"/>
        </w:rPr>
      </w:pPr>
    </w:p>
    <w:p w14:paraId="208A57A3" w14:textId="77777777" w:rsidR="00446B5F" w:rsidRPr="00861553" w:rsidRDefault="00446B5F" w:rsidP="00B405DA">
      <w:pPr>
        <w:rPr>
          <w:rFonts w:cs="Arial"/>
          <w:b/>
          <w:sz w:val="22"/>
          <w:szCs w:val="22"/>
        </w:rPr>
      </w:pPr>
      <w:r w:rsidRPr="00861553">
        <w:rPr>
          <w:rFonts w:cs="Arial"/>
          <w:b/>
          <w:sz w:val="22"/>
          <w:szCs w:val="22"/>
        </w:rPr>
        <w:t>Problem under consideration</w:t>
      </w:r>
    </w:p>
    <w:p w14:paraId="7650DCE1" w14:textId="77777777" w:rsidR="001D3771" w:rsidRPr="00861553" w:rsidRDefault="001D3771" w:rsidP="00B405DA">
      <w:pPr>
        <w:rPr>
          <w:rFonts w:cs="Arial"/>
          <w:b/>
          <w:sz w:val="22"/>
          <w:szCs w:val="22"/>
        </w:rPr>
      </w:pPr>
    </w:p>
    <w:p w14:paraId="1736ADAF" w14:textId="77777777" w:rsidR="00446B5F" w:rsidRPr="00861553" w:rsidRDefault="00446B5F" w:rsidP="00B405DA">
      <w:pPr>
        <w:rPr>
          <w:rFonts w:cs="Arial"/>
          <w:sz w:val="22"/>
          <w:szCs w:val="22"/>
        </w:rPr>
      </w:pPr>
      <w:r w:rsidRPr="00861553">
        <w:rPr>
          <w:rFonts w:cs="Arial"/>
          <w:sz w:val="22"/>
          <w:szCs w:val="22"/>
        </w:rPr>
        <w:t>The Digital Economy Act 2010 amended the 1990 Broadcasting Act to allow Ofcom to grant a further licence extension to FM and AM stations licensed before March 2010 for one period of 7 years, on the condition that those stations are also broadcast on DAB. The seven year extension was timed to reflect a switch-off of analogue radio services by 2017-18, and flexibility to extend licences further was not included in the legislation in order to create certainty of direction for industry</w:t>
      </w:r>
      <w:r w:rsidR="00C328FE" w:rsidRPr="00861553">
        <w:rPr>
          <w:rFonts w:cs="Arial"/>
          <w:sz w:val="22"/>
          <w:szCs w:val="22"/>
        </w:rPr>
        <w:t>.</w:t>
      </w:r>
    </w:p>
    <w:p w14:paraId="27B1D57D" w14:textId="77777777" w:rsidR="00446B5F" w:rsidRPr="00861553" w:rsidRDefault="00446B5F" w:rsidP="00B405DA">
      <w:pPr>
        <w:rPr>
          <w:rFonts w:cs="Arial"/>
          <w:sz w:val="22"/>
          <w:szCs w:val="22"/>
        </w:rPr>
      </w:pPr>
    </w:p>
    <w:p w14:paraId="6C57D7C0" w14:textId="77777777" w:rsidR="00446B5F" w:rsidRPr="00861553" w:rsidRDefault="00446B5F" w:rsidP="00B405DA">
      <w:pPr>
        <w:rPr>
          <w:rFonts w:cs="Arial"/>
          <w:b/>
          <w:sz w:val="22"/>
          <w:szCs w:val="22"/>
        </w:rPr>
      </w:pPr>
      <w:r w:rsidRPr="00861553">
        <w:rPr>
          <w:rFonts w:cs="Arial"/>
          <w:b/>
          <w:sz w:val="22"/>
          <w:szCs w:val="22"/>
        </w:rPr>
        <w:t xml:space="preserve">Rationale for intervention </w:t>
      </w:r>
    </w:p>
    <w:p w14:paraId="00FCDB90" w14:textId="77777777" w:rsidR="00446B5F" w:rsidRPr="00861553" w:rsidRDefault="00446B5F" w:rsidP="00B405DA">
      <w:pPr>
        <w:rPr>
          <w:rFonts w:cs="Arial"/>
          <w:sz w:val="22"/>
          <w:szCs w:val="22"/>
        </w:rPr>
      </w:pPr>
    </w:p>
    <w:p w14:paraId="7F7FCBB2" w14:textId="1ED4BD0A" w:rsidR="00446B5F" w:rsidRPr="00861553" w:rsidRDefault="00446B5F" w:rsidP="00B405DA">
      <w:pPr>
        <w:rPr>
          <w:rFonts w:cs="Arial"/>
          <w:b/>
          <w:sz w:val="22"/>
          <w:szCs w:val="22"/>
        </w:rPr>
      </w:pPr>
      <w:r w:rsidRPr="00861553">
        <w:rPr>
          <w:rFonts w:cs="Arial"/>
          <w:sz w:val="22"/>
          <w:szCs w:val="22"/>
        </w:rPr>
        <w:t xml:space="preserve">In December 2013, the Government confirmed that with digital’s share of listening </w:t>
      </w:r>
      <w:r w:rsidR="002B1167">
        <w:rPr>
          <w:rFonts w:cs="Arial"/>
          <w:sz w:val="22"/>
          <w:szCs w:val="22"/>
        </w:rPr>
        <w:t xml:space="preserve">not having reached </w:t>
      </w:r>
      <w:r w:rsidRPr="00861553">
        <w:rPr>
          <w:rFonts w:cs="Arial"/>
          <w:sz w:val="22"/>
          <w:szCs w:val="22"/>
        </w:rPr>
        <w:t xml:space="preserve">40% </w:t>
      </w:r>
      <w:r w:rsidR="002B1167">
        <w:rPr>
          <w:rFonts w:cs="Arial"/>
          <w:sz w:val="22"/>
          <w:szCs w:val="22"/>
        </w:rPr>
        <w:t xml:space="preserve">that it </w:t>
      </w:r>
      <w:r w:rsidRPr="00861553">
        <w:rPr>
          <w:rFonts w:cs="Arial"/>
          <w:sz w:val="22"/>
          <w:szCs w:val="22"/>
        </w:rPr>
        <w:t xml:space="preserve">was not the time to confirm that a switchover to digital would take place or set dates. </w:t>
      </w:r>
      <w:r w:rsidR="00B96818" w:rsidRPr="00861553">
        <w:rPr>
          <w:rFonts w:cs="Arial"/>
          <w:sz w:val="22"/>
          <w:szCs w:val="22"/>
        </w:rPr>
        <w:t>It is possible</w:t>
      </w:r>
      <w:r w:rsidRPr="00861553">
        <w:rPr>
          <w:rFonts w:cs="Arial"/>
          <w:sz w:val="22"/>
          <w:szCs w:val="22"/>
        </w:rPr>
        <w:t xml:space="preserve"> that the Government w</w:t>
      </w:r>
      <w:r w:rsidR="00B96818" w:rsidRPr="00861553">
        <w:rPr>
          <w:rFonts w:cs="Arial"/>
          <w:sz w:val="22"/>
          <w:szCs w:val="22"/>
        </w:rPr>
        <w:t>ill</w:t>
      </w:r>
      <w:r w:rsidRPr="00861553">
        <w:rPr>
          <w:rFonts w:cs="Arial"/>
          <w:sz w:val="22"/>
          <w:szCs w:val="22"/>
        </w:rPr>
        <w:t xml:space="preserve"> be in a position to set a timetable in early 2017 once 50% of all radio listening is digital The delay in setting a timetable for switchover, </w:t>
      </w:r>
      <w:r w:rsidR="00C328FE" w:rsidRPr="00861553">
        <w:rPr>
          <w:rFonts w:cs="Arial"/>
          <w:sz w:val="22"/>
          <w:szCs w:val="22"/>
        </w:rPr>
        <w:t xml:space="preserve">however, </w:t>
      </w:r>
      <w:r w:rsidRPr="00861553">
        <w:rPr>
          <w:rFonts w:cs="Arial"/>
          <w:sz w:val="22"/>
          <w:szCs w:val="22"/>
        </w:rPr>
        <w:t xml:space="preserve">leaves a number of stations facing analogue licence expirations from late 2017. All three national licences are affected (Classic FM, Absolute, and TalkSport) as set out in table </w:t>
      </w:r>
      <w:r w:rsidR="00B55B74" w:rsidRPr="00861553">
        <w:rPr>
          <w:rFonts w:cs="Arial"/>
          <w:sz w:val="22"/>
          <w:szCs w:val="22"/>
        </w:rPr>
        <w:t>1</w:t>
      </w:r>
      <w:r w:rsidRPr="00861553">
        <w:rPr>
          <w:rFonts w:cs="Arial"/>
          <w:sz w:val="22"/>
          <w:szCs w:val="22"/>
        </w:rPr>
        <w:t xml:space="preserve"> below:</w:t>
      </w:r>
    </w:p>
    <w:p w14:paraId="64B66832" w14:textId="77777777" w:rsidR="00446B5F" w:rsidRPr="00861553" w:rsidRDefault="00446B5F" w:rsidP="00B405DA">
      <w:pPr>
        <w:rPr>
          <w:rFonts w:cs="Arial"/>
          <w:sz w:val="22"/>
          <w:szCs w:val="22"/>
        </w:rPr>
      </w:pPr>
    </w:p>
    <w:p w14:paraId="4CB0B2BE" w14:textId="31C606E3" w:rsidR="00B55B74" w:rsidRPr="00861553" w:rsidRDefault="00B55B74" w:rsidP="00562F73">
      <w:pPr>
        <w:ind w:firstLine="720"/>
        <w:rPr>
          <w:rFonts w:cs="Arial"/>
          <w:sz w:val="22"/>
          <w:szCs w:val="22"/>
        </w:rPr>
      </w:pPr>
      <w:r w:rsidRPr="00861553">
        <w:rPr>
          <w:rFonts w:cs="Arial"/>
          <w:sz w:val="22"/>
          <w:szCs w:val="22"/>
        </w:rPr>
        <w:t>Table 1</w:t>
      </w:r>
    </w:p>
    <w:tbl>
      <w:tblPr>
        <w:tblW w:w="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170"/>
        <w:gridCol w:w="2268"/>
      </w:tblGrid>
      <w:tr w:rsidR="00446B5F" w:rsidRPr="00B96818" w14:paraId="3087B716" w14:textId="77777777" w:rsidTr="002C62D2">
        <w:tc>
          <w:tcPr>
            <w:tcW w:w="2650" w:type="dxa"/>
            <w:shd w:val="clear" w:color="auto" w:fill="auto"/>
          </w:tcPr>
          <w:p w14:paraId="44C82732" w14:textId="77777777" w:rsidR="00446B5F" w:rsidRPr="00861553" w:rsidRDefault="00446B5F" w:rsidP="00B405DA">
            <w:pPr>
              <w:ind w:hanging="108"/>
              <w:rPr>
                <w:rFonts w:cs="Arial"/>
                <w:b/>
                <w:sz w:val="22"/>
                <w:szCs w:val="22"/>
              </w:rPr>
            </w:pPr>
            <w:r w:rsidRPr="00861553">
              <w:rPr>
                <w:rFonts w:cs="Arial"/>
                <w:b/>
                <w:sz w:val="22"/>
                <w:szCs w:val="22"/>
              </w:rPr>
              <w:t>Station</w:t>
            </w:r>
          </w:p>
        </w:tc>
        <w:tc>
          <w:tcPr>
            <w:tcW w:w="2170" w:type="dxa"/>
            <w:shd w:val="clear" w:color="auto" w:fill="auto"/>
          </w:tcPr>
          <w:p w14:paraId="4D948B9F" w14:textId="77777777" w:rsidR="00446B5F" w:rsidRPr="00861553" w:rsidRDefault="00446B5F" w:rsidP="00B405DA">
            <w:pPr>
              <w:ind w:hanging="108"/>
              <w:rPr>
                <w:rFonts w:cs="Arial"/>
                <w:b/>
                <w:sz w:val="22"/>
                <w:szCs w:val="22"/>
              </w:rPr>
            </w:pPr>
            <w:r w:rsidRPr="00861553">
              <w:rPr>
                <w:rFonts w:cs="Arial"/>
                <w:b/>
                <w:sz w:val="22"/>
                <w:szCs w:val="22"/>
              </w:rPr>
              <w:t>Expiry Date</w:t>
            </w:r>
          </w:p>
        </w:tc>
        <w:tc>
          <w:tcPr>
            <w:tcW w:w="2268" w:type="dxa"/>
            <w:shd w:val="clear" w:color="auto" w:fill="auto"/>
          </w:tcPr>
          <w:p w14:paraId="56BD2029" w14:textId="77777777" w:rsidR="00446B5F" w:rsidRPr="00861553" w:rsidRDefault="00446B5F" w:rsidP="00B405DA">
            <w:pPr>
              <w:ind w:hanging="108"/>
              <w:rPr>
                <w:rFonts w:cs="Arial"/>
                <w:b/>
                <w:sz w:val="22"/>
                <w:szCs w:val="22"/>
              </w:rPr>
            </w:pPr>
            <w:r w:rsidRPr="00861553">
              <w:rPr>
                <w:rFonts w:cs="Arial"/>
                <w:b/>
                <w:sz w:val="22"/>
                <w:szCs w:val="22"/>
              </w:rPr>
              <w:t>Relevant Date*</w:t>
            </w:r>
          </w:p>
        </w:tc>
      </w:tr>
      <w:tr w:rsidR="00446B5F" w:rsidRPr="00B96818" w14:paraId="0F9BF51C" w14:textId="77777777" w:rsidTr="002C62D2">
        <w:tc>
          <w:tcPr>
            <w:tcW w:w="2650" w:type="dxa"/>
            <w:shd w:val="clear" w:color="auto" w:fill="auto"/>
          </w:tcPr>
          <w:p w14:paraId="618799F0" w14:textId="77777777" w:rsidR="00446B5F" w:rsidRPr="00861553" w:rsidRDefault="00446B5F" w:rsidP="00B405DA">
            <w:pPr>
              <w:ind w:hanging="108"/>
              <w:rPr>
                <w:rFonts w:cs="Arial"/>
                <w:b/>
                <w:sz w:val="22"/>
                <w:szCs w:val="22"/>
              </w:rPr>
            </w:pPr>
            <w:r w:rsidRPr="00861553">
              <w:rPr>
                <w:rFonts w:cs="Arial"/>
                <w:b/>
                <w:sz w:val="22"/>
                <w:szCs w:val="22"/>
              </w:rPr>
              <w:t>Classic FM</w:t>
            </w:r>
          </w:p>
        </w:tc>
        <w:tc>
          <w:tcPr>
            <w:tcW w:w="2170" w:type="dxa"/>
            <w:shd w:val="clear" w:color="auto" w:fill="auto"/>
          </w:tcPr>
          <w:p w14:paraId="2A2968F3" w14:textId="77777777" w:rsidR="00446B5F" w:rsidRPr="00861553" w:rsidRDefault="00446B5F" w:rsidP="00B405DA">
            <w:pPr>
              <w:ind w:hanging="108"/>
              <w:rPr>
                <w:rFonts w:cs="Arial"/>
                <w:sz w:val="22"/>
                <w:szCs w:val="22"/>
              </w:rPr>
            </w:pPr>
            <w:r w:rsidRPr="00861553">
              <w:rPr>
                <w:rFonts w:cs="Arial"/>
                <w:sz w:val="22"/>
                <w:szCs w:val="22"/>
              </w:rPr>
              <w:t>28/02/2018</w:t>
            </w:r>
          </w:p>
        </w:tc>
        <w:tc>
          <w:tcPr>
            <w:tcW w:w="2268" w:type="dxa"/>
            <w:shd w:val="clear" w:color="auto" w:fill="auto"/>
          </w:tcPr>
          <w:p w14:paraId="11AC072D" w14:textId="77777777" w:rsidR="00446B5F" w:rsidRPr="00861553" w:rsidRDefault="00446B5F" w:rsidP="00B405DA">
            <w:pPr>
              <w:ind w:hanging="108"/>
              <w:rPr>
                <w:rFonts w:cs="Arial"/>
                <w:sz w:val="22"/>
                <w:szCs w:val="22"/>
              </w:rPr>
            </w:pPr>
            <w:r w:rsidRPr="00861553">
              <w:rPr>
                <w:rFonts w:cs="Arial"/>
                <w:sz w:val="22"/>
                <w:szCs w:val="22"/>
              </w:rPr>
              <w:t>28/2/2017</w:t>
            </w:r>
          </w:p>
        </w:tc>
      </w:tr>
      <w:tr w:rsidR="00446B5F" w:rsidRPr="00B96818" w14:paraId="4295B4B2" w14:textId="77777777" w:rsidTr="002C62D2">
        <w:tc>
          <w:tcPr>
            <w:tcW w:w="2650" w:type="dxa"/>
            <w:shd w:val="clear" w:color="auto" w:fill="auto"/>
          </w:tcPr>
          <w:p w14:paraId="6D16E9A4" w14:textId="77777777" w:rsidR="00446B5F" w:rsidRPr="00861553" w:rsidRDefault="00446B5F" w:rsidP="00B405DA">
            <w:pPr>
              <w:ind w:hanging="108"/>
              <w:rPr>
                <w:rFonts w:cs="Arial"/>
                <w:b/>
                <w:sz w:val="22"/>
                <w:szCs w:val="22"/>
              </w:rPr>
            </w:pPr>
            <w:r w:rsidRPr="00861553">
              <w:rPr>
                <w:rFonts w:cs="Arial"/>
                <w:b/>
                <w:sz w:val="22"/>
                <w:szCs w:val="22"/>
              </w:rPr>
              <w:t>Absolute (AM)</w:t>
            </w:r>
          </w:p>
        </w:tc>
        <w:tc>
          <w:tcPr>
            <w:tcW w:w="2170" w:type="dxa"/>
            <w:shd w:val="clear" w:color="auto" w:fill="auto"/>
          </w:tcPr>
          <w:p w14:paraId="230E3ACE" w14:textId="77777777" w:rsidR="00446B5F" w:rsidRPr="00861553" w:rsidRDefault="00446B5F" w:rsidP="00B405DA">
            <w:pPr>
              <w:ind w:hanging="108"/>
              <w:rPr>
                <w:rFonts w:cs="Arial"/>
                <w:sz w:val="22"/>
                <w:szCs w:val="22"/>
              </w:rPr>
            </w:pPr>
            <w:r w:rsidRPr="00861553">
              <w:rPr>
                <w:rFonts w:cs="Arial"/>
                <w:sz w:val="22"/>
                <w:szCs w:val="22"/>
              </w:rPr>
              <w:t>30/04/2018</w:t>
            </w:r>
          </w:p>
        </w:tc>
        <w:tc>
          <w:tcPr>
            <w:tcW w:w="2268" w:type="dxa"/>
            <w:shd w:val="clear" w:color="auto" w:fill="auto"/>
          </w:tcPr>
          <w:p w14:paraId="73F2BEFC" w14:textId="77777777" w:rsidR="00446B5F" w:rsidRPr="00861553" w:rsidRDefault="00446B5F" w:rsidP="00B405DA">
            <w:pPr>
              <w:ind w:hanging="108"/>
              <w:rPr>
                <w:rFonts w:cs="Arial"/>
                <w:sz w:val="22"/>
                <w:szCs w:val="22"/>
              </w:rPr>
            </w:pPr>
            <w:r w:rsidRPr="00861553">
              <w:rPr>
                <w:rFonts w:cs="Arial"/>
                <w:sz w:val="22"/>
                <w:szCs w:val="22"/>
              </w:rPr>
              <w:t>30/4/2017</w:t>
            </w:r>
          </w:p>
        </w:tc>
      </w:tr>
      <w:tr w:rsidR="00446B5F" w:rsidRPr="00B96818" w14:paraId="18D67E3E" w14:textId="77777777" w:rsidTr="002C62D2">
        <w:tc>
          <w:tcPr>
            <w:tcW w:w="2650" w:type="dxa"/>
            <w:shd w:val="clear" w:color="auto" w:fill="auto"/>
          </w:tcPr>
          <w:p w14:paraId="0441E0EB" w14:textId="77777777" w:rsidR="00446B5F" w:rsidRPr="00861553" w:rsidRDefault="00446B5F" w:rsidP="00B405DA">
            <w:pPr>
              <w:ind w:hanging="108"/>
              <w:rPr>
                <w:rFonts w:cs="Arial"/>
                <w:b/>
                <w:sz w:val="22"/>
                <w:szCs w:val="22"/>
              </w:rPr>
            </w:pPr>
            <w:r w:rsidRPr="00861553">
              <w:rPr>
                <w:rFonts w:cs="Arial"/>
                <w:b/>
                <w:sz w:val="22"/>
                <w:szCs w:val="22"/>
              </w:rPr>
              <w:t>TalkSport (AM)</w:t>
            </w:r>
          </w:p>
        </w:tc>
        <w:tc>
          <w:tcPr>
            <w:tcW w:w="2170" w:type="dxa"/>
            <w:shd w:val="clear" w:color="auto" w:fill="auto"/>
          </w:tcPr>
          <w:p w14:paraId="6E5E3916" w14:textId="77777777" w:rsidR="00446B5F" w:rsidRPr="00861553" w:rsidRDefault="00446B5F" w:rsidP="00B405DA">
            <w:pPr>
              <w:ind w:hanging="108"/>
              <w:rPr>
                <w:rFonts w:cs="Arial"/>
                <w:sz w:val="22"/>
                <w:szCs w:val="22"/>
              </w:rPr>
            </w:pPr>
            <w:r w:rsidRPr="00861553">
              <w:rPr>
                <w:rFonts w:cs="Arial"/>
                <w:sz w:val="22"/>
                <w:szCs w:val="22"/>
              </w:rPr>
              <w:t>31/12/2018</w:t>
            </w:r>
          </w:p>
        </w:tc>
        <w:tc>
          <w:tcPr>
            <w:tcW w:w="2268" w:type="dxa"/>
            <w:shd w:val="clear" w:color="auto" w:fill="auto"/>
          </w:tcPr>
          <w:p w14:paraId="2FC0F728" w14:textId="77777777" w:rsidR="00446B5F" w:rsidRPr="00861553" w:rsidRDefault="00446B5F" w:rsidP="00B405DA">
            <w:pPr>
              <w:ind w:hanging="108"/>
              <w:rPr>
                <w:rFonts w:cs="Arial"/>
                <w:sz w:val="22"/>
                <w:szCs w:val="22"/>
              </w:rPr>
            </w:pPr>
            <w:r w:rsidRPr="00861553">
              <w:rPr>
                <w:rFonts w:cs="Arial"/>
                <w:sz w:val="22"/>
                <w:szCs w:val="22"/>
              </w:rPr>
              <w:t>31/12/2017</w:t>
            </w:r>
          </w:p>
        </w:tc>
      </w:tr>
    </w:tbl>
    <w:p w14:paraId="77B5D9A6" w14:textId="67415717" w:rsidR="00446B5F" w:rsidRPr="00861553" w:rsidRDefault="00446B5F" w:rsidP="00861553">
      <w:pPr>
        <w:ind w:left="720"/>
        <w:rPr>
          <w:rFonts w:cs="Arial"/>
          <w:i/>
          <w:sz w:val="22"/>
          <w:szCs w:val="22"/>
        </w:rPr>
      </w:pPr>
      <w:r w:rsidRPr="00861553">
        <w:rPr>
          <w:rFonts w:cs="Arial"/>
          <w:i/>
          <w:sz w:val="22"/>
          <w:szCs w:val="22"/>
        </w:rPr>
        <w:t>*</w:t>
      </w:r>
      <w:r w:rsidR="00EB54E0">
        <w:rPr>
          <w:rFonts w:cs="Arial"/>
          <w:i/>
          <w:sz w:val="22"/>
          <w:szCs w:val="22"/>
        </w:rPr>
        <w:t xml:space="preserve"> </w:t>
      </w:r>
      <w:r w:rsidRPr="00861553">
        <w:rPr>
          <w:rFonts w:cs="Arial"/>
          <w:i/>
          <w:sz w:val="22"/>
          <w:szCs w:val="22"/>
        </w:rPr>
        <w:t>The relevant date is the point by which the existing licensee would ordinarily be required to renew and is set at 12 months to allow Ofcom to re-advertise and award the licence and for a new station to launch</w:t>
      </w:r>
    </w:p>
    <w:p w14:paraId="166BC04D" w14:textId="77777777" w:rsidR="00446B5F" w:rsidRPr="00861553" w:rsidRDefault="00446B5F" w:rsidP="00B405DA">
      <w:pPr>
        <w:rPr>
          <w:rFonts w:cs="Arial"/>
          <w:i/>
          <w:sz w:val="22"/>
          <w:szCs w:val="22"/>
        </w:rPr>
      </w:pPr>
    </w:p>
    <w:p w14:paraId="3EBCFB5A" w14:textId="77777777" w:rsidR="00446B5F" w:rsidRPr="00861553" w:rsidRDefault="00325E99" w:rsidP="00B405DA">
      <w:pPr>
        <w:rPr>
          <w:rFonts w:cs="Arial"/>
          <w:sz w:val="22"/>
          <w:szCs w:val="22"/>
        </w:rPr>
      </w:pPr>
      <w:r w:rsidRPr="00861553">
        <w:rPr>
          <w:rFonts w:cs="Arial"/>
          <w:sz w:val="22"/>
          <w:szCs w:val="22"/>
        </w:rPr>
        <w:t xml:space="preserve">In addition, </w:t>
      </w:r>
      <w:r w:rsidR="00523B46" w:rsidRPr="00861553">
        <w:rPr>
          <w:rFonts w:cs="Arial"/>
          <w:sz w:val="22"/>
          <w:szCs w:val="22"/>
        </w:rPr>
        <w:t xml:space="preserve">a total of </w:t>
      </w:r>
      <w:r w:rsidRPr="00861553">
        <w:rPr>
          <w:rFonts w:cs="Arial"/>
          <w:sz w:val="22"/>
          <w:szCs w:val="22"/>
        </w:rPr>
        <w:t>63</w:t>
      </w:r>
      <w:r w:rsidR="00446B5F" w:rsidRPr="00861553">
        <w:rPr>
          <w:rFonts w:cs="Arial"/>
          <w:sz w:val="22"/>
          <w:szCs w:val="22"/>
        </w:rPr>
        <w:t xml:space="preserve"> local licences (examples include Capital in London and Clyde FM in Glasgow) have had the</w:t>
      </w:r>
      <w:r w:rsidR="00E73453" w:rsidRPr="00861553">
        <w:rPr>
          <w:rFonts w:cs="Arial"/>
          <w:sz w:val="22"/>
          <w:szCs w:val="22"/>
        </w:rPr>
        <w:t>ir second renewal</w:t>
      </w:r>
      <w:r w:rsidR="00446B5F" w:rsidRPr="00861553">
        <w:rPr>
          <w:rFonts w:cs="Arial"/>
          <w:sz w:val="22"/>
          <w:szCs w:val="22"/>
        </w:rPr>
        <w:t xml:space="preserve"> from Ofcom and are due to expire before 2020. The first of these roll-over licences will expire in October 2017 (XFM in Paisley).</w:t>
      </w:r>
    </w:p>
    <w:p w14:paraId="73037A11" w14:textId="77777777" w:rsidR="00446B5F" w:rsidRPr="00861553" w:rsidRDefault="00446B5F" w:rsidP="00B405DA">
      <w:pPr>
        <w:rPr>
          <w:rFonts w:cs="Arial"/>
          <w:sz w:val="22"/>
          <w:szCs w:val="22"/>
        </w:rPr>
      </w:pPr>
    </w:p>
    <w:p w14:paraId="676EDE3A" w14:textId="77777777" w:rsidR="00446B5F" w:rsidRPr="00861553" w:rsidRDefault="00446B5F" w:rsidP="00B405DA">
      <w:pPr>
        <w:rPr>
          <w:rFonts w:cs="Arial"/>
          <w:sz w:val="22"/>
          <w:szCs w:val="22"/>
        </w:rPr>
      </w:pPr>
      <w:r w:rsidRPr="00861553">
        <w:rPr>
          <w:rFonts w:cs="Arial"/>
          <w:sz w:val="22"/>
          <w:szCs w:val="22"/>
        </w:rPr>
        <w:t xml:space="preserve">We therefore </w:t>
      </w:r>
      <w:r w:rsidR="00972783" w:rsidRPr="00861553">
        <w:rPr>
          <w:rFonts w:cs="Arial"/>
          <w:sz w:val="22"/>
          <w:szCs w:val="22"/>
        </w:rPr>
        <w:t>consulted on whether to amend</w:t>
      </w:r>
      <w:r w:rsidRPr="00861553">
        <w:rPr>
          <w:rFonts w:cs="Arial"/>
          <w:sz w:val="22"/>
          <w:szCs w:val="22"/>
        </w:rPr>
        <w:t xml:space="preserve"> s103B and 104AA of the Broadcasting Act 1990 to allow Ofcom to grant a further extension to those licences for a specified period of time, </w:t>
      </w:r>
      <w:r w:rsidR="00972783" w:rsidRPr="00861553">
        <w:rPr>
          <w:rFonts w:cs="Arial"/>
          <w:sz w:val="22"/>
          <w:szCs w:val="22"/>
        </w:rPr>
        <w:t xml:space="preserve">as well as </w:t>
      </w:r>
      <w:r w:rsidRPr="00861553">
        <w:rPr>
          <w:rFonts w:cs="Arial"/>
          <w:sz w:val="22"/>
          <w:szCs w:val="22"/>
        </w:rPr>
        <w:t xml:space="preserve">specifically address the options for the duration of licence extensions, and the potential impact of each option on competition. </w:t>
      </w:r>
      <w:r w:rsidR="007C0D0C" w:rsidRPr="00861553">
        <w:rPr>
          <w:rFonts w:cs="Arial"/>
          <w:sz w:val="22"/>
          <w:szCs w:val="22"/>
        </w:rPr>
        <w:t>Our preference was to allow renewal of the licences in question for five years (twelve years if they had not yet had a second renewal). That continues to be our preferred option, and t</w:t>
      </w:r>
      <w:r w:rsidRPr="00861553">
        <w:rPr>
          <w:rFonts w:cs="Arial"/>
          <w:sz w:val="22"/>
          <w:szCs w:val="22"/>
        </w:rPr>
        <w:t>he change would support the Government’s strategy of supporting the transition to digital radio.</w:t>
      </w:r>
    </w:p>
    <w:p w14:paraId="2350413F" w14:textId="77777777" w:rsidR="00446B5F" w:rsidRPr="00861553" w:rsidRDefault="00446B5F" w:rsidP="00B405DA">
      <w:pPr>
        <w:rPr>
          <w:rFonts w:cs="Arial"/>
          <w:sz w:val="22"/>
          <w:szCs w:val="22"/>
        </w:rPr>
      </w:pPr>
    </w:p>
    <w:p w14:paraId="58E3D01F" w14:textId="77777777" w:rsidR="00446B5F" w:rsidRPr="00861553" w:rsidRDefault="00446B5F" w:rsidP="00B405DA">
      <w:pPr>
        <w:widowControl w:val="0"/>
        <w:jc w:val="both"/>
        <w:rPr>
          <w:rFonts w:cs="Arial"/>
          <w:b/>
          <w:sz w:val="22"/>
          <w:szCs w:val="22"/>
        </w:rPr>
      </w:pPr>
      <w:r w:rsidRPr="00861553">
        <w:rPr>
          <w:rFonts w:cs="Arial"/>
          <w:b/>
          <w:sz w:val="22"/>
          <w:szCs w:val="22"/>
        </w:rPr>
        <w:t>Policy objective</w:t>
      </w:r>
    </w:p>
    <w:p w14:paraId="36B424FB" w14:textId="77777777" w:rsidR="00446B5F" w:rsidRPr="00861553" w:rsidRDefault="00446B5F" w:rsidP="00B405DA">
      <w:pPr>
        <w:pStyle w:val="IATableLines"/>
        <w:ind w:left="0"/>
        <w:rPr>
          <w:rFonts w:eastAsia="Times New Roman" w:cs="Arial"/>
          <w:b/>
          <w:spacing w:val="0"/>
          <w:szCs w:val="22"/>
          <w:lang w:eastAsia="en-US"/>
        </w:rPr>
      </w:pPr>
    </w:p>
    <w:p w14:paraId="37FB845B" w14:textId="77777777" w:rsidR="007C0D0C" w:rsidRPr="00861553" w:rsidRDefault="007C0D0C" w:rsidP="00B405DA">
      <w:pPr>
        <w:widowControl w:val="0"/>
        <w:jc w:val="both"/>
        <w:rPr>
          <w:rFonts w:eastAsia="SimSun" w:cs="Arial"/>
          <w:spacing w:val="-5"/>
          <w:sz w:val="22"/>
          <w:szCs w:val="22"/>
          <w:lang w:eastAsia="zh-CN"/>
        </w:rPr>
      </w:pPr>
      <w:r w:rsidRPr="00861553">
        <w:rPr>
          <w:rFonts w:eastAsia="SimSun" w:cs="Arial"/>
          <w:spacing w:val="-5"/>
          <w:sz w:val="22"/>
          <w:szCs w:val="22"/>
          <w:lang w:eastAsia="zh-CN"/>
        </w:rPr>
        <w:t>The objective is to amend s103B and 104AA of the Broadcasting Act 1990 to allow Ofcom to grant one further five year extension (12 years for those licences which have not yet had a second renewal) to those licences.</w:t>
      </w:r>
    </w:p>
    <w:p w14:paraId="26762F33" w14:textId="77777777" w:rsidR="004D1922" w:rsidRPr="00861553" w:rsidRDefault="004D1922" w:rsidP="00B405DA">
      <w:pPr>
        <w:widowControl w:val="0"/>
        <w:jc w:val="both"/>
        <w:rPr>
          <w:rFonts w:eastAsia="SimSun" w:cs="Arial"/>
          <w:spacing w:val="-5"/>
          <w:sz w:val="22"/>
          <w:szCs w:val="22"/>
          <w:lang w:eastAsia="zh-CN"/>
        </w:rPr>
      </w:pPr>
    </w:p>
    <w:p w14:paraId="5A529D77" w14:textId="0E9AADAB" w:rsidR="002B70C5" w:rsidRPr="00861553" w:rsidRDefault="002B70C5" w:rsidP="00B405DA">
      <w:pPr>
        <w:widowControl w:val="0"/>
        <w:jc w:val="both"/>
        <w:rPr>
          <w:rFonts w:eastAsia="SimSun" w:cs="Arial"/>
          <w:spacing w:val="-5"/>
          <w:sz w:val="22"/>
          <w:szCs w:val="22"/>
          <w:lang w:eastAsia="zh-CN"/>
        </w:rPr>
      </w:pPr>
      <w:r w:rsidRPr="00861553">
        <w:rPr>
          <w:rFonts w:eastAsia="SimSun" w:cs="Arial"/>
          <w:spacing w:val="-5"/>
          <w:sz w:val="22"/>
          <w:szCs w:val="22"/>
          <w:lang w:eastAsia="zh-CN"/>
        </w:rPr>
        <w:t xml:space="preserve">The proposed option will </w:t>
      </w:r>
      <w:r w:rsidR="004D1922" w:rsidRPr="00861553">
        <w:rPr>
          <w:rFonts w:eastAsia="SimSun" w:cs="Arial"/>
          <w:spacing w:val="-5"/>
          <w:sz w:val="22"/>
          <w:szCs w:val="22"/>
          <w:lang w:eastAsia="zh-CN"/>
        </w:rPr>
        <w:t xml:space="preserve">re-cast existing legislation, rather than create </w:t>
      </w:r>
      <w:r w:rsidRPr="00861553">
        <w:rPr>
          <w:rFonts w:eastAsia="SimSun" w:cs="Arial"/>
          <w:spacing w:val="-5"/>
          <w:sz w:val="22"/>
          <w:szCs w:val="22"/>
          <w:lang w:eastAsia="zh-CN"/>
        </w:rPr>
        <w:t>entirely new legislation</w:t>
      </w:r>
      <w:r w:rsidR="004D1922" w:rsidRPr="00861553">
        <w:rPr>
          <w:rFonts w:eastAsia="SimSun" w:cs="Arial"/>
          <w:spacing w:val="-5"/>
          <w:sz w:val="22"/>
          <w:szCs w:val="22"/>
          <w:lang w:eastAsia="zh-CN"/>
        </w:rPr>
        <w:t xml:space="preserve">. </w:t>
      </w:r>
      <w:r w:rsidRPr="00861553">
        <w:rPr>
          <w:rFonts w:eastAsia="SimSun" w:cs="Arial"/>
          <w:spacing w:val="-5"/>
          <w:sz w:val="22"/>
          <w:szCs w:val="22"/>
          <w:lang w:eastAsia="zh-CN"/>
        </w:rPr>
        <w:t xml:space="preserve"> S.103B of the Broadcasting Act 1990 permits national commercial radio licences a further renewal of seven years, and s.104AA permits the same for local commercial radio licences. The proposed amendment will simply </w:t>
      </w:r>
      <w:r w:rsidR="007857F7" w:rsidRPr="00861553">
        <w:rPr>
          <w:rFonts w:eastAsia="SimSun" w:cs="Arial"/>
          <w:spacing w:val="-5"/>
          <w:sz w:val="22"/>
          <w:szCs w:val="22"/>
          <w:lang w:eastAsia="zh-CN"/>
        </w:rPr>
        <w:t>extend this renewal for a further five years if the licensee has already benefitted from this renewal, or a total of 12 years if they have yet to apply for the renewal</w:t>
      </w:r>
      <w:r w:rsidRPr="00861553">
        <w:rPr>
          <w:rFonts w:eastAsia="SimSun" w:cs="Arial"/>
          <w:spacing w:val="-5"/>
          <w:sz w:val="22"/>
          <w:szCs w:val="22"/>
          <w:lang w:eastAsia="zh-CN"/>
        </w:rPr>
        <w:t xml:space="preserve">. This </w:t>
      </w:r>
      <w:r w:rsidR="007857F7" w:rsidRPr="00861553">
        <w:rPr>
          <w:rFonts w:eastAsia="SimSun" w:cs="Arial"/>
          <w:spacing w:val="-5"/>
          <w:sz w:val="22"/>
          <w:szCs w:val="22"/>
          <w:lang w:eastAsia="zh-CN"/>
        </w:rPr>
        <w:t xml:space="preserve">therefore also </w:t>
      </w:r>
      <w:r w:rsidRPr="00861553">
        <w:rPr>
          <w:rFonts w:eastAsia="SimSun" w:cs="Arial"/>
          <w:spacing w:val="-5"/>
          <w:sz w:val="22"/>
          <w:szCs w:val="22"/>
          <w:lang w:eastAsia="zh-CN"/>
        </w:rPr>
        <w:t xml:space="preserve">means the total licence length then becomes consistent with </w:t>
      </w:r>
      <w:r w:rsidR="007857F7" w:rsidRPr="00861553">
        <w:rPr>
          <w:rFonts w:eastAsia="SimSun" w:cs="Arial"/>
          <w:spacing w:val="-5"/>
          <w:sz w:val="22"/>
          <w:szCs w:val="22"/>
          <w:lang w:eastAsia="zh-CN"/>
        </w:rPr>
        <w:t>the standard length of licence issued by Ofcom for new licences, which is 12 years.</w:t>
      </w:r>
    </w:p>
    <w:p w14:paraId="4711625D" w14:textId="77777777" w:rsidR="007C0D0C" w:rsidRPr="00861553" w:rsidRDefault="007C0D0C" w:rsidP="00B405DA">
      <w:pPr>
        <w:widowControl w:val="0"/>
        <w:jc w:val="both"/>
        <w:rPr>
          <w:rFonts w:eastAsia="SimSun" w:cs="Arial"/>
          <w:spacing w:val="-5"/>
          <w:sz w:val="22"/>
          <w:szCs w:val="22"/>
          <w:lang w:eastAsia="zh-CN"/>
        </w:rPr>
      </w:pPr>
    </w:p>
    <w:p w14:paraId="00F75252" w14:textId="77777777" w:rsidR="00446B5F" w:rsidRPr="00861553" w:rsidRDefault="007C0D0C" w:rsidP="00B405DA">
      <w:pPr>
        <w:widowControl w:val="0"/>
        <w:jc w:val="both"/>
        <w:rPr>
          <w:rFonts w:cs="Arial"/>
          <w:b/>
          <w:sz w:val="22"/>
          <w:szCs w:val="22"/>
        </w:rPr>
      </w:pPr>
      <w:r w:rsidRPr="00861553">
        <w:rPr>
          <w:rFonts w:eastAsia="SimSun" w:cs="Arial"/>
          <w:spacing w:val="-5"/>
          <w:sz w:val="22"/>
          <w:szCs w:val="22"/>
          <w:lang w:eastAsia="zh-CN"/>
        </w:rPr>
        <w:t>Given the Government’s continued commitment to a digital radio switchover, the intended effects are to p</w:t>
      </w:r>
      <w:r w:rsidR="00C328FE" w:rsidRPr="00861553">
        <w:rPr>
          <w:rFonts w:eastAsia="SimSun" w:cs="Arial"/>
          <w:spacing w:val="-5"/>
          <w:sz w:val="22"/>
          <w:szCs w:val="22"/>
          <w:lang w:eastAsia="zh-CN"/>
        </w:rPr>
        <w:t>romote certainty and continuity in order to</w:t>
      </w:r>
      <w:r w:rsidRPr="00861553">
        <w:rPr>
          <w:rFonts w:eastAsia="SimSun" w:cs="Arial"/>
          <w:spacing w:val="-5"/>
          <w:sz w:val="22"/>
          <w:szCs w:val="22"/>
          <w:lang w:eastAsia="zh-CN"/>
        </w:rPr>
        <w:t xml:space="preserve"> allow the radio sector to continue to invest in DAB, whilst still providing audiences with quality content.</w:t>
      </w:r>
    </w:p>
    <w:p w14:paraId="57AC6790" w14:textId="77777777" w:rsidR="00FA0021" w:rsidRDefault="00FA0021" w:rsidP="00B405DA">
      <w:pPr>
        <w:widowControl w:val="0"/>
        <w:jc w:val="both"/>
        <w:rPr>
          <w:rFonts w:cs="Arial"/>
          <w:b/>
          <w:sz w:val="22"/>
          <w:szCs w:val="22"/>
        </w:rPr>
      </w:pPr>
    </w:p>
    <w:p w14:paraId="0C0DE479" w14:textId="77777777" w:rsidR="00FA0021" w:rsidRDefault="00FA0021" w:rsidP="00B405DA">
      <w:pPr>
        <w:widowControl w:val="0"/>
        <w:jc w:val="both"/>
        <w:rPr>
          <w:rFonts w:cs="Arial"/>
          <w:b/>
          <w:sz w:val="22"/>
          <w:szCs w:val="22"/>
        </w:rPr>
      </w:pPr>
    </w:p>
    <w:p w14:paraId="31CD9F59" w14:textId="77777777" w:rsidR="002B1167" w:rsidRDefault="002B1167" w:rsidP="00B405DA">
      <w:pPr>
        <w:widowControl w:val="0"/>
        <w:jc w:val="both"/>
        <w:rPr>
          <w:rFonts w:cs="Arial"/>
          <w:b/>
          <w:sz w:val="22"/>
          <w:szCs w:val="22"/>
        </w:rPr>
      </w:pPr>
    </w:p>
    <w:p w14:paraId="0C02A251" w14:textId="77777777" w:rsidR="00FA0021" w:rsidRDefault="00FA0021" w:rsidP="00B405DA">
      <w:pPr>
        <w:widowControl w:val="0"/>
        <w:jc w:val="both"/>
        <w:rPr>
          <w:rFonts w:cs="Arial"/>
          <w:b/>
          <w:sz w:val="22"/>
          <w:szCs w:val="22"/>
        </w:rPr>
      </w:pPr>
    </w:p>
    <w:p w14:paraId="25BE3179" w14:textId="77777777" w:rsidR="00EB54E0" w:rsidRDefault="00EB54E0" w:rsidP="00B405DA">
      <w:pPr>
        <w:widowControl w:val="0"/>
        <w:jc w:val="both"/>
        <w:rPr>
          <w:rFonts w:cs="Arial"/>
          <w:b/>
          <w:sz w:val="22"/>
          <w:szCs w:val="22"/>
        </w:rPr>
      </w:pPr>
    </w:p>
    <w:p w14:paraId="0C7CB159" w14:textId="77777777" w:rsidR="00EB54E0" w:rsidRDefault="00EB54E0" w:rsidP="00B405DA">
      <w:pPr>
        <w:widowControl w:val="0"/>
        <w:jc w:val="both"/>
        <w:rPr>
          <w:rFonts w:cs="Arial"/>
          <w:b/>
          <w:sz w:val="22"/>
          <w:szCs w:val="22"/>
        </w:rPr>
      </w:pPr>
    </w:p>
    <w:p w14:paraId="113ECEED" w14:textId="77777777" w:rsidR="00446B5F" w:rsidRPr="00861553" w:rsidRDefault="00446B5F" w:rsidP="00B405DA">
      <w:pPr>
        <w:widowControl w:val="0"/>
        <w:jc w:val="both"/>
        <w:rPr>
          <w:rFonts w:cs="Arial"/>
          <w:b/>
          <w:sz w:val="22"/>
          <w:szCs w:val="22"/>
        </w:rPr>
      </w:pPr>
      <w:r w:rsidRPr="00861553">
        <w:rPr>
          <w:rFonts w:cs="Arial"/>
          <w:b/>
          <w:sz w:val="22"/>
          <w:szCs w:val="22"/>
        </w:rPr>
        <w:lastRenderedPageBreak/>
        <w:t>Description of options considered (including do nothing)</w:t>
      </w:r>
    </w:p>
    <w:p w14:paraId="31950662" w14:textId="77777777" w:rsidR="00446B5F" w:rsidRPr="00861553" w:rsidRDefault="00446B5F" w:rsidP="00B405DA">
      <w:pPr>
        <w:rPr>
          <w:rFonts w:cs="Arial"/>
          <w:b/>
          <w:sz w:val="22"/>
          <w:szCs w:val="22"/>
        </w:rPr>
      </w:pPr>
    </w:p>
    <w:p w14:paraId="3D229E7D" w14:textId="77777777" w:rsidR="00446B5F" w:rsidRPr="00861553" w:rsidRDefault="00446B5F" w:rsidP="00B405DA">
      <w:pPr>
        <w:rPr>
          <w:rFonts w:cs="Arial"/>
          <w:sz w:val="22"/>
          <w:szCs w:val="22"/>
        </w:rPr>
      </w:pPr>
      <w:r w:rsidRPr="00861553">
        <w:rPr>
          <w:rFonts w:cs="Arial"/>
          <w:sz w:val="22"/>
          <w:szCs w:val="22"/>
        </w:rPr>
        <w:t>What is required is an amendment to s103B and 104AA of the Broadcasting Act 1990 to allow Ofcom to provide one further licence renewal for stations. Without this, Ofcom will need to retender the licences to all comers and assess applications on a beauty parade basis, based on statutory requirements including the range and quality of programming.</w:t>
      </w:r>
    </w:p>
    <w:p w14:paraId="742706C9" w14:textId="77777777" w:rsidR="00446B5F" w:rsidRPr="00861553" w:rsidRDefault="00446B5F" w:rsidP="00B405DA">
      <w:pPr>
        <w:rPr>
          <w:rFonts w:cs="Arial"/>
          <w:sz w:val="22"/>
          <w:szCs w:val="22"/>
        </w:rPr>
      </w:pPr>
    </w:p>
    <w:p w14:paraId="183C4402" w14:textId="77777777" w:rsidR="00446B5F" w:rsidRPr="00861553" w:rsidRDefault="007C0D0C" w:rsidP="00B405DA">
      <w:pPr>
        <w:rPr>
          <w:rFonts w:cs="Arial"/>
          <w:sz w:val="22"/>
          <w:szCs w:val="22"/>
        </w:rPr>
      </w:pPr>
      <w:r w:rsidRPr="00861553">
        <w:rPr>
          <w:rFonts w:cs="Arial"/>
          <w:sz w:val="22"/>
          <w:szCs w:val="22"/>
        </w:rPr>
        <w:t>We consulted on</w:t>
      </w:r>
      <w:r w:rsidR="00446B5F" w:rsidRPr="00861553">
        <w:rPr>
          <w:rFonts w:cs="Arial"/>
          <w:sz w:val="22"/>
          <w:szCs w:val="22"/>
        </w:rPr>
        <w:t xml:space="preserve"> three policy options:</w:t>
      </w:r>
    </w:p>
    <w:p w14:paraId="5B09C549" w14:textId="77777777" w:rsidR="00446B5F" w:rsidRPr="00861553" w:rsidRDefault="00446B5F" w:rsidP="00B405DA">
      <w:pPr>
        <w:rPr>
          <w:rFonts w:cs="Arial"/>
          <w:sz w:val="22"/>
          <w:szCs w:val="22"/>
        </w:rPr>
      </w:pPr>
    </w:p>
    <w:p w14:paraId="20E26314" w14:textId="77777777" w:rsidR="00446B5F" w:rsidRPr="00861553" w:rsidRDefault="00446B5F" w:rsidP="00B405DA">
      <w:pPr>
        <w:numPr>
          <w:ilvl w:val="0"/>
          <w:numId w:val="33"/>
        </w:numPr>
        <w:rPr>
          <w:rFonts w:cs="Arial"/>
          <w:sz w:val="22"/>
          <w:szCs w:val="22"/>
        </w:rPr>
      </w:pPr>
      <w:r w:rsidRPr="00861553">
        <w:rPr>
          <w:rFonts w:cs="Arial"/>
          <w:sz w:val="22"/>
          <w:szCs w:val="22"/>
        </w:rPr>
        <w:t>Do nothing and allow licences to expire at the end of the term and be re-advertised</w:t>
      </w:r>
    </w:p>
    <w:p w14:paraId="27FFBCC6" w14:textId="77777777" w:rsidR="00446B5F" w:rsidRPr="00861553" w:rsidRDefault="00446B5F" w:rsidP="00B405DA">
      <w:pPr>
        <w:rPr>
          <w:rFonts w:cs="Arial"/>
          <w:sz w:val="22"/>
          <w:szCs w:val="22"/>
        </w:rPr>
      </w:pPr>
    </w:p>
    <w:p w14:paraId="18F9CED9" w14:textId="77777777" w:rsidR="00446B5F" w:rsidRPr="00861553" w:rsidRDefault="00446B5F" w:rsidP="00B405DA">
      <w:pPr>
        <w:numPr>
          <w:ilvl w:val="0"/>
          <w:numId w:val="33"/>
        </w:numPr>
        <w:rPr>
          <w:rFonts w:cs="Arial"/>
          <w:sz w:val="22"/>
          <w:szCs w:val="22"/>
        </w:rPr>
      </w:pPr>
      <w:r w:rsidRPr="00861553">
        <w:rPr>
          <w:rFonts w:cs="Arial"/>
          <w:sz w:val="22"/>
          <w:szCs w:val="22"/>
        </w:rPr>
        <w:t xml:space="preserve">Extending licences for an additional 5 year term </w:t>
      </w:r>
    </w:p>
    <w:p w14:paraId="42812948" w14:textId="77777777" w:rsidR="00446B5F" w:rsidRPr="00861553" w:rsidRDefault="00446B5F" w:rsidP="00B405DA">
      <w:pPr>
        <w:rPr>
          <w:rFonts w:cs="Arial"/>
          <w:sz w:val="22"/>
          <w:szCs w:val="22"/>
        </w:rPr>
      </w:pPr>
    </w:p>
    <w:p w14:paraId="70198FD0" w14:textId="77777777" w:rsidR="00446B5F" w:rsidRPr="00861553" w:rsidRDefault="00446B5F" w:rsidP="00B405DA">
      <w:pPr>
        <w:numPr>
          <w:ilvl w:val="0"/>
          <w:numId w:val="33"/>
        </w:numPr>
        <w:rPr>
          <w:rFonts w:cs="Arial"/>
          <w:sz w:val="22"/>
          <w:szCs w:val="22"/>
        </w:rPr>
      </w:pPr>
      <w:r w:rsidRPr="00861553">
        <w:rPr>
          <w:rFonts w:cs="Arial"/>
          <w:sz w:val="22"/>
          <w:szCs w:val="22"/>
        </w:rPr>
        <w:t xml:space="preserve">Extending existing licence term indefinitely/for an alternative period of time (until a switchover) </w:t>
      </w:r>
    </w:p>
    <w:p w14:paraId="1FAF048B" w14:textId="77777777" w:rsidR="00446B5F" w:rsidRPr="00861553" w:rsidRDefault="00446B5F" w:rsidP="00B405DA">
      <w:pPr>
        <w:widowControl w:val="0"/>
        <w:tabs>
          <w:tab w:val="left" w:pos="9050"/>
        </w:tabs>
        <w:autoSpaceDE w:val="0"/>
        <w:autoSpaceDN w:val="0"/>
        <w:adjustRightInd w:val="0"/>
        <w:ind w:right="18"/>
        <w:jc w:val="both"/>
        <w:rPr>
          <w:rFonts w:eastAsiaTheme="minorHAnsi" w:cs="Arial"/>
          <w:b/>
          <w:sz w:val="22"/>
          <w:szCs w:val="22"/>
        </w:rPr>
      </w:pPr>
    </w:p>
    <w:p w14:paraId="0FF1FBCC" w14:textId="025BFCF9" w:rsidR="005230E8" w:rsidRPr="00861553" w:rsidRDefault="00563B21" w:rsidP="00115388">
      <w:pPr>
        <w:pStyle w:val="qowt-stl-normal"/>
        <w:shd w:val="clear" w:color="auto" w:fill="FFFFFF"/>
        <w:spacing w:before="0" w:beforeAutospacing="0" w:after="0" w:afterAutospacing="0"/>
        <w:rPr>
          <w:rFonts w:ascii="Arial" w:hAnsi="Arial" w:cs="Arial"/>
          <w:color w:val="000000"/>
          <w:sz w:val="22"/>
          <w:szCs w:val="22"/>
        </w:rPr>
      </w:pPr>
      <w:r w:rsidRPr="00861553">
        <w:rPr>
          <w:rFonts w:ascii="Arial" w:hAnsi="Arial" w:cs="Arial"/>
          <w:b/>
          <w:bCs/>
          <w:color w:val="000000"/>
          <w:sz w:val="22"/>
          <w:szCs w:val="22"/>
        </w:rPr>
        <w:t>Small and Micro Business Assessment</w:t>
      </w:r>
    </w:p>
    <w:p w14:paraId="515584C5" w14:textId="77777777" w:rsidR="005230E8" w:rsidRPr="00861553" w:rsidRDefault="005230E8" w:rsidP="00563B21">
      <w:pPr>
        <w:pStyle w:val="qowt-stl-normal"/>
        <w:shd w:val="clear" w:color="auto" w:fill="FFFFFF"/>
        <w:spacing w:before="0" w:beforeAutospacing="0" w:after="0" w:afterAutospacing="0"/>
        <w:jc w:val="both"/>
        <w:rPr>
          <w:rFonts w:ascii="Arial" w:hAnsi="Arial" w:cs="Arial"/>
          <w:color w:val="000000"/>
          <w:sz w:val="22"/>
          <w:szCs w:val="22"/>
        </w:rPr>
      </w:pPr>
    </w:p>
    <w:p w14:paraId="372E3C76" w14:textId="22740A72" w:rsidR="00563B21" w:rsidRPr="00861553" w:rsidRDefault="00563B21" w:rsidP="00563B21">
      <w:pPr>
        <w:pStyle w:val="qowt-stl-normal"/>
        <w:shd w:val="clear" w:color="auto" w:fill="FFFFFF"/>
        <w:spacing w:before="0" w:beforeAutospacing="0" w:after="0" w:afterAutospacing="0"/>
        <w:jc w:val="both"/>
        <w:rPr>
          <w:rFonts w:ascii="Arial" w:hAnsi="Arial" w:cs="Arial"/>
          <w:color w:val="000000"/>
          <w:sz w:val="22"/>
          <w:szCs w:val="22"/>
        </w:rPr>
      </w:pPr>
      <w:r w:rsidRPr="00861553">
        <w:rPr>
          <w:rFonts w:ascii="Arial" w:hAnsi="Arial" w:cs="Arial"/>
          <w:color w:val="000000"/>
          <w:sz w:val="22"/>
          <w:szCs w:val="22"/>
        </w:rPr>
        <w:t xml:space="preserve">As this measure </w:t>
      </w:r>
      <w:r w:rsidR="005230E8" w:rsidRPr="00861553">
        <w:rPr>
          <w:rFonts w:ascii="Arial" w:hAnsi="Arial" w:cs="Arial"/>
          <w:color w:val="000000"/>
          <w:sz w:val="22"/>
          <w:szCs w:val="22"/>
        </w:rPr>
        <w:t xml:space="preserve">is not a direct new regulation, it is re-casting current legislation </w:t>
      </w:r>
      <w:r w:rsidR="008F7AD9" w:rsidRPr="00861553">
        <w:rPr>
          <w:rFonts w:ascii="Arial" w:hAnsi="Arial" w:cs="Arial"/>
          <w:color w:val="000000"/>
          <w:sz w:val="22"/>
          <w:szCs w:val="22"/>
        </w:rPr>
        <w:t xml:space="preserve">which by default already covers small and micro businesses, </w:t>
      </w:r>
      <w:r w:rsidR="005230E8" w:rsidRPr="00861553">
        <w:rPr>
          <w:rFonts w:ascii="Arial" w:hAnsi="Arial" w:cs="Arial"/>
          <w:color w:val="000000"/>
          <w:sz w:val="22"/>
          <w:szCs w:val="22"/>
        </w:rPr>
        <w:t xml:space="preserve">it automatically will include those small and micro businesses. </w:t>
      </w:r>
      <w:r w:rsidR="005230E8" w:rsidRPr="00861553">
        <w:rPr>
          <w:rFonts w:ascii="Arial" w:eastAsiaTheme="minorHAnsi" w:hAnsi="Arial" w:cs="Arial"/>
          <w:sz w:val="22"/>
          <w:szCs w:val="22"/>
        </w:rPr>
        <w:t>Using the HMT Green Book definition of small and micro businesses, there are 37 small businesses and 25 micro businesses who hold licences which will be affected by this proposal. The 3 national licences affected are also considered small businesses.</w:t>
      </w:r>
      <w:r w:rsidR="005230E8" w:rsidRPr="00861553">
        <w:rPr>
          <w:rStyle w:val="FootnoteReference"/>
          <w:rFonts w:ascii="Arial" w:eastAsiaTheme="minorHAnsi" w:hAnsi="Arial" w:cs="Arial"/>
          <w:szCs w:val="22"/>
        </w:rPr>
        <w:footnoteReference w:id="2"/>
      </w:r>
      <w:r w:rsidR="0093522C" w:rsidRPr="00861553">
        <w:rPr>
          <w:rFonts w:ascii="Arial" w:eastAsiaTheme="minorHAnsi" w:hAnsi="Arial" w:cs="Arial"/>
          <w:sz w:val="22"/>
          <w:szCs w:val="22"/>
        </w:rPr>
        <w:t xml:space="preserve"> </w:t>
      </w:r>
    </w:p>
    <w:p w14:paraId="03D23E75" w14:textId="77777777" w:rsidR="00563B21" w:rsidRPr="00861553" w:rsidRDefault="00563B21" w:rsidP="00563B21">
      <w:pPr>
        <w:pStyle w:val="qowt-stl-normal"/>
        <w:shd w:val="clear" w:color="auto" w:fill="FFFFFF"/>
        <w:spacing w:before="0" w:beforeAutospacing="0" w:after="0" w:afterAutospacing="0"/>
        <w:jc w:val="both"/>
        <w:rPr>
          <w:rFonts w:ascii="Arial" w:hAnsi="Arial" w:cs="Arial"/>
          <w:color w:val="000000"/>
          <w:sz w:val="22"/>
          <w:szCs w:val="22"/>
        </w:rPr>
      </w:pPr>
    </w:p>
    <w:p w14:paraId="07D631C8" w14:textId="665A8F9A" w:rsidR="005230E8" w:rsidRPr="00861553" w:rsidRDefault="005230E8" w:rsidP="00563B21">
      <w:pPr>
        <w:pStyle w:val="qowt-stl-normal"/>
        <w:shd w:val="clear" w:color="auto" w:fill="FFFFFF"/>
        <w:spacing w:before="0" w:beforeAutospacing="0" w:after="0" w:afterAutospacing="0"/>
        <w:jc w:val="both"/>
        <w:rPr>
          <w:rFonts w:ascii="Arial" w:hAnsi="Arial" w:cs="Arial"/>
          <w:sz w:val="22"/>
          <w:szCs w:val="22"/>
        </w:rPr>
      </w:pPr>
      <w:r w:rsidRPr="00861553">
        <w:rPr>
          <w:rFonts w:ascii="Arial" w:hAnsi="Arial" w:cs="Arial"/>
          <w:sz w:val="22"/>
          <w:szCs w:val="22"/>
        </w:rPr>
        <w:t xml:space="preserve">If these radio stations were exempt from the policy proposal, they would </w:t>
      </w:r>
      <w:r w:rsidR="008F7AD9" w:rsidRPr="00861553">
        <w:rPr>
          <w:rFonts w:ascii="Arial" w:hAnsi="Arial" w:cs="Arial"/>
          <w:sz w:val="22"/>
          <w:szCs w:val="22"/>
        </w:rPr>
        <w:t>lose</w:t>
      </w:r>
      <w:r w:rsidRPr="00861553">
        <w:rPr>
          <w:rFonts w:ascii="Arial" w:hAnsi="Arial" w:cs="Arial"/>
          <w:sz w:val="22"/>
          <w:szCs w:val="22"/>
        </w:rPr>
        <w:t xml:space="preserve"> out on the benefits created by the preferred option to extend the licences for a further 5 years. They would have to go through the costly process of re-bidding for their licences which could mean their services to the public suffer due to lack of resource and money available as it would be focussed on the bidding process. </w:t>
      </w:r>
      <w:r w:rsidR="004B1045">
        <w:rPr>
          <w:rFonts w:ascii="Arial" w:hAnsi="Arial" w:cs="Arial"/>
          <w:sz w:val="22"/>
          <w:szCs w:val="22"/>
        </w:rPr>
        <w:t xml:space="preserve">Smaller local licences are also less likely to be contested, which means that those licensees would face large expenditure to keep a licence that no other party is likely to compete for anyway. </w:t>
      </w:r>
    </w:p>
    <w:p w14:paraId="7D84B8AC" w14:textId="77777777" w:rsidR="0093522C" w:rsidRPr="00861553" w:rsidRDefault="0093522C" w:rsidP="00563B21">
      <w:pPr>
        <w:pStyle w:val="qowt-stl-normal"/>
        <w:shd w:val="clear" w:color="auto" w:fill="FFFFFF"/>
        <w:spacing w:before="0" w:beforeAutospacing="0" w:after="0" w:afterAutospacing="0"/>
        <w:jc w:val="both"/>
        <w:rPr>
          <w:rFonts w:ascii="Arial" w:hAnsi="Arial" w:cs="Arial"/>
          <w:sz w:val="22"/>
          <w:szCs w:val="22"/>
        </w:rPr>
      </w:pPr>
    </w:p>
    <w:p w14:paraId="67AD94F2" w14:textId="3866E28A" w:rsidR="0093522C" w:rsidRPr="00861553" w:rsidRDefault="0093522C" w:rsidP="00563B21">
      <w:pPr>
        <w:pStyle w:val="qowt-stl-normal"/>
        <w:shd w:val="clear" w:color="auto" w:fill="FFFFFF"/>
        <w:spacing w:before="0" w:beforeAutospacing="0" w:after="0" w:afterAutospacing="0"/>
        <w:jc w:val="both"/>
        <w:rPr>
          <w:rFonts w:ascii="Arial" w:hAnsi="Arial" w:cs="Arial"/>
          <w:sz w:val="22"/>
          <w:szCs w:val="22"/>
        </w:rPr>
      </w:pPr>
      <w:r w:rsidRPr="00861553">
        <w:rPr>
          <w:rFonts w:ascii="Arial" w:eastAsiaTheme="minorHAnsi" w:hAnsi="Arial" w:cs="Arial"/>
          <w:sz w:val="22"/>
          <w:szCs w:val="22"/>
        </w:rPr>
        <w:t xml:space="preserve">However, it is important to note that the commercial radio sector is highly consolidated. So whilst each local licence is run as a separate local business, many of them are ultimately owned by larger </w:t>
      </w:r>
      <w:r w:rsidR="002B1167">
        <w:rPr>
          <w:rFonts w:ascii="Arial" w:eastAsiaTheme="minorHAnsi" w:hAnsi="Arial" w:cs="Arial"/>
          <w:sz w:val="22"/>
          <w:szCs w:val="22"/>
        </w:rPr>
        <w:t xml:space="preserve">national </w:t>
      </w:r>
      <w:r w:rsidRPr="00861553">
        <w:rPr>
          <w:rFonts w:ascii="Arial" w:eastAsiaTheme="minorHAnsi" w:hAnsi="Arial" w:cs="Arial"/>
          <w:sz w:val="22"/>
          <w:szCs w:val="22"/>
        </w:rPr>
        <w:t>radio groups such as Global or Bauer.</w:t>
      </w:r>
    </w:p>
    <w:p w14:paraId="763664C1" w14:textId="77777777" w:rsidR="00325E99" w:rsidRPr="00861553" w:rsidRDefault="00325E99" w:rsidP="00B405DA">
      <w:pPr>
        <w:widowControl w:val="0"/>
        <w:tabs>
          <w:tab w:val="left" w:pos="9050"/>
        </w:tabs>
        <w:autoSpaceDE w:val="0"/>
        <w:autoSpaceDN w:val="0"/>
        <w:adjustRightInd w:val="0"/>
        <w:ind w:right="18"/>
        <w:jc w:val="both"/>
        <w:rPr>
          <w:rFonts w:eastAsiaTheme="minorHAnsi" w:cs="Arial"/>
          <w:b/>
          <w:sz w:val="22"/>
          <w:szCs w:val="22"/>
        </w:rPr>
      </w:pPr>
    </w:p>
    <w:p w14:paraId="5CC14B6A" w14:textId="77777777" w:rsidR="00563B21" w:rsidRPr="00861553" w:rsidRDefault="00563B21" w:rsidP="00563B21">
      <w:pPr>
        <w:shd w:val="clear" w:color="auto" w:fill="FFFFFF"/>
        <w:rPr>
          <w:rFonts w:cs="Arial"/>
          <w:b/>
          <w:bCs/>
          <w:color w:val="000000"/>
          <w:sz w:val="22"/>
          <w:szCs w:val="22"/>
          <w:lang w:eastAsia="en-GB"/>
        </w:rPr>
      </w:pPr>
      <w:r w:rsidRPr="00861553">
        <w:rPr>
          <w:rFonts w:cs="Arial"/>
          <w:b/>
          <w:bCs/>
          <w:color w:val="000000"/>
          <w:sz w:val="22"/>
          <w:szCs w:val="22"/>
          <w:lang w:eastAsia="en-GB"/>
        </w:rPr>
        <w:t>OITO</w:t>
      </w:r>
      <w:r w:rsidR="00B55B74" w:rsidRPr="00861553">
        <w:rPr>
          <w:rFonts w:cs="Arial"/>
          <w:b/>
          <w:bCs/>
          <w:color w:val="000000"/>
          <w:sz w:val="22"/>
          <w:szCs w:val="22"/>
          <w:lang w:eastAsia="en-GB"/>
        </w:rPr>
        <w:t xml:space="preserve"> assessment</w:t>
      </w:r>
    </w:p>
    <w:p w14:paraId="4D1A8725" w14:textId="77777777" w:rsidR="00916B0B" w:rsidRPr="00861553" w:rsidRDefault="00916B0B" w:rsidP="00563B21">
      <w:pPr>
        <w:shd w:val="clear" w:color="auto" w:fill="FFFFFF"/>
        <w:rPr>
          <w:rFonts w:cs="Arial"/>
          <w:color w:val="000000"/>
          <w:sz w:val="22"/>
          <w:szCs w:val="22"/>
          <w:lang w:eastAsia="en-GB"/>
        </w:rPr>
      </w:pPr>
    </w:p>
    <w:p w14:paraId="7E76F6D9" w14:textId="37DC46BD" w:rsidR="00563B21" w:rsidRPr="00861553" w:rsidRDefault="00563B21" w:rsidP="00563B21">
      <w:pPr>
        <w:shd w:val="clear" w:color="auto" w:fill="FFFFFF"/>
        <w:jc w:val="both"/>
        <w:rPr>
          <w:rFonts w:cs="Arial"/>
          <w:sz w:val="22"/>
          <w:szCs w:val="22"/>
        </w:rPr>
      </w:pPr>
      <w:r w:rsidRPr="00861553">
        <w:rPr>
          <w:rFonts w:cs="Arial"/>
          <w:color w:val="000000"/>
          <w:sz w:val="22"/>
          <w:szCs w:val="22"/>
          <w:lang w:eastAsia="en-GB"/>
        </w:rPr>
        <w:t>The</w:t>
      </w:r>
      <w:r w:rsidR="005015B8" w:rsidRPr="00861553">
        <w:rPr>
          <w:rFonts w:cs="Arial"/>
          <w:color w:val="000000"/>
          <w:sz w:val="22"/>
          <w:szCs w:val="22"/>
          <w:lang w:eastAsia="en-GB"/>
        </w:rPr>
        <w:t xml:space="preserve"> preferred option to extend licences is</w:t>
      </w:r>
      <w:r w:rsidRPr="00861553">
        <w:rPr>
          <w:rFonts w:cs="Arial"/>
          <w:color w:val="000000"/>
          <w:sz w:val="22"/>
          <w:szCs w:val="22"/>
          <w:lang w:eastAsia="en-GB"/>
        </w:rPr>
        <w:t xml:space="preserve"> </w:t>
      </w:r>
      <w:r w:rsidR="00D93723" w:rsidRPr="00861553">
        <w:rPr>
          <w:rFonts w:cs="Arial"/>
          <w:color w:val="000000"/>
          <w:sz w:val="22"/>
          <w:szCs w:val="22"/>
          <w:lang w:eastAsia="en-GB"/>
        </w:rPr>
        <w:t>in scope of</w:t>
      </w:r>
      <w:r w:rsidRPr="00861553">
        <w:rPr>
          <w:rFonts w:cs="Arial"/>
          <w:color w:val="000000"/>
          <w:sz w:val="22"/>
          <w:szCs w:val="22"/>
          <w:lang w:eastAsia="en-GB"/>
        </w:rPr>
        <w:t xml:space="preserve"> One </w:t>
      </w:r>
      <w:r w:rsidR="005015B8" w:rsidRPr="00861553">
        <w:rPr>
          <w:rFonts w:cs="Arial"/>
          <w:color w:val="000000"/>
          <w:sz w:val="22"/>
          <w:szCs w:val="22"/>
          <w:lang w:eastAsia="en-GB"/>
        </w:rPr>
        <w:t>in</w:t>
      </w:r>
      <w:r w:rsidRPr="00861553">
        <w:rPr>
          <w:rFonts w:cs="Arial"/>
          <w:color w:val="000000"/>
          <w:sz w:val="22"/>
          <w:szCs w:val="22"/>
          <w:lang w:eastAsia="en-GB"/>
        </w:rPr>
        <w:t xml:space="preserve"> Two Out and counts as an OUT. </w:t>
      </w:r>
      <w:r w:rsidR="006E1FE1" w:rsidRPr="00861553">
        <w:rPr>
          <w:rFonts w:eastAsiaTheme="minorHAnsi" w:cs="Arial"/>
          <w:sz w:val="22"/>
          <w:szCs w:val="22"/>
        </w:rPr>
        <w:t>Th</w:t>
      </w:r>
      <w:r w:rsidR="00D93723" w:rsidRPr="00861553">
        <w:rPr>
          <w:rFonts w:eastAsiaTheme="minorHAnsi" w:cs="Arial"/>
          <w:sz w:val="22"/>
          <w:szCs w:val="22"/>
        </w:rPr>
        <w:t>is measure would be a</w:t>
      </w:r>
      <w:r w:rsidR="005015B8" w:rsidRPr="00861553">
        <w:rPr>
          <w:rFonts w:eastAsiaTheme="minorHAnsi" w:cs="Arial"/>
          <w:sz w:val="22"/>
          <w:szCs w:val="22"/>
        </w:rPr>
        <w:t xml:space="preserve">cting as a </w:t>
      </w:r>
      <w:r w:rsidR="006E1FE1" w:rsidRPr="00861553">
        <w:rPr>
          <w:rFonts w:eastAsiaTheme="minorHAnsi" w:cs="Arial"/>
          <w:sz w:val="22"/>
          <w:szCs w:val="22"/>
        </w:rPr>
        <w:t>re-cast</w:t>
      </w:r>
      <w:r w:rsidR="005015B8" w:rsidRPr="00861553">
        <w:rPr>
          <w:rFonts w:eastAsiaTheme="minorHAnsi" w:cs="Arial"/>
          <w:sz w:val="22"/>
          <w:szCs w:val="22"/>
        </w:rPr>
        <w:t xml:space="preserve"> of current </w:t>
      </w:r>
      <w:r w:rsidR="006E1FE1" w:rsidRPr="00861553">
        <w:rPr>
          <w:rFonts w:eastAsiaTheme="minorHAnsi" w:cs="Arial"/>
          <w:sz w:val="22"/>
          <w:szCs w:val="22"/>
        </w:rPr>
        <w:t>legislation</w:t>
      </w:r>
      <w:r w:rsidR="00D93723" w:rsidRPr="00861553">
        <w:rPr>
          <w:rFonts w:eastAsiaTheme="minorHAnsi" w:cs="Arial"/>
          <w:sz w:val="22"/>
          <w:szCs w:val="22"/>
        </w:rPr>
        <w:t>, hence not implementing any new legislation</w:t>
      </w:r>
      <w:r w:rsidR="006E1FE1" w:rsidRPr="00861553">
        <w:rPr>
          <w:rFonts w:eastAsiaTheme="minorHAnsi" w:cs="Arial"/>
          <w:sz w:val="22"/>
          <w:szCs w:val="22"/>
        </w:rPr>
        <w:t xml:space="preserve">. </w:t>
      </w:r>
      <w:r w:rsidRPr="00861553">
        <w:rPr>
          <w:rFonts w:cs="Arial"/>
          <w:color w:val="000000"/>
          <w:sz w:val="22"/>
          <w:szCs w:val="22"/>
          <w:lang w:eastAsia="en-GB"/>
        </w:rPr>
        <w:t xml:space="preserve">Costs and benefits to business are summarised in </w:t>
      </w:r>
      <w:r w:rsidR="006E1FE1" w:rsidRPr="00861553">
        <w:rPr>
          <w:rFonts w:cs="Arial"/>
          <w:color w:val="000000"/>
          <w:sz w:val="22"/>
          <w:szCs w:val="22"/>
          <w:lang w:eastAsia="en-GB"/>
        </w:rPr>
        <w:t>the below table</w:t>
      </w:r>
      <w:r w:rsidR="00B55B74" w:rsidRPr="00861553">
        <w:rPr>
          <w:rFonts w:cs="Arial"/>
          <w:color w:val="000000"/>
          <w:sz w:val="22"/>
          <w:szCs w:val="22"/>
          <w:lang w:eastAsia="en-GB"/>
        </w:rPr>
        <w:t xml:space="preserve"> 2.</w:t>
      </w:r>
      <w:r w:rsidR="00736031" w:rsidRPr="00861553">
        <w:rPr>
          <w:rFonts w:cs="Arial"/>
          <w:color w:val="000000"/>
          <w:sz w:val="22"/>
          <w:szCs w:val="22"/>
          <w:lang w:eastAsia="en-GB"/>
        </w:rPr>
        <w:t xml:space="preserve"> Guideline prices of licence renewal, retendering and bidding provided by Ofcom and the industry allows us to estimate the share of total costs and benefits from renewing each licence in each year they expire with relatively great precision in table 2. </w:t>
      </w:r>
      <w:r w:rsidR="00622979">
        <w:rPr>
          <w:rFonts w:cs="Arial"/>
          <w:color w:val="000000"/>
          <w:sz w:val="22"/>
          <w:szCs w:val="22"/>
          <w:lang w:eastAsia="en-GB"/>
        </w:rPr>
        <w:t>The table illustrates the cost a renewal would create and the benefits, which are the savings from not having to re-bid</w:t>
      </w:r>
      <w:r w:rsidR="002B6FB6">
        <w:rPr>
          <w:rFonts w:cs="Arial"/>
          <w:color w:val="000000"/>
          <w:sz w:val="22"/>
          <w:szCs w:val="22"/>
          <w:lang w:eastAsia="en-GB"/>
        </w:rPr>
        <w:t>.</w:t>
      </w:r>
    </w:p>
    <w:p w14:paraId="4A212AA0" w14:textId="77777777" w:rsidR="006E1FE1" w:rsidRPr="00861553" w:rsidRDefault="006E1FE1" w:rsidP="00563B21">
      <w:pPr>
        <w:shd w:val="clear" w:color="auto" w:fill="FFFFFF"/>
        <w:jc w:val="both"/>
        <w:rPr>
          <w:rFonts w:cs="Arial"/>
          <w:color w:val="000000"/>
          <w:sz w:val="22"/>
          <w:szCs w:val="22"/>
          <w:lang w:eastAsia="en-GB"/>
        </w:rPr>
      </w:pPr>
    </w:p>
    <w:p w14:paraId="1D8B522E" w14:textId="50D3AD28" w:rsidR="00BB2CF8" w:rsidRPr="00861553" w:rsidRDefault="005015B8" w:rsidP="00563B21">
      <w:pPr>
        <w:shd w:val="clear" w:color="auto" w:fill="FFFFFF"/>
        <w:jc w:val="both"/>
        <w:rPr>
          <w:rFonts w:cs="Arial"/>
          <w:color w:val="000000"/>
          <w:sz w:val="22"/>
          <w:szCs w:val="22"/>
          <w:lang w:eastAsia="en-GB"/>
        </w:rPr>
      </w:pPr>
      <w:r w:rsidRPr="00861553">
        <w:rPr>
          <w:rFonts w:cs="Arial"/>
          <w:color w:val="000000"/>
          <w:sz w:val="22"/>
          <w:szCs w:val="22"/>
          <w:lang w:eastAsia="en-GB"/>
        </w:rPr>
        <w:t xml:space="preserve">Table </w:t>
      </w:r>
      <w:r w:rsidR="00B55B74" w:rsidRPr="00861553">
        <w:rPr>
          <w:rFonts w:cs="Arial"/>
          <w:color w:val="000000"/>
          <w:sz w:val="22"/>
          <w:szCs w:val="22"/>
          <w:lang w:eastAsia="en-GB"/>
        </w:rPr>
        <w:t>2</w:t>
      </w:r>
      <w:r w:rsidR="00622979">
        <w:rPr>
          <w:rFonts w:cs="Arial"/>
          <w:color w:val="000000"/>
          <w:sz w:val="22"/>
          <w:szCs w:val="22"/>
          <w:lang w:eastAsia="en-GB"/>
        </w:rPr>
        <w:t xml:space="preserve"> – Estimated costs and benefits of renewing in each year the re-cast applies.</w:t>
      </w:r>
    </w:p>
    <w:tbl>
      <w:tblPr>
        <w:tblW w:w="10140" w:type="dxa"/>
        <w:tblLook w:val="04A0" w:firstRow="1" w:lastRow="0" w:firstColumn="1" w:lastColumn="0" w:noHBand="0" w:noVBand="1"/>
      </w:tblPr>
      <w:tblGrid>
        <w:gridCol w:w="1700"/>
        <w:gridCol w:w="2685"/>
        <w:gridCol w:w="992"/>
        <w:gridCol w:w="983"/>
        <w:gridCol w:w="1260"/>
        <w:gridCol w:w="1260"/>
        <w:gridCol w:w="1260"/>
      </w:tblGrid>
      <w:tr w:rsidR="006E1FE1" w:rsidRPr="00B96818" w14:paraId="0D7A88C4" w14:textId="77777777" w:rsidTr="00115388">
        <w:trPr>
          <w:trHeight w:val="300"/>
        </w:trPr>
        <w:tc>
          <w:tcPr>
            <w:tcW w:w="1700" w:type="dxa"/>
            <w:tcBorders>
              <w:top w:val="single" w:sz="8" w:space="0" w:color="CCCCCC"/>
              <w:left w:val="single" w:sz="8" w:space="0" w:color="CCCCCC"/>
              <w:right w:val="single" w:sz="8" w:space="0" w:color="000000"/>
            </w:tcBorders>
          </w:tcPr>
          <w:p w14:paraId="4F0C9902" w14:textId="77777777" w:rsidR="006E1FE1" w:rsidRPr="00861553" w:rsidRDefault="006E1FE1" w:rsidP="00BB2CF8">
            <w:pPr>
              <w:jc w:val="right"/>
              <w:rPr>
                <w:rFonts w:cs="Arial"/>
                <w:color w:val="000000"/>
                <w:sz w:val="22"/>
                <w:szCs w:val="22"/>
              </w:rPr>
            </w:pPr>
          </w:p>
        </w:tc>
        <w:tc>
          <w:tcPr>
            <w:tcW w:w="2685" w:type="dxa"/>
            <w:tcBorders>
              <w:top w:val="single" w:sz="8" w:space="0" w:color="CCCCCC"/>
              <w:left w:val="single" w:sz="8" w:space="0" w:color="CCCCCC"/>
              <w:bottom w:val="single" w:sz="8" w:space="0" w:color="CCCCCC"/>
              <w:right w:val="single" w:sz="8" w:space="0" w:color="000000"/>
            </w:tcBorders>
          </w:tcPr>
          <w:p w14:paraId="3156CAC7" w14:textId="31F11835" w:rsidR="006E1FE1" w:rsidRPr="00861553" w:rsidRDefault="00D93723" w:rsidP="00BB2CF8">
            <w:pPr>
              <w:jc w:val="right"/>
              <w:rPr>
                <w:rFonts w:cs="Arial"/>
                <w:color w:val="000000"/>
                <w:sz w:val="22"/>
                <w:szCs w:val="22"/>
              </w:rPr>
            </w:pPr>
            <w:r w:rsidRPr="00861553">
              <w:rPr>
                <w:rFonts w:cs="Arial"/>
                <w:color w:val="000000"/>
                <w:sz w:val="22"/>
                <w:szCs w:val="22"/>
              </w:rPr>
              <w:t>Year</w:t>
            </w:r>
          </w:p>
        </w:tc>
        <w:tc>
          <w:tcPr>
            <w:tcW w:w="992" w:type="dxa"/>
            <w:tcBorders>
              <w:top w:val="single" w:sz="8" w:space="0" w:color="CCCCCC"/>
              <w:left w:val="single" w:sz="8" w:space="0" w:color="CCCCCC"/>
              <w:bottom w:val="single" w:sz="8" w:space="0" w:color="CCCCCC"/>
              <w:right w:val="single" w:sz="8" w:space="0" w:color="000000"/>
            </w:tcBorders>
            <w:shd w:val="clear" w:color="auto" w:fill="auto"/>
            <w:noWrap/>
            <w:vAlign w:val="bottom"/>
          </w:tcPr>
          <w:p w14:paraId="69AE0118" w14:textId="6967E258" w:rsidR="006E1FE1" w:rsidRPr="00861553" w:rsidRDefault="006E1FE1" w:rsidP="006E1FE1">
            <w:pPr>
              <w:jc w:val="right"/>
              <w:rPr>
                <w:rFonts w:cs="Arial"/>
                <w:color w:val="000000"/>
                <w:sz w:val="22"/>
                <w:szCs w:val="22"/>
              </w:rPr>
            </w:pPr>
            <w:r w:rsidRPr="00861553">
              <w:rPr>
                <w:rFonts w:cs="Arial"/>
                <w:color w:val="000000"/>
                <w:sz w:val="22"/>
                <w:szCs w:val="22"/>
              </w:rPr>
              <w:t>0</w:t>
            </w:r>
          </w:p>
        </w:tc>
        <w:tc>
          <w:tcPr>
            <w:tcW w:w="983" w:type="dxa"/>
            <w:tcBorders>
              <w:top w:val="single" w:sz="8" w:space="0" w:color="CCCCCC"/>
              <w:left w:val="single" w:sz="8" w:space="0" w:color="CCCCCC"/>
              <w:bottom w:val="single" w:sz="8" w:space="0" w:color="CCCCCC"/>
              <w:right w:val="single" w:sz="8" w:space="0" w:color="000000"/>
            </w:tcBorders>
            <w:shd w:val="clear" w:color="auto" w:fill="auto"/>
            <w:noWrap/>
            <w:vAlign w:val="bottom"/>
          </w:tcPr>
          <w:p w14:paraId="536CD686" w14:textId="659D9422" w:rsidR="006E1FE1" w:rsidRPr="00861553" w:rsidRDefault="006E1FE1" w:rsidP="006E1FE1">
            <w:pPr>
              <w:jc w:val="right"/>
              <w:rPr>
                <w:rFonts w:cs="Arial"/>
                <w:color w:val="000000"/>
                <w:sz w:val="22"/>
                <w:szCs w:val="22"/>
              </w:rPr>
            </w:pPr>
            <w:r w:rsidRPr="00861553">
              <w:rPr>
                <w:rFonts w:cs="Arial"/>
                <w:color w:val="000000"/>
                <w:sz w:val="22"/>
                <w:szCs w:val="22"/>
              </w:rPr>
              <w:t>1</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tcPr>
          <w:p w14:paraId="116EC699" w14:textId="2905FEFF" w:rsidR="006E1FE1" w:rsidRPr="00861553" w:rsidRDefault="006E1FE1" w:rsidP="00BB2CF8">
            <w:pPr>
              <w:jc w:val="right"/>
              <w:rPr>
                <w:rFonts w:cs="Arial"/>
                <w:color w:val="000000"/>
                <w:sz w:val="22"/>
                <w:szCs w:val="22"/>
              </w:rPr>
            </w:pPr>
            <w:r w:rsidRPr="00861553">
              <w:rPr>
                <w:rFonts w:cs="Arial"/>
                <w:color w:val="000000"/>
                <w:sz w:val="22"/>
                <w:szCs w:val="22"/>
              </w:rPr>
              <w:t>2</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tcPr>
          <w:p w14:paraId="61C58EFB" w14:textId="31A02206" w:rsidR="006E1FE1" w:rsidRPr="00861553" w:rsidRDefault="006E1FE1" w:rsidP="00BB2CF8">
            <w:pPr>
              <w:jc w:val="right"/>
              <w:rPr>
                <w:rFonts w:cs="Arial"/>
                <w:color w:val="000000"/>
                <w:sz w:val="22"/>
                <w:szCs w:val="22"/>
              </w:rPr>
            </w:pPr>
            <w:r w:rsidRPr="00861553">
              <w:rPr>
                <w:rFonts w:cs="Arial"/>
                <w:color w:val="000000"/>
                <w:sz w:val="22"/>
                <w:szCs w:val="22"/>
              </w:rPr>
              <w:t>3</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tcPr>
          <w:p w14:paraId="730B243F" w14:textId="06CE6A16" w:rsidR="006E1FE1" w:rsidRPr="00861553" w:rsidRDefault="006E1FE1" w:rsidP="00BB2CF8">
            <w:pPr>
              <w:jc w:val="right"/>
              <w:rPr>
                <w:rFonts w:cs="Arial"/>
                <w:color w:val="000000"/>
                <w:sz w:val="22"/>
                <w:szCs w:val="22"/>
              </w:rPr>
            </w:pPr>
            <w:r w:rsidRPr="00861553">
              <w:rPr>
                <w:rFonts w:cs="Arial"/>
                <w:color w:val="000000"/>
                <w:sz w:val="22"/>
                <w:szCs w:val="22"/>
              </w:rPr>
              <w:t>4</w:t>
            </w:r>
          </w:p>
        </w:tc>
      </w:tr>
      <w:tr w:rsidR="006E1FE1" w:rsidRPr="00B96818" w14:paraId="1CBD1996" w14:textId="77777777" w:rsidTr="00115388">
        <w:trPr>
          <w:trHeight w:val="300"/>
        </w:trPr>
        <w:tc>
          <w:tcPr>
            <w:tcW w:w="1700" w:type="dxa"/>
            <w:vMerge w:val="restart"/>
            <w:tcBorders>
              <w:top w:val="single" w:sz="8" w:space="0" w:color="CCCCCC"/>
              <w:left w:val="single" w:sz="8" w:space="0" w:color="CCCCCC"/>
              <w:right w:val="single" w:sz="8" w:space="0" w:color="000000"/>
            </w:tcBorders>
          </w:tcPr>
          <w:p w14:paraId="58A390A0" w14:textId="127C6AFD" w:rsidR="006E1FE1" w:rsidRPr="00861553" w:rsidRDefault="006E1FE1" w:rsidP="00BB2CF8">
            <w:pPr>
              <w:jc w:val="right"/>
              <w:rPr>
                <w:rFonts w:cs="Arial"/>
                <w:color w:val="000000"/>
                <w:sz w:val="22"/>
                <w:szCs w:val="22"/>
              </w:rPr>
            </w:pPr>
            <w:r w:rsidRPr="00861553">
              <w:rPr>
                <w:rFonts w:cs="Arial"/>
                <w:color w:val="000000"/>
                <w:sz w:val="22"/>
                <w:szCs w:val="22"/>
              </w:rPr>
              <w:t>Option 2 – renewing licences</w:t>
            </w:r>
          </w:p>
        </w:tc>
        <w:tc>
          <w:tcPr>
            <w:tcW w:w="2685" w:type="dxa"/>
            <w:tcBorders>
              <w:top w:val="single" w:sz="8" w:space="0" w:color="CCCCCC"/>
              <w:left w:val="single" w:sz="8" w:space="0" w:color="CCCCCC"/>
              <w:bottom w:val="single" w:sz="8" w:space="0" w:color="CCCCCC"/>
              <w:right w:val="single" w:sz="8" w:space="0" w:color="000000"/>
            </w:tcBorders>
          </w:tcPr>
          <w:p w14:paraId="392271D2" w14:textId="316707D0" w:rsidR="006E1FE1" w:rsidRPr="00861553" w:rsidRDefault="00B76ABB" w:rsidP="00BB2CF8">
            <w:pPr>
              <w:jc w:val="right"/>
              <w:rPr>
                <w:rFonts w:cs="Arial"/>
                <w:color w:val="000000"/>
                <w:sz w:val="22"/>
                <w:szCs w:val="22"/>
              </w:rPr>
            </w:pPr>
            <w:r w:rsidRPr="00861553">
              <w:rPr>
                <w:rFonts w:cs="Arial"/>
                <w:color w:val="000000"/>
                <w:sz w:val="22"/>
                <w:szCs w:val="22"/>
                <w:lang w:eastAsia="en-GB"/>
              </w:rPr>
              <w:t xml:space="preserve">Best estimate - </w:t>
            </w:r>
            <w:r w:rsidR="006E1FE1" w:rsidRPr="00861553">
              <w:rPr>
                <w:rFonts w:cs="Arial"/>
                <w:color w:val="000000"/>
                <w:sz w:val="22"/>
                <w:szCs w:val="22"/>
              </w:rPr>
              <w:t>Cost</w:t>
            </w:r>
          </w:p>
        </w:tc>
        <w:tc>
          <w:tcPr>
            <w:tcW w:w="992"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59DDD114" w14:textId="1B3D972A" w:rsidR="006E1FE1" w:rsidRPr="00861553" w:rsidRDefault="006E1FE1" w:rsidP="00BB2CF8">
            <w:pPr>
              <w:jc w:val="right"/>
              <w:rPr>
                <w:rFonts w:cs="Arial"/>
                <w:color w:val="000000"/>
                <w:sz w:val="22"/>
                <w:szCs w:val="22"/>
              </w:rPr>
            </w:pPr>
            <w:r w:rsidRPr="00861553">
              <w:rPr>
                <w:rFonts w:cs="Arial"/>
                <w:color w:val="000000"/>
                <w:sz w:val="22"/>
                <w:szCs w:val="22"/>
              </w:rPr>
              <w:t>0.</w:t>
            </w:r>
            <w:r w:rsidR="00B76ABB" w:rsidRPr="00861553">
              <w:rPr>
                <w:rFonts w:cs="Arial"/>
                <w:bCs/>
                <w:color w:val="000000"/>
                <w:sz w:val="22"/>
                <w:szCs w:val="22"/>
              </w:rPr>
              <w:t>0004</w:t>
            </w:r>
          </w:p>
        </w:tc>
        <w:tc>
          <w:tcPr>
            <w:tcW w:w="983"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2DAADAC9" w14:textId="24DCD6BD" w:rsidR="006E1FE1" w:rsidRPr="00861553" w:rsidRDefault="006E1FE1" w:rsidP="00BB2CF8">
            <w:pPr>
              <w:jc w:val="right"/>
              <w:rPr>
                <w:rFonts w:cs="Arial"/>
                <w:color w:val="000000"/>
                <w:sz w:val="22"/>
                <w:szCs w:val="22"/>
              </w:rPr>
            </w:pPr>
            <w:r w:rsidRPr="00861553">
              <w:rPr>
                <w:rFonts w:cs="Arial"/>
                <w:color w:val="000000"/>
                <w:sz w:val="22"/>
                <w:szCs w:val="22"/>
              </w:rPr>
              <w:t>0.</w:t>
            </w:r>
            <w:r w:rsidR="00B76ABB" w:rsidRPr="00861553">
              <w:rPr>
                <w:rFonts w:cs="Arial"/>
                <w:bCs/>
                <w:color w:val="000000"/>
                <w:sz w:val="22"/>
                <w:szCs w:val="22"/>
              </w:rPr>
              <w:t>0004</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0E9827CA" w14:textId="4726D824" w:rsidR="006E1FE1" w:rsidRPr="00861553" w:rsidRDefault="006E1FE1" w:rsidP="00BB2CF8">
            <w:pPr>
              <w:jc w:val="right"/>
              <w:rPr>
                <w:rFonts w:cs="Arial"/>
                <w:color w:val="000000"/>
                <w:sz w:val="22"/>
                <w:szCs w:val="22"/>
              </w:rPr>
            </w:pPr>
            <w:r w:rsidRPr="00861553">
              <w:rPr>
                <w:rFonts w:cs="Arial"/>
                <w:color w:val="000000"/>
                <w:sz w:val="22"/>
                <w:szCs w:val="22"/>
              </w:rPr>
              <w:t>0.</w:t>
            </w:r>
            <w:r w:rsidR="00B76ABB" w:rsidRPr="00861553">
              <w:rPr>
                <w:rFonts w:cs="Arial"/>
                <w:bCs/>
                <w:color w:val="000000"/>
                <w:sz w:val="22"/>
                <w:szCs w:val="22"/>
              </w:rPr>
              <w:t>0156</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7E3B30E5" w14:textId="5A9FD429" w:rsidR="006E1FE1" w:rsidRPr="00861553" w:rsidRDefault="006E1FE1" w:rsidP="00FB623A">
            <w:pPr>
              <w:jc w:val="right"/>
              <w:rPr>
                <w:rFonts w:cs="Arial"/>
                <w:color w:val="000000"/>
                <w:sz w:val="22"/>
                <w:szCs w:val="22"/>
              </w:rPr>
            </w:pPr>
            <w:r w:rsidRPr="00861553">
              <w:rPr>
                <w:rFonts w:cs="Arial"/>
                <w:color w:val="000000"/>
                <w:sz w:val="22"/>
                <w:szCs w:val="22"/>
              </w:rPr>
              <w:t>0.</w:t>
            </w:r>
            <w:r w:rsidR="00B76ABB" w:rsidRPr="00861553">
              <w:rPr>
                <w:rFonts w:cs="Arial"/>
                <w:bCs/>
                <w:color w:val="000000"/>
                <w:sz w:val="22"/>
                <w:szCs w:val="22"/>
              </w:rPr>
              <w:t>0068</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3FCFAA17" w14:textId="178523CC" w:rsidR="006E1FE1" w:rsidRPr="00861553" w:rsidRDefault="006E1FE1" w:rsidP="00BB2CF8">
            <w:pPr>
              <w:jc w:val="right"/>
              <w:rPr>
                <w:rFonts w:cs="Arial"/>
                <w:color w:val="000000"/>
                <w:sz w:val="22"/>
                <w:szCs w:val="22"/>
              </w:rPr>
            </w:pPr>
            <w:r w:rsidRPr="00861553">
              <w:rPr>
                <w:rFonts w:cs="Arial"/>
                <w:color w:val="000000"/>
                <w:sz w:val="22"/>
                <w:szCs w:val="22"/>
              </w:rPr>
              <w:t>0.</w:t>
            </w:r>
            <w:r w:rsidR="00B76ABB" w:rsidRPr="00861553">
              <w:rPr>
                <w:rFonts w:cs="Arial"/>
                <w:bCs/>
                <w:color w:val="000000"/>
                <w:sz w:val="22"/>
                <w:szCs w:val="22"/>
              </w:rPr>
              <w:t>002</w:t>
            </w:r>
          </w:p>
        </w:tc>
      </w:tr>
      <w:tr w:rsidR="006E1FE1" w:rsidRPr="00B96818" w14:paraId="789D3CAD" w14:textId="77777777" w:rsidTr="00115388">
        <w:trPr>
          <w:trHeight w:val="300"/>
        </w:trPr>
        <w:tc>
          <w:tcPr>
            <w:tcW w:w="1700" w:type="dxa"/>
            <w:vMerge/>
            <w:tcBorders>
              <w:left w:val="single" w:sz="8" w:space="0" w:color="CCCCCC"/>
              <w:bottom w:val="single" w:sz="8" w:space="0" w:color="CCCCCC"/>
              <w:right w:val="single" w:sz="8" w:space="0" w:color="000000"/>
            </w:tcBorders>
          </w:tcPr>
          <w:p w14:paraId="3A89366B" w14:textId="77777777" w:rsidR="006E1FE1" w:rsidRPr="00861553" w:rsidRDefault="006E1FE1" w:rsidP="00BB2CF8">
            <w:pPr>
              <w:jc w:val="right"/>
              <w:rPr>
                <w:rFonts w:cs="Arial"/>
                <w:color w:val="000000"/>
                <w:sz w:val="22"/>
                <w:szCs w:val="22"/>
              </w:rPr>
            </w:pPr>
          </w:p>
        </w:tc>
        <w:tc>
          <w:tcPr>
            <w:tcW w:w="2685" w:type="dxa"/>
            <w:tcBorders>
              <w:top w:val="single" w:sz="8" w:space="0" w:color="CCCCCC"/>
              <w:left w:val="single" w:sz="8" w:space="0" w:color="CCCCCC"/>
              <w:bottom w:val="single" w:sz="8" w:space="0" w:color="CCCCCC"/>
              <w:right w:val="single" w:sz="8" w:space="0" w:color="000000"/>
            </w:tcBorders>
          </w:tcPr>
          <w:p w14:paraId="25035B5B" w14:textId="15F030B4" w:rsidR="006E1FE1" w:rsidRPr="00861553" w:rsidRDefault="00B76ABB" w:rsidP="00BB2CF8">
            <w:pPr>
              <w:jc w:val="right"/>
              <w:rPr>
                <w:rFonts w:cs="Arial"/>
                <w:color w:val="000000"/>
                <w:sz w:val="22"/>
                <w:szCs w:val="22"/>
              </w:rPr>
            </w:pPr>
            <w:r w:rsidRPr="00861553">
              <w:rPr>
                <w:rFonts w:cs="Arial"/>
                <w:color w:val="000000"/>
                <w:sz w:val="22"/>
                <w:szCs w:val="22"/>
                <w:lang w:eastAsia="en-GB"/>
              </w:rPr>
              <w:t xml:space="preserve">Best estimate - </w:t>
            </w:r>
            <w:r w:rsidR="006E1FE1" w:rsidRPr="00861553">
              <w:rPr>
                <w:rFonts w:cs="Arial"/>
                <w:color w:val="000000"/>
                <w:sz w:val="22"/>
                <w:szCs w:val="22"/>
              </w:rPr>
              <w:t>Benefit</w:t>
            </w:r>
          </w:p>
        </w:tc>
        <w:tc>
          <w:tcPr>
            <w:tcW w:w="992"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1845654E" w14:textId="79755323" w:rsidR="006E1FE1" w:rsidRPr="00861553" w:rsidRDefault="006E1FE1" w:rsidP="00BB2CF8">
            <w:pPr>
              <w:jc w:val="right"/>
              <w:rPr>
                <w:rFonts w:cs="Arial"/>
                <w:color w:val="000000"/>
                <w:sz w:val="22"/>
                <w:szCs w:val="22"/>
              </w:rPr>
            </w:pPr>
            <w:r w:rsidRPr="00861553">
              <w:rPr>
                <w:rFonts w:cs="Arial"/>
                <w:color w:val="000000"/>
                <w:sz w:val="22"/>
                <w:szCs w:val="22"/>
              </w:rPr>
              <w:t>0.07</w:t>
            </w:r>
          </w:p>
        </w:tc>
        <w:tc>
          <w:tcPr>
            <w:tcW w:w="983"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394C1EEE" w14:textId="77777777" w:rsidR="006E1FE1" w:rsidRPr="00861553" w:rsidRDefault="006E1FE1" w:rsidP="00BB2CF8">
            <w:pPr>
              <w:jc w:val="right"/>
              <w:rPr>
                <w:rFonts w:cs="Arial"/>
                <w:color w:val="000000"/>
                <w:sz w:val="22"/>
                <w:szCs w:val="22"/>
              </w:rPr>
            </w:pPr>
            <w:r w:rsidRPr="00861553">
              <w:rPr>
                <w:rFonts w:cs="Arial"/>
                <w:color w:val="000000"/>
                <w:sz w:val="22"/>
                <w:szCs w:val="22"/>
              </w:rPr>
              <w:t>0.12</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384B5E25" w14:textId="77777777" w:rsidR="006E1FE1" w:rsidRPr="00861553" w:rsidRDefault="006E1FE1" w:rsidP="00BB2CF8">
            <w:pPr>
              <w:jc w:val="right"/>
              <w:rPr>
                <w:rFonts w:cs="Arial"/>
                <w:color w:val="000000"/>
                <w:sz w:val="22"/>
                <w:szCs w:val="22"/>
              </w:rPr>
            </w:pPr>
            <w:r w:rsidRPr="00861553">
              <w:rPr>
                <w:rFonts w:cs="Arial"/>
                <w:color w:val="000000"/>
                <w:sz w:val="22"/>
                <w:szCs w:val="22"/>
              </w:rPr>
              <w:t>3.16</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3E677AA6" w14:textId="77777777" w:rsidR="006E1FE1" w:rsidRPr="00861553" w:rsidRDefault="006E1FE1" w:rsidP="00BB2CF8">
            <w:pPr>
              <w:jc w:val="right"/>
              <w:rPr>
                <w:rFonts w:cs="Arial"/>
                <w:color w:val="000000"/>
                <w:sz w:val="22"/>
                <w:szCs w:val="22"/>
              </w:rPr>
            </w:pPr>
            <w:r w:rsidRPr="00861553">
              <w:rPr>
                <w:rFonts w:cs="Arial"/>
                <w:color w:val="000000"/>
                <w:sz w:val="22"/>
                <w:szCs w:val="22"/>
              </w:rPr>
              <w:t>1.49</w:t>
            </w:r>
          </w:p>
        </w:tc>
        <w:tc>
          <w:tcPr>
            <w:tcW w:w="126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14:paraId="22D8F78A" w14:textId="77777777" w:rsidR="006E1FE1" w:rsidRPr="00861553" w:rsidRDefault="006E1FE1" w:rsidP="00BB2CF8">
            <w:pPr>
              <w:jc w:val="right"/>
              <w:rPr>
                <w:rFonts w:cs="Arial"/>
                <w:color w:val="000000"/>
                <w:sz w:val="22"/>
                <w:szCs w:val="22"/>
              </w:rPr>
            </w:pPr>
            <w:r w:rsidRPr="00861553">
              <w:rPr>
                <w:rFonts w:cs="Arial"/>
                <w:color w:val="000000"/>
                <w:sz w:val="22"/>
                <w:szCs w:val="22"/>
              </w:rPr>
              <w:t>0.44</w:t>
            </w:r>
          </w:p>
        </w:tc>
      </w:tr>
    </w:tbl>
    <w:p w14:paraId="34E8DEC4" w14:textId="77777777" w:rsidR="00563B21" w:rsidRPr="00861553" w:rsidRDefault="00563B21" w:rsidP="00563B21">
      <w:pPr>
        <w:shd w:val="clear" w:color="auto" w:fill="FFFFFF"/>
        <w:rPr>
          <w:rFonts w:cs="Arial"/>
          <w:color w:val="000000"/>
          <w:sz w:val="22"/>
          <w:szCs w:val="22"/>
          <w:lang w:eastAsia="en-GB"/>
        </w:rPr>
      </w:pPr>
    </w:p>
    <w:p w14:paraId="385BC207" w14:textId="77777777" w:rsidR="00563B21" w:rsidRPr="00861553" w:rsidRDefault="00563B21" w:rsidP="00563B21">
      <w:pPr>
        <w:shd w:val="clear" w:color="auto" w:fill="FFFFFF"/>
        <w:rPr>
          <w:rFonts w:cs="Arial"/>
          <w:color w:val="000000"/>
          <w:sz w:val="22"/>
          <w:szCs w:val="22"/>
          <w:lang w:eastAsia="en-GB"/>
        </w:rPr>
      </w:pPr>
    </w:p>
    <w:p w14:paraId="48DB156B" w14:textId="30B6E526" w:rsidR="00622979" w:rsidRDefault="00622979" w:rsidP="00563B21">
      <w:pPr>
        <w:shd w:val="clear" w:color="auto" w:fill="FFFFFF"/>
        <w:jc w:val="both"/>
        <w:rPr>
          <w:rFonts w:cs="Arial"/>
          <w:color w:val="000000"/>
          <w:sz w:val="22"/>
          <w:szCs w:val="22"/>
          <w:lang w:eastAsia="en-GB"/>
        </w:rPr>
      </w:pPr>
      <w:r w:rsidRPr="00861553">
        <w:rPr>
          <w:rFonts w:cs="Arial"/>
          <w:color w:val="000000"/>
          <w:sz w:val="22"/>
          <w:szCs w:val="22"/>
          <w:lang w:eastAsia="en-GB"/>
        </w:rPr>
        <w:t>The best estimate of the</w:t>
      </w:r>
      <w:r>
        <w:rPr>
          <w:rFonts w:cs="Arial"/>
          <w:color w:val="000000"/>
          <w:sz w:val="22"/>
          <w:szCs w:val="22"/>
          <w:lang w:eastAsia="en-GB"/>
        </w:rPr>
        <w:t xml:space="preserve"> total</w:t>
      </w:r>
      <w:r w:rsidRPr="00861553">
        <w:rPr>
          <w:rFonts w:cs="Arial"/>
          <w:color w:val="000000"/>
          <w:sz w:val="22"/>
          <w:szCs w:val="22"/>
          <w:lang w:eastAsia="en-GB"/>
        </w:rPr>
        <w:t xml:space="preserve"> cost discounted is £0.02m</w:t>
      </w:r>
      <w:r>
        <w:rPr>
          <w:rFonts w:cs="Arial"/>
          <w:color w:val="000000"/>
          <w:sz w:val="22"/>
          <w:szCs w:val="22"/>
          <w:lang w:eastAsia="en-GB"/>
        </w:rPr>
        <w:t xml:space="preserve"> and the</w:t>
      </w:r>
      <w:r w:rsidRPr="00861553">
        <w:rPr>
          <w:rFonts w:cs="Arial"/>
          <w:color w:val="000000"/>
          <w:sz w:val="22"/>
          <w:szCs w:val="22"/>
          <w:lang w:eastAsia="en-GB"/>
        </w:rPr>
        <w:t xml:space="preserve"> best estimate of the total benefit is £4.9m. </w:t>
      </w:r>
    </w:p>
    <w:p w14:paraId="3B3B2527" w14:textId="77777777" w:rsidR="00563B21" w:rsidRPr="00861553" w:rsidRDefault="00563B21" w:rsidP="00563B21">
      <w:pPr>
        <w:shd w:val="clear" w:color="auto" w:fill="FFFFFF"/>
        <w:jc w:val="both"/>
        <w:rPr>
          <w:rFonts w:cs="Arial"/>
          <w:color w:val="000000"/>
          <w:sz w:val="22"/>
          <w:szCs w:val="22"/>
          <w:lang w:eastAsia="en-GB"/>
        </w:rPr>
      </w:pPr>
    </w:p>
    <w:p w14:paraId="63A59FCB" w14:textId="5CB24A41" w:rsidR="003255BC" w:rsidRDefault="00563B21" w:rsidP="009266FD">
      <w:pPr>
        <w:tabs>
          <w:tab w:val="left" w:pos="284"/>
        </w:tabs>
        <w:rPr>
          <w:rFonts w:eastAsiaTheme="minorHAnsi" w:cs="Arial"/>
          <w:sz w:val="22"/>
          <w:szCs w:val="22"/>
        </w:rPr>
      </w:pPr>
      <w:r w:rsidRPr="00861553">
        <w:rPr>
          <w:rFonts w:cs="Arial"/>
          <w:color w:val="000000"/>
          <w:sz w:val="22"/>
          <w:szCs w:val="22"/>
          <w:lang w:eastAsia="en-GB"/>
        </w:rPr>
        <w:t xml:space="preserve">On the benefits side, we expect all </w:t>
      </w:r>
      <w:r w:rsidR="00C9232A" w:rsidRPr="00861553">
        <w:rPr>
          <w:rFonts w:cs="Arial"/>
          <w:color w:val="000000"/>
          <w:sz w:val="22"/>
          <w:szCs w:val="22"/>
          <w:lang w:eastAsia="en-GB"/>
        </w:rPr>
        <w:t>quantifiable b</w:t>
      </w:r>
      <w:r w:rsidRPr="00861553">
        <w:rPr>
          <w:rFonts w:cs="Arial"/>
          <w:color w:val="000000"/>
          <w:sz w:val="22"/>
          <w:szCs w:val="22"/>
          <w:lang w:eastAsia="en-GB"/>
        </w:rPr>
        <w:t>enefit</w:t>
      </w:r>
      <w:r w:rsidR="00C9232A" w:rsidRPr="00861553">
        <w:rPr>
          <w:rFonts w:cs="Arial"/>
          <w:color w:val="000000"/>
          <w:sz w:val="22"/>
          <w:szCs w:val="22"/>
          <w:lang w:eastAsia="en-GB"/>
        </w:rPr>
        <w:t>s to go to businesses as a cost saving</w:t>
      </w:r>
      <w:r w:rsidR="00D93723" w:rsidRPr="00861553">
        <w:rPr>
          <w:rFonts w:cs="Arial"/>
          <w:color w:val="000000"/>
          <w:sz w:val="22"/>
          <w:szCs w:val="22"/>
          <w:lang w:eastAsia="en-GB"/>
        </w:rPr>
        <w:t xml:space="preserve"> from avoiding the expensive process of re-bidding and tendering all existing licences</w:t>
      </w:r>
      <w:r w:rsidR="00C9232A" w:rsidRPr="00861553">
        <w:rPr>
          <w:rFonts w:cs="Arial"/>
          <w:color w:val="000000"/>
          <w:sz w:val="22"/>
          <w:szCs w:val="22"/>
          <w:lang w:eastAsia="en-GB"/>
        </w:rPr>
        <w:t>. T</w:t>
      </w:r>
      <w:r w:rsidRPr="00861553">
        <w:rPr>
          <w:rFonts w:cs="Arial"/>
          <w:color w:val="000000"/>
          <w:sz w:val="22"/>
          <w:szCs w:val="22"/>
          <w:lang w:eastAsia="en-GB"/>
        </w:rPr>
        <w:t>hese figures lead to an Equivalent Annual Net Cost to Business (</w:t>
      </w:r>
      <w:r w:rsidRPr="00B816BD">
        <w:t>EAN</w:t>
      </w:r>
      <w:r w:rsidRPr="00861553">
        <w:rPr>
          <w:rFonts w:cs="Arial"/>
          <w:color w:val="000000"/>
          <w:sz w:val="22"/>
          <w:szCs w:val="22"/>
          <w:lang w:eastAsia="en-GB"/>
        </w:rPr>
        <w:t xml:space="preserve">CB) of </w:t>
      </w:r>
      <w:r w:rsidRPr="00861553">
        <w:rPr>
          <w:rFonts w:cs="Arial"/>
          <w:b/>
          <w:bCs/>
          <w:color w:val="000000"/>
          <w:sz w:val="22"/>
          <w:szCs w:val="22"/>
          <w:lang w:eastAsia="en-GB"/>
        </w:rPr>
        <w:t>£-0.</w:t>
      </w:r>
      <w:r w:rsidR="004B1D47">
        <w:rPr>
          <w:rFonts w:cs="Arial"/>
          <w:b/>
          <w:bCs/>
          <w:color w:val="000000"/>
          <w:sz w:val="22"/>
          <w:szCs w:val="22"/>
          <w:lang w:eastAsia="en-GB"/>
        </w:rPr>
        <w:t>8</w:t>
      </w:r>
      <w:r w:rsidR="002B4B3F" w:rsidRPr="00861553">
        <w:rPr>
          <w:rFonts w:cs="Arial"/>
          <w:b/>
          <w:bCs/>
          <w:color w:val="000000"/>
          <w:sz w:val="22"/>
          <w:szCs w:val="22"/>
          <w:lang w:eastAsia="en-GB"/>
        </w:rPr>
        <w:t xml:space="preserve">2 </w:t>
      </w:r>
      <w:r w:rsidR="00BB2CF8" w:rsidRPr="00861553">
        <w:rPr>
          <w:rFonts w:cs="Arial"/>
          <w:color w:val="000000"/>
          <w:sz w:val="22"/>
          <w:szCs w:val="22"/>
          <w:lang w:eastAsia="en-GB"/>
        </w:rPr>
        <w:t>over the 5</w:t>
      </w:r>
      <w:r w:rsidR="004B1D47">
        <w:rPr>
          <w:rFonts w:cs="Arial"/>
          <w:color w:val="000000"/>
          <w:sz w:val="22"/>
          <w:szCs w:val="22"/>
          <w:lang w:eastAsia="en-GB"/>
        </w:rPr>
        <w:t xml:space="preserve"> year period in 2014</w:t>
      </w:r>
      <w:r w:rsidRPr="00861553">
        <w:rPr>
          <w:rFonts w:cs="Arial"/>
          <w:color w:val="000000"/>
          <w:sz w:val="22"/>
          <w:szCs w:val="22"/>
          <w:lang w:eastAsia="en-GB"/>
        </w:rPr>
        <w:t xml:space="preserve"> prices</w:t>
      </w:r>
      <w:r w:rsidR="00D93723" w:rsidRPr="00861553">
        <w:rPr>
          <w:rFonts w:cs="Arial"/>
          <w:color w:val="000000"/>
          <w:sz w:val="22"/>
          <w:szCs w:val="22"/>
          <w:lang w:eastAsia="en-GB"/>
        </w:rPr>
        <w:t xml:space="preserve"> to </w:t>
      </w:r>
      <w:r w:rsidR="00D93723" w:rsidRPr="00861553">
        <w:rPr>
          <w:rFonts w:cs="Arial"/>
          <w:color w:val="000000"/>
          <w:sz w:val="22"/>
          <w:szCs w:val="22"/>
          <w:lang w:eastAsia="en-GB"/>
        </w:rPr>
        <w:lastRenderedPageBreak/>
        <w:t>businesses</w:t>
      </w:r>
      <w:r w:rsidRPr="00861553">
        <w:rPr>
          <w:rFonts w:cs="Arial"/>
          <w:color w:val="000000"/>
          <w:sz w:val="22"/>
          <w:szCs w:val="22"/>
          <w:lang w:eastAsia="en-GB"/>
        </w:rPr>
        <w:t xml:space="preserve">, </w:t>
      </w:r>
      <w:r w:rsidR="00D93723" w:rsidRPr="00861553">
        <w:rPr>
          <w:rFonts w:cs="Arial"/>
          <w:color w:val="000000"/>
          <w:sz w:val="22"/>
          <w:szCs w:val="22"/>
          <w:lang w:eastAsia="en-GB"/>
        </w:rPr>
        <w:t>creating</w:t>
      </w:r>
      <w:r w:rsidRPr="00861553">
        <w:rPr>
          <w:rFonts w:cs="Arial"/>
          <w:color w:val="000000"/>
          <w:sz w:val="22"/>
          <w:szCs w:val="22"/>
          <w:lang w:eastAsia="en-GB"/>
        </w:rPr>
        <w:t xml:space="preserve"> a small net benefit to business.</w:t>
      </w:r>
      <w:r w:rsidR="006E1FE1" w:rsidRPr="00861553">
        <w:rPr>
          <w:rFonts w:cs="Arial"/>
          <w:color w:val="000000"/>
          <w:sz w:val="22"/>
          <w:szCs w:val="22"/>
          <w:lang w:eastAsia="en-GB"/>
        </w:rPr>
        <w:t xml:space="preserve"> It can be seen the</w:t>
      </w:r>
      <w:r w:rsidR="005015B8" w:rsidRPr="00861553">
        <w:rPr>
          <w:rFonts w:eastAsiaTheme="minorHAnsi" w:cs="Arial"/>
          <w:sz w:val="22"/>
          <w:szCs w:val="22"/>
        </w:rPr>
        <w:t xml:space="preserve"> </w:t>
      </w:r>
      <w:r w:rsidR="00EB1937" w:rsidRPr="00861553">
        <w:rPr>
          <w:rFonts w:eastAsiaTheme="minorHAnsi" w:cs="Arial"/>
          <w:sz w:val="22"/>
          <w:szCs w:val="22"/>
        </w:rPr>
        <w:t xml:space="preserve">small cost of renewing is much </w:t>
      </w:r>
      <w:r w:rsidR="00D93723" w:rsidRPr="00861553">
        <w:rPr>
          <w:rFonts w:eastAsiaTheme="minorHAnsi" w:cs="Arial"/>
          <w:sz w:val="22"/>
          <w:szCs w:val="22"/>
        </w:rPr>
        <w:t>less</w:t>
      </w:r>
      <w:r w:rsidR="00EB1937" w:rsidRPr="00861553">
        <w:rPr>
          <w:rFonts w:eastAsiaTheme="minorHAnsi" w:cs="Arial"/>
          <w:sz w:val="22"/>
          <w:szCs w:val="22"/>
        </w:rPr>
        <w:t xml:space="preserve"> than the</w:t>
      </w:r>
      <w:r w:rsidR="00AC32F7" w:rsidRPr="00861553">
        <w:rPr>
          <w:rFonts w:eastAsiaTheme="minorHAnsi" w:cs="Arial"/>
          <w:sz w:val="22"/>
          <w:szCs w:val="22"/>
        </w:rPr>
        <w:t xml:space="preserve"> cost industry would incur to re-tender, shown in </w:t>
      </w:r>
      <w:r w:rsidR="0092264F" w:rsidRPr="00861553">
        <w:rPr>
          <w:rFonts w:eastAsiaTheme="minorHAnsi" w:cs="Arial"/>
          <w:sz w:val="22"/>
          <w:szCs w:val="22"/>
        </w:rPr>
        <w:t>table 1</w:t>
      </w:r>
      <w:r w:rsidR="00D93723" w:rsidRPr="00861553">
        <w:rPr>
          <w:rFonts w:eastAsiaTheme="minorHAnsi" w:cs="Arial"/>
          <w:sz w:val="22"/>
          <w:szCs w:val="22"/>
        </w:rPr>
        <w:t>,</w:t>
      </w:r>
      <w:r w:rsidR="00EB1937" w:rsidRPr="00861553">
        <w:rPr>
          <w:rFonts w:eastAsiaTheme="minorHAnsi" w:cs="Arial"/>
          <w:sz w:val="22"/>
          <w:szCs w:val="22"/>
        </w:rPr>
        <w:t xml:space="preserve"> hence </w:t>
      </w:r>
      <w:r w:rsidR="00D93723" w:rsidRPr="00861553">
        <w:rPr>
          <w:rFonts w:eastAsiaTheme="minorHAnsi" w:cs="Arial"/>
          <w:sz w:val="22"/>
          <w:szCs w:val="22"/>
        </w:rPr>
        <w:t xml:space="preserve">we see </w:t>
      </w:r>
      <w:r w:rsidR="00AC32F7" w:rsidRPr="00861553">
        <w:rPr>
          <w:rFonts w:eastAsiaTheme="minorHAnsi" w:cs="Arial"/>
          <w:sz w:val="22"/>
          <w:szCs w:val="22"/>
        </w:rPr>
        <w:t>this measure qualify</w:t>
      </w:r>
      <w:r w:rsidR="00D93723" w:rsidRPr="00861553">
        <w:rPr>
          <w:rFonts w:eastAsiaTheme="minorHAnsi" w:cs="Arial"/>
          <w:sz w:val="22"/>
          <w:szCs w:val="22"/>
        </w:rPr>
        <w:t>ing</w:t>
      </w:r>
      <w:r w:rsidR="00AC32F7" w:rsidRPr="00861553">
        <w:rPr>
          <w:rFonts w:eastAsiaTheme="minorHAnsi" w:cs="Arial"/>
          <w:sz w:val="22"/>
          <w:szCs w:val="22"/>
        </w:rPr>
        <w:t xml:space="preserve"> as an out.</w:t>
      </w:r>
    </w:p>
    <w:p w14:paraId="7DCD7779" w14:textId="77777777" w:rsidR="001D77CE" w:rsidRDefault="001D77CE" w:rsidP="001D77CE">
      <w:pPr>
        <w:widowControl w:val="0"/>
        <w:tabs>
          <w:tab w:val="left" w:pos="9050"/>
        </w:tabs>
        <w:autoSpaceDE w:val="0"/>
        <w:autoSpaceDN w:val="0"/>
        <w:adjustRightInd w:val="0"/>
        <w:ind w:right="18"/>
        <w:jc w:val="both"/>
        <w:rPr>
          <w:rFonts w:asciiTheme="minorHAnsi" w:hAnsiTheme="minorHAnsi" w:cstheme="minorHAnsi"/>
        </w:rPr>
      </w:pPr>
    </w:p>
    <w:p w14:paraId="0E3509C0" w14:textId="77777777" w:rsidR="003255BC" w:rsidRPr="00861553" w:rsidRDefault="003255BC">
      <w:pPr>
        <w:rPr>
          <w:rFonts w:eastAsiaTheme="minorHAnsi" w:cs="Arial"/>
          <w:sz w:val="22"/>
          <w:szCs w:val="22"/>
        </w:rPr>
      </w:pPr>
    </w:p>
    <w:p w14:paraId="25FB590A" w14:textId="09A7EFDB" w:rsidR="003255BC" w:rsidRPr="00861553" w:rsidRDefault="0093522C">
      <w:pPr>
        <w:rPr>
          <w:rFonts w:eastAsiaTheme="minorHAnsi" w:cs="Arial"/>
          <w:b/>
          <w:sz w:val="22"/>
          <w:szCs w:val="22"/>
        </w:rPr>
      </w:pPr>
      <w:r w:rsidRPr="00861553">
        <w:rPr>
          <w:rFonts w:eastAsiaTheme="minorHAnsi" w:cs="Arial"/>
          <w:b/>
          <w:sz w:val="22"/>
          <w:szCs w:val="22"/>
        </w:rPr>
        <w:t>Competition a</w:t>
      </w:r>
      <w:r w:rsidR="003255BC" w:rsidRPr="00861553">
        <w:rPr>
          <w:rFonts w:eastAsiaTheme="minorHAnsi" w:cs="Arial"/>
          <w:b/>
          <w:sz w:val="22"/>
          <w:szCs w:val="22"/>
        </w:rPr>
        <w:t>ssessment</w:t>
      </w:r>
    </w:p>
    <w:p w14:paraId="57DBC92F" w14:textId="77777777" w:rsidR="003255BC" w:rsidRPr="00861553" w:rsidRDefault="003255BC">
      <w:pPr>
        <w:rPr>
          <w:rFonts w:eastAsiaTheme="minorHAnsi" w:cs="Arial"/>
          <w:sz w:val="22"/>
          <w:szCs w:val="22"/>
          <w:u w:val="single"/>
        </w:rPr>
      </w:pPr>
    </w:p>
    <w:p w14:paraId="2678D287" w14:textId="26AC5443" w:rsidR="009F74CE" w:rsidRPr="00861553" w:rsidRDefault="003255BC">
      <w:pPr>
        <w:rPr>
          <w:rFonts w:eastAsiaTheme="minorHAnsi" w:cs="Arial"/>
          <w:sz w:val="22"/>
          <w:szCs w:val="22"/>
        </w:rPr>
      </w:pPr>
      <w:r w:rsidRPr="00861553">
        <w:rPr>
          <w:rFonts w:eastAsiaTheme="minorHAnsi" w:cs="Arial"/>
          <w:sz w:val="22"/>
          <w:szCs w:val="22"/>
        </w:rPr>
        <w:t xml:space="preserve">DCMS recognises that its preferred option </w:t>
      </w:r>
      <w:r w:rsidR="00FA0021">
        <w:rPr>
          <w:rFonts w:eastAsiaTheme="minorHAnsi" w:cs="Arial"/>
          <w:sz w:val="22"/>
          <w:szCs w:val="22"/>
        </w:rPr>
        <w:t>(</w:t>
      </w:r>
      <w:r w:rsidR="00EB54E0">
        <w:rPr>
          <w:rFonts w:eastAsiaTheme="minorHAnsi" w:cs="Arial"/>
          <w:sz w:val="22"/>
          <w:szCs w:val="22"/>
        </w:rPr>
        <w:t xml:space="preserve">i.e. to </w:t>
      </w:r>
      <w:r w:rsidR="00FA0021">
        <w:rPr>
          <w:rFonts w:eastAsiaTheme="minorHAnsi" w:cs="Arial"/>
          <w:sz w:val="22"/>
          <w:szCs w:val="22"/>
        </w:rPr>
        <w:t xml:space="preserve">allow renewal of the licences in question for a further five years, or 12 if the licensee has not yet received its second renewal) </w:t>
      </w:r>
      <w:r w:rsidR="009F74CE" w:rsidRPr="00861553">
        <w:rPr>
          <w:rFonts w:eastAsiaTheme="minorHAnsi" w:cs="Arial"/>
          <w:sz w:val="22"/>
          <w:szCs w:val="22"/>
        </w:rPr>
        <w:t>could</w:t>
      </w:r>
      <w:r w:rsidRPr="00861553">
        <w:rPr>
          <w:rFonts w:eastAsiaTheme="minorHAnsi" w:cs="Arial"/>
          <w:sz w:val="22"/>
          <w:szCs w:val="22"/>
        </w:rPr>
        <w:t xml:space="preserve"> impact on competition in the commercial radio market. We therefore commissioned Value Partners to undertake </w:t>
      </w:r>
      <w:r w:rsidR="009F74CE" w:rsidRPr="00861553">
        <w:rPr>
          <w:rFonts w:eastAsiaTheme="minorHAnsi" w:cs="Arial"/>
          <w:sz w:val="22"/>
          <w:szCs w:val="22"/>
        </w:rPr>
        <w:t xml:space="preserve">research to examine the potential competition impact of our proposed policy. </w:t>
      </w:r>
    </w:p>
    <w:p w14:paraId="147581B8" w14:textId="77777777" w:rsidR="0093522C" w:rsidRPr="00861553" w:rsidRDefault="0093522C">
      <w:pPr>
        <w:rPr>
          <w:rFonts w:eastAsiaTheme="minorHAnsi" w:cs="Arial"/>
          <w:sz w:val="22"/>
          <w:szCs w:val="22"/>
        </w:rPr>
      </w:pPr>
    </w:p>
    <w:p w14:paraId="7AFE367F" w14:textId="70A088AF" w:rsidR="0093522C" w:rsidRPr="00861553" w:rsidRDefault="0093522C">
      <w:pPr>
        <w:rPr>
          <w:rFonts w:eastAsiaTheme="minorHAnsi" w:cs="Arial"/>
          <w:sz w:val="22"/>
          <w:szCs w:val="22"/>
        </w:rPr>
      </w:pPr>
      <w:r w:rsidRPr="00861553">
        <w:rPr>
          <w:rFonts w:eastAsiaTheme="minorHAnsi" w:cs="Arial"/>
          <w:sz w:val="22"/>
          <w:szCs w:val="22"/>
        </w:rPr>
        <w:t>Value Partners concluded that to do nothing, and allow the licences to expire, would best serve the interests of the consumer and the commercial radio industry as a whole. Their reasoning was:</w:t>
      </w:r>
    </w:p>
    <w:p w14:paraId="5725D702" w14:textId="77777777" w:rsidR="0093522C" w:rsidRPr="00861553" w:rsidRDefault="0093522C">
      <w:pPr>
        <w:rPr>
          <w:rFonts w:eastAsiaTheme="minorHAnsi" w:cs="Arial"/>
          <w:sz w:val="22"/>
          <w:szCs w:val="22"/>
        </w:rPr>
      </w:pPr>
    </w:p>
    <w:p w14:paraId="27856EC8" w14:textId="5E0D8D5D" w:rsidR="0093522C" w:rsidRDefault="00BA31E2" w:rsidP="00861553">
      <w:pPr>
        <w:pStyle w:val="ListParagraph"/>
        <w:numPr>
          <w:ilvl w:val="0"/>
          <w:numId w:val="38"/>
        </w:numPr>
        <w:rPr>
          <w:rFonts w:eastAsiaTheme="minorHAnsi" w:cs="Arial"/>
          <w:sz w:val="22"/>
          <w:szCs w:val="22"/>
        </w:rPr>
      </w:pPr>
      <w:r w:rsidRPr="00861553">
        <w:rPr>
          <w:rFonts w:eastAsiaTheme="minorHAnsi" w:cs="Arial"/>
          <w:sz w:val="22"/>
          <w:szCs w:val="22"/>
        </w:rPr>
        <w:t xml:space="preserve">There are indicators that there is sufficient, viable demand from incumbents and new entrants </w:t>
      </w:r>
      <w:r w:rsidR="002B1167">
        <w:rPr>
          <w:rFonts w:eastAsiaTheme="minorHAnsi" w:cs="Arial"/>
          <w:sz w:val="22"/>
          <w:szCs w:val="22"/>
        </w:rPr>
        <w:t xml:space="preserve">for FM spectrum </w:t>
      </w:r>
      <w:r w:rsidRPr="00861553">
        <w:rPr>
          <w:rFonts w:eastAsiaTheme="minorHAnsi" w:cs="Arial"/>
          <w:sz w:val="22"/>
          <w:szCs w:val="22"/>
        </w:rPr>
        <w:t>to warrant a competitive process</w:t>
      </w:r>
    </w:p>
    <w:p w14:paraId="21634F61" w14:textId="77777777" w:rsidR="00633168" w:rsidRPr="00861553" w:rsidRDefault="00633168" w:rsidP="00861553">
      <w:pPr>
        <w:pStyle w:val="ListParagraph"/>
        <w:rPr>
          <w:rFonts w:eastAsiaTheme="minorHAnsi" w:cs="Arial"/>
          <w:sz w:val="22"/>
          <w:szCs w:val="22"/>
        </w:rPr>
      </w:pPr>
    </w:p>
    <w:p w14:paraId="537854CE" w14:textId="5F4A122F" w:rsidR="00BA31E2" w:rsidRDefault="00BA31E2" w:rsidP="00861553">
      <w:pPr>
        <w:pStyle w:val="ListParagraph"/>
        <w:numPr>
          <w:ilvl w:val="0"/>
          <w:numId w:val="38"/>
        </w:numPr>
        <w:rPr>
          <w:rFonts w:eastAsiaTheme="minorHAnsi" w:cs="Arial"/>
          <w:sz w:val="22"/>
          <w:szCs w:val="22"/>
        </w:rPr>
      </w:pPr>
      <w:r w:rsidRPr="00861553">
        <w:rPr>
          <w:rFonts w:eastAsiaTheme="minorHAnsi" w:cs="Arial"/>
          <w:sz w:val="22"/>
          <w:szCs w:val="22"/>
        </w:rPr>
        <w:t>Competition on the open market will force licensees to strengthen their offer to listeners, particularly of local content, which stations are required to provide as a condition of their licence</w:t>
      </w:r>
    </w:p>
    <w:p w14:paraId="79E8F182" w14:textId="77777777" w:rsidR="00633168" w:rsidRPr="00861553" w:rsidRDefault="00633168" w:rsidP="00D52397">
      <w:pPr>
        <w:rPr>
          <w:rFonts w:eastAsiaTheme="minorHAnsi" w:cs="Arial"/>
          <w:sz w:val="22"/>
          <w:szCs w:val="22"/>
        </w:rPr>
      </w:pPr>
    </w:p>
    <w:p w14:paraId="4A2DEF81" w14:textId="4F1E0FCD" w:rsidR="00BA31E2" w:rsidRPr="00861553" w:rsidRDefault="00C94A04" w:rsidP="00861553">
      <w:pPr>
        <w:pStyle w:val="ListParagraph"/>
        <w:numPr>
          <w:ilvl w:val="0"/>
          <w:numId w:val="38"/>
        </w:numPr>
        <w:rPr>
          <w:rFonts w:eastAsiaTheme="minorHAnsi" w:cs="Arial"/>
          <w:sz w:val="22"/>
          <w:szCs w:val="22"/>
        </w:rPr>
      </w:pPr>
      <w:r w:rsidRPr="00861553">
        <w:rPr>
          <w:rFonts w:eastAsiaTheme="minorHAnsi" w:cs="Arial"/>
          <w:sz w:val="22"/>
          <w:szCs w:val="22"/>
        </w:rPr>
        <w:t xml:space="preserve">The DAB platform is now sufficiently developed that commercial radio operators are unlikely to disinvest in digital radio as a result of having to re-compete for their analogue licences. </w:t>
      </w:r>
    </w:p>
    <w:p w14:paraId="36BDD794" w14:textId="77777777" w:rsidR="0093522C" w:rsidRPr="00861553" w:rsidRDefault="0093522C">
      <w:pPr>
        <w:rPr>
          <w:rFonts w:eastAsiaTheme="minorHAnsi" w:cs="Arial"/>
          <w:sz w:val="22"/>
          <w:szCs w:val="22"/>
        </w:rPr>
      </w:pPr>
    </w:p>
    <w:p w14:paraId="2C042A40" w14:textId="21197EE3" w:rsidR="0093522C" w:rsidRPr="00861553" w:rsidRDefault="007B6F19">
      <w:pPr>
        <w:rPr>
          <w:rFonts w:eastAsiaTheme="minorHAnsi" w:cs="Arial"/>
          <w:sz w:val="22"/>
          <w:szCs w:val="22"/>
        </w:rPr>
      </w:pPr>
      <w:r w:rsidRPr="00861553">
        <w:rPr>
          <w:rFonts w:eastAsiaTheme="minorHAnsi" w:cs="Arial"/>
          <w:sz w:val="22"/>
          <w:szCs w:val="22"/>
        </w:rPr>
        <w:t>DCMS acknowledges</w:t>
      </w:r>
      <w:r w:rsidR="0093522C" w:rsidRPr="00861553">
        <w:rPr>
          <w:rFonts w:eastAsiaTheme="minorHAnsi" w:cs="Arial"/>
          <w:sz w:val="22"/>
          <w:szCs w:val="22"/>
        </w:rPr>
        <w:t xml:space="preserve"> there are merits in the arguments presented by Value Partners</w:t>
      </w:r>
      <w:r w:rsidRPr="00861553">
        <w:rPr>
          <w:rFonts w:eastAsiaTheme="minorHAnsi" w:cs="Arial"/>
          <w:sz w:val="22"/>
          <w:szCs w:val="22"/>
        </w:rPr>
        <w:t xml:space="preserve">. However, we </w:t>
      </w:r>
      <w:r w:rsidR="002B1167">
        <w:rPr>
          <w:rFonts w:eastAsiaTheme="minorHAnsi" w:cs="Arial"/>
          <w:sz w:val="22"/>
          <w:szCs w:val="22"/>
        </w:rPr>
        <w:t xml:space="preserve">believe their </w:t>
      </w:r>
      <w:r w:rsidRPr="00861553">
        <w:rPr>
          <w:rFonts w:eastAsiaTheme="minorHAnsi" w:cs="Arial"/>
          <w:sz w:val="22"/>
          <w:szCs w:val="22"/>
        </w:rPr>
        <w:t>three main arguments</w:t>
      </w:r>
      <w:r w:rsidR="002B1167">
        <w:rPr>
          <w:rFonts w:eastAsiaTheme="minorHAnsi" w:cs="Arial"/>
          <w:sz w:val="22"/>
          <w:szCs w:val="22"/>
        </w:rPr>
        <w:t xml:space="preserve"> are only partially developed and underplay three important points</w:t>
      </w:r>
      <w:r w:rsidRPr="00861553">
        <w:rPr>
          <w:rFonts w:eastAsiaTheme="minorHAnsi" w:cs="Arial"/>
          <w:sz w:val="22"/>
          <w:szCs w:val="22"/>
        </w:rPr>
        <w:t>,</w:t>
      </w:r>
      <w:r w:rsidR="002B1167">
        <w:rPr>
          <w:rFonts w:eastAsiaTheme="minorHAnsi" w:cs="Arial"/>
          <w:sz w:val="22"/>
          <w:szCs w:val="22"/>
        </w:rPr>
        <w:t>:</w:t>
      </w:r>
    </w:p>
    <w:p w14:paraId="78ACDEB9" w14:textId="77777777" w:rsidR="007B6F19" w:rsidRPr="00861553" w:rsidRDefault="007B6F19">
      <w:pPr>
        <w:rPr>
          <w:rFonts w:eastAsiaTheme="minorHAnsi" w:cs="Arial"/>
          <w:sz w:val="22"/>
          <w:szCs w:val="22"/>
        </w:rPr>
      </w:pPr>
    </w:p>
    <w:p w14:paraId="0579D6D8" w14:textId="233D1792" w:rsidR="007B6F19" w:rsidRPr="00861553" w:rsidRDefault="00676A41" w:rsidP="00861553">
      <w:pPr>
        <w:pStyle w:val="ListParagraph"/>
        <w:numPr>
          <w:ilvl w:val="0"/>
          <w:numId w:val="39"/>
        </w:numPr>
        <w:rPr>
          <w:rFonts w:eastAsiaTheme="minorHAnsi" w:cs="Arial"/>
          <w:sz w:val="22"/>
          <w:szCs w:val="22"/>
        </w:rPr>
      </w:pPr>
      <w:r w:rsidRPr="00861553">
        <w:rPr>
          <w:rFonts w:eastAsiaTheme="minorHAnsi" w:cs="Arial"/>
          <w:sz w:val="22"/>
          <w:szCs w:val="22"/>
        </w:rPr>
        <w:t xml:space="preserve">Whilst </w:t>
      </w:r>
      <w:r w:rsidR="00AF36C4" w:rsidRPr="00861553">
        <w:rPr>
          <w:rFonts w:eastAsiaTheme="minorHAnsi" w:cs="Arial"/>
          <w:sz w:val="22"/>
          <w:szCs w:val="22"/>
        </w:rPr>
        <w:t xml:space="preserve">we </w:t>
      </w:r>
      <w:r w:rsidR="00633168" w:rsidRPr="00D52397">
        <w:rPr>
          <w:rFonts w:eastAsiaTheme="minorHAnsi" w:cs="Arial"/>
          <w:sz w:val="22"/>
          <w:szCs w:val="22"/>
        </w:rPr>
        <w:t>agree</w:t>
      </w:r>
      <w:r w:rsidR="00E425EB" w:rsidRPr="00861553">
        <w:rPr>
          <w:rFonts w:eastAsiaTheme="minorHAnsi" w:cs="Arial"/>
          <w:sz w:val="22"/>
          <w:szCs w:val="22"/>
        </w:rPr>
        <w:t xml:space="preserve"> that </w:t>
      </w:r>
      <w:r w:rsidRPr="00861553">
        <w:rPr>
          <w:rFonts w:eastAsiaTheme="minorHAnsi" w:cs="Arial"/>
          <w:sz w:val="22"/>
          <w:szCs w:val="22"/>
        </w:rPr>
        <w:t xml:space="preserve">there are indicators that many licences would be contested, </w:t>
      </w:r>
      <w:r w:rsidR="00633FDE">
        <w:rPr>
          <w:rFonts w:eastAsiaTheme="minorHAnsi" w:cs="Arial"/>
          <w:sz w:val="22"/>
          <w:szCs w:val="22"/>
        </w:rPr>
        <w:t>evidence shows</w:t>
      </w:r>
      <w:r w:rsidRPr="00861553">
        <w:rPr>
          <w:rFonts w:eastAsiaTheme="minorHAnsi" w:cs="Arial"/>
          <w:sz w:val="22"/>
          <w:szCs w:val="22"/>
        </w:rPr>
        <w:t xml:space="preserve"> it is unlikely </w:t>
      </w:r>
      <w:r w:rsidR="00633168">
        <w:rPr>
          <w:rFonts w:eastAsiaTheme="minorHAnsi" w:cs="Arial"/>
          <w:sz w:val="22"/>
          <w:szCs w:val="22"/>
        </w:rPr>
        <w:t xml:space="preserve">in most cases </w:t>
      </w:r>
      <w:r w:rsidRPr="00861553">
        <w:rPr>
          <w:rFonts w:eastAsiaTheme="minorHAnsi" w:cs="Arial"/>
          <w:sz w:val="22"/>
          <w:szCs w:val="22"/>
        </w:rPr>
        <w:t xml:space="preserve">that anyone other than the incumbent would be successful. Evidence </w:t>
      </w:r>
      <w:r w:rsidR="008A217B" w:rsidRPr="00861553">
        <w:rPr>
          <w:rFonts w:eastAsiaTheme="minorHAnsi" w:cs="Arial"/>
          <w:sz w:val="22"/>
          <w:szCs w:val="22"/>
        </w:rPr>
        <w:t xml:space="preserve">from past licence competitions shows that only around 10% of re-advertised licences have been awarded to a new operator/entrant. </w:t>
      </w:r>
      <w:r w:rsidRPr="00861553">
        <w:rPr>
          <w:rFonts w:eastAsiaTheme="minorHAnsi" w:cs="Arial"/>
          <w:sz w:val="22"/>
          <w:szCs w:val="22"/>
        </w:rPr>
        <w:t xml:space="preserve">This is partly because, having been on air for anything up to 19 years, incumbents </w:t>
      </w:r>
      <w:r w:rsidR="00E425EB" w:rsidRPr="00861553">
        <w:rPr>
          <w:rFonts w:eastAsiaTheme="minorHAnsi" w:cs="Arial"/>
          <w:sz w:val="22"/>
          <w:szCs w:val="22"/>
        </w:rPr>
        <w:t xml:space="preserve">have likely built a good </w:t>
      </w:r>
      <w:r w:rsidRPr="00861553">
        <w:rPr>
          <w:rFonts w:eastAsiaTheme="minorHAnsi" w:cs="Arial"/>
          <w:sz w:val="22"/>
          <w:szCs w:val="22"/>
        </w:rPr>
        <w:t>track record of delivering content that listeners enjoy, and</w:t>
      </w:r>
      <w:r w:rsidR="00E425EB" w:rsidRPr="00861553">
        <w:rPr>
          <w:rFonts w:eastAsiaTheme="minorHAnsi" w:cs="Arial"/>
          <w:sz w:val="22"/>
          <w:szCs w:val="22"/>
        </w:rPr>
        <w:t xml:space="preserve"> as such have compelling </w:t>
      </w:r>
      <w:r w:rsidR="008A217B" w:rsidRPr="00861553">
        <w:rPr>
          <w:rFonts w:eastAsiaTheme="minorHAnsi" w:cs="Arial"/>
          <w:sz w:val="22"/>
          <w:szCs w:val="22"/>
        </w:rPr>
        <w:t xml:space="preserve">existing </w:t>
      </w:r>
      <w:r w:rsidR="00E425EB" w:rsidRPr="00861553">
        <w:rPr>
          <w:rFonts w:eastAsiaTheme="minorHAnsi" w:cs="Arial"/>
          <w:sz w:val="22"/>
          <w:szCs w:val="22"/>
        </w:rPr>
        <w:t>evidence to draw upon in bidding for a licence.</w:t>
      </w:r>
      <w:r w:rsidRPr="00861553">
        <w:rPr>
          <w:rFonts w:eastAsiaTheme="minorHAnsi" w:cs="Arial"/>
          <w:sz w:val="22"/>
          <w:szCs w:val="22"/>
        </w:rPr>
        <w:t xml:space="preserve"> </w:t>
      </w:r>
      <w:r w:rsidR="00633FDE">
        <w:rPr>
          <w:rFonts w:eastAsiaTheme="minorHAnsi" w:cs="Arial"/>
          <w:sz w:val="22"/>
          <w:szCs w:val="22"/>
        </w:rPr>
        <w:t>W</w:t>
      </w:r>
      <w:r w:rsidR="004B1045">
        <w:rPr>
          <w:rFonts w:eastAsiaTheme="minorHAnsi" w:cs="Arial"/>
          <w:sz w:val="22"/>
          <w:szCs w:val="22"/>
        </w:rPr>
        <w:t>ithout that same track record and evidence of listener satisfaction, a new entrant that may find it harder to demonstrate it could deliver a similarly successful service.</w:t>
      </w:r>
      <w:r w:rsidR="0059771F">
        <w:rPr>
          <w:rFonts w:eastAsiaTheme="minorHAnsi" w:cs="Arial"/>
          <w:sz w:val="22"/>
          <w:szCs w:val="22"/>
        </w:rPr>
        <w:t xml:space="preserve"> We think it is therefore unlikely that a new entrant could win a competition in most cases.</w:t>
      </w:r>
      <w:r w:rsidR="00AF36C4" w:rsidRPr="00861553">
        <w:rPr>
          <w:rFonts w:eastAsiaTheme="minorHAnsi" w:cs="Arial"/>
          <w:sz w:val="22"/>
          <w:szCs w:val="22"/>
        </w:rPr>
        <w:t xml:space="preserve"> </w:t>
      </w:r>
      <w:r w:rsidR="00633168">
        <w:rPr>
          <w:rFonts w:eastAsiaTheme="minorHAnsi" w:cs="Arial"/>
          <w:sz w:val="22"/>
          <w:szCs w:val="22"/>
        </w:rPr>
        <w:t xml:space="preserve">Whilst </w:t>
      </w:r>
      <w:r w:rsidR="004B1045">
        <w:rPr>
          <w:rFonts w:eastAsiaTheme="minorHAnsi" w:cs="Arial"/>
          <w:sz w:val="22"/>
          <w:szCs w:val="22"/>
        </w:rPr>
        <w:t xml:space="preserve">it is possible </w:t>
      </w:r>
      <w:r w:rsidR="00633168">
        <w:rPr>
          <w:rFonts w:eastAsiaTheme="minorHAnsi" w:cs="Arial"/>
          <w:sz w:val="22"/>
          <w:szCs w:val="22"/>
        </w:rPr>
        <w:t xml:space="preserve">a small number of new stations may come into existence as a result of a wholesale re-advertisement of licences, </w:t>
      </w:r>
      <w:r w:rsidR="008A217B" w:rsidRPr="00861553">
        <w:rPr>
          <w:rFonts w:eastAsiaTheme="minorHAnsi" w:cs="Arial"/>
          <w:sz w:val="22"/>
          <w:szCs w:val="22"/>
        </w:rPr>
        <w:t xml:space="preserve">Government does not consider that the hypothetical benefit to listeners and industry of a small number of new services outweighs </w:t>
      </w:r>
      <w:r w:rsidR="00FE6C61" w:rsidRPr="00861553">
        <w:rPr>
          <w:rFonts w:eastAsiaTheme="minorHAnsi" w:cs="Arial"/>
          <w:sz w:val="22"/>
          <w:szCs w:val="22"/>
        </w:rPr>
        <w:t xml:space="preserve">the cost to the wider industry </w:t>
      </w:r>
      <w:r w:rsidR="00382ED0" w:rsidRPr="00861553">
        <w:rPr>
          <w:rFonts w:eastAsiaTheme="minorHAnsi" w:cs="Arial"/>
          <w:sz w:val="22"/>
          <w:szCs w:val="22"/>
        </w:rPr>
        <w:t>of</w:t>
      </w:r>
      <w:r w:rsidR="00FE6C61" w:rsidRPr="00861553">
        <w:rPr>
          <w:rFonts w:eastAsiaTheme="minorHAnsi" w:cs="Arial"/>
          <w:sz w:val="22"/>
          <w:szCs w:val="22"/>
        </w:rPr>
        <w:t xml:space="preserve"> a wholesale re-advertisement process. </w:t>
      </w:r>
      <w:r w:rsidR="00633FDE">
        <w:rPr>
          <w:rFonts w:eastAsiaTheme="minorHAnsi" w:cs="Arial"/>
          <w:sz w:val="22"/>
          <w:szCs w:val="22"/>
        </w:rPr>
        <w:t>It is worth noting that over 80% of listeners are satisfied with their local radio station</w:t>
      </w:r>
      <w:r w:rsidR="00633FDE">
        <w:rPr>
          <w:rStyle w:val="FootnoteReference"/>
          <w:rFonts w:eastAsiaTheme="minorHAnsi" w:cs="Arial"/>
          <w:szCs w:val="22"/>
        </w:rPr>
        <w:footnoteReference w:id="3"/>
      </w:r>
      <w:r w:rsidR="00633FDE">
        <w:rPr>
          <w:rFonts w:eastAsiaTheme="minorHAnsi" w:cs="Arial"/>
          <w:sz w:val="22"/>
          <w:szCs w:val="22"/>
        </w:rPr>
        <w:t>. This also suggests there is little consumer benefit to be gained from a widespread re-advertising process.</w:t>
      </w:r>
    </w:p>
    <w:p w14:paraId="4DD5A805" w14:textId="77777777" w:rsidR="00AF36C4" w:rsidRPr="00861553" w:rsidRDefault="00AF36C4" w:rsidP="00861553">
      <w:pPr>
        <w:pStyle w:val="ListParagraph"/>
        <w:rPr>
          <w:rFonts w:eastAsiaTheme="minorHAnsi" w:cs="Arial"/>
          <w:sz w:val="22"/>
          <w:szCs w:val="22"/>
        </w:rPr>
      </w:pPr>
    </w:p>
    <w:p w14:paraId="1CC8B0E2" w14:textId="0BC05FB8" w:rsidR="00676A41" w:rsidRPr="00861553" w:rsidRDefault="00676A41" w:rsidP="00861553">
      <w:pPr>
        <w:pStyle w:val="ListParagraph"/>
        <w:numPr>
          <w:ilvl w:val="0"/>
          <w:numId w:val="39"/>
        </w:numPr>
        <w:rPr>
          <w:rFonts w:eastAsiaTheme="minorHAnsi" w:cs="Arial"/>
          <w:b/>
          <w:bCs/>
          <w:sz w:val="22"/>
          <w:szCs w:val="22"/>
        </w:rPr>
      </w:pPr>
      <w:r w:rsidRPr="00861553">
        <w:rPr>
          <w:rFonts w:eastAsiaTheme="minorHAnsi" w:cs="Arial"/>
          <w:sz w:val="22"/>
          <w:szCs w:val="22"/>
        </w:rPr>
        <w:t xml:space="preserve">On the point about open competition provoking licensees to strengthen their content offer to listeners, we </w:t>
      </w:r>
      <w:r w:rsidR="00382ED0" w:rsidRPr="00861553">
        <w:rPr>
          <w:rFonts w:eastAsiaTheme="minorHAnsi" w:cs="Arial"/>
          <w:sz w:val="22"/>
          <w:szCs w:val="22"/>
        </w:rPr>
        <w:t>note</w:t>
      </w:r>
      <w:r w:rsidRPr="00861553">
        <w:rPr>
          <w:rFonts w:eastAsiaTheme="minorHAnsi" w:cs="Arial"/>
          <w:sz w:val="22"/>
          <w:szCs w:val="22"/>
        </w:rPr>
        <w:t xml:space="preserve"> that responses from industry to our consultation demonstrate that there is a real</w:t>
      </w:r>
      <w:r w:rsidR="00382ED0" w:rsidRPr="00861553">
        <w:rPr>
          <w:rFonts w:eastAsiaTheme="minorHAnsi" w:cs="Arial"/>
          <w:sz w:val="22"/>
          <w:szCs w:val="22"/>
        </w:rPr>
        <w:t>istic</w:t>
      </w:r>
      <w:r w:rsidRPr="00861553">
        <w:rPr>
          <w:rFonts w:eastAsiaTheme="minorHAnsi" w:cs="Arial"/>
          <w:sz w:val="22"/>
          <w:szCs w:val="22"/>
        </w:rPr>
        <w:t xml:space="preserve"> risk that the cost to licensees of reapplying for their licences would undermine investment in content. </w:t>
      </w:r>
      <w:r w:rsidR="00AF36C4" w:rsidRPr="00861553">
        <w:rPr>
          <w:rFonts w:eastAsiaTheme="minorHAnsi" w:cs="Arial"/>
          <w:sz w:val="22"/>
          <w:szCs w:val="22"/>
        </w:rPr>
        <w:t xml:space="preserve">For example, one respondent commented: </w:t>
      </w:r>
      <w:r w:rsidR="00AF36C4" w:rsidRPr="00861553">
        <w:rPr>
          <w:rFonts w:eastAsiaTheme="minorHAnsi" w:cs="Arial"/>
          <w:bCs/>
          <w:sz w:val="22"/>
          <w:szCs w:val="22"/>
        </w:rPr>
        <w:t>"The uncertainty of operators having to re-apply for all their licences would dramatically reduce investment in content and in the development of new services, which would in turn severely reduce competition."</w:t>
      </w:r>
      <w:r w:rsidR="00633FDE" w:rsidRPr="00633FDE">
        <w:rPr>
          <w:rFonts w:eastAsiaTheme="minorHAnsi" w:cs="Arial"/>
          <w:bCs/>
          <w:sz w:val="22"/>
          <w:szCs w:val="22"/>
        </w:rPr>
        <w:t xml:space="preserve"> We therefore believe that re-advertising licences</w:t>
      </w:r>
      <w:r w:rsidRPr="00861553">
        <w:rPr>
          <w:rFonts w:eastAsiaTheme="minorHAnsi" w:cs="Arial"/>
          <w:sz w:val="22"/>
          <w:szCs w:val="22"/>
        </w:rPr>
        <w:t xml:space="preserve"> </w:t>
      </w:r>
      <w:r w:rsidR="00633168">
        <w:rPr>
          <w:rFonts w:eastAsiaTheme="minorHAnsi" w:cs="Arial"/>
          <w:sz w:val="22"/>
          <w:szCs w:val="22"/>
        </w:rPr>
        <w:t xml:space="preserve">could </w:t>
      </w:r>
      <w:r w:rsidR="00AF36C4" w:rsidRPr="00861553">
        <w:rPr>
          <w:rFonts w:eastAsiaTheme="minorHAnsi" w:cs="Arial"/>
          <w:sz w:val="22"/>
          <w:szCs w:val="22"/>
        </w:rPr>
        <w:t>have a detrimental effect on content, rather than improving the offer to listeners as has been suggested by Value Partners.</w:t>
      </w:r>
    </w:p>
    <w:p w14:paraId="189BA840" w14:textId="77777777" w:rsidR="00AF36C4" w:rsidRPr="00861553" w:rsidRDefault="00AF36C4" w:rsidP="00AF36C4">
      <w:pPr>
        <w:rPr>
          <w:rFonts w:eastAsiaTheme="minorHAnsi" w:cs="Arial"/>
          <w:sz w:val="22"/>
          <w:szCs w:val="22"/>
        </w:rPr>
      </w:pPr>
    </w:p>
    <w:p w14:paraId="76DD0EC1" w14:textId="4CB1C862" w:rsidR="00E425EB" w:rsidRPr="00861553" w:rsidRDefault="00D15690" w:rsidP="00861553">
      <w:pPr>
        <w:pStyle w:val="ListParagraph"/>
        <w:numPr>
          <w:ilvl w:val="0"/>
          <w:numId w:val="39"/>
        </w:numPr>
        <w:rPr>
          <w:rFonts w:eastAsiaTheme="minorHAnsi" w:cs="Arial"/>
          <w:sz w:val="22"/>
          <w:szCs w:val="22"/>
        </w:rPr>
      </w:pPr>
      <w:r w:rsidRPr="00861553">
        <w:rPr>
          <w:rFonts w:eastAsiaTheme="minorHAnsi" w:cs="Arial"/>
          <w:sz w:val="22"/>
          <w:szCs w:val="22"/>
        </w:rPr>
        <w:t>W</w:t>
      </w:r>
      <w:r w:rsidR="00676A41" w:rsidRPr="00861553">
        <w:rPr>
          <w:rFonts w:eastAsiaTheme="minorHAnsi" w:cs="Arial"/>
          <w:sz w:val="22"/>
          <w:szCs w:val="22"/>
        </w:rPr>
        <w:t xml:space="preserve">hilst </w:t>
      </w:r>
      <w:r w:rsidR="00382ED0" w:rsidRPr="00861553">
        <w:rPr>
          <w:rFonts w:eastAsiaTheme="minorHAnsi" w:cs="Arial"/>
          <w:sz w:val="22"/>
          <w:szCs w:val="22"/>
        </w:rPr>
        <w:t>we agree that the</w:t>
      </w:r>
      <w:r w:rsidR="00676A41" w:rsidRPr="00861553">
        <w:rPr>
          <w:rFonts w:eastAsiaTheme="minorHAnsi" w:cs="Arial"/>
          <w:sz w:val="22"/>
          <w:szCs w:val="22"/>
        </w:rPr>
        <w:t xml:space="preserve"> DAB platform is </w:t>
      </w:r>
      <w:r w:rsidR="00CC5620" w:rsidRPr="00861553">
        <w:rPr>
          <w:rFonts w:eastAsiaTheme="minorHAnsi" w:cs="Arial"/>
          <w:sz w:val="22"/>
          <w:szCs w:val="22"/>
        </w:rPr>
        <w:t xml:space="preserve">now </w:t>
      </w:r>
      <w:r w:rsidR="00676A41" w:rsidRPr="00861553">
        <w:rPr>
          <w:rFonts w:eastAsiaTheme="minorHAnsi" w:cs="Arial"/>
          <w:sz w:val="22"/>
          <w:szCs w:val="22"/>
        </w:rPr>
        <w:t xml:space="preserve">more embedded within the radio ecology than </w:t>
      </w:r>
      <w:r w:rsidR="007D2662" w:rsidRPr="00861553">
        <w:rPr>
          <w:rFonts w:eastAsiaTheme="minorHAnsi" w:cs="Arial"/>
          <w:sz w:val="22"/>
          <w:szCs w:val="22"/>
        </w:rPr>
        <w:t xml:space="preserve">it was </w:t>
      </w:r>
      <w:r w:rsidR="00382ED0" w:rsidRPr="00861553">
        <w:rPr>
          <w:rFonts w:eastAsiaTheme="minorHAnsi" w:cs="Arial"/>
          <w:sz w:val="22"/>
          <w:szCs w:val="22"/>
        </w:rPr>
        <w:t>at the time</w:t>
      </w:r>
      <w:r w:rsidR="007D2662" w:rsidRPr="00861553">
        <w:rPr>
          <w:rFonts w:eastAsiaTheme="minorHAnsi" w:cs="Arial"/>
          <w:sz w:val="22"/>
          <w:szCs w:val="22"/>
        </w:rPr>
        <w:t xml:space="preserve"> </w:t>
      </w:r>
      <w:r w:rsidR="00676A41" w:rsidRPr="00861553">
        <w:rPr>
          <w:rFonts w:eastAsiaTheme="minorHAnsi" w:cs="Arial"/>
          <w:sz w:val="22"/>
          <w:szCs w:val="22"/>
        </w:rPr>
        <w:t>the Digital Economy Act</w:t>
      </w:r>
      <w:r w:rsidR="007D2662" w:rsidRPr="00861553">
        <w:rPr>
          <w:rFonts w:eastAsiaTheme="minorHAnsi" w:cs="Arial"/>
          <w:sz w:val="22"/>
          <w:szCs w:val="22"/>
        </w:rPr>
        <w:t xml:space="preserve"> was enacted</w:t>
      </w:r>
      <w:r w:rsidR="00676A41" w:rsidRPr="00861553">
        <w:rPr>
          <w:rFonts w:eastAsiaTheme="minorHAnsi" w:cs="Arial"/>
          <w:sz w:val="22"/>
          <w:szCs w:val="22"/>
        </w:rPr>
        <w:t xml:space="preserve"> (</w:t>
      </w:r>
      <w:r w:rsidR="00CC5620" w:rsidRPr="00861553">
        <w:rPr>
          <w:rFonts w:eastAsiaTheme="minorHAnsi" w:cs="Arial"/>
          <w:sz w:val="22"/>
          <w:szCs w:val="22"/>
        </w:rPr>
        <w:t>for example with greater availability of digital stations and</w:t>
      </w:r>
      <w:r w:rsidR="00676A41" w:rsidRPr="00861553">
        <w:rPr>
          <w:rFonts w:eastAsiaTheme="minorHAnsi" w:cs="Arial"/>
          <w:sz w:val="22"/>
          <w:szCs w:val="22"/>
        </w:rPr>
        <w:t xml:space="preserve"> continued growth in digital listening), evidence from the consultation demonstrates that </w:t>
      </w:r>
      <w:r w:rsidR="007D2662" w:rsidRPr="00861553">
        <w:rPr>
          <w:rFonts w:eastAsiaTheme="minorHAnsi" w:cs="Arial"/>
          <w:sz w:val="22"/>
          <w:szCs w:val="22"/>
        </w:rPr>
        <w:t>renewal o</w:t>
      </w:r>
      <w:r w:rsidR="00633168" w:rsidRPr="00D52397">
        <w:rPr>
          <w:rFonts w:eastAsiaTheme="minorHAnsi" w:cs="Arial"/>
          <w:sz w:val="22"/>
          <w:szCs w:val="22"/>
        </w:rPr>
        <w:t>f analogue</w:t>
      </w:r>
      <w:r w:rsidR="007D2662" w:rsidRPr="00861553">
        <w:rPr>
          <w:rFonts w:eastAsiaTheme="minorHAnsi" w:cs="Arial"/>
          <w:sz w:val="22"/>
          <w:szCs w:val="22"/>
        </w:rPr>
        <w:t xml:space="preserve"> licences remains a strong incentive for operators to continue to invest in digital radio</w:t>
      </w:r>
      <w:r w:rsidR="00CC5620" w:rsidRPr="00861553">
        <w:rPr>
          <w:rFonts w:eastAsiaTheme="minorHAnsi" w:cs="Arial"/>
          <w:sz w:val="22"/>
          <w:szCs w:val="22"/>
        </w:rPr>
        <w:t xml:space="preserve">. </w:t>
      </w:r>
      <w:r w:rsidR="00AF36C4" w:rsidRPr="00861553">
        <w:rPr>
          <w:rFonts w:eastAsiaTheme="minorHAnsi" w:cs="Arial"/>
          <w:sz w:val="22"/>
          <w:szCs w:val="22"/>
        </w:rPr>
        <w:t>For example, one respondent commented: “</w:t>
      </w:r>
      <w:r w:rsidR="00AF36C4" w:rsidRPr="00861553">
        <w:rPr>
          <w:rFonts w:eastAsiaTheme="minorHAnsi" w:cs="Arial"/>
          <w:bCs/>
          <w:sz w:val="22"/>
          <w:szCs w:val="22"/>
        </w:rPr>
        <w:t xml:space="preserve">Such an AM &amp; FM </w:t>
      </w:r>
      <w:r w:rsidR="00AF36C4" w:rsidRPr="00861553">
        <w:rPr>
          <w:rFonts w:eastAsiaTheme="minorHAnsi" w:cs="Arial"/>
          <w:bCs/>
          <w:sz w:val="22"/>
          <w:szCs w:val="22"/>
        </w:rPr>
        <w:lastRenderedPageBreak/>
        <w:t>expiry comes at a critical investment period for digital migration. It is the point in time when most emphasis on the development of DAB as the de facto standard for Broadcast radio will be taking place. Introducing licence instability into the sector at this sensitive time would be highly destabilising to the revenues that are supporting DAB development just at the point where the radio industry is overall navigating the sector wide structural changes brought about by web and mobile.”</w:t>
      </w:r>
      <w:r w:rsidR="00AF36C4" w:rsidRPr="00861553">
        <w:rPr>
          <w:rFonts w:eastAsiaTheme="minorHAnsi" w:cs="Arial"/>
          <w:sz w:val="22"/>
          <w:szCs w:val="22"/>
        </w:rPr>
        <w:t xml:space="preserve"> </w:t>
      </w:r>
      <w:r w:rsidR="00CC5620" w:rsidRPr="00861553">
        <w:rPr>
          <w:rFonts w:eastAsiaTheme="minorHAnsi" w:cs="Arial"/>
          <w:sz w:val="22"/>
          <w:szCs w:val="22"/>
        </w:rPr>
        <w:t>Government therefo</w:t>
      </w:r>
      <w:r w:rsidR="00E425EB" w:rsidRPr="00861553">
        <w:rPr>
          <w:rFonts w:eastAsiaTheme="minorHAnsi" w:cs="Arial"/>
          <w:sz w:val="22"/>
          <w:szCs w:val="22"/>
        </w:rPr>
        <w:t>re continues to believe that a</w:t>
      </w:r>
      <w:r w:rsidR="00CC5620" w:rsidRPr="00861553">
        <w:rPr>
          <w:rFonts w:eastAsiaTheme="minorHAnsi" w:cs="Arial"/>
          <w:sz w:val="22"/>
          <w:szCs w:val="22"/>
        </w:rPr>
        <w:t xml:space="preserve"> further renewal for those analogue licences is necessary</w:t>
      </w:r>
      <w:r w:rsidR="00E425EB" w:rsidRPr="00861553">
        <w:rPr>
          <w:rFonts w:eastAsiaTheme="minorHAnsi" w:cs="Arial"/>
          <w:sz w:val="22"/>
          <w:szCs w:val="22"/>
        </w:rPr>
        <w:t xml:space="preserve"> in order</w:t>
      </w:r>
      <w:r w:rsidR="00CC5620" w:rsidRPr="00861553">
        <w:rPr>
          <w:rFonts w:eastAsiaTheme="minorHAnsi" w:cs="Arial"/>
          <w:sz w:val="22"/>
          <w:szCs w:val="22"/>
        </w:rPr>
        <w:t xml:space="preserve"> to continue to drive momentum towards digital.</w:t>
      </w:r>
    </w:p>
    <w:p w14:paraId="65263353" w14:textId="77777777" w:rsidR="00382ED0" w:rsidRPr="00861553" w:rsidRDefault="00382ED0" w:rsidP="00861553">
      <w:pPr>
        <w:pStyle w:val="ListParagraph"/>
        <w:rPr>
          <w:rFonts w:eastAsiaTheme="minorHAnsi" w:cs="Arial"/>
          <w:sz w:val="22"/>
          <w:szCs w:val="22"/>
        </w:rPr>
      </w:pPr>
    </w:p>
    <w:p w14:paraId="158B8433" w14:textId="5202E56F" w:rsidR="00633FDE" w:rsidRDefault="00382ED0">
      <w:pPr>
        <w:rPr>
          <w:rFonts w:cs="Arial"/>
          <w:sz w:val="22"/>
          <w:szCs w:val="22"/>
        </w:rPr>
      </w:pPr>
      <w:r w:rsidRPr="00D742D8">
        <w:rPr>
          <w:rFonts w:eastAsiaTheme="minorHAnsi" w:cs="Arial"/>
          <w:sz w:val="22"/>
          <w:szCs w:val="22"/>
        </w:rPr>
        <w:t>Finally,</w:t>
      </w:r>
      <w:r w:rsidR="008B4C8A" w:rsidRPr="00D742D8">
        <w:rPr>
          <w:rFonts w:eastAsiaTheme="minorHAnsi" w:cs="Arial"/>
          <w:sz w:val="22"/>
          <w:szCs w:val="22"/>
        </w:rPr>
        <w:t xml:space="preserve"> </w:t>
      </w:r>
      <w:r w:rsidR="009F74CE" w:rsidRPr="00D742D8">
        <w:rPr>
          <w:rFonts w:eastAsiaTheme="minorHAnsi" w:cs="Arial"/>
          <w:sz w:val="22"/>
          <w:szCs w:val="22"/>
        </w:rPr>
        <w:t xml:space="preserve">Value Partners </w:t>
      </w:r>
      <w:r w:rsidR="008B4C8A" w:rsidRPr="00D742D8">
        <w:rPr>
          <w:rFonts w:eastAsiaTheme="minorHAnsi" w:cs="Arial"/>
          <w:sz w:val="22"/>
          <w:szCs w:val="22"/>
        </w:rPr>
        <w:t xml:space="preserve">did not have time to develop a </w:t>
      </w:r>
      <w:r w:rsidR="009F74CE" w:rsidRPr="00D742D8">
        <w:rPr>
          <w:rFonts w:eastAsiaTheme="minorHAnsi" w:cs="Arial"/>
          <w:sz w:val="22"/>
          <w:szCs w:val="22"/>
        </w:rPr>
        <w:t xml:space="preserve">quantitative model </w:t>
      </w:r>
      <w:r w:rsidR="0093522C" w:rsidRPr="00D742D8">
        <w:rPr>
          <w:rFonts w:eastAsiaTheme="minorHAnsi" w:cs="Arial"/>
          <w:sz w:val="22"/>
          <w:szCs w:val="22"/>
        </w:rPr>
        <w:t xml:space="preserve">to underpin the qualitative evidence and </w:t>
      </w:r>
      <w:r w:rsidR="00C94A04" w:rsidRPr="00D742D8">
        <w:rPr>
          <w:rFonts w:eastAsiaTheme="minorHAnsi" w:cs="Arial"/>
          <w:sz w:val="22"/>
          <w:szCs w:val="22"/>
        </w:rPr>
        <w:t>their</w:t>
      </w:r>
      <w:r w:rsidR="0093522C" w:rsidRPr="00D742D8">
        <w:rPr>
          <w:rFonts w:eastAsiaTheme="minorHAnsi" w:cs="Arial"/>
          <w:sz w:val="22"/>
          <w:szCs w:val="22"/>
        </w:rPr>
        <w:t xml:space="preserve"> assumptions and conclusions. </w:t>
      </w:r>
      <w:r w:rsidR="002B1167" w:rsidRPr="00D742D8">
        <w:rPr>
          <w:rFonts w:eastAsiaTheme="minorHAnsi" w:cs="Arial"/>
          <w:sz w:val="22"/>
          <w:szCs w:val="22"/>
        </w:rPr>
        <w:t xml:space="preserve">This means there </w:t>
      </w:r>
      <w:r w:rsidR="0093522C" w:rsidRPr="00D742D8">
        <w:rPr>
          <w:rFonts w:eastAsiaTheme="minorHAnsi" w:cs="Arial"/>
          <w:sz w:val="22"/>
          <w:szCs w:val="22"/>
        </w:rPr>
        <w:t xml:space="preserve">is at present no data on the scale of </w:t>
      </w:r>
      <w:r w:rsidR="002B1167" w:rsidRPr="00D742D8">
        <w:rPr>
          <w:rFonts w:eastAsiaTheme="minorHAnsi" w:cs="Arial"/>
          <w:sz w:val="22"/>
          <w:szCs w:val="22"/>
        </w:rPr>
        <w:t xml:space="preserve">the likely </w:t>
      </w:r>
      <w:r w:rsidR="0093522C" w:rsidRPr="00D742D8">
        <w:rPr>
          <w:rFonts w:eastAsiaTheme="minorHAnsi" w:cs="Arial"/>
          <w:sz w:val="22"/>
          <w:szCs w:val="22"/>
        </w:rPr>
        <w:t>d</w:t>
      </w:r>
      <w:r w:rsidR="0093522C" w:rsidRPr="00861553">
        <w:rPr>
          <w:rFonts w:eastAsiaTheme="minorHAnsi" w:cs="Arial"/>
          <w:sz w:val="22"/>
          <w:szCs w:val="22"/>
        </w:rPr>
        <w:t>emand for each licence that is due to expire</w:t>
      </w:r>
      <w:r w:rsidR="008B4C8A">
        <w:rPr>
          <w:rFonts w:eastAsiaTheme="minorHAnsi" w:cs="Arial"/>
          <w:sz w:val="22"/>
          <w:szCs w:val="22"/>
        </w:rPr>
        <w:t>. Although it would be possible to collect more data here, the challenge is the separation of possible expressions of interest from the likelihood of inter</w:t>
      </w:r>
      <w:r w:rsidR="00A47E69">
        <w:rPr>
          <w:rFonts w:eastAsiaTheme="minorHAnsi" w:cs="Arial"/>
          <w:sz w:val="22"/>
          <w:szCs w:val="22"/>
        </w:rPr>
        <w:t>e</w:t>
      </w:r>
      <w:r w:rsidR="008B4C8A">
        <w:rPr>
          <w:rFonts w:eastAsiaTheme="minorHAnsi" w:cs="Arial"/>
          <w:sz w:val="22"/>
          <w:szCs w:val="22"/>
        </w:rPr>
        <w:t xml:space="preserve">st arising in 3-6 years time. In addition </w:t>
      </w:r>
      <w:r w:rsidR="002B1167">
        <w:rPr>
          <w:rFonts w:eastAsiaTheme="minorHAnsi" w:cs="Arial"/>
          <w:sz w:val="22"/>
          <w:szCs w:val="22"/>
        </w:rPr>
        <w:t xml:space="preserve">the report gives insufficient weight to </w:t>
      </w:r>
      <w:r w:rsidR="00AF06BB" w:rsidRPr="00861553">
        <w:rPr>
          <w:rFonts w:cs="Arial"/>
          <w:sz w:val="22"/>
          <w:szCs w:val="22"/>
        </w:rPr>
        <w:t xml:space="preserve">the quantifiable costs to industry of re-licencing, the cost to Ofcom, plus the risk that content quality is reduced. </w:t>
      </w:r>
      <w:r w:rsidR="00633FDE">
        <w:rPr>
          <w:rFonts w:cs="Arial"/>
          <w:sz w:val="22"/>
          <w:szCs w:val="22"/>
        </w:rPr>
        <w:t>With</w:t>
      </w:r>
      <w:r w:rsidR="008B4C8A">
        <w:rPr>
          <w:rFonts w:cs="Arial"/>
          <w:sz w:val="22"/>
          <w:szCs w:val="22"/>
        </w:rPr>
        <w:t xml:space="preserve"> the difficulties of getting more compelling </w:t>
      </w:r>
      <w:r w:rsidR="00633FDE" w:rsidRPr="00633FDE">
        <w:rPr>
          <w:rFonts w:cs="Arial"/>
          <w:sz w:val="22"/>
          <w:szCs w:val="22"/>
        </w:rPr>
        <w:t>evidence on the benefit</w:t>
      </w:r>
      <w:r w:rsidR="00633FDE">
        <w:rPr>
          <w:rFonts w:cs="Arial"/>
          <w:sz w:val="22"/>
          <w:szCs w:val="22"/>
        </w:rPr>
        <w:t xml:space="preserve"> of</w:t>
      </w:r>
      <w:r w:rsidR="00633FDE" w:rsidRPr="00633FDE">
        <w:rPr>
          <w:rFonts w:cs="Arial"/>
          <w:sz w:val="22"/>
          <w:szCs w:val="22"/>
        </w:rPr>
        <w:t xml:space="preserve"> competition</w:t>
      </w:r>
      <w:r w:rsidR="00633FDE">
        <w:rPr>
          <w:rFonts w:cs="Arial"/>
          <w:sz w:val="22"/>
          <w:szCs w:val="22"/>
        </w:rPr>
        <w:t>,</w:t>
      </w:r>
      <w:r w:rsidR="00633FDE" w:rsidRPr="00633FDE">
        <w:rPr>
          <w:rFonts w:cs="Arial"/>
          <w:sz w:val="22"/>
          <w:szCs w:val="22"/>
        </w:rPr>
        <w:t xml:space="preserve"> we cannot equally say </w:t>
      </w:r>
      <w:r w:rsidR="00633FDE">
        <w:rPr>
          <w:rFonts w:cs="Arial"/>
          <w:sz w:val="22"/>
          <w:szCs w:val="22"/>
        </w:rPr>
        <w:t xml:space="preserve">with certainty </w:t>
      </w:r>
      <w:r w:rsidR="00633FDE" w:rsidRPr="00633FDE">
        <w:rPr>
          <w:rFonts w:cs="Arial"/>
          <w:sz w:val="22"/>
          <w:szCs w:val="22"/>
        </w:rPr>
        <w:t>that option one, re-advertising</w:t>
      </w:r>
      <w:r w:rsidR="00633FDE">
        <w:rPr>
          <w:rFonts w:cs="Arial"/>
          <w:sz w:val="22"/>
          <w:szCs w:val="22"/>
        </w:rPr>
        <w:t xml:space="preserve"> the licences</w:t>
      </w:r>
      <w:r w:rsidR="00633FDE" w:rsidRPr="00633FDE">
        <w:rPr>
          <w:rFonts w:cs="Arial"/>
          <w:sz w:val="22"/>
          <w:szCs w:val="22"/>
        </w:rPr>
        <w:t xml:space="preserve">, will lead to benefit. </w:t>
      </w:r>
      <w:r w:rsidR="00633FDE">
        <w:rPr>
          <w:rFonts w:cs="Arial"/>
          <w:sz w:val="22"/>
          <w:szCs w:val="22"/>
        </w:rPr>
        <w:t>W</w:t>
      </w:r>
      <w:r w:rsidR="00633FDE" w:rsidRPr="00633FDE">
        <w:rPr>
          <w:rFonts w:cs="Arial"/>
          <w:sz w:val="22"/>
          <w:szCs w:val="22"/>
        </w:rPr>
        <w:t>hat we do know</w:t>
      </w:r>
      <w:r w:rsidR="00633FDE">
        <w:rPr>
          <w:rFonts w:cs="Arial"/>
          <w:sz w:val="22"/>
          <w:szCs w:val="22"/>
        </w:rPr>
        <w:t xml:space="preserve"> is re-advertising licences will increase </w:t>
      </w:r>
      <w:r w:rsidR="00633FDE" w:rsidRPr="00633FDE">
        <w:rPr>
          <w:rFonts w:cs="Arial"/>
          <w:sz w:val="22"/>
          <w:szCs w:val="22"/>
        </w:rPr>
        <w:t xml:space="preserve">costs to business. </w:t>
      </w:r>
      <w:r w:rsidR="00633FDE">
        <w:rPr>
          <w:rFonts w:cs="Arial"/>
          <w:sz w:val="22"/>
          <w:szCs w:val="22"/>
        </w:rPr>
        <w:t>W</w:t>
      </w:r>
      <w:r w:rsidR="00633FDE" w:rsidRPr="00633FDE">
        <w:rPr>
          <w:rFonts w:cs="Arial"/>
          <w:sz w:val="22"/>
          <w:szCs w:val="22"/>
        </w:rPr>
        <w:t>e have more certainty on the benefits</w:t>
      </w:r>
      <w:r w:rsidR="00633FDE">
        <w:rPr>
          <w:rFonts w:cs="Arial"/>
          <w:sz w:val="22"/>
          <w:szCs w:val="22"/>
        </w:rPr>
        <w:t xml:space="preserve"> of option 2 of not advertising; option 1 will simply create a </w:t>
      </w:r>
      <w:r w:rsidR="008B4C8A">
        <w:rPr>
          <w:rFonts w:cs="Arial"/>
          <w:sz w:val="22"/>
          <w:szCs w:val="22"/>
        </w:rPr>
        <w:t xml:space="preserve">significant </w:t>
      </w:r>
      <w:r w:rsidR="00633FDE">
        <w:rPr>
          <w:rFonts w:cs="Arial"/>
          <w:sz w:val="22"/>
          <w:szCs w:val="22"/>
        </w:rPr>
        <w:t>risk to business of increasing their costs</w:t>
      </w:r>
      <w:r w:rsidR="008B4C8A">
        <w:rPr>
          <w:rFonts w:cs="Arial"/>
          <w:sz w:val="22"/>
          <w:szCs w:val="22"/>
        </w:rPr>
        <w:t xml:space="preserve"> with </w:t>
      </w:r>
      <w:r w:rsidR="00A47E69">
        <w:rPr>
          <w:rFonts w:cs="Arial"/>
          <w:sz w:val="22"/>
          <w:szCs w:val="22"/>
        </w:rPr>
        <w:t xml:space="preserve">potentially </w:t>
      </w:r>
      <w:r w:rsidR="008B4C8A">
        <w:rPr>
          <w:rFonts w:cs="Arial"/>
          <w:sz w:val="22"/>
          <w:szCs w:val="22"/>
        </w:rPr>
        <w:t>little or no benefit</w:t>
      </w:r>
    </w:p>
    <w:p w14:paraId="5F8ABC7F" w14:textId="77777777" w:rsidR="00633FDE" w:rsidRDefault="00633FDE">
      <w:pPr>
        <w:rPr>
          <w:rFonts w:cs="Arial"/>
          <w:sz w:val="22"/>
          <w:szCs w:val="22"/>
        </w:rPr>
      </w:pPr>
    </w:p>
    <w:p w14:paraId="2B2BFA3C" w14:textId="245B59A4" w:rsidR="009F74CE" w:rsidRPr="00861553" w:rsidRDefault="00C94A04">
      <w:pPr>
        <w:rPr>
          <w:rFonts w:eastAsiaTheme="minorHAnsi" w:cs="Arial"/>
          <w:sz w:val="22"/>
          <w:szCs w:val="22"/>
        </w:rPr>
      </w:pPr>
      <w:r w:rsidRPr="00861553">
        <w:rPr>
          <w:rFonts w:eastAsiaTheme="minorHAnsi" w:cs="Arial"/>
          <w:sz w:val="22"/>
          <w:szCs w:val="22"/>
        </w:rPr>
        <w:t xml:space="preserve">We believe </w:t>
      </w:r>
      <w:r w:rsidR="00FE6C61" w:rsidRPr="00861553">
        <w:rPr>
          <w:rFonts w:eastAsiaTheme="minorHAnsi" w:cs="Arial"/>
          <w:sz w:val="22"/>
          <w:szCs w:val="22"/>
        </w:rPr>
        <w:t xml:space="preserve">that, whilst there are merits to Value Partners’ key arguments, </w:t>
      </w:r>
      <w:r w:rsidRPr="00861553">
        <w:rPr>
          <w:rFonts w:eastAsiaTheme="minorHAnsi" w:cs="Arial"/>
          <w:sz w:val="22"/>
          <w:szCs w:val="22"/>
        </w:rPr>
        <w:t xml:space="preserve">the lack of quantitative evidence to support </w:t>
      </w:r>
      <w:r w:rsidR="00FE6C61" w:rsidRPr="00861553">
        <w:rPr>
          <w:rFonts w:eastAsiaTheme="minorHAnsi" w:cs="Arial"/>
          <w:sz w:val="22"/>
          <w:szCs w:val="22"/>
        </w:rPr>
        <w:t>their</w:t>
      </w:r>
      <w:r w:rsidRPr="00861553">
        <w:rPr>
          <w:rFonts w:eastAsiaTheme="minorHAnsi" w:cs="Arial"/>
          <w:sz w:val="22"/>
          <w:szCs w:val="22"/>
        </w:rPr>
        <w:t xml:space="preserve"> preference for option 1 (do nothing)</w:t>
      </w:r>
      <w:r w:rsidR="00382ED0" w:rsidRPr="00861553">
        <w:rPr>
          <w:rFonts w:eastAsiaTheme="minorHAnsi" w:cs="Arial"/>
          <w:sz w:val="22"/>
          <w:szCs w:val="22"/>
        </w:rPr>
        <w:t xml:space="preserve"> makes it difficult to justify option 1 fully</w:t>
      </w:r>
      <w:r w:rsidRPr="00861553">
        <w:rPr>
          <w:rFonts w:eastAsiaTheme="minorHAnsi" w:cs="Arial"/>
          <w:sz w:val="22"/>
          <w:szCs w:val="22"/>
        </w:rPr>
        <w:t>, especially given</w:t>
      </w:r>
      <w:r w:rsidR="004D0010">
        <w:rPr>
          <w:rFonts w:eastAsiaTheme="minorHAnsi" w:cs="Arial"/>
          <w:sz w:val="22"/>
          <w:szCs w:val="22"/>
        </w:rPr>
        <w:t xml:space="preserve"> historical trends and data, and</w:t>
      </w:r>
      <w:r w:rsidRPr="00861553">
        <w:rPr>
          <w:rFonts w:eastAsiaTheme="minorHAnsi" w:cs="Arial"/>
          <w:sz w:val="22"/>
          <w:szCs w:val="22"/>
        </w:rPr>
        <w:t xml:space="preserve"> the arguments we have heard from the sect</w:t>
      </w:r>
      <w:r w:rsidR="00633168" w:rsidRPr="00D52397">
        <w:rPr>
          <w:rFonts w:eastAsiaTheme="minorHAnsi" w:cs="Arial"/>
          <w:sz w:val="22"/>
          <w:szCs w:val="22"/>
        </w:rPr>
        <w:t>or on the disruptive impact it</w:t>
      </w:r>
      <w:r w:rsidRPr="00861553">
        <w:rPr>
          <w:rFonts w:eastAsiaTheme="minorHAnsi" w:cs="Arial"/>
          <w:sz w:val="22"/>
          <w:szCs w:val="22"/>
        </w:rPr>
        <w:t xml:space="preserve"> could have, and the need – given Government’s continue</w:t>
      </w:r>
      <w:r w:rsidR="007B6F19" w:rsidRPr="00861553">
        <w:rPr>
          <w:rFonts w:eastAsiaTheme="minorHAnsi" w:cs="Arial"/>
          <w:sz w:val="22"/>
          <w:szCs w:val="22"/>
        </w:rPr>
        <w:t>d commitment to a digital radio</w:t>
      </w:r>
      <w:r w:rsidRPr="00861553">
        <w:rPr>
          <w:rFonts w:eastAsiaTheme="minorHAnsi" w:cs="Arial"/>
          <w:sz w:val="22"/>
          <w:szCs w:val="22"/>
        </w:rPr>
        <w:t xml:space="preserve"> – to maintain momentum</w:t>
      </w:r>
      <w:r w:rsidR="007B6F19" w:rsidRPr="00861553">
        <w:rPr>
          <w:rFonts w:eastAsiaTheme="minorHAnsi" w:cs="Arial"/>
          <w:sz w:val="22"/>
          <w:szCs w:val="22"/>
        </w:rPr>
        <w:t xml:space="preserve"> towards a switchover.</w:t>
      </w:r>
      <w:r w:rsidR="00FE6C61" w:rsidRPr="00861553">
        <w:rPr>
          <w:rFonts w:eastAsiaTheme="minorHAnsi" w:cs="Arial"/>
          <w:sz w:val="22"/>
          <w:szCs w:val="22"/>
        </w:rPr>
        <w:t xml:space="preserve"> </w:t>
      </w:r>
    </w:p>
    <w:p w14:paraId="512B8AB1" w14:textId="77777777" w:rsidR="009F74CE" w:rsidRPr="00861553" w:rsidRDefault="009F74CE">
      <w:pPr>
        <w:rPr>
          <w:rFonts w:eastAsiaTheme="minorHAnsi" w:cs="Arial"/>
          <w:sz w:val="22"/>
          <w:szCs w:val="22"/>
        </w:rPr>
      </w:pPr>
    </w:p>
    <w:p w14:paraId="71746776" w14:textId="4B9392CB" w:rsidR="0059771F" w:rsidRDefault="009F74CE">
      <w:pPr>
        <w:rPr>
          <w:rFonts w:eastAsiaTheme="minorHAnsi" w:cs="Arial"/>
          <w:sz w:val="22"/>
          <w:szCs w:val="22"/>
        </w:rPr>
      </w:pPr>
      <w:r w:rsidRPr="00861553">
        <w:rPr>
          <w:rFonts w:eastAsiaTheme="minorHAnsi" w:cs="Arial"/>
          <w:sz w:val="22"/>
          <w:szCs w:val="22"/>
        </w:rPr>
        <w:t>Value Partners’ final report is appended</w:t>
      </w:r>
      <w:r w:rsidR="00861553">
        <w:rPr>
          <w:rFonts w:eastAsiaTheme="minorHAnsi" w:cs="Arial"/>
          <w:sz w:val="22"/>
          <w:szCs w:val="22"/>
        </w:rPr>
        <w:t xml:space="preserve"> as an</w:t>
      </w:r>
      <w:r w:rsidRPr="00861553">
        <w:rPr>
          <w:rFonts w:eastAsiaTheme="minorHAnsi" w:cs="Arial"/>
          <w:sz w:val="22"/>
          <w:szCs w:val="22"/>
        </w:rPr>
        <w:t xml:space="preserve"> </w:t>
      </w:r>
      <w:r w:rsidR="00861553" w:rsidRPr="00861553">
        <w:rPr>
          <w:rFonts w:eastAsiaTheme="minorHAnsi" w:cs="Arial"/>
          <w:sz w:val="22"/>
          <w:szCs w:val="22"/>
        </w:rPr>
        <w:t xml:space="preserve">annex </w:t>
      </w:r>
      <w:r w:rsidR="00FE6C61" w:rsidRPr="00861553">
        <w:rPr>
          <w:rFonts w:eastAsiaTheme="minorHAnsi" w:cs="Arial"/>
          <w:sz w:val="22"/>
          <w:szCs w:val="22"/>
        </w:rPr>
        <w:t>and the costs and benefits of each proposed option</w:t>
      </w:r>
      <w:r w:rsidR="00633168" w:rsidRPr="00D52397">
        <w:rPr>
          <w:rFonts w:eastAsiaTheme="minorHAnsi" w:cs="Arial"/>
          <w:sz w:val="22"/>
          <w:szCs w:val="22"/>
        </w:rPr>
        <w:t xml:space="preserve">, </w:t>
      </w:r>
      <w:r w:rsidR="00633168" w:rsidRPr="00633168">
        <w:rPr>
          <w:rFonts w:eastAsiaTheme="minorHAnsi" w:cs="Arial"/>
          <w:sz w:val="22"/>
          <w:szCs w:val="22"/>
        </w:rPr>
        <w:t>including in competition terms</w:t>
      </w:r>
      <w:r w:rsidR="00633168">
        <w:rPr>
          <w:rFonts w:eastAsiaTheme="minorHAnsi" w:cs="Arial"/>
          <w:sz w:val="22"/>
          <w:szCs w:val="22"/>
        </w:rPr>
        <w:t>,</w:t>
      </w:r>
      <w:r w:rsidR="00633168" w:rsidRPr="00D52397">
        <w:rPr>
          <w:rFonts w:eastAsiaTheme="minorHAnsi" w:cs="Arial"/>
          <w:sz w:val="22"/>
          <w:szCs w:val="22"/>
        </w:rPr>
        <w:t xml:space="preserve"> </w:t>
      </w:r>
      <w:r w:rsidR="00FE6C61" w:rsidRPr="00861553">
        <w:rPr>
          <w:rFonts w:eastAsiaTheme="minorHAnsi" w:cs="Arial"/>
          <w:sz w:val="22"/>
          <w:szCs w:val="22"/>
        </w:rPr>
        <w:t xml:space="preserve">are outlined in </w:t>
      </w:r>
      <w:r w:rsidR="00CB6BD3">
        <w:rPr>
          <w:rFonts w:eastAsiaTheme="minorHAnsi" w:cs="Arial"/>
          <w:sz w:val="22"/>
          <w:szCs w:val="22"/>
        </w:rPr>
        <w:t>more detail in the rest of this Impact Assessment.</w:t>
      </w:r>
      <w:r w:rsidR="00FE6C61" w:rsidRPr="00861553">
        <w:rPr>
          <w:rFonts w:eastAsiaTheme="minorHAnsi" w:cs="Arial"/>
          <w:sz w:val="22"/>
          <w:szCs w:val="22"/>
        </w:rPr>
        <w:t xml:space="preserve"> </w:t>
      </w:r>
    </w:p>
    <w:p w14:paraId="5C82E59E" w14:textId="77777777" w:rsidR="0059771F" w:rsidRDefault="0059771F">
      <w:pPr>
        <w:rPr>
          <w:rFonts w:eastAsiaTheme="minorHAnsi" w:cs="Arial"/>
          <w:sz w:val="22"/>
          <w:szCs w:val="22"/>
        </w:rPr>
      </w:pPr>
    </w:p>
    <w:p w14:paraId="22336E17" w14:textId="77777777" w:rsidR="0059771F" w:rsidRPr="00861553" w:rsidRDefault="0059771F" w:rsidP="0059771F">
      <w:pPr>
        <w:rPr>
          <w:sz w:val="22"/>
          <w:szCs w:val="22"/>
          <w:u w:val="single"/>
        </w:rPr>
      </w:pPr>
      <w:r w:rsidRPr="00861553">
        <w:rPr>
          <w:sz w:val="22"/>
          <w:szCs w:val="22"/>
          <w:u w:val="single"/>
        </w:rPr>
        <w:t>Calculating the impact on competition</w:t>
      </w:r>
    </w:p>
    <w:p w14:paraId="654636F7" w14:textId="77777777" w:rsidR="0059771F" w:rsidRPr="00861553" w:rsidRDefault="0059771F" w:rsidP="0059771F">
      <w:pPr>
        <w:rPr>
          <w:b/>
          <w:sz w:val="22"/>
          <w:szCs w:val="22"/>
          <w:u w:val="single"/>
        </w:rPr>
      </w:pPr>
    </w:p>
    <w:p w14:paraId="0AD7F601" w14:textId="4962378A" w:rsidR="0059771F" w:rsidRDefault="00CB6BD3" w:rsidP="0059771F">
      <w:pPr>
        <w:rPr>
          <w:sz w:val="22"/>
          <w:szCs w:val="22"/>
        </w:rPr>
      </w:pPr>
      <w:r>
        <w:rPr>
          <w:sz w:val="22"/>
          <w:szCs w:val="22"/>
        </w:rPr>
        <w:t>In order to make the greatest attempt possible to capture the impacts on competition, we have used an approach to illustrate possible changes in consumer welfare</w:t>
      </w:r>
      <w:r w:rsidR="002B6FB6">
        <w:rPr>
          <w:sz w:val="22"/>
          <w:szCs w:val="22"/>
        </w:rPr>
        <w:t>.</w:t>
      </w:r>
      <w:r>
        <w:rPr>
          <w:sz w:val="22"/>
          <w:szCs w:val="22"/>
        </w:rPr>
        <w:t xml:space="preserve"> H</w:t>
      </w:r>
      <w:r w:rsidR="0059771F" w:rsidRPr="00861553">
        <w:rPr>
          <w:sz w:val="22"/>
          <w:szCs w:val="22"/>
        </w:rPr>
        <w:t>owever, because robust data is not available to fully estimate the impact on consumer welfare</w:t>
      </w:r>
      <w:r w:rsidR="00BD17E8">
        <w:rPr>
          <w:sz w:val="22"/>
          <w:szCs w:val="22"/>
        </w:rPr>
        <w:t xml:space="preserve"> the IA can only provide an illustration</w:t>
      </w:r>
      <w:r w:rsidR="0059771F" w:rsidRPr="00861553">
        <w:rPr>
          <w:sz w:val="22"/>
          <w:szCs w:val="22"/>
        </w:rPr>
        <w:t xml:space="preserve"> of the possible impact on consumers</w:t>
      </w:r>
      <w:r w:rsidR="00BD17E8">
        <w:rPr>
          <w:sz w:val="22"/>
          <w:szCs w:val="22"/>
        </w:rPr>
        <w:t>.</w:t>
      </w:r>
      <w:r w:rsidR="0059771F" w:rsidRPr="00861553">
        <w:rPr>
          <w:sz w:val="22"/>
          <w:szCs w:val="22"/>
        </w:rPr>
        <w:t xml:space="preserve"> The analysis below shows that even with limited evidence we can be confident that net impact on consumer welfare is likely to be small. </w:t>
      </w:r>
    </w:p>
    <w:p w14:paraId="2A131AA2" w14:textId="1A052B8E" w:rsidR="0059771F" w:rsidRPr="00861553" w:rsidRDefault="0059771F" w:rsidP="0059771F">
      <w:pPr>
        <w:rPr>
          <w:sz w:val="22"/>
          <w:szCs w:val="22"/>
        </w:rPr>
      </w:pPr>
      <w:r w:rsidRPr="00861553">
        <w:rPr>
          <w:sz w:val="22"/>
          <w:szCs w:val="22"/>
        </w:rPr>
        <w:t xml:space="preserve"> </w:t>
      </w:r>
    </w:p>
    <w:p w14:paraId="39F18E1F" w14:textId="77777777" w:rsidR="0059771F" w:rsidRDefault="0059771F" w:rsidP="0059771F">
      <w:pPr>
        <w:rPr>
          <w:sz w:val="22"/>
          <w:szCs w:val="22"/>
          <w:u w:val="single"/>
        </w:rPr>
      </w:pPr>
      <w:r w:rsidRPr="00861553">
        <w:rPr>
          <w:sz w:val="22"/>
          <w:szCs w:val="22"/>
          <w:u w:val="single"/>
        </w:rPr>
        <w:t>Impact of competition on the welfare of consumers</w:t>
      </w:r>
    </w:p>
    <w:p w14:paraId="536499FC" w14:textId="77777777" w:rsidR="0059771F" w:rsidRPr="00861553" w:rsidRDefault="0059771F" w:rsidP="0059771F">
      <w:pPr>
        <w:rPr>
          <w:sz w:val="22"/>
          <w:szCs w:val="22"/>
          <w:u w:val="single"/>
        </w:rPr>
      </w:pPr>
    </w:p>
    <w:p w14:paraId="02E609DE" w14:textId="77777777" w:rsidR="0059771F" w:rsidRDefault="0059771F" w:rsidP="0059771F">
      <w:pPr>
        <w:rPr>
          <w:i/>
          <w:sz w:val="22"/>
          <w:szCs w:val="22"/>
        </w:rPr>
      </w:pPr>
      <w:r w:rsidRPr="00861553">
        <w:rPr>
          <w:i/>
          <w:sz w:val="22"/>
          <w:szCs w:val="22"/>
        </w:rPr>
        <w:t>Impact on radio listeners who gain a new market entrant after-market competition for licenses</w:t>
      </w:r>
    </w:p>
    <w:p w14:paraId="5574499D" w14:textId="77777777" w:rsidR="0059771F" w:rsidRPr="00861553" w:rsidRDefault="0059771F" w:rsidP="0059771F">
      <w:pPr>
        <w:rPr>
          <w:i/>
          <w:sz w:val="22"/>
          <w:szCs w:val="22"/>
        </w:rPr>
      </w:pPr>
    </w:p>
    <w:p w14:paraId="4E152B84" w14:textId="4720A277" w:rsidR="0059771F" w:rsidRDefault="0059771F" w:rsidP="0059771F">
      <w:pPr>
        <w:rPr>
          <w:sz w:val="22"/>
          <w:szCs w:val="22"/>
        </w:rPr>
      </w:pPr>
      <w:r w:rsidRPr="00861553">
        <w:rPr>
          <w:sz w:val="22"/>
          <w:szCs w:val="22"/>
        </w:rPr>
        <w:t>To understand the impact on consumers of option 2 (renewing current licences</w:t>
      </w:r>
      <w:r>
        <w:rPr>
          <w:sz w:val="22"/>
          <w:szCs w:val="22"/>
        </w:rPr>
        <w:t xml:space="preserve"> for five years</w:t>
      </w:r>
      <w:r w:rsidRPr="00861553">
        <w:rPr>
          <w:sz w:val="22"/>
          <w:szCs w:val="22"/>
        </w:rPr>
        <w:t>) we need to understand the benefit consumers would have gain</w:t>
      </w:r>
      <w:r>
        <w:rPr>
          <w:sz w:val="22"/>
          <w:szCs w:val="22"/>
        </w:rPr>
        <w:t>ed</w:t>
      </w:r>
      <w:r w:rsidRPr="00861553">
        <w:rPr>
          <w:sz w:val="22"/>
          <w:szCs w:val="22"/>
        </w:rPr>
        <w:t xml:space="preserve"> from a new entrant entering the market. Consumers in areas with</w:t>
      </w:r>
      <w:r>
        <w:rPr>
          <w:sz w:val="22"/>
          <w:szCs w:val="22"/>
        </w:rPr>
        <w:t xml:space="preserve"> a</w:t>
      </w:r>
      <w:r w:rsidRPr="00861553">
        <w:rPr>
          <w:sz w:val="22"/>
          <w:szCs w:val="22"/>
        </w:rPr>
        <w:t xml:space="preserve"> new entrant could either benefit from increase quality or lower prices. Given </w:t>
      </w:r>
      <w:r>
        <w:rPr>
          <w:sz w:val="22"/>
          <w:szCs w:val="22"/>
        </w:rPr>
        <w:t xml:space="preserve">that </w:t>
      </w:r>
      <w:r w:rsidRPr="00861553">
        <w:rPr>
          <w:sz w:val="22"/>
          <w:szCs w:val="22"/>
        </w:rPr>
        <w:t>radio</w:t>
      </w:r>
      <w:r w:rsidR="00BD17E8">
        <w:rPr>
          <w:sz w:val="22"/>
          <w:szCs w:val="22"/>
        </w:rPr>
        <w:t xml:space="preserve"> is </w:t>
      </w:r>
      <w:r w:rsidRPr="00861553">
        <w:rPr>
          <w:sz w:val="22"/>
          <w:szCs w:val="22"/>
        </w:rPr>
        <w:t>free at the point of consumption (ignoring the fixed cost of a licenses</w:t>
      </w:r>
      <w:r w:rsidR="00BD17E8">
        <w:rPr>
          <w:sz w:val="22"/>
          <w:szCs w:val="22"/>
        </w:rPr>
        <w:t xml:space="preserve"> and hardware</w:t>
      </w:r>
      <w:r w:rsidRPr="00861553">
        <w:rPr>
          <w:sz w:val="22"/>
          <w:szCs w:val="22"/>
        </w:rPr>
        <w:t>) we only need to look at the change in quality of service provided by a new entrant.</w:t>
      </w:r>
    </w:p>
    <w:p w14:paraId="47D5432E" w14:textId="77777777" w:rsidR="0059771F" w:rsidRPr="00861553" w:rsidRDefault="0059771F" w:rsidP="0059771F">
      <w:pPr>
        <w:rPr>
          <w:sz w:val="22"/>
          <w:szCs w:val="22"/>
        </w:rPr>
      </w:pPr>
    </w:p>
    <w:p w14:paraId="52DF0DB2" w14:textId="5D63640D" w:rsidR="0059771F" w:rsidRPr="00861553" w:rsidRDefault="0059771F" w:rsidP="0059771F">
      <w:pPr>
        <w:rPr>
          <w:sz w:val="22"/>
          <w:szCs w:val="22"/>
        </w:rPr>
      </w:pPr>
      <w:r w:rsidRPr="00861553">
        <w:rPr>
          <w:sz w:val="22"/>
          <w:szCs w:val="22"/>
        </w:rPr>
        <w:t xml:space="preserve">To make an estimate </w:t>
      </w:r>
      <w:r w:rsidR="00EB69B0">
        <w:rPr>
          <w:sz w:val="22"/>
          <w:szCs w:val="22"/>
        </w:rPr>
        <w:t xml:space="preserve">of the maximum potential </w:t>
      </w:r>
      <w:r w:rsidRPr="00861553">
        <w:rPr>
          <w:sz w:val="22"/>
          <w:szCs w:val="22"/>
        </w:rPr>
        <w:t>increase in consumer welfare</w:t>
      </w:r>
      <w:r w:rsidR="00EB69B0">
        <w:rPr>
          <w:sz w:val="22"/>
          <w:szCs w:val="22"/>
        </w:rPr>
        <w:t>,</w:t>
      </w:r>
      <w:r w:rsidRPr="00861553">
        <w:rPr>
          <w:sz w:val="22"/>
          <w:szCs w:val="22"/>
        </w:rPr>
        <w:t xml:space="preserve"> we have assume</w:t>
      </w:r>
      <w:r>
        <w:rPr>
          <w:sz w:val="22"/>
          <w:szCs w:val="22"/>
        </w:rPr>
        <w:t>d that</w:t>
      </w:r>
      <w:r w:rsidRPr="00861553">
        <w:rPr>
          <w:sz w:val="22"/>
          <w:szCs w:val="22"/>
        </w:rPr>
        <w:t xml:space="preserve"> new entrants would offer </w:t>
      </w:r>
      <w:r>
        <w:rPr>
          <w:sz w:val="22"/>
          <w:szCs w:val="22"/>
        </w:rPr>
        <w:t xml:space="preserve">a </w:t>
      </w:r>
      <w:r w:rsidRPr="00861553">
        <w:rPr>
          <w:sz w:val="22"/>
          <w:szCs w:val="22"/>
        </w:rPr>
        <w:t>higher quality service</w:t>
      </w:r>
      <w:r w:rsidR="00EB69B0">
        <w:rPr>
          <w:sz w:val="22"/>
          <w:szCs w:val="22"/>
        </w:rPr>
        <w:t>.</w:t>
      </w:r>
      <w:r w:rsidRPr="00861553">
        <w:rPr>
          <w:sz w:val="22"/>
          <w:szCs w:val="22"/>
        </w:rPr>
        <w:t xml:space="preserve"> </w:t>
      </w:r>
      <w:r w:rsidR="00EB69B0">
        <w:rPr>
          <w:sz w:val="22"/>
          <w:szCs w:val="22"/>
        </w:rPr>
        <w:t xml:space="preserve"> W</w:t>
      </w:r>
      <w:r w:rsidRPr="00861553">
        <w:rPr>
          <w:sz w:val="22"/>
          <w:szCs w:val="22"/>
        </w:rPr>
        <w:t>e do not have evidence to value the marginal increase in consumer welfare</w:t>
      </w:r>
      <w:r w:rsidR="00EB69B0">
        <w:rPr>
          <w:sz w:val="22"/>
          <w:szCs w:val="22"/>
        </w:rPr>
        <w:t xml:space="preserve">, but </w:t>
      </w:r>
      <w:r w:rsidRPr="00861553">
        <w:rPr>
          <w:sz w:val="22"/>
          <w:szCs w:val="22"/>
        </w:rPr>
        <w:t>previous studies may provide an indication of the size of possible impact in £s.</w:t>
      </w:r>
    </w:p>
    <w:p w14:paraId="521D45DF" w14:textId="1F714DC2" w:rsidR="0059771F" w:rsidRPr="00861553" w:rsidRDefault="0059771F" w:rsidP="0059771F">
      <w:pPr>
        <w:pStyle w:val="ListParagraph"/>
        <w:numPr>
          <w:ilvl w:val="0"/>
          <w:numId w:val="40"/>
        </w:numPr>
        <w:spacing w:after="160" w:line="259" w:lineRule="auto"/>
        <w:contextualSpacing/>
        <w:rPr>
          <w:sz w:val="22"/>
          <w:szCs w:val="22"/>
        </w:rPr>
      </w:pPr>
      <w:r w:rsidRPr="00861553">
        <w:rPr>
          <w:sz w:val="22"/>
          <w:szCs w:val="22"/>
        </w:rPr>
        <w:t xml:space="preserve">£2 per month for BBC radio – </w:t>
      </w:r>
      <w:r w:rsidR="00BD17E8">
        <w:rPr>
          <w:sz w:val="22"/>
          <w:szCs w:val="22"/>
        </w:rPr>
        <w:t>Work Foundation</w:t>
      </w:r>
      <w:r w:rsidR="00BD17E8" w:rsidRPr="00861553">
        <w:rPr>
          <w:sz w:val="22"/>
          <w:szCs w:val="22"/>
        </w:rPr>
        <w:t xml:space="preserve"> </w:t>
      </w:r>
      <w:r w:rsidRPr="00861553">
        <w:rPr>
          <w:sz w:val="22"/>
          <w:szCs w:val="22"/>
        </w:rPr>
        <w:t xml:space="preserve">(2006), </w:t>
      </w:r>
      <w:r w:rsidRPr="00861553">
        <w:rPr>
          <w:i/>
          <w:sz w:val="22"/>
          <w:szCs w:val="22"/>
        </w:rPr>
        <w:t xml:space="preserve">Willingness to Pay for the BBC during the next Charter period </w:t>
      </w:r>
      <w:r w:rsidR="000C0666" w:rsidRPr="00861553">
        <w:rPr>
          <w:i/>
          <w:sz w:val="22"/>
          <w:szCs w:val="22"/>
        </w:rPr>
        <w:t>a</w:t>
      </w:r>
      <w:r w:rsidRPr="00861553">
        <w:rPr>
          <w:i/>
          <w:sz w:val="22"/>
          <w:szCs w:val="22"/>
        </w:rPr>
        <w:t xml:space="preserve"> report prepared for the Department for Culture, Media and Sport</w:t>
      </w:r>
      <w:r w:rsidRPr="00861553">
        <w:rPr>
          <w:sz w:val="22"/>
          <w:szCs w:val="22"/>
        </w:rPr>
        <w:t>, Work Foundation. In 2013/14 prices this is £2.3 per month or £28.20 per annum.</w:t>
      </w:r>
    </w:p>
    <w:p w14:paraId="480E5E8B" w14:textId="5703D36A" w:rsidR="0059771F" w:rsidRPr="00861553" w:rsidRDefault="0059771F" w:rsidP="0059771F">
      <w:pPr>
        <w:pStyle w:val="ListParagraph"/>
        <w:numPr>
          <w:ilvl w:val="0"/>
          <w:numId w:val="40"/>
        </w:numPr>
        <w:spacing w:after="160" w:line="259" w:lineRule="auto"/>
        <w:contextualSpacing/>
        <w:rPr>
          <w:sz w:val="22"/>
          <w:szCs w:val="22"/>
        </w:rPr>
      </w:pPr>
      <w:r w:rsidRPr="00861553">
        <w:rPr>
          <w:sz w:val="22"/>
          <w:szCs w:val="22"/>
        </w:rPr>
        <w:t xml:space="preserve">Maximum amount radio listeners  would be willing to pay monthly for the existing radio service was £2.30 per household - Radio </w:t>
      </w:r>
      <w:r w:rsidR="00EB69B0" w:rsidRPr="00861553">
        <w:rPr>
          <w:sz w:val="22"/>
          <w:szCs w:val="22"/>
        </w:rPr>
        <w:t xml:space="preserve">Communications </w:t>
      </w:r>
      <w:r w:rsidRPr="00861553">
        <w:rPr>
          <w:sz w:val="22"/>
          <w:szCs w:val="22"/>
        </w:rPr>
        <w:t xml:space="preserve">Agency (DTI), (2000) ‘ </w:t>
      </w:r>
      <w:r w:rsidRPr="00861553">
        <w:rPr>
          <w:i/>
          <w:sz w:val="22"/>
          <w:szCs w:val="22"/>
        </w:rPr>
        <w:t>Survey to determine the consumers’ surplus accruing to TV viewers and radio listeners</w:t>
      </w:r>
      <w:r w:rsidRPr="00861553">
        <w:rPr>
          <w:sz w:val="22"/>
          <w:szCs w:val="22"/>
        </w:rPr>
        <w:t>, Aegis Systems Ltd. In 2013/14 prices this is £3.1 per month or £37.5 per annum.</w:t>
      </w:r>
    </w:p>
    <w:p w14:paraId="035F01CB" w14:textId="77777777" w:rsidR="0059771F" w:rsidRDefault="0059771F" w:rsidP="0059771F">
      <w:pPr>
        <w:rPr>
          <w:sz w:val="22"/>
          <w:szCs w:val="22"/>
        </w:rPr>
      </w:pPr>
    </w:p>
    <w:p w14:paraId="4AED72BF" w14:textId="71A2463E" w:rsidR="007E3443" w:rsidRDefault="0059771F" w:rsidP="0059771F">
      <w:pPr>
        <w:rPr>
          <w:sz w:val="22"/>
          <w:szCs w:val="22"/>
        </w:rPr>
      </w:pPr>
      <w:r w:rsidRPr="00861553">
        <w:rPr>
          <w:sz w:val="22"/>
          <w:szCs w:val="22"/>
        </w:rPr>
        <w:lastRenderedPageBreak/>
        <w:t xml:space="preserve">These studies measure two different products, </w:t>
      </w:r>
      <w:r w:rsidR="007E3443">
        <w:rPr>
          <w:sz w:val="22"/>
          <w:szCs w:val="22"/>
        </w:rPr>
        <w:t>RCA</w:t>
      </w:r>
      <w:r w:rsidRPr="00861553">
        <w:rPr>
          <w:sz w:val="22"/>
          <w:szCs w:val="22"/>
        </w:rPr>
        <w:t xml:space="preserve"> (2000) </w:t>
      </w:r>
      <w:r w:rsidR="00EB69B0">
        <w:rPr>
          <w:sz w:val="22"/>
          <w:szCs w:val="22"/>
        </w:rPr>
        <w:t xml:space="preserve">captures </w:t>
      </w:r>
      <w:r w:rsidRPr="00861553">
        <w:rPr>
          <w:sz w:val="22"/>
          <w:szCs w:val="22"/>
        </w:rPr>
        <w:t xml:space="preserve">all radio and </w:t>
      </w:r>
      <w:r w:rsidR="007E3443">
        <w:rPr>
          <w:sz w:val="22"/>
          <w:szCs w:val="22"/>
        </w:rPr>
        <w:t>Work Foundation</w:t>
      </w:r>
      <w:r w:rsidRPr="00861553">
        <w:rPr>
          <w:sz w:val="22"/>
          <w:szCs w:val="22"/>
        </w:rPr>
        <w:t xml:space="preserve"> (2006) just the BBC. To understand the value of commercial radio</w:t>
      </w:r>
      <w:r>
        <w:rPr>
          <w:sz w:val="22"/>
          <w:szCs w:val="22"/>
        </w:rPr>
        <w:t>,</w:t>
      </w:r>
      <w:r w:rsidRPr="00861553">
        <w:rPr>
          <w:sz w:val="22"/>
          <w:szCs w:val="22"/>
        </w:rPr>
        <w:t xml:space="preserve"> the difference between these estimates is taken to arrive at a value of £9.35</w:t>
      </w:r>
      <w:r w:rsidR="008C0707">
        <w:rPr>
          <w:sz w:val="22"/>
          <w:szCs w:val="22"/>
        </w:rPr>
        <w:t xml:space="preserve"> per year</w:t>
      </w:r>
      <w:r w:rsidRPr="00861553">
        <w:rPr>
          <w:sz w:val="22"/>
          <w:szCs w:val="22"/>
        </w:rPr>
        <w:t xml:space="preserve"> (£37.50 - £28.20)</w:t>
      </w:r>
      <w:r>
        <w:rPr>
          <w:sz w:val="22"/>
          <w:szCs w:val="22"/>
        </w:rPr>
        <w:t>,</w:t>
      </w:r>
      <w:r w:rsidRPr="00861553">
        <w:rPr>
          <w:sz w:val="22"/>
          <w:szCs w:val="22"/>
        </w:rPr>
        <w:t xml:space="preserve"> which could represents the annual WTP for radio less the BBC. </w:t>
      </w:r>
      <w:r w:rsidR="00EB69B0">
        <w:rPr>
          <w:sz w:val="22"/>
          <w:szCs w:val="22"/>
        </w:rPr>
        <w:t xml:space="preserve">The </w:t>
      </w:r>
      <w:r w:rsidR="007E3443">
        <w:rPr>
          <w:sz w:val="22"/>
          <w:szCs w:val="22"/>
        </w:rPr>
        <w:t>RCA study shows in terms of digital services the WTP for national (non-BBC stations</w:t>
      </w:r>
      <w:r w:rsidR="008C0707">
        <w:rPr>
          <w:sz w:val="22"/>
          <w:szCs w:val="22"/>
        </w:rPr>
        <w:t xml:space="preserve">) </w:t>
      </w:r>
      <w:r w:rsidR="007E3443">
        <w:rPr>
          <w:sz w:val="22"/>
          <w:szCs w:val="22"/>
        </w:rPr>
        <w:t xml:space="preserve">is </w:t>
      </w:r>
      <w:r w:rsidR="008C0707">
        <w:rPr>
          <w:sz w:val="22"/>
          <w:szCs w:val="22"/>
        </w:rPr>
        <w:t>around £17.1</w:t>
      </w:r>
      <w:r w:rsidR="00EB69B0">
        <w:rPr>
          <w:sz w:val="22"/>
          <w:szCs w:val="22"/>
        </w:rPr>
        <w:t>0</w:t>
      </w:r>
      <w:r w:rsidR="008C0707">
        <w:rPr>
          <w:sz w:val="22"/>
          <w:szCs w:val="22"/>
        </w:rPr>
        <w:t xml:space="preserve"> year. Therefore the likely range may fall somewhere between £9.35 and £17.1 per year.</w:t>
      </w:r>
    </w:p>
    <w:p w14:paraId="4F592964" w14:textId="77777777" w:rsidR="007E3443" w:rsidRDefault="007E3443" w:rsidP="0059771F">
      <w:pPr>
        <w:rPr>
          <w:sz w:val="22"/>
          <w:szCs w:val="22"/>
        </w:rPr>
      </w:pPr>
    </w:p>
    <w:p w14:paraId="6AC99060" w14:textId="00FA844A" w:rsidR="0059771F" w:rsidRDefault="0059771F" w:rsidP="0059771F">
      <w:pPr>
        <w:rPr>
          <w:rFonts w:eastAsiaTheme="minorEastAsia"/>
          <w:sz w:val="22"/>
          <w:szCs w:val="22"/>
        </w:rPr>
      </w:pPr>
      <w:r w:rsidRPr="00861553">
        <w:rPr>
          <w:sz w:val="22"/>
          <w:szCs w:val="22"/>
        </w:rPr>
        <w:t xml:space="preserve">If we were to assume that a new entrant was to offer more local content (currently a minimum of 7 hours is allowed), then assuming the current incumbent only provides 7 hours, which is valued at </w:t>
      </w:r>
      <w:r w:rsidRPr="00861553">
        <w:rPr>
          <w:rFonts w:eastAsiaTheme="minorEastAsia"/>
          <w:sz w:val="22"/>
          <w:szCs w:val="22"/>
        </w:rPr>
        <w:t>£2.70 (7 hours is 29% of the daily output, and 29% of £9.35 is £2.70) and the new entrant produces an extra 3 hours of local content</w:t>
      </w:r>
      <w:r>
        <w:rPr>
          <w:rFonts w:eastAsiaTheme="minorEastAsia"/>
          <w:sz w:val="22"/>
          <w:szCs w:val="22"/>
        </w:rPr>
        <w:t>,</w:t>
      </w:r>
      <w:r w:rsidRPr="00861553">
        <w:rPr>
          <w:rFonts w:eastAsiaTheme="minorEastAsia"/>
          <w:sz w:val="22"/>
          <w:szCs w:val="22"/>
        </w:rPr>
        <w:t xml:space="preserve"> th</w:t>
      </w:r>
      <w:r>
        <w:rPr>
          <w:rFonts w:eastAsiaTheme="minorEastAsia"/>
          <w:sz w:val="22"/>
          <w:szCs w:val="22"/>
        </w:rPr>
        <w:t>e</w:t>
      </w:r>
      <w:r w:rsidRPr="00861553">
        <w:rPr>
          <w:rFonts w:eastAsiaTheme="minorEastAsia"/>
          <w:sz w:val="22"/>
          <w:szCs w:val="22"/>
        </w:rPr>
        <w:t>n the marginal increase in an individual annual  WTP has increased by  £0.34 (3 hours is 12.5% of daily content).</w:t>
      </w:r>
      <w:r w:rsidR="008C0707">
        <w:rPr>
          <w:rStyle w:val="FootnoteReference"/>
          <w:rFonts w:eastAsiaTheme="minorEastAsia"/>
          <w:szCs w:val="22"/>
        </w:rPr>
        <w:footnoteReference w:id="4"/>
      </w:r>
      <w:r w:rsidR="008C0707">
        <w:rPr>
          <w:rFonts w:eastAsiaTheme="minorEastAsia"/>
          <w:sz w:val="22"/>
          <w:szCs w:val="22"/>
        </w:rPr>
        <w:t xml:space="preserve"> Using the higher value of £17.1 per year from the RCA study would produce a give an increase in WTP of £0.62. </w:t>
      </w:r>
      <w:r w:rsidRPr="00861553">
        <w:rPr>
          <w:rFonts w:eastAsiaTheme="minorEastAsia"/>
          <w:sz w:val="22"/>
          <w:szCs w:val="22"/>
        </w:rPr>
        <w:t xml:space="preserve"> </w:t>
      </w:r>
    </w:p>
    <w:p w14:paraId="2177822F" w14:textId="77777777" w:rsidR="0059771F" w:rsidRPr="00861553" w:rsidRDefault="0059771F" w:rsidP="0059771F">
      <w:pPr>
        <w:rPr>
          <w:rFonts w:eastAsiaTheme="minorEastAsia"/>
          <w:sz w:val="22"/>
          <w:szCs w:val="22"/>
        </w:rPr>
      </w:pPr>
    </w:p>
    <w:p w14:paraId="7D4479FB" w14:textId="1E46F5EE" w:rsidR="008C0707" w:rsidRDefault="0059771F" w:rsidP="0059771F">
      <w:pPr>
        <w:rPr>
          <w:rFonts w:eastAsiaTheme="minorEastAsia"/>
          <w:b/>
          <w:sz w:val="22"/>
          <w:szCs w:val="22"/>
        </w:rPr>
      </w:pPr>
      <w:r w:rsidRPr="00861553">
        <w:rPr>
          <w:rFonts w:eastAsiaTheme="minorEastAsia"/>
          <w:b/>
          <w:sz w:val="22"/>
          <w:szCs w:val="22"/>
        </w:rPr>
        <w:t xml:space="preserve">Overall the calculation shows that the benefit </w:t>
      </w:r>
      <w:r w:rsidR="008C0707">
        <w:rPr>
          <w:rFonts w:eastAsiaTheme="minorEastAsia"/>
          <w:b/>
          <w:sz w:val="22"/>
          <w:szCs w:val="22"/>
        </w:rPr>
        <w:t>to any individual consumer (</w:t>
      </w:r>
      <w:r w:rsidRPr="00861553">
        <w:rPr>
          <w:rFonts w:eastAsiaTheme="minorEastAsia"/>
          <w:b/>
          <w:sz w:val="22"/>
          <w:szCs w:val="22"/>
        </w:rPr>
        <w:t>34</w:t>
      </w:r>
      <w:r w:rsidR="008C0707">
        <w:rPr>
          <w:rFonts w:eastAsiaTheme="minorEastAsia"/>
          <w:b/>
          <w:sz w:val="22"/>
          <w:szCs w:val="22"/>
        </w:rPr>
        <w:t>p to 62</w:t>
      </w:r>
      <w:r w:rsidRPr="00861553">
        <w:rPr>
          <w:rFonts w:eastAsiaTheme="minorEastAsia"/>
          <w:b/>
          <w:sz w:val="22"/>
          <w:szCs w:val="22"/>
        </w:rPr>
        <w:t>p per year</w:t>
      </w:r>
      <w:r w:rsidR="008C0707">
        <w:rPr>
          <w:rFonts w:eastAsiaTheme="minorEastAsia"/>
          <w:b/>
          <w:sz w:val="22"/>
          <w:szCs w:val="22"/>
        </w:rPr>
        <w:t xml:space="preserve"> per person)</w:t>
      </w:r>
      <w:r>
        <w:rPr>
          <w:rFonts w:eastAsiaTheme="minorEastAsia"/>
          <w:b/>
          <w:sz w:val="22"/>
          <w:szCs w:val="22"/>
        </w:rPr>
        <w:t>,</w:t>
      </w:r>
      <w:r w:rsidRPr="00861553">
        <w:rPr>
          <w:rFonts w:eastAsiaTheme="minorEastAsia"/>
          <w:b/>
          <w:sz w:val="22"/>
          <w:szCs w:val="22"/>
        </w:rPr>
        <w:t xml:space="preserve"> is likely to be low</w:t>
      </w:r>
      <w:r w:rsidR="00EB69B0">
        <w:rPr>
          <w:rFonts w:eastAsiaTheme="minorEastAsia"/>
          <w:b/>
          <w:sz w:val="22"/>
          <w:szCs w:val="22"/>
        </w:rPr>
        <w:t>, even under the strong assumption that there would be a net improvement in quality</w:t>
      </w:r>
      <w:r w:rsidR="008C0707">
        <w:rPr>
          <w:rFonts w:eastAsiaTheme="minorEastAsia"/>
          <w:b/>
          <w:sz w:val="22"/>
          <w:szCs w:val="22"/>
        </w:rPr>
        <w:t>.</w:t>
      </w:r>
    </w:p>
    <w:p w14:paraId="66BEE3B6" w14:textId="77777777" w:rsidR="0059771F" w:rsidRPr="00861553" w:rsidRDefault="0059771F" w:rsidP="0059771F">
      <w:pPr>
        <w:rPr>
          <w:rFonts w:eastAsiaTheme="minorEastAsia"/>
          <w:b/>
          <w:sz w:val="22"/>
          <w:szCs w:val="22"/>
        </w:rPr>
      </w:pPr>
    </w:p>
    <w:p w14:paraId="713E0FC2" w14:textId="22DCE210" w:rsidR="0059771F" w:rsidRPr="00861553" w:rsidRDefault="0059771F" w:rsidP="0059771F">
      <w:pPr>
        <w:rPr>
          <w:i/>
          <w:sz w:val="22"/>
          <w:szCs w:val="22"/>
        </w:rPr>
      </w:pPr>
      <w:r w:rsidRPr="00861553">
        <w:rPr>
          <w:i/>
          <w:sz w:val="22"/>
          <w:szCs w:val="22"/>
        </w:rPr>
        <w:t>Impact on consumers who still have an incumbent after market competition for licenses</w:t>
      </w:r>
    </w:p>
    <w:p w14:paraId="44329CA7" w14:textId="77777777" w:rsidR="0059771F" w:rsidRPr="00861553" w:rsidRDefault="0059771F" w:rsidP="0059771F">
      <w:pPr>
        <w:rPr>
          <w:i/>
          <w:sz w:val="22"/>
          <w:szCs w:val="22"/>
          <w:u w:val="single"/>
        </w:rPr>
      </w:pPr>
    </w:p>
    <w:p w14:paraId="72A67C52" w14:textId="10265EAB" w:rsidR="0059771F" w:rsidRDefault="0059771F" w:rsidP="0059771F">
      <w:pPr>
        <w:rPr>
          <w:rFonts w:eastAsiaTheme="minorEastAsia"/>
          <w:sz w:val="22"/>
          <w:szCs w:val="22"/>
        </w:rPr>
      </w:pPr>
      <w:r w:rsidRPr="00861553">
        <w:rPr>
          <w:rFonts w:eastAsiaTheme="minorEastAsia"/>
          <w:sz w:val="22"/>
          <w:szCs w:val="22"/>
        </w:rPr>
        <w:t>As well the benefit to consumers in areas that have new market entrants we also need to take account of the welfare loss to consumer</w:t>
      </w:r>
      <w:r>
        <w:rPr>
          <w:rFonts w:eastAsiaTheme="minorEastAsia"/>
          <w:sz w:val="22"/>
          <w:szCs w:val="22"/>
        </w:rPr>
        <w:t>s</w:t>
      </w:r>
      <w:r w:rsidRPr="00861553">
        <w:rPr>
          <w:rFonts w:eastAsiaTheme="minorEastAsia"/>
          <w:sz w:val="22"/>
          <w:szCs w:val="22"/>
        </w:rPr>
        <w:t xml:space="preserve"> in areas where an incumbent could have </w:t>
      </w:r>
      <w:r w:rsidR="008C0707">
        <w:rPr>
          <w:rFonts w:eastAsiaTheme="minorEastAsia"/>
          <w:sz w:val="22"/>
          <w:szCs w:val="22"/>
        </w:rPr>
        <w:t xml:space="preserve">instead </w:t>
      </w:r>
      <w:r w:rsidRPr="00861553">
        <w:rPr>
          <w:rFonts w:eastAsiaTheme="minorEastAsia"/>
          <w:sz w:val="22"/>
          <w:szCs w:val="22"/>
        </w:rPr>
        <w:t>invested</w:t>
      </w:r>
      <w:r>
        <w:rPr>
          <w:rFonts w:eastAsiaTheme="minorEastAsia"/>
          <w:sz w:val="22"/>
          <w:szCs w:val="22"/>
        </w:rPr>
        <w:t xml:space="preserve"> </w:t>
      </w:r>
      <w:r w:rsidRPr="00861553">
        <w:rPr>
          <w:rFonts w:eastAsiaTheme="minorEastAsia"/>
          <w:sz w:val="22"/>
          <w:szCs w:val="22"/>
        </w:rPr>
        <w:t>money</w:t>
      </w:r>
      <w:r>
        <w:rPr>
          <w:rFonts w:eastAsiaTheme="minorEastAsia"/>
          <w:sz w:val="22"/>
          <w:szCs w:val="22"/>
        </w:rPr>
        <w:t xml:space="preserve"> </w:t>
      </w:r>
      <w:r w:rsidRPr="00861553">
        <w:rPr>
          <w:rFonts w:eastAsiaTheme="minorEastAsia"/>
          <w:sz w:val="22"/>
          <w:szCs w:val="22"/>
        </w:rPr>
        <w:t>during the bidding process on radio content</w:t>
      </w:r>
      <w:r>
        <w:rPr>
          <w:rFonts w:eastAsiaTheme="minorEastAsia"/>
          <w:sz w:val="22"/>
          <w:szCs w:val="22"/>
        </w:rPr>
        <w:t xml:space="preserve"> </w:t>
      </w:r>
      <w:r w:rsidRPr="00861553">
        <w:rPr>
          <w:rFonts w:eastAsiaTheme="minorEastAsia"/>
          <w:sz w:val="22"/>
          <w:szCs w:val="22"/>
        </w:rPr>
        <w:t>(</w:t>
      </w:r>
      <w:r>
        <w:rPr>
          <w:rFonts w:eastAsiaTheme="minorEastAsia"/>
          <w:sz w:val="22"/>
          <w:szCs w:val="22"/>
        </w:rPr>
        <w:t xml:space="preserve">in the </w:t>
      </w:r>
      <w:r w:rsidRPr="00861553">
        <w:rPr>
          <w:rFonts w:eastAsiaTheme="minorEastAsia"/>
          <w:sz w:val="22"/>
          <w:szCs w:val="22"/>
        </w:rPr>
        <w:t>highest case scenarios this could be up to £100,000 just in terms of bidding costs). This loss of investment from incumbents could lead to lower quality from consumers</w:t>
      </w:r>
      <w:r>
        <w:rPr>
          <w:rFonts w:eastAsiaTheme="minorEastAsia"/>
          <w:sz w:val="22"/>
          <w:szCs w:val="22"/>
        </w:rPr>
        <w:t>,</w:t>
      </w:r>
      <w:r w:rsidRPr="00861553">
        <w:rPr>
          <w:rFonts w:eastAsiaTheme="minorEastAsia"/>
          <w:sz w:val="22"/>
          <w:szCs w:val="22"/>
        </w:rPr>
        <w:t xml:space="preserve"> leading to lower WTP for radio. Unfortunately without further information on radio investments we cannot make a reliable estimate of the impact of this loss of investment on the quality of the incumbents</w:t>
      </w:r>
      <w:r>
        <w:rPr>
          <w:rFonts w:eastAsiaTheme="minorEastAsia"/>
          <w:sz w:val="22"/>
          <w:szCs w:val="22"/>
        </w:rPr>
        <w:t>’</w:t>
      </w:r>
      <w:r w:rsidRPr="00861553">
        <w:rPr>
          <w:rFonts w:eastAsiaTheme="minorEastAsia"/>
          <w:sz w:val="22"/>
          <w:szCs w:val="22"/>
        </w:rPr>
        <w:t xml:space="preserve"> radio output.</w:t>
      </w:r>
    </w:p>
    <w:p w14:paraId="2E4102E3" w14:textId="77777777" w:rsidR="0059771F" w:rsidRPr="00861553" w:rsidRDefault="0059771F" w:rsidP="0059771F">
      <w:pPr>
        <w:rPr>
          <w:rFonts w:eastAsiaTheme="minorEastAsia"/>
          <w:sz w:val="22"/>
          <w:szCs w:val="22"/>
        </w:rPr>
      </w:pPr>
    </w:p>
    <w:p w14:paraId="77FC4342" w14:textId="23556083" w:rsidR="0059771F" w:rsidRPr="00861553" w:rsidRDefault="0059771F" w:rsidP="0059771F">
      <w:pPr>
        <w:rPr>
          <w:rFonts w:eastAsiaTheme="minorEastAsia"/>
          <w:sz w:val="22"/>
          <w:szCs w:val="22"/>
        </w:rPr>
      </w:pPr>
      <w:r w:rsidRPr="00861553">
        <w:rPr>
          <w:rFonts w:eastAsiaTheme="minorEastAsia"/>
          <w:sz w:val="22"/>
          <w:szCs w:val="22"/>
        </w:rPr>
        <w:t xml:space="preserve">However, even </w:t>
      </w:r>
      <w:r w:rsidR="002B6FB6">
        <w:rPr>
          <w:rFonts w:eastAsiaTheme="minorEastAsia"/>
          <w:sz w:val="22"/>
          <w:szCs w:val="22"/>
        </w:rPr>
        <w:t>with</w:t>
      </w:r>
      <w:r w:rsidR="008C0707">
        <w:rPr>
          <w:rFonts w:eastAsiaTheme="minorEastAsia"/>
          <w:sz w:val="22"/>
          <w:szCs w:val="22"/>
        </w:rPr>
        <w:t xml:space="preserve"> </w:t>
      </w:r>
      <w:r w:rsidR="00F47AA7">
        <w:rPr>
          <w:rFonts w:eastAsiaTheme="minorEastAsia"/>
          <w:sz w:val="22"/>
          <w:szCs w:val="22"/>
        </w:rPr>
        <w:t xml:space="preserve">a small </w:t>
      </w:r>
      <w:r w:rsidR="008C0707">
        <w:rPr>
          <w:rFonts w:eastAsiaTheme="minorEastAsia"/>
          <w:sz w:val="22"/>
          <w:szCs w:val="22"/>
        </w:rPr>
        <w:t xml:space="preserve">decrease </w:t>
      </w:r>
      <w:r w:rsidR="00EB69B0">
        <w:rPr>
          <w:rFonts w:eastAsiaTheme="minorEastAsia"/>
          <w:sz w:val="22"/>
          <w:szCs w:val="22"/>
        </w:rPr>
        <w:t xml:space="preserve">in </w:t>
      </w:r>
      <w:r w:rsidRPr="00861553">
        <w:rPr>
          <w:rFonts w:eastAsiaTheme="minorEastAsia"/>
          <w:sz w:val="22"/>
          <w:szCs w:val="22"/>
        </w:rPr>
        <w:t>WTP caused due to lower levels of investment, at an aggregate level the impact is likely to be much larger</w:t>
      </w:r>
      <w:r w:rsidR="00F47AA7">
        <w:rPr>
          <w:rFonts w:eastAsiaTheme="minorEastAsia"/>
          <w:sz w:val="22"/>
          <w:szCs w:val="22"/>
        </w:rPr>
        <w:t xml:space="preserve"> than above</w:t>
      </w:r>
      <w:r>
        <w:rPr>
          <w:rFonts w:eastAsiaTheme="minorEastAsia"/>
          <w:sz w:val="22"/>
          <w:szCs w:val="22"/>
        </w:rPr>
        <w:t>,</w:t>
      </w:r>
      <w:r w:rsidRPr="00861553">
        <w:rPr>
          <w:rFonts w:eastAsiaTheme="minorEastAsia"/>
          <w:sz w:val="22"/>
          <w:szCs w:val="22"/>
        </w:rPr>
        <w:t xml:space="preserve"> as there are far more consumers that will be affected in areas that still have an incumbent license holder (this is because past evidence shows that we expect only around 10%, or between 6-10 of the c.60 affected licences that could be contested, to be awarded to new entrants.</w:t>
      </w:r>
    </w:p>
    <w:p w14:paraId="7CEBA9B7" w14:textId="77777777" w:rsidR="0059771F" w:rsidRPr="00861553" w:rsidRDefault="0059771F" w:rsidP="0059771F">
      <w:pPr>
        <w:rPr>
          <w:rFonts w:eastAsiaTheme="minorEastAsia"/>
          <w:sz w:val="22"/>
          <w:szCs w:val="22"/>
        </w:rPr>
      </w:pPr>
    </w:p>
    <w:p w14:paraId="23AD235B" w14:textId="6B2FD596" w:rsidR="0059771F" w:rsidRDefault="0059771F" w:rsidP="0059771F">
      <w:pPr>
        <w:rPr>
          <w:rFonts w:eastAsiaTheme="minorEastAsia"/>
          <w:b/>
          <w:sz w:val="22"/>
          <w:szCs w:val="22"/>
        </w:rPr>
      </w:pPr>
      <w:r w:rsidRPr="00861553">
        <w:rPr>
          <w:rFonts w:eastAsiaTheme="minorEastAsia"/>
          <w:b/>
          <w:sz w:val="22"/>
          <w:szCs w:val="22"/>
        </w:rPr>
        <w:t>Therefore the Net Effect on total consumer welfare is likely to positive in option 2</w:t>
      </w:r>
      <w:r>
        <w:rPr>
          <w:rFonts w:eastAsiaTheme="minorEastAsia"/>
          <w:b/>
          <w:sz w:val="22"/>
          <w:szCs w:val="22"/>
        </w:rPr>
        <w:t xml:space="preserve"> (five year renewal)</w:t>
      </w:r>
      <w:r w:rsidRPr="00861553">
        <w:rPr>
          <w:rFonts w:eastAsiaTheme="minorEastAsia"/>
          <w:b/>
          <w:sz w:val="22"/>
          <w:szCs w:val="22"/>
        </w:rPr>
        <w:t>. Option 1 may in fact reduce consumer welfare if consumer welfare loss is larger for license areas without a new entrant.</w:t>
      </w:r>
    </w:p>
    <w:p w14:paraId="2521DE3E" w14:textId="77777777" w:rsidR="0059771F" w:rsidRPr="00861553" w:rsidRDefault="0059771F" w:rsidP="0059771F">
      <w:pPr>
        <w:rPr>
          <w:rFonts w:eastAsiaTheme="minorEastAsia"/>
          <w:b/>
          <w:sz w:val="22"/>
          <w:szCs w:val="22"/>
        </w:rPr>
      </w:pPr>
    </w:p>
    <w:p w14:paraId="44320E95" w14:textId="1A7B2AFE" w:rsidR="0059771F" w:rsidRDefault="0059771F" w:rsidP="0059771F">
      <w:pPr>
        <w:rPr>
          <w:sz w:val="22"/>
          <w:szCs w:val="22"/>
        </w:rPr>
      </w:pPr>
      <w:r w:rsidRPr="00861553">
        <w:rPr>
          <w:sz w:val="22"/>
          <w:szCs w:val="22"/>
        </w:rPr>
        <w:t>These calculation also ignores any impact on advertising revenue if consumer satisfaction goes down, which would be a further cost to business</w:t>
      </w:r>
      <w:r w:rsidR="00861553">
        <w:rPr>
          <w:sz w:val="22"/>
          <w:szCs w:val="22"/>
        </w:rPr>
        <w:t>.</w:t>
      </w:r>
      <w:r w:rsidRPr="00861553">
        <w:rPr>
          <w:sz w:val="22"/>
          <w:szCs w:val="22"/>
        </w:rPr>
        <w:t xml:space="preserve"> </w:t>
      </w:r>
    </w:p>
    <w:p w14:paraId="1D644C25" w14:textId="77777777" w:rsidR="00EB69B0" w:rsidRDefault="00EB69B0" w:rsidP="0059771F">
      <w:pPr>
        <w:rPr>
          <w:sz w:val="22"/>
          <w:szCs w:val="22"/>
        </w:rPr>
      </w:pPr>
    </w:p>
    <w:p w14:paraId="2BC9F704" w14:textId="425D382D" w:rsidR="00EB69B0" w:rsidRPr="000C0666" w:rsidRDefault="00EB69B0" w:rsidP="0059771F">
      <w:pPr>
        <w:rPr>
          <w:b/>
          <w:sz w:val="22"/>
          <w:szCs w:val="22"/>
        </w:rPr>
      </w:pPr>
      <w:r>
        <w:rPr>
          <w:b/>
          <w:sz w:val="22"/>
          <w:szCs w:val="22"/>
        </w:rPr>
        <w:t xml:space="preserve">While this is just an illustration using plausible estimates of key parameters, it shows that the </w:t>
      </w:r>
      <w:r w:rsidR="00B92D87">
        <w:rPr>
          <w:b/>
          <w:sz w:val="22"/>
          <w:szCs w:val="22"/>
        </w:rPr>
        <w:t xml:space="preserve">consumer </w:t>
      </w:r>
      <w:r>
        <w:rPr>
          <w:b/>
          <w:sz w:val="22"/>
          <w:szCs w:val="22"/>
        </w:rPr>
        <w:t xml:space="preserve">benefits from competition over this finite period </w:t>
      </w:r>
      <w:r w:rsidR="00DD16A8">
        <w:rPr>
          <w:b/>
          <w:sz w:val="22"/>
          <w:szCs w:val="22"/>
        </w:rPr>
        <w:t xml:space="preserve">are </w:t>
      </w:r>
      <w:r>
        <w:rPr>
          <w:b/>
          <w:sz w:val="22"/>
          <w:szCs w:val="22"/>
        </w:rPr>
        <w:t xml:space="preserve">likely to be small, and potentially </w:t>
      </w:r>
      <w:r w:rsidR="00B92D87">
        <w:rPr>
          <w:b/>
          <w:sz w:val="22"/>
          <w:szCs w:val="22"/>
        </w:rPr>
        <w:t xml:space="preserve">outweighed by the impact on investment.  </w:t>
      </w:r>
      <w:r w:rsidR="00DD16A8">
        <w:rPr>
          <w:b/>
          <w:sz w:val="22"/>
          <w:szCs w:val="22"/>
        </w:rPr>
        <w:t>Our presumption is that i</w:t>
      </w:r>
      <w:r w:rsidR="00B92D87">
        <w:rPr>
          <w:b/>
          <w:sz w:val="22"/>
          <w:szCs w:val="22"/>
        </w:rPr>
        <w:t>ncreased competition over a longer period</w:t>
      </w:r>
      <w:r w:rsidR="00DD16A8">
        <w:rPr>
          <w:b/>
          <w:sz w:val="22"/>
          <w:szCs w:val="22"/>
        </w:rPr>
        <w:t>, where licences</w:t>
      </w:r>
      <w:r w:rsidR="00B92D87">
        <w:rPr>
          <w:b/>
          <w:sz w:val="22"/>
          <w:szCs w:val="22"/>
        </w:rPr>
        <w:t xml:space="preserve"> </w:t>
      </w:r>
      <w:r w:rsidR="00DD16A8">
        <w:rPr>
          <w:b/>
          <w:sz w:val="22"/>
          <w:szCs w:val="22"/>
        </w:rPr>
        <w:t xml:space="preserve">were more easily </w:t>
      </w:r>
      <w:r w:rsidR="000C0666">
        <w:rPr>
          <w:b/>
          <w:sz w:val="22"/>
          <w:szCs w:val="22"/>
        </w:rPr>
        <w:t>contestable</w:t>
      </w:r>
      <w:r w:rsidR="00DD16A8">
        <w:rPr>
          <w:b/>
          <w:sz w:val="22"/>
          <w:szCs w:val="22"/>
        </w:rPr>
        <w:t xml:space="preserve">, </w:t>
      </w:r>
      <w:r w:rsidR="00B92D87">
        <w:rPr>
          <w:b/>
          <w:sz w:val="22"/>
          <w:szCs w:val="22"/>
        </w:rPr>
        <w:t xml:space="preserve">would </w:t>
      </w:r>
      <w:r w:rsidR="00DD16A8">
        <w:rPr>
          <w:b/>
          <w:sz w:val="22"/>
          <w:szCs w:val="22"/>
        </w:rPr>
        <w:t xml:space="preserve">bring more </w:t>
      </w:r>
      <w:r w:rsidR="00B92D87">
        <w:rPr>
          <w:b/>
          <w:sz w:val="22"/>
          <w:szCs w:val="22"/>
        </w:rPr>
        <w:t>significant benefits to consumers.</w:t>
      </w:r>
    </w:p>
    <w:p w14:paraId="4F6650A1" w14:textId="77777777" w:rsidR="0059771F" w:rsidRPr="00861553" w:rsidRDefault="0059771F" w:rsidP="0059771F">
      <w:pPr>
        <w:rPr>
          <w:sz w:val="22"/>
          <w:szCs w:val="22"/>
        </w:rPr>
      </w:pPr>
    </w:p>
    <w:p w14:paraId="5147DFCF" w14:textId="19B1FEA6" w:rsidR="00C55010" w:rsidRPr="00861553" w:rsidRDefault="00C55010">
      <w:pPr>
        <w:rPr>
          <w:rFonts w:eastAsiaTheme="minorHAnsi" w:cs="Arial"/>
          <w:b/>
          <w:sz w:val="22"/>
          <w:szCs w:val="22"/>
        </w:rPr>
      </w:pPr>
      <w:r w:rsidRPr="00861553">
        <w:rPr>
          <w:rFonts w:eastAsiaTheme="minorHAnsi" w:cs="Arial"/>
          <w:b/>
          <w:sz w:val="22"/>
          <w:szCs w:val="22"/>
        </w:rPr>
        <w:br w:type="page"/>
      </w:r>
    </w:p>
    <w:p w14:paraId="633EAD03" w14:textId="2B756246" w:rsidR="00446B5F" w:rsidRPr="00861553" w:rsidRDefault="00446B5F" w:rsidP="00115388">
      <w:pPr>
        <w:shd w:val="clear" w:color="auto" w:fill="FFFFFF"/>
        <w:rPr>
          <w:rFonts w:eastAsiaTheme="minorHAnsi" w:cs="Arial"/>
          <w:b/>
          <w:sz w:val="28"/>
          <w:szCs w:val="28"/>
        </w:rPr>
      </w:pPr>
      <w:r w:rsidRPr="00861553">
        <w:rPr>
          <w:rFonts w:eastAsiaTheme="minorHAnsi" w:cs="Arial"/>
          <w:b/>
          <w:sz w:val="28"/>
          <w:szCs w:val="28"/>
        </w:rPr>
        <w:lastRenderedPageBreak/>
        <w:t>Option 1</w:t>
      </w:r>
    </w:p>
    <w:p w14:paraId="268A710C" w14:textId="77777777" w:rsidR="00FB623A" w:rsidRPr="00861553" w:rsidRDefault="00FB623A" w:rsidP="00FB623A">
      <w:pPr>
        <w:shd w:val="clear" w:color="auto" w:fill="FFFFFF"/>
        <w:rPr>
          <w:rFonts w:eastAsiaTheme="minorHAnsi" w:cs="Arial"/>
          <w:b/>
          <w:sz w:val="22"/>
          <w:szCs w:val="22"/>
        </w:rPr>
      </w:pPr>
    </w:p>
    <w:p w14:paraId="6653C76A" w14:textId="1236ECF9" w:rsidR="006634AC" w:rsidRPr="00861553" w:rsidRDefault="00FB623A"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This option is to do nothing, and allow the licences in question to expire and be re-advertised by Ofcom, following which all licensees would have to re-compete for their licence. In this scenario the relevant legislation would not be amended.</w:t>
      </w:r>
    </w:p>
    <w:p w14:paraId="0DBF65F2" w14:textId="77777777" w:rsidR="00916B0B" w:rsidRPr="00861553" w:rsidRDefault="00916B0B" w:rsidP="00B405DA">
      <w:pPr>
        <w:widowControl w:val="0"/>
        <w:tabs>
          <w:tab w:val="left" w:pos="9050"/>
        </w:tabs>
        <w:autoSpaceDE w:val="0"/>
        <w:autoSpaceDN w:val="0"/>
        <w:adjustRightInd w:val="0"/>
        <w:ind w:right="18"/>
        <w:jc w:val="both"/>
        <w:rPr>
          <w:rFonts w:eastAsiaTheme="minorHAnsi" w:cs="Arial"/>
          <w:b/>
        </w:rPr>
      </w:pPr>
    </w:p>
    <w:p w14:paraId="3101C1AE" w14:textId="77777777" w:rsidR="00A60C02" w:rsidRPr="00861553" w:rsidRDefault="00A60C02" w:rsidP="00B405DA">
      <w:pPr>
        <w:widowControl w:val="0"/>
        <w:tabs>
          <w:tab w:val="left" w:pos="9050"/>
        </w:tabs>
        <w:autoSpaceDE w:val="0"/>
        <w:autoSpaceDN w:val="0"/>
        <w:adjustRightInd w:val="0"/>
        <w:ind w:right="18"/>
        <w:jc w:val="both"/>
        <w:rPr>
          <w:rFonts w:eastAsiaTheme="minorHAnsi" w:cs="Arial"/>
          <w:b/>
        </w:rPr>
      </w:pPr>
      <w:r w:rsidRPr="00861553">
        <w:rPr>
          <w:rFonts w:eastAsiaTheme="minorHAnsi" w:cs="Arial"/>
          <w:b/>
        </w:rPr>
        <w:t>Costs</w:t>
      </w:r>
    </w:p>
    <w:p w14:paraId="2B700628" w14:textId="77777777" w:rsidR="00446B5F" w:rsidRPr="00861553" w:rsidRDefault="00446B5F" w:rsidP="00B405DA">
      <w:pPr>
        <w:widowControl w:val="0"/>
        <w:tabs>
          <w:tab w:val="left" w:pos="9050"/>
        </w:tabs>
        <w:autoSpaceDE w:val="0"/>
        <w:autoSpaceDN w:val="0"/>
        <w:adjustRightInd w:val="0"/>
        <w:ind w:right="18"/>
        <w:jc w:val="both"/>
        <w:rPr>
          <w:rFonts w:eastAsiaTheme="minorHAnsi" w:cs="Arial"/>
          <w:b/>
          <w:sz w:val="22"/>
          <w:szCs w:val="22"/>
        </w:rPr>
      </w:pPr>
    </w:p>
    <w:p w14:paraId="03A8ED20" w14:textId="02B69DAE" w:rsidR="00446B5F" w:rsidRPr="00861553" w:rsidRDefault="00446B5F" w:rsidP="00B405DA">
      <w:pPr>
        <w:widowControl w:val="0"/>
        <w:tabs>
          <w:tab w:val="left" w:pos="9050"/>
        </w:tabs>
        <w:autoSpaceDE w:val="0"/>
        <w:autoSpaceDN w:val="0"/>
        <w:adjustRightInd w:val="0"/>
        <w:ind w:right="18"/>
        <w:jc w:val="both"/>
        <w:rPr>
          <w:rFonts w:eastAsiaTheme="minorHAnsi" w:cs="Arial"/>
          <w:b/>
          <w:sz w:val="22"/>
          <w:szCs w:val="22"/>
          <w:u w:val="single"/>
        </w:rPr>
      </w:pPr>
      <w:r w:rsidRPr="00861553">
        <w:rPr>
          <w:rFonts w:eastAsiaTheme="minorHAnsi" w:cs="Arial"/>
          <w:b/>
          <w:sz w:val="22"/>
          <w:szCs w:val="22"/>
          <w:u w:val="single"/>
        </w:rPr>
        <w:t>Monetised</w:t>
      </w:r>
      <w:r w:rsidR="00916B0B" w:rsidRPr="00861553">
        <w:rPr>
          <w:rFonts w:eastAsiaTheme="minorHAnsi" w:cs="Arial"/>
          <w:b/>
          <w:sz w:val="22"/>
          <w:szCs w:val="22"/>
          <w:u w:val="single"/>
        </w:rPr>
        <w:t xml:space="preserve"> costs</w:t>
      </w:r>
    </w:p>
    <w:p w14:paraId="2AFA257F" w14:textId="69636FA8" w:rsidR="00A4041B" w:rsidRPr="00861553" w:rsidRDefault="00A4041B" w:rsidP="00A4041B">
      <w:pPr>
        <w:widowControl w:val="0"/>
        <w:tabs>
          <w:tab w:val="left" w:pos="9050"/>
        </w:tabs>
        <w:autoSpaceDE w:val="0"/>
        <w:autoSpaceDN w:val="0"/>
        <w:adjustRightInd w:val="0"/>
        <w:ind w:right="18"/>
        <w:jc w:val="both"/>
        <w:rPr>
          <w:rFonts w:eastAsiaTheme="minorHAnsi" w:cs="Arial"/>
          <w:sz w:val="22"/>
          <w:szCs w:val="22"/>
        </w:rPr>
      </w:pPr>
    </w:p>
    <w:p w14:paraId="029D87C5" w14:textId="17A9F2E8" w:rsidR="00155405" w:rsidRPr="00861553" w:rsidRDefault="00A4041B"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The primary monetised cost of this option is to established incumbents, who, faced with having to bid for their licence, would probably spend between around £2,758,856 and £7,798,856 in totality. This is explored in greater detail underneath the narrative of option 2</w:t>
      </w:r>
      <w:r w:rsidR="00712889" w:rsidRPr="00861553">
        <w:rPr>
          <w:rFonts w:eastAsiaTheme="minorHAnsi" w:cs="Arial"/>
          <w:sz w:val="22"/>
          <w:szCs w:val="22"/>
        </w:rPr>
        <w:t xml:space="preserve"> benefits</w:t>
      </w:r>
      <w:r w:rsidRPr="00861553">
        <w:rPr>
          <w:rFonts w:eastAsiaTheme="minorHAnsi" w:cs="Arial"/>
          <w:sz w:val="22"/>
          <w:szCs w:val="22"/>
        </w:rPr>
        <w:t xml:space="preserve">. </w:t>
      </w:r>
      <w:r w:rsidR="00FB623A" w:rsidRPr="00861553">
        <w:rPr>
          <w:rFonts w:eastAsiaTheme="minorHAnsi" w:cs="Arial"/>
          <w:sz w:val="22"/>
          <w:szCs w:val="22"/>
        </w:rPr>
        <w:t>Since this i</w:t>
      </w:r>
      <w:r w:rsidRPr="00861553">
        <w:rPr>
          <w:rFonts w:eastAsiaTheme="minorHAnsi" w:cs="Arial"/>
          <w:sz w:val="22"/>
          <w:szCs w:val="22"/>
        </w:rPr>
        <w:t>s</w:t>
      </w:r>
      <w:r w:rsidR="00FB623A" w:rsidRPr="00861553">
        <w:rPr>
          <w:rFonts w:eastAsiaTheme="minorHAnsi" w:cs="Arial"/>
          <w:sz w:val="22"/>
          <w:szCs w:val="22"/>
        </w:rPr>
        <w:t xml:space="preserve"> </w:t>
      </w:r>
      <w:r w:rsidR="00155405" w:rsidRPr="00861553">
        <w:rPr>
          <w:rFonts w:eastAsiaTheme="minorHAnsi" w:cs="Arial"/>
          <w:sz w:val="22"/>
          <w:szCs w:val="22"/>
        </w:rPr>
        <w:t>the counterfactual</w:t>
      </w:r>
      <w:r w:rsidRPr="00861553">
        <w:rPr>
          <w:rFonts w:eastAsiaTheme="minorHAnsi" w:cs="Arial"/>
          <w:sz w:val="22"/>
          <w:szCs w:val="22"/>
        </w:rPr>
        <w:t xml:space="preserve"> option and is retaining the status quo, although the process would be costly to existing radio station,</w:t>
      </w:r>
      <w:r w:rsidR="00155405" w:rsidRPr="00861553">
        <w:rPr>
          <w:rFonts w:eastAsiaTheme="minorHAnsi" w:cs="Arial"/>
          <w:sz w:val="22"/>
          <w:szCs w:val="22"/>
        </w:rPr>
        <w:t xml:space="preserve"> t</w:t>
      </w:r>
      <w:r w:rsidR="00325E99" w:rsidRPr="00861553">
        <w:rPr>
          <w:rFonts w:eastAsiaTheme="minorHAnsi" w:cs="Arial"/>
          <w:sz w:val="22"/>
          <w:szCs w:val="22"/>
        </w:rPr>
        <w:t xml:space="preserve">his </w:t>
      </w:r>
      <w:r w:rsidR="00712889" w:rsidRPr="00861553">
        <w:rPr>
          <w:rFonts w:eastAsiaTheme="minorHAnsi" w:cs="Arial"/>
          <w:sz w:val="22"/>
          <w:szCs w:val="22"/>
        </w:rPr>
        <w:t>is counted as</w:t>
      </w:r>
      <w:r w:rsidR="00325E99" w:rsidRPr="00861553">
        <w:rPr>
          <w:rFonts w:eastAsiaTheme="minorHAnsi" w:cs="Arial"/>
          <w:sz w:val="22"/>
          <w:szCs w:val="22"/>
        </w:rPr>
        <w:t xml:space="preserve"> a zero cost option as it is not imposing any new legislation or additional costs to the status quo.</w:t>
      </w:r>
      <w:r w:rsidR="00FF5CC0" w:rsidRPr="00861553">
        <w:rPr>
          <w:rFonts w:eastAsiaTheme="minorHAnsi" w:cs="Arial"/>
          <w:sz w:val="22"/>
          <w:szCs w:val="22"/>
        </w:rPr>
        <w:t xml:space="preserve"> These </w:t>
      </w:r>
      <w:r w:rsidR="00712889" w:rsidRPr="00861553">
        <w:rPr>
          <w:rFonts w:eastAsiaTheme="minorHAnsi" w:cs="Arial"/>
          <w:sz w:val="22"/>
          <w:szCs w:val="22"/>
        </w:rPr>
        <w:t>costs we expect the re-tendering process to create are instead counted as a benefit in the form of a</w:t>
      </w:r>
      <w:r w:rsidR="00FF5CC0" w:rsidRPr="00861553">
        <w:rPr>
          <w:rFonts w:eastAsiaTheme="minorHAnsi" w:cs="Arial"/>
          <w:sz w:val="22"/>
          <w:szCs w:val="22"/>
        </w:rPr>
        <w:t xml:space="preserve"> cost-</w:t>
      </w:r>
      <w:r w:rsidR="00712889" w:rsidRPr="00861553">
        <w:rPr>
          <w:rFonts w:eastAsiaTheme="minorHAnsi" w:cs="Arial"/>
          <w:sz w:val="22"/>
          <w:szCs w:val="22"/>
        </w:rPr>
        <w:t>saving to businesses in option 2 since they would not have to re-bid, hence saving themselves these</w:t>
      </w:r>
      <w:r w:rsidR="00CB6BD3">
        <w:rPr>
          <w:rFonts w:eastAsiaTheme="minorHAnsi" w:cs="Arial"/>
          <w:sz w:val="22"/>
          <w:szCs w:val="22"/>
        </w:rPr>
        <w:t xml:space="preserve"> otherwise, inevitable</w:t>
      </w:r>
      <w:r w:rsidR="00712889" w:rsidRPr="00861553">
        <w:rPr>
          <w:rFonts w:eastAsiaTheme="minorHAnsi" w:cs="Arial"/>
          <w:sz w:val="22"/>
          <w:szCs w:val="22"/>
        </w:rPr>
        <w:t xml:space="preserve"> costs.</w:t>
      </w:r>
    </w:p>
    <w:p w14:paraId="09EB03C9" w14:textId="6287C7D5" w:rsidR="00293834" w:rsidRPr="00861553" w:rsidRDefault="00293834" w:rsidP="00B405DA">
      <w:pPr>
        <w:rPr>
          <w:rFonts w:cs="Arial"/>
          <w:i/>
          <w:sz w:val="22"/>
          <w:szCs w:val="22"/>
        </w:rPr>
      </w:pPr>
    </w:p>
    <w:p w14:paraId="17FCDFE8" w14:textId="77777777" w:rsidR="00446B5F" w:rsidRPr="00861553" w:rsidRDefault="00446B5F" w:rsidP="00B405DA">
      <w:pPr>
        <w:rPr>
          <w:rFonts w:cs="Arial"/>
          <w:b/>
          <w:sz w:val="22"/>
          <w:szCs w:val="22"/>
          <w:u w:val="single"/>
        </w:rPr>
      </w:pPr>
      <w:r w:rsidRPr="00861553">
        <w:rPr>
          <w:rFonts w:cs="Arial"/>
          <w:b/>
          <w:sz w:val="22"/>
          <w:szCs w:val="22"/>
          <w:u w:val="single"/>
        </w:rPr>
        <w:t>Non-monetised</w:t>
      </w:r>
      <w:r w:rsidR="000009D4" w:rsidRPr="00861553">
        <w:rPr>
          <w:rFonts w:cs="Arial"/>
          <w:b/>
          <w:sz w:val="22"/>
          <w:szCs w:val="22"/>
          <w:u w:val="single"/>
        </w:rPr>
        <w:t xml:space="preserve"> cost</w:t>
      </w:r>
    </w:p>
    <w:p w14:paraId="041A5959" w14:textId="77777777" w:rsidR="00D01A1D" w:rsidRPr="00861553" w:rsidRDefault="00D01A1D" w:rsidP="00B405DA">
      <w:pPr>
        <w:widowControl w:val="0"/>
        <w:tabs>
          <w:tab w:val="left" w:pos="9050"/>
        </w:tabs>
        <w:autoSpaceDE w:val="0"/>
        <w:autoSpaceDN w:val="0"/>
        <w:adjustRightInd w:val="0"/>
        <w:ind w:right="18"/>
        <w:rPr>
          <w:rFonts w:cs="Arial"/>
          <w:sz w:val="22"/>
          <w:szCs w:val="22"/>
        </w:rPr>
      </w:pPr>
    </w:p>
    <w:p w14:paraId="363DF3D6" w14:textId="01C01B0F" w:rsidR="004E45E3" w:rsidRPr="00861553" w:rsidRDefault="004E45E3" w:rsidP="00B405DA">
      <w:pPr>
        <w:widowControl w:val="0"/>
        <w:tabs>
          <w:tab w:val="left" w:pos="9050"/>
        </w:tabs>
        <w:autoSpaceDE w:val="0"/>
        <w:autoSpaceDN w:val="0"/>
        <w:adjustRightInd w:val="0"/>
        <w:ind w:right="18"/>
        <w:jc w:val="both"/>
        <w:rPr>
          <w:rFonts w:cs="Arial"/>
          <w:i/>
          <w:sz w:val="22"/>
          <w:szCs w:val="22"/>
        </w:rPr>
      </w:pPr>
      <w:r w:rsidRPr="00861553">
        <w:rPr>
          <w:rFonts w:cs="Arial"/>
          <w:i/>
          <w:sz w:val="22"/>
          <w:szCs w:val="22"/>
        </w:rPr>
        <w:t>Competition impact</w:t>
      </w:r>
    </w:p>
    <w:p w14:paraId="46F814AC" w14:textId="77777777" w:rsidR="004E45E3" w:rsidRPr="00861553" w:rsidRDefault="004E45E3" w:rsidP="00B405DA">
      <w:pPr>
        <w:widowControl w:val="0"/>
        <w:tabs>
          <w:tab w:val="left" w:pos="9050"/>
        </w:tabs>
        <w:autoSpaceDE w:val="0"/>
        <w:autoSpaceDN w:val="0"/>
        <w:adjustRightInd w:val="0"/>
        <w:ind w:right="18"/>
        <w:jc w:val="both"/>
        <w:rPr>
          <w:rFonts w:cs="Arial"/>
          <w:sz w:val="22"/>
          <w:szCs w:val="22"/>
        </w:rPr>
      </w:pPr>
    </w:p>
    <w:p w14:paraId="66805CE6" w14:textId="4C8C723A" w:rsidR="0043603C" w:rsidRPr="00861553" w:rsidRDefault="004F2E3B" w:rsidP="00B405DA">
      <w:pPr>
        <w:widowControl w:val="0"/>
        <w:tabs>
          <w:tab w:val="left" w:pos="9050"/>
        </w:tabs>
        <w:autoSpaceDE w:val="0"/>
        <w:autoSpaceDN w:val="0"/>
        <w:adjustRightInd w:val="0"/>
        <w:ind w:right="18"/>
        <w:rPr>
          <w:rFonts w:cs="Arial"/>
          <w:sz w:val="22"/>
          <w:szCs w:val="22"/>
          <w:u w:val="single"/>
        </w:rPr>
      </w:pPr>
      <w:r w:rsidRPr="00861553">
        <w:rPr>
          <w:rFonts w:cs="Arial"/>
          <w:sz w:val="22"/>
          <w:szCs w:val="22"/>
        </w:rPr>
        <w:t xml:space="preserve">DCMS recognises that in the </w:t>
      </w:r>
      <w:r w:rsidR="00C328FE" w:rsidRPr="00861553">
        <w:rPr>
          <w:rFonts w:cs="Arial"/>
          <w:sz w:val="22"/>
          <w:szCs w:val="22"/>
        </w:rPr>
        <w:t>majority of cases</w:t>
      </w:r>
      <w:r w:rsidR="00FB2F72" w:rsidRPr="00861553">
        <w:rPr>
          <w:rFonts w:cs="Arial"/>
          <w:sz w:val="22"/>
          <w:szCs w:val="22"/>
        </w:rPr>
        <w:t>,</w:t>
      </w:r>
      <w:r w:rsidR="00C328FE" w:rsidRPr="00861553">
        <w:rPr>
          <w:rFonts w:cs="Arial"/>
          <w:sz w:val="22"/>
          <w:szCs w:val="22"/>
        </w:rPr>
        <w:t xml:space="preserve"> competition can be viewed as</w:t>
      </w:r>
      <w:r w:rsidRPr="00861553">
        <w:rPr>
          <w:rFonts w:cs="Arial"/>
          <w:sz w:val="22"/>
          <w:szCs w:val="22"/>
        </w:rPr>
        <w:t xml:space="preserve"> a positive and we would </w:t>
      </w:r>
      <w:r w:rsidR="00E73453" w:rsidRPr="00861553">
        <w:rPr>
          <w:rFonts w:cs="Arial"/>
          <w:sz w:val="22"/>
          <w:szCs w:val="22"/>
        </w:rPr>
        <w:t xml:space="preserve">ordinarily </w:t>
      </w:r>
      <w:r w:rsidRPr="00861553">
        <w:rPr>
          <w:rFonts w:cs="Arial"/>
          <w:sz w:val="22"/>
          <w:szCs w:val="22"/>
        </w:rPr>
        <w:t>look to open the market up to competition</w:t>
      </w:r>
      <w:r w:rsidR="00E73453" w:rsidRPr="00861553">
        <w:rPr>
          <w:rFonts w:cs="Arial"/>
          <w:sz w:val="22"/>
          <w:szCs w:val="22"/>
        </w:rPr>
        <w:t xml:space="preserve"> as appropriate</w:t>
      </w:r>
      <w:r w:rsidRPr="00861553">
        <w:rPr>
          <w:rFonts w:cs="Arial"/>
          <w:sz w:val="22"/>
          <w:szCs w:val="22"/>
        </w:rPr>
        <w:t xml:space="preserve">. </w:t>
      </w:r>
      <w:r w:rsidR="00C328FE" w:rsidRPr="00861553">
        <w:rPr>
          <w:rFonts w:cs="Arial"/>
          <w:sz w:val="22"/>
          <w:szCs w:val="22"/>
        </w:rPr>
        <w:t>We note that the findings of the research by Value Partners suggests that there would be interest from new entrants in bidding for newly re-advertised licences</w:t>
      </w:r>
      <w:r w:rsidR="00FB28AC" w:rsidRPr="00861553">
        <w:rPr>
          <w:rFonts w:cs="Arial"/>
          <w:sz w:val="22"/>
          <w:szCs w:val="22"/>
        </w:rPr>
        <w:t xml:space="preserve"> – fourteen out of the nineteen stakeholders interviewed stated that for many</w:t>
      </w:r>
      <w:r w:rsidR="00B876D2" w:rsidRPr="00861553">
        <w:rPr>
          <w:rFonts w:cs="Arial"/>
          <w:sz w:val="22"/>
          <w:szCs w:val="22"/>
        </w:rPr>
        <w:t xml:space="preserve"> of the licences</w:t>
      </w:r>
      <w:r w:rsidR="00FB28AC" w:rsidRPr="00861553">
        <w:rPr>
          <w:rFonts w:cs="Arial"/>
          <w:sz w:val="22"/>
          <w:szCs w:val="22"/>
        </w:rPr>
        <w:t xml:space="preserve"> there would be competition in a new licensing process.  </w:t>
      </w:r>
      <w:r w:rsidR="00C328FE" w:rsidRPr="00861553">
        <w:rPr>
          <w:rFonts w:cs="Arial"/>
          <w:sz w:val="22"/>
          <w:szCs w:val="22"/>
        </w:rPr>
        <w:t>However, these findings were largely qualitative</w:t>
      </w:r>
      <w:r w:rsidR="00FB28AC" w:rsidRPr="00861553">
        <w:rPr>
          <w:rFonts w:cs="Arial"/>
          <w:sz w:val="22"/>
          <w:szCs w:val="22"/>
        </w:rPr>
        <w:t xml:space="preserve"> and neither Value Partners nor </w:t>
      </w:r>
      <w:r w:rsidR="00E73453" w:rsidRPr="00861553">
        <w:rPr>
          <w:rFonts w:cs="Arial"/>
          <w:sz w:val="22"/>
          <w:szCs w:val="22"/>
        </w:rPr>
        <w:t xml:space="preserve">consultation </w:t>
      </w:r>
      <w:r w:rsidR="00FB28AC" w:rsidRPr="00861553">
        <w:rPr>
          <w:rFonts w:cs="Arial"/>
          <w:sz w:val="22"/>
          <w:szCs w:val="22"/>
        </w:rPr>
        <w:t>respondents provided specific</w:t>
      </w:r>
      <w:r w:rsidR="0043603C" w:rsidRPr="00861553">
        <w:rPr>
          <w:rFonts w:cs="Arial"/>
          <w:sz w:val="22"/>
          <w:szCs w:val="22"/>
        </w:rPr>
        <w:t xml:space="preserve"> quantitative</w:t>
      </w:r>
      <w:r w:rsidR="00FB28AC" w:rsidRPr="00861553">
        <w:rPr>
          <w:rFonts w:cs="Arial"/>
          <w:sz w:val="22"/>
          <w:szCs w:val="22"/>
        </w:rPr>
        <w:t xml:space="preserve"> evidence to corroborate/quantify this assumption. Al</w:t>
      </w:r>
      <w:r w:rsidR="00C328FE" w:rsidRPr="00861553">
        <w:rPr>
          <w:rFonts w:cs="Arial"/>
          <w:sz w:val="22"/>
          <w:szCs w:val="22"/>
        </w:rPr>
        <w:t xml:space="preserve">though we agree that </w:t>
      </w:r>
      <w:r w:rsidR="00EB6CD9">
        <w:rPr>
          <w:rFonts w:cs="Arial"/>
          <w:sz w:val="22"/>
          <w:szCs w:val="22"/>
        </w:rPr>
        <w:t xml:space="preserve">national licenses and some local </w:t>
      </w:r>
      <w:r w:rsidR="00C328FE" w:rsidRPr="00861553">
        <w:rPr>
          <w:rFonts w:cs="Arial"/>
          <w:sz w:val="22"/>
          <w:szCs w:val="22"/>
        </w:rPr>
        <w:t xml:space="preserve">licences would be contested, there is not sufficient evidence to suggest that they would be seriously contested by a significant number of entrants </w:t>
      </w:r>
      <w:r w:rsidR="00BE04E3">
        <w:rPr>
          <w:rFonts w:cs="Arial"/>
          <w:sz w:val="22"/>
          <w:szCs w:val="22"/>
        </w:rPr>
        <w:t>(see above competition assessment)</w:t>
      </w:r>
      <w:r w:rsidR="000C0666">
        <w:rPr>
          <w:rFonts w:cs="Arial"/>
          <w:sz w:val="22"/>
          <w:szCs w:val="22"/>
        </w:rPr>
        <w:t>.</w:t>
      </w:r>
    </w:p>
    <w:p w14:paraId="6D418DC4" w14:textId="77777777" w:rsidR="00633168" w:rsidRDefault="00633168" w:rsidP="00B405DA">
      <w:pPr>
        <w:widowControl w:val="0"/>
        <w:tabs>
          <w:tab w:val="left" w:pos="9050"/>
        </w:tabs>
        <w:autoSpaceDE w:val="0"/>
        <w:autoSpaceDN w:val="0"/>
        <w:adjustRightInd w:val="0"/>
        <w:ind w:right="18"/>
        <w:rPr>
          <w:rFonts w:cs="Arial"/>
          <w:sz w:val="22"/>
          <w:szCs w:val="22"/>
        </w:rPr>
      </w:pPr>
    </w:p>
    <w:p w14:paraId="7EB55925" w14:textId="77777777" w:rsidR="00754F67" w:rsidRPr="00861553" w:rsidRDefault="00C328FE" w:rsidP="00B405DA">
      <w:pPr>
        <w:widowControl w:val="0"/>
        <w:tabs>
          <w:tab w:val="left" w:pos="9050"/>
        </w:tabs>
        <w:autoSpaceDE w:val="0"/>
        <w:autoSpaceDN w:val="0"/>
        <w:adjustRightInd w:val="0"/>
        <w:ind w:right="18"/>
        <w:rPr>
          <w:rFonts w:cs="Arial"/>
          <w:sz w:val="22"/>
          <w:szCs w:val="22"/>
        </w:rPr>
      </w:pPr>
      <w:r w:rsidRPr="00861553">
        <w:rPr>
          <w:rFonts w:cs="Arial"/>
          <w:sz w:val="22"/>
          <w:szCs w:val="22"/>
        </w:rPr>
        <w:t>Furthermore,</w:t>
      </w:r>
      <w:r w:rsidR="004F2E3B" w:rsidRPr="00861553">
        <w:rPr>
          <w:rFonts w:cs="Arial"/>
          <w:sz w:val="22"/>
          <w:szCs w:val="22"/>
        </w:rPr>
        <w:t xml:space="preserve"> </w:t>
      </w:r>
      <w:r w:rsidR="00FB28AC" w:rsidRPr="00861553">
        <w:rPr>
          <w:rFonts w:cs="Arial"/>
          <w:sz w:val="22"/>
          <w:szCs w:val="22"/>
        </w:rPr>
        <w:t>h</w:t>
      </w:r>
      <w:r w:rsidR="002863C4" w:rsidRPr="00861553">
        <w:rPr>
          <w:rFonts w:cs="Arial"/>
          <w:sz w:val="22"/>
          <w:szCs w:val="22"/>
        </w:rPr>
        <w:t>istorically, contested licences have tended to</w:t>
      </w:r>
      <w:r w:rsidRPr="00861553">
        <w:rPr>
          <w:rFonts w:cs="Arial"/>
          <w:sz w:val="22"/>
          <w:szCs w:val="22"/>
        </w:rPr>
        <w:t xml:space="preserve"> be</w:t>
      </w:r>
      <w:r w:rsidR="002863C4" w:rsidRPr="00861553">
        <w:rPr>
          <w:rFonts w:cs="Arial"/>
          <w:sz w:val="22"/>
          <w:szCs w:val="22"/>
        </w:rPr>
        <w:t xml:space="preserve"> re-awarded to incumbents:</w:t>
      </w:r>
      <w:r w:rsidR="00FB28AC" w:rsidRPr="00861553">
        <w:rPr>
          <w:rFonts w:cs="Arial"/>
          <w:color w:val="222222"/>
          <w:sz w:val="22"/>
          <w:szCs w:val="22"/>
          <w:shd w:val="clear" w:color="auto" w:fill="FFFFFF"/>
        </w:rPr>
        <w:t xml:space="preserve"> of </w:t>
      </w:r>
      <w:r w:rsidR="00FB28AC" w:rsidRPr="00861553">
        <w:rPr>
          <w:rFonts w:cs="Arial"/>
          <w:sz w:val="22"/>
          <w:szCs w:val="22"/>
        </w:rPr>
        <w:t xml:space="preserve">the total number of licences (c.100) that have been re-advertised by Ofcom since 2003, only </w:t>
      </w:r>
      <w:r w:rsidR="00CF140C" w:rsidRPr="00861553">
        <w:rPr>
          <w:rFonts w:cs="Arial"/>
          <w:sz w:val="22"/>
          <w:szCs w:val="22"/>
        </w:rPr>
        <w:t>around ten</w:t>
      </w:r>
      <w:r w:rsidR="00FB28AC" w:rsidRPr="00861553">
        <w:rPr>
          <w:rFonts w:cs="Arial"/>
          <w:sz w:val="22"/>
          <w:szCs w:val="22"/>
        </w:rPr>
        <w:t xml:space="preserve"> have proceeded to a full competition and </w:t>
      </w:r>
      <w:r w:rsidR="00CF140C" w:rsidRPr="00861553">
        <w:rPr>
          <w:rFonts w:cs="Arial"/>
          <w:sz w:val="22"/>
          <w:szCs w:val="22"/>
        </w:rPr>
        <w:t>in most cases the licence was re-awarded to the incumbent.</w:t>
      </w:r>
      <w:r w:rsidR="002863C4" w:rsidRPr="00861553">
        <w:rPr>
          <w:rFonts w:cs="Arial"/>
          <w:sz w:val="22"/>
          <w:szCs w:val="22"/>
        </w:rPr>
        <w:t xml:space="preserve"> </w:t>
      </w:r>
      <w:r w:rsidR="00FB28AC" w:rsidRPr="00861553">
        <w:rPr>
          <w:rFonts w:cs="Arial"/>
          <w:sz w:val="22"/>
          <w:szCs w:val="22"/>
        </w:rPr>
        <w:t xml:space="preserve">This calls into question whether there is likely to be any value </w:t>
      </w:r>
      <w:r w:rsidR="00CF140C" w:rsidRPr="00861553">
        <w:rPr>
          <w:rFonts w:cs="Arial"/>
          <w:sz w:val="22"/>
          <w:szCs w:val="22"/>
        </w:rPr>
        <w:t>in making</w:t>
      </w:r>
      <w:r w:rsidR="00FB28AC" w:rsidRPr="00861553">
        <w:rPr>
          <w:rFonts w:cs="Arial"/>
          <w:sz w:val="22"/>
          <w:szCs w:val="22"/>
        </w:rPr>
        <w:t xml:space="preserve"> incumbents reapply if they are only to be re-awarded to the same licensees. </w:t>
      </w:r>
    </w:p>
    <w:p w14:paraId="6578DEA9" w14:textId="77777777" w:rsidR="0043603C" w:rsidRPr="00861553" w:rsidRDefault="0043603C" w:rsidP="00B405DA">
      <w:pPr>
        <w:widowControl w:val="0"/>
        <w:tabs>
          <w:tab w:val="left" w:pos="9050"/>
        </w:tabs>
        <w:autoSpaceDE w:val="0"/>
        <w:autoSpaceDN w:val="0"/>
        <w:adjustRightInd w:val="0"/>
        <w:ind w:right="18"/>
        <w:rPr>
          <w:rFonts w:cs="Arial"/>
          <w:sz w:val="22"/>
          <w:szCs w:val="22"/>
        </w:rPr>
      </w:pPr>
    </w:p>
    <w:p w14:paraId="6902E3F1" w14:textId="70E2EF5D" w:rsidR="0043603C" w:rsidRPr="00861553" w:rsidRDefault="00916B0B" w:rsidP="00B405DA">
      <w:pPr>
        <w:widowControl w:val="0"/>
        <w:tabs>
          <w:tab w:val="left" w:pos="9050"/>
        </w:tabs>
        <w:autoSpaceDE w:val="0"/>
        <w:autoSpaceDN w:val="0"/>
        <w:adjustRightInd w:val="0"/>
        <w:ind w:right="18"/>
        <w:rPr>
          <w:rFonts w:cs="Arial"/>
          <w:i/>
          <w:sz w:val="22"/>
          <w:szCs w:val="22"/>
        </w:rPr>
      </w:pPr>
      <w:r w:rsidRPr="00861553">
        <w:rPr>
          <w:rFonts w:cs="Arial"/>
          <w:i/>
          <w:sz w:val="22"/>
          <w:szCs w:val="22"/>
        </w:rPr>
        <w:t>Cost to consumers</w:t>
      </w:r>
    </w:p>
    <w:p w14:paraId="0E29EF8F" w14:textId="77777777" w:rsidR="00754F67" w:rsidRPr="00861553" w:rsidRDefault="00754F67" w:rsidP="00B405DA">
      <w:pPr>
        <w:widowControl w:val="0"/>
        <w:tabs>
          <w:tab w:val="left" w:pos="9050"/>
        </w:tabs>
        <w:autoSpaceDE w:val="0"/>
        <w:autoSpaceDN w:val="0"/>
        <w:adjustRightInd w:val="0"/>
        <w:ind w:right="18"/>
        <w:rPr>
          <w:rFonts w:cs="Arial"/>
          <w:sz w:val="22"/>
          <w:szCs w:val="22"/>
        </w:rPr>
      </w:pPr>
    </w:p>
    <w:p w14:paraId="79D7F206" w14:textId="5A4C65D1" w:rsidR="00CF140C" w:rsidRPr="00861553" w:rsidRDefault="002863C4" w:rsidP="00B405DA">
      <w:pPr>
        <w:widowControl w:val="0"/>
        <w:tabs>
          <w:tab w:val="left" w:pos="9050"/>
        </w:tabs>
        <w:autoSpaceDE w:val="0"/>
        <w:autoSpaceDN w:val="0"/>
        <w:adjustRightInd w:val="0"/>
        <w:ind w:right="18"/>
        <w:rPr>
          <w:rFonts w:cs="Arial"/>
          <w:sz w:val="22"/>
          <w:szCs w:val="22"/>
        </w:rPr>
      </w:pPr>
      <w:r w:rsidRPr="00861553">
        <w:rPr>
          <w:rFonts w:cs="Arial"/>
          <w:sz w:val="22"/>
          <w:szCs w:val="22"/>
        </w:rPr>
        <w:t xml:space="preserve">In addition to this, research </w:t>
      </w:r>
      <w:r w:rsidR="00CF140C" w:rsidRPr="00861553">
        <w:rPr>
          <w:rFonts w:cs="Arial"/>
          <w:sz w:val="22"/>
          <w:szCs w:val="22"/>
        </w:rPr>
        <w:t xml:space="preserve">by Ofcom </w:t>
      </w:r>
      <w:r w:rsidRPr="00861553">
        <w:rPr>
          <w:rFonts w:cs="Arial"/>
          <w:sz w:val="22"/>
          <w:szCs w:val="22"/>
        </w:rPr>
        <w:t>demonstrates that listeners are satisfied with current offerings</w:t>
      </w:r>
      <w:r w:rsidR="00CF140C" w:rsidRPr="00861553">
        <w:rPr>
          <w:rFonts w:cs="Arial"/>
          <w:sz w:val="22"/>
          <w:szCs w:val="22"/>
        </w:rPr>
        <w:t>, with over 80% of listeners saying they are satisfied with their local radio services</w:t>
      </w:r>
      <w:r w:rsidR="0043603C" w:rsidRPr="00861553">
        <w:rPr>
          <w:rStyle w:val="FootnoteReference"/>
          <w:rFonts w:cs="Arial"/>
          <w:szCs w:val="22"/>
        </w:rPr>
        <w:footnoteReference w:id="5"/>
      </w:r>
      <w:r w:rsidR="00CF140C" w:rsidRPr="00861553">
        <w:rPr>
          <w:rFonts w:cs="Arial"/>
          <w:sz w:val="22"/>
          <w:szCs w:val="22"/>
        </w:rPr>
        <w:t>. This</w:t>
      </w:r>
      <w:r w:rsidRPr="00861553">
        <w:rPr>
          <w:rFonts w:cs="Arial"/>
          <w:sz w:val="22"/>
          <w:szCs w:val="22"/>
        </w:rPr>
        <w:t xml:space="preserve"> indicates the</w:t>
      </w:r>
      <w:r w:rsidR="00FB28AC" w:rsidRPr="00861553">
        <w:rPr>
          <w:rFonts w:cs="Arial"/>
          <w:sz w:val="22"/>
          <w:szCs w:val="22"/>
        </w:rPr>
        <w:t>re is not significant demand from consumers for</w:t>
      </w:r>
      <w:r w:rsidRPr="00861553">
        <w:rPr>
          <w:rFonts w:cs="Arial"/>
          <w:sz w:val="22"/>
          <w:szCs w:val="22"/>
        </w:rPr>
        <w:t xml:space="preserve"> a shake-up of existing services. </w:t>
      </w:r>
      <w:r w:rsidR="00C328FE" w:rsidRPr="00861553">
        <w:rPr>
          <w:rFonts w:cs="Arial"/>
          <w:sz w:val="22"/>
          <w:szCs w:val="22"/>
        </w:rPr>
        <w:t xml:space="preserve">We therefore believe </w:t>
      </w:r>
      <w:r w:rsidR="00FB28AC" w:rsidRPr="00861553">
        <w:rPr>
          <w:rFonts w:cs="Arial"/>
          <w:sz w:val="22"/>
          <w:szCs w:val="22"/>
        </w:rPr>
        <w:t>any potential</w:t>
      </w:r>
      <w:r w:rsidR="00C328FE" w:rsidRPr="00861553">
        <w:rPr>
          <w:rFonts w:cs="Arial"/>
          <w:sz w:val="22"/>
          <w:szCs w:val="22"/>
        </w:rPr>
        <w:t xml:space="preserve"> benefits of any potential competition for licences would not be outweighed by</w:t>
      </w:r>
      <w:r w:rsidR="00E73453" w:rsidRPr="00861553">
        <w:rPr>
          <w:rFonts w:cs="Arial"/>
          <w:sz w:val="22"/>
          <w:szCs w:val="22"/>
        </w:rPr>
        <w:t xml:space="preserve"> either (i)</w:t>
      </w:r>
      <w:r w:rsidR="00C328FE" w:rsidRPr="00861553">
        <w:rPr>
          <w:rFonts w:cs="Arial"/>
          <w:sz w:val="22"/>
          <w:szCs w:val="22"/>
        </w:rPr>
        <w:t xml:space="preserve"> the costs to industry and disruption caused to the sector in having to </w:t>
      </w:r>
      <w:r w:rsidR="00E73453" w:rsidRPr="00861553">
        <w:rPr>
          <w:rFonts w:cs="Arial"/>
          <w:sz w:val="22"/>
          <w:szCs w:val="22"/>
        </w:rPr>
        <w:t>re-bid for licences or (ii)</w:t>
      </w:r>
      <w:r w:rsidR="00FB28AC" w:rsidRPr="00861553">
        <w:rPr>
          <w:rFonts w:cs="Arial"/>
          <w:sz w:val="22"/>
          <w:szCs w:val="22"/>
        </w:rPr>
        <w:t xml:space="preserve"> uncertainty for consumers about whether their favourite services will continue.</w:t>
      </w:r>
      <w:r w:rsidR="00CF140C" w:rsidRPr="00861553">
        <w:rPr>
          <w:rFonts w:cs="Arial"/>
          <w:sz w:val="22"/>
          <w:szCs w:val="22"/>
        </w:rPr>
        <w:t xml:space="preserve"> This assumption is shared by respondents to the consultation, who have commented that “competing for FM licences is a relatively high risk and short-term strategy and we therefore see limited opportunities for increased competition between stations or groups”, and “our experience of reapplying for analogue licences within the current Ofcom administered licensing framework is that an incumbent typically retains its licence unless Ofcom has grounds for concern about the licensee’s historic performance.”</w:t>
      </w:r>
    </w:p>
    <w:p w14:paraId="4731E569" w14:textId="77777777" w:rsidR="00D01A1D" w:rsidRPr="00861553" w:rsidRDefault="00D01A1D" w:rsidP="00B405DA">
      <w:pPr>
        <w:widowControl w:val="0"/>
        <w:tabs>
          <w:tab w:val="left" w:pos="9050"/>
        </w:tabs>
        <w:autoSpaceDE w:val="0"/>
        <w:autoSpaceDN w:val="0"/>
        <w:adjustRightInd w:val="0"/>
        <w:ind w:right="18"/>
        <w:rPr>
          <w:rFonts w:cs="Arial"/>
          <w:sz w:val="22"/>
          <w:szCs w:val="22"/>
        </w:rPr>
      </w:pPr>
    </w:p>
    <w:p w14:paraId="6C6CCF68" w14:textId="3D684144" w:rsidR="00FE2ED1" w:rsidRPr="00861553" w:rsidRDefault="00325E99" w:rsidP="00B405DA">
      <w:pPr>
        <w:widowControl w:val="0"/>
        <w:tabs>
          <w:tab w:val="left" w:pos="9050"/>
        </w:tabs>
        <w:autoSpaceDE w:val="0"/>
        <w:autoSpaceDN w:val="0"/>
        <w:adjustRightInd w:val="0"/>
        <w:ind w:right="18"/>
        <w:rPr>
          <w:rFonts w:cs="Arial"/>
          <w:bCs/>
          <w:sz w:val="22"/>
          <w:szCs w:val="22"/>
        </w:rPr>
      </w:pPr>
      <w:r w:rsidRPr="00861553">
        <w:rPr>
          <w:rFonts w:cs="Arial"/>
          <w:sz w:val="22"/>
          <w:szCs w:val="22"/>
        </w:rPr>
        <w:t>Whil</w:t>
      </w:r>
      <w:r w:rsidR="00CF140C" w:rsidRPr="00861553">
        <w:rPr>
          <w:rFonts w:cs="Arial"/>
          <w:sz w:val="22"/>
          <w:szCs w:val="22"/>
        </w:rPr>
        <w:t>st it is arguable that there could</w:t>
      </w:r>
      <w:r w:rsidRPr="00861553">
        <w:rPr>
          <w:rFonts w:cs="Arial"/>
          <w:sz w:val="22"/>
          <w:szCs w:val="22"/>
        </w:rPr>
        <w:t xml:space="preserve"> be benefits to consumers </w:t>
      </w:r>
      <w:r w:rsidR="00CF140C" w:rsidRPr="00861553">
        <w:rPr>
          <w:rFonts w:cs="Arial"/>
          <w:sz w:val="22"/>
          <w:szCs w:val="22"/>
        </w:rPr>
        <w:t>resulting from</w:t>
      </w:r>
      <w:r w:rsidRPr="00861553">
        <w:rPr>
          <w:rFonts w:cs="Arial"/>
          <w:sz w:val="22"/>
          <w:szCs w:val="22"/>
        </w:rPr>
        <w:t xml:space="preserve"> increased competition between the stations</w:t>
      </w:r>
      <w:r w:rsidR="00CF140C" w:rsidRPr="00861553">
        <w:rPr>
          <w:rFonts w:cs="Arial"/>
          <w:sz w:val="22"/>
          <w:szCs w:val="22"/>
        </w:rPr>
        <w:t>, such as</w:t>
      </w:r>
      <w:r w:rsidRPr="00861553">
        <w:rPr>
          <w:rFonts w:cs="Arial"/>
          <w:sz w:val="22"/>
          <w:szCs w:val="22"/>
        </w:rPr>
        <w:t xml:space="preserve"> potentially more choice and</w:t>
      </w:r>
      <w:r w:rsidR="009B52E8" w:rsidRPr="00861553">
        <w:rPr>
          <w:rFonts w:cs="Arial"/>
          <w:sz w:val="22"/>
          <w:szCs w:val="22"/>
        </w:rPr>
        <w:t xml:space="preserve"> a</w:t>
      </w:r>
      <w:r w:rsidRPr="00861553">
        <w:rPr>
          <w:rFonts w:cs="Arial"/>
          <w:sz w:val="22"/>
          <w:szCs w:val="22"/>
        </w:rPr>
        <w:t xml:space="preserve"> </w:t>
      </w:r>
      <w:r w:rsidR="00CF140C" w:rsidRPr="00861553">
        <w:rPr>
          <w:rFonts w:cs="Arial"/>
          <w:sz w:val="22"/>
          <w:szCs w:val="22"/>
        </w:rPr>
        <w:t>more diverse</w:t>
      </w:r>
      <w:r w:rsidRPr="00861553">
        <w:rPr>
          <w:rFonts w:cs="Arial"/>
          <w:sz w:val="22"/>
          <w:szCs w:val="22"/>
        </w:rPr>
        <w:t xml:space="preserve"> </w:t>
      </w:r>
      <w:r w:rsidR="00DB1B33" w:rsidRPr="00861553">
        <w:rPr>
          <w:rFonts w:cs="Arial"/>
          <w:sz w:val="22"/>
          <w:szCs w:val="22"/>
        </w:rPr>
        <w:t>broadcasting offer,</w:t>
      </w:r>
      <w:r w:rsidR="00CF140C" w:rsidRPr="00861553">
        <w:rPr>
          <w:rFonts w:cs="Arial"/>
          <w:sz w:val="22"/>
          <w:szCs w:val="22"/>
        </w:rPr>
        <w:t xml:space="preserve"> it is also possible that the</w:t>
      </w:r>
      <w:r w:rsidRPr="00861553">
        <w:rPr>
          <w:rFonts w:cs="Arial"/>
          <w:sz w:val="22"/>
          <w:szCs w:val="22"/>
        </w:rPr>
        <w:t xml:space="preserve"> bidding process for the licences </w:t>
      </w:r>
      <w:r w:rsidR="00CF140C" w:rsidRPr="00861553">
        <w:rPr>
          <w:rFonts w:cs="Arial"/>
          <w:sz w:val="22"/>
          <w:szCs w:val="22"/>
        </w:rPr>
        <w:t xml:space="preserve">could impact </w:t>
      </w:r>
      <w:r w:rsidRPr="00861553">
        <w:rPr>
          <w:rFonts w:cs="Arial"/>
          <w:sz w:val="22"/>
          <w:szCs w:val="22"/>
        </w:rPr>
        <w:t>negatively on the content of broadcasting</w:t>
      </w:r>
      <w:r w:rsidR="00CF140C" w:rsidRPr="00861553">
        <w:rPr>
          <w:rFonts w:cs="Arial"/>
          <w:sz w:val="22"/>
          <w:szCs w:val="22"/>
        </w:rPr>
        <w:t xml:space="preserve">. </w:t>
      </w:r>
      <w:r w:rsidR="00CF140C" w:rsidRPr="00861553">
        <w:rPr>
          <w:rFonts w:cs="Arial"/>
          <w:sz w:val="22"/>
          <w:szCs w:val="22"/>
        </w:rPr>
        <w:lastRenderedPageBreak/>
        <w:t xml:space="preserve">Instead of focusing on delivering a quality service with interesting and unique content, licensees are likely to have to divert some financial and human resource towards winning the </w:t>
      </w:r>
      <w:r w:rsidRPr="00861553">
        <w:rPr>
          <w:rFonts w:cs="Arial"/>
          <w:sz w:val="22"/>
          <w:szCs w:val="22"/>
        </w:rPr>
        <w:t>licence</w:t>
      </w:r>
      <w:r w:rsidR="00CF140C" w:rsidRPr="00861553">
        <w:rPr>
          <w:rFonts w:cs="Arial"/>
          <w:sz w:val="22"/>
          <w:szCs w:val="22"/>
        </w:rPr>
        <w:t>.</w:t>
      </w:r>
      <w:r w:rsidRPr="00861553">
        <w:rPr>
          <w:rFonts w:cs="Arial"/>
          <w:sz w:val="22"/>
          <w:szCs w:val="22"/>
        </w:rPr>
        <w:t xml:space="preserve"> </w:t>
      </w:r>
      <w:r w:rsidR="00CF140C" w:rsidRPr="00861553">
        <w:rPr>
          <w:rFonts w:cs="Arial"/>
          <w:sz w:val="22"/>
          <w:szCs w:val="22"/>
        </w:rPr>
        <w:t>This assumption is corroborated by respondents to the consultation who commente</w:t>
      </w:r>
      <w:r w:rsidR="00FE2ED1" w:rsidRPr="00861553">
        <w:rPr>
          <w:rFonts w:cs="Arial"/>
          <w:sz w:val="22"/>
          <w:szCs w:val="22"/>
        </w:rPr>
        <w:t>d “</w:t>
      </w:r>
      <w:r w:rsidR="00FE2ED1" w:rsidRPr="00861553">
        <w:rPr>
          <w:rFonts w:cs="Arial"/>
          <w:bCs/>
          <w:sz w:val="22"/>
          <w:szCs w:val="22"/>
        </w:rPr>
        <w:t>if licences are not renewed, there will be a significant reduction in investment in content, marketing and the development of digital stations and services. This can only be bad for listeners”, and “the uncertainty of operators having to re-apply for all their licences would dramatically reduce investment in content and in the development of new services, which would in turn severely reduce competition”, and finally "rather than focussing primarily on the quality of their output (along with the development of new digital services, improving coverage or content for listeners), radio operators will be forced to devote time and investment on retaining their analogue licences."</w:t>
      </w:r>
    </w:p>
    <w:p w14:paraId="255DB31B" w14:textId="77777777" w:rsidR="00B86B6B" w:rsidRPr="00861553" w:rsidRDefault="00B86B6B" w:rsidP="00B405DA">
      <w:pPr>
        <w:widowControl w:val="0"/>
        <w:tabs>
          <w:tab w:val="left" w:pos="9050"/>
        </w:tabs>
        <w:autoSpaceDE w:val="0"/>
        <w:autoSpaceDN w:val="0"/>
        <w:adjustRightInd w:val="0"/>
        <w:ind w:right="18"/>
        <w:rPr>
          <w:rFonts w:cs="Arial"/>
          <w:bCs/>
          <w:sz w:val="22"/>
          <w:szCs w:val="22"/>
        </w:rPr>
      </w:pPr>
    </w:p>
    <w:p w14:paraId="7E1ECFD5" w14:textId="59CA7DC7" w:rsidR="0043603C" w:rsidRPr="00861553" w:rsidRDefault="0043603C" w:rsidP="00B405DA">
      <w:pPr>
        <w:widowControl w:val="0"/>
        <w:tabs>
          <w:tab w:val="left" w:pos="9050"/>
        </w:tabs>
        <w:autoSpaceDE w:val="0"/>
        <w:autoSpaceDN w:val="0"/>
        <w:adjustRightInd w:val="0"/>
        <w:ind w:right="18"/>
        <w:rPr>
          <w:rFonts w:cs="Arial"/>
          <w:bCs/>
          <w:i/>
          <w:sz w:val="22"/>
          <w:szCs w:val="22"/>
        </w:rPr>
      </w:pPr>
      <w:r w:rsidRPr="00861553">
        <w:rPr>
          <w:rFonts w:cs="Arial"/>
          <w:bCs/>
          <w:i/>
          <w:sz w:val="22"/>
          <w:szCs w:val="22"/>
        </w:rPr>
        <w:t>Investment in digital radio</w:t>
      </w:r>
    </w:p>
    <w:p w14:paraId="7F18142A" w14:textId="77777777" w:rsidR="0043603C" w:rsidRPr="00861553" w:rsidRDefault="0043603C" w:rsidP="00B405DA">
      <w:pPr>
        <w:widowControl w:val="0"/>
        <w:tabs>
          <w:tab w:val="left" w:pos="9050"/>
        </w:tabs>
        <w:autoSpaceDE w:val="0"/>
        <w:autoSpaceDN w:val="0"/>
        <w:adjustRightInd w:val="0"/>
        <w:ind w:right="18"/>
        <w:rPr>
          <w:rFonts w:cs="Arial"/>
          <w:bCs/>
          <w:sz w:val="22"/>
          <w:szCs w:val="22"/>
        </w:rPr>
      </w:pPr>
    </w:p>
    <w:p w14:paraId="16ACE30F" w14:textId="77777777" w:rsidR="00067123" w:rsidRPr="00861553" w:rsidRDefault="00B86B6B" w:rsidP="00067123">
      <w:pPr>
        <w:widowControl w:val="0"/>
        <w:tabs>
          <w:tab w:val="left" w:pos="9050"/>
        </w:tabs>
        <w:autoSpaceDE w:val="0"/>
        <w:autoSpaceDN w:val="0"/>
        <w:adjustRightInd w:val="0"/>
        <w:ind w:right="18"/>
        <w:rPr>
          <w:rFonts w:cs="Arial"/>
          <w:bCs/>
          <w:sz w:val="22"/>
          <w:szCs w:val="22"/>
        </w:rPr>
      </w:pPr>
      <w:r w:rsidRPr="00861553">
        <w:rPr>
          <w:rFonts w:cs="Arial"/>
          <w:bCs/>
          <w:sz w:val="22"/>
          <w:szCs w:val="22"/>
        </w:rPr>
        <w:t>Further to this, if option 1 was taken forward, the incumbent licensees’ continued investment in digital radio would</w:t>
      </w:r>
      <w:r w:rsidR="00067123" w:rsidRPr="00861553">
        <w:rPr>
          <w:rFonts w:cs="Arial"/>
          <w:bCs/>
          <w:sz w:val="22"/>
          <w:szCs w:val="22"/>
        </w:rPr>
        <w:t xml:space="preserve"> probably be seriously undermined</w:t>
      </w:r>
      <w:r w:rsidRPr="00861553">
        <w:rPr>
          <w:rFonts w:cs="Arial"/>
          <w:bCs/>
          <w:sz w:val="22"/>
          <w:szCs w:val="22"/>
        </w:rPr>
        <w:t xml:space="preserve">. </w:t>
      </w:r>
      <w:r w:rsidR="00067123" w:rsidRPr="00861553">
        <w:rPr>
          <w:rFonts w:cs="Arial"/>
          <w:bCs/>
          <w:sz w:val="22"/>
          <w:szCs w:val="22"/>
        </w:rPr>
        <w:t>Whilst a switchover remains Government policy, it is necessary to maintain encouragement of investment in digital by industry. Respondents to the consultation commented variously:</w:t>
      </w:r>
    </w:p>
    <w:p w14:paraId="018F7E89" w14:textId="77777777" w:rsidR="00067123" w:rsidRPr="00861553" w:rsidRDefault="00067123" w:rsidP="00067123">
      <w:pPr>
        <w:widowControl w:val="0"/>
        <w:tabs>
          <w:tab w:val="left" w:pos="9050"/>
        </w:tabs>
        <w:autoSpaceDE w:val="0"/>
        <w:autoSpaceDN w:val="0"/>
        <w:adjustRightInd w:val="0"/>
        <w:ind w:right="18"/>
        <w:rPr>
          <w:rFonts w:cs="Arial"/>
          <w:bCs/>
          <w:sz w:val="22"/>
          <w:szCs w:val="22"/>
        </w:rPr>
      </w:pPr>
    </w:p>
    <w:p w14:paraId="78F5F734" w14:textId="77777777" w:rsidR="00067123" w:rsidRPr="00861553" w:rsidRDefault="00067123" w:rsidP="00067123">
      <w:pPr>
        <w:pStyle w:val="ListParagraph"/>
        <w:widowControl w:val="0"/>
        <w:numPr>
          <w:ilvl w:val="0"/>
          <w:numId w:val="37"/>
        </w:numPr>
        <w:tabs>
          <w:tab w:val="left" w:pos="9050"/>
        </w:tabs>
        <w:autoSpaceDE w:val="0"/>
        <w:autoSpaceDN w:val="0"/>
        <w:adjustRightInd w:val="0"/>
        <w:ind w:right="18"/>
        <w:rPr>
          <w:rFonts w:cs="Arial"/>
          <w:bCs/>
          <w:sz w:val="22"/>
          <w:szCs w:val="22"/>
        </w:rPr>
      </w:pPr>
      <w:r w:rsidRPr="00861553">
        <w:rPr>
          <w:rFonts w:cs="Arial"/>
          <w:bCs/>
          <w:sz w:val="22"/>
          <w:szCs w:val="22"/>
        </w:rPr>
        <w:t>"The central incentive for commercial radio operators to invest in DAB has been ‘AM &amp; FM’ licences until such time as ASO [switchover] is achieved. Without the continuing confidence and security of this provision, the commercial sector will struggle to justify the additional investment required to deliver the essential coverage and listening criteria set by Government for a successful ASO."</w:t>
      </w:r>
    </w:p>
    <w:p w14:paraId="0F1970E5" w14:textId="77777777" w:rsidR="00446B5F" w:rsidRPr="00861553" w:rsidRDefault="00067123" w:rsidP="006F1D7C">
      <w:pPr>
        <w:pStyle w:val="ListParagraph"/>
        <w:widowControl w:val="0"/>
        <w:numPr>
          <w:ilvl w:val="0"/>
          <w:numId w:val="37"/>
        </w:numPr>
        <w:tabs>
          <w:tab w:val="left" w:pos="9050"/>
        </w:tabs>
        <w:autoSpaceDE w:val="0"/>
        <w:autoSpaceDN w:val="0"/>
        <w:adjustRightInd w:val="0"/>
        <w:ind w:right="18"/>
        <w:rPr>
          <w:rFonts w:cs="Arial"/>
          <w:sz w:val="22"/>
          <w:szCs w:val="22"/>
        </w:rPr>
      </w:pPr>
      <w:r w:rsidRPr="00861553">
        <w:rPr>
          <w:rFonts w:cs="Arial"/>
          <w:bCs/>
          <w:sz w:val="22"/>
          <w:szCs w:val="22"/>
        </w:rPr>
        <w:t>"A further extension of our FM licences would provide us with the confidence and security to continue our investment and promotion of digital, in particular DAB, to ensure that the maximum amount of listeners are carried from the current analogue platform to digital.”</w:t>
      </w:r>
    </w:p>
    <w:p w14:paraId="5E0CA887" w14:textId="77777777" w:rsidR="00067123" w:rsidRDefault="00067123" w:rsidP="00067123">
      <w:pPr>
        <w:pStyle w:val="ListParagraph"/>
        <w:widowControl w:val="0"/>
        <w:numPr>
          <w:ilvl w:val="0"/>
          <w:numId w:val="37"/>
        </w:numPr>
        <w:tabs>
          <w:tab w:val="left" w:pos="9050"/>
        </w:tabs>
        <w:autoSpaceDE w:val="0"/>
        <w:autoSpaceDN w:val="0"/>
        <w:adjustRightInd w:val="0"/>
        <w:ind w:right="18"/>
        <w:rPr>
          <w:rFonts w:cs="Arial"/>
          <w:bCs/>
          <w:sz w:val="22"/>
          <w:szCs w:val="22"/>
        </w:rPr>
      </w:pPr>
      <w:r w:rsidRPr="00861553">
        <w:rPr>
          <w:rFonts w:cs="Arial"/>
          <w:bCs/>
          <w:sz w:val="22"/>
          <w:szCs w:val="22"/>
        </w:rPr>
        <w:t>"This approach (Option 2) would enable continued support and investment in digital radio.” </w:t>
      </w:r>
    </w:p>
    <w:p w14:paraId="79BE0E62" w14:textId="77777777" w:rsidR="0059771F" w:rsidRDefault="0059771F" w:rsidP="00861553">
      <w:pPr>
        <w:widowControl w:val="0"/>
        <w:tabs>
          <w:tab w:val="left" w:pos="9050"/>
        </w:tabs>
        <w:autoSpaceDE w:val="0"/>
        <w:autoSpaceDN w:val="0"/>
        <w:adjustRightInd w:val="0"/>
        <w:ind w:right="18"/>
        <w:rPr>
          <w:rFonts w:cs="Arial"/>
          <w:bCs/>
          <w:sz w:val="22"/>
          <w:szCs w:val="22"/>
        </w:rPr>
      </w:pPr>
    </w:p>
    <w:p w14:paraId="2435B182" w14:textId="22E2CA37" w:rsidR="0059771F" w:rsidRPr="00861553" w:rsidRDefault="0059771F" w:rsidP="00861553">
      <w:pPr>
        <w:widowControl w:val="0"/>
        <w:tabs>
          <w:tab w:val="left" w:pos="9050"/>
        </w:tabs>
        <w:autoSpaceDE w:val="0"/>
        <w:autoSpaceDN w:val="0"/>
        <w:adjustRightInd w:val="0"/>
        <w:ind w:right="18"/>
        <w:rPr>
          <w:rFonts w:cs="Arial"/>
          <w:bCs/>
          <w:sz w:val="22"/>
          <w:szCs w:val="22"/>
        </w:rPr>
      </w:pPr>
      <w:r>
        <w:rPr>
          <w:rFonts w:cs="Arial"/>
          <w:bCs/>
          <w:sz w:val="22"/>
          <w:szCs w:val="22"/>
        </w:rPr>
        <w:t xml:space="preserve">The licences in question are able to be renewed only on the condition that the incumbent provides a service on DAB. This inherently means the licensee will need to invest in DAB to some degree. However, a new entrant who won a newly-advertised licence would </w:t>
      </w:r>
      <w:r w:rsidRPr="00861553">
        <w:rPr>
          <w:rFonts w:cs="Arial"/>
          <w:bCs/>
          <w:sz w:val="22"/>
          <w:szCs w:val="22"/>
          <w:u w:val="single"/>
        </w:rPr>
        <w:t>not</w:t>
      </w:r>
      <w:r>
        <w:rPr>
          <w:rFonts w:cs="Arial"/>
          <w:bCs/>
          <w:sz w:val="22"/>
          <w:szCs w:val="22"/>
        </w:rPr>
        <w:t xml:space="preserve"> be required to broadcast on DAB as a condition of the licence, and we therefore consider that it is less likely they will invest, or invest as heavily, in digital radio.</w:t>
      </w:r>
    </w:p>
    <w:p w14:paraId="494AF703" w14:textId="77777777" w:rsidR="00D01A1D" w:rsidRPr="00861553" w:rsidRDefault="00D01A1D" w:rsidP="00067123">
      <w:pPr>
        <w:pStyle w:val="ListParagraph"/>
        <w:widowControl w:val="0"/>
        <w:tabs>
          <w:tab w:val="left" w:pos="9050"/>
        </w:tabs>
        <w:autoSpaceDE w:val="0"/>
        <w:autoSpaceDN w:val="0"/>
        <w:adjustRightInd w:val="0"/>
        <w:ind w:right="18"/>
        <w:rPr>
          <w:rFonts w:cs="Arial"/>
          <w:sz w:val="22"/>
          <w:szCs w:val="22"/>
        </w:rPr>
      </w:pPr>
    </w:p>
    <w:p w14:paraId="2637E4A3" w14:textId="4545FA0B" w:rsidR="00D01A1D" w:rsidRPr="00861553" w:rsidRDefault="00D01A1D" w:rsidP="00D01A1D">
      <w:pPr>
        <w:widowControl w:val="0"/>
        <w:tabs>
          <w:tab w:val="left" w:pos="9050"/>
        </w:tabs>
        <w:autoSpaceDE w:val="0"/>
        <w:autoSpaceDN w:val="0"/>
        <w:adjustRightInd w:val="0"/>
        <w:ind w:right="18"/>
        <w:jc w:val="both"/>
        <w:rPr>
          <w:rFonts w:cs="Arial"/>
          <w:i/>
          <w:sz w:val="22"/>
          <w:szCs w:val="22"/>
        </w:rPr>
      </w:pPr>
      <w:r w:rsidRPr="00861553">
        <w:rPr>
          <w:rFonts w:cs="Arial"/>
          <w:i/>
          <w:sz w:val="22"/>
          <w:szCs w:val="22"/>
        </w:rPr>
        <w:t>Small and micro businesses</w:t>
      </w:r>
    </w:p>
    <w:p w14:paraId="4EE822F7" w14:textId="77777777" w:rsidR="0043603C" w:rsidRPr="00861553" w:rsidRDefault="0043603C" w:rsidP="00115388">
      <w:pPr>
        <w:widowControl w:val="0"/>
        <w:tabs>
          <w:tab w:val="left" w:pos="9050"/>
        </w:tabs>
        <w:autoSpaceDE w:val="0"/>
        <w:autoSpaceDN w:val="0"/>
        <w:adjustRightInd w:val="0"/>
        <w:ind w:right="18"/>
        <w:rPr>
          <w:rFonts w:cs="Arial"/>
          <w:sz w:val="22"/>
          <w:szCs w:val="22"/>
        </w:rPr>
      </w:pPr>
    </w:p>
    <w:p w14:paraId="6936A3D9" w14:textId="4306F249" w:rsidR="00446B5F" w:rsidRPr="00861553" w:rsidRDefault="00446B5F" w:rsidP="00115388">
      <w:pPr>
        <w:widowControl w:val="0"/>
        <w:tabs>
          <w:tab w:val="left" w:pos="9050"/>
        </w:tabs>
        <w:autoSpaceDE w:val="0"/>
        <w:autoSpaceDN w:val="0"/>
        <w:adjustRightInd w:val="0"/>
        <w:ind w:right="18"/>
        <w:rPr>
          <w:rFonts w:cs="Arial"/>
          <w:sz w:val="22"/>
          <w:szCs w:val="22"/>
        </w:rPr>
      </w:pPr>
      <w:r w:rsidRPr="00861553">
        <w:rPr>
          <w:rFonts w:cs="Arial"/>
          <w:sz w:val="22"/>
          <w:szCs w:val="22"/>
        </w:rPr>
        <w:t xml:space="preserve">The effect on the smaller local stations </w:t>
      </w:r>
      <w:r w:rsidR="00E73453" w:rsidRPr="00861553">
        <w:rPr>
          <w:rFonts w:cs="Arial"/>
          <w:sz w:val="22"/>
          <w:szCs w:val="22"/>
        </w:rPr>
        <w:t>is also a</w:t>
      </w:r>
      <w:r w:rsidR="00A546E3" w:rsidRPr="00861553">
        <w:rPr>
          <w:rFonts w:cs="Arial"/>
          <w:sz w:val="22"/>
          <w:szCs w:val="22"/>
        </w:rPr>
        <w:t xml:space="preserve"> consideration. In the</w:t>
      </w:r>
      <w:r w:rsidRPr="00861553">
        <w:rPr>
          <w:rFonts w:cs="Arial"/>
          <w:sz w:val="22"/>
          <w:szCs w:val="22"/>
        </w:rPr>
        <w:t xml:space="preserve"> study carried out by Value Partners, in interviews they conducted with </w:t>
      </w:r>
      <w:r w:rsidR="00B621BB" w:rsidRPr="00861553">
        <w:rPr>
          <w:rFonts w:cs="Arial"/>
          <w:sz w:val="22"/>
          <w:szCs w:val="22"/>
        </w:rPr>
        <w:t>stakeholder</w:t>
      </w:r>
      <w:r w:rsidR="00A546E3" w:rsidRPr="00861553">
        <w:rPr>
          <w:rFonts w:cs="Arial"/>
          <w:sz w:val="22"/>
          <w:szCs w:val="22"/>
        </w:rPr>
        <w:t>s</w:t>
      </w:r>
      <w:r w:rsidR="00B621BB" w:rsidRPr="00861553">
        <w:rPr>
          <w:rFonts w:cs="Arial"/>
          <w:sz w:val="22"/>
          <w:szCs w:val="22"/>
        </w:rPr>
        <w:t xml:space="preserve"> </w:t>
      </w:r>
      <w:r w:rsidRPr="00861553">
        <w:rPr>
          <w:rFonts w:cs="Arial"/>
          <w:sz w:val="22"/>
          <w:szCs w:val="22"/>
        </w:rPr>
        <w:t>in the industry it was not</w:t>
      </w:r>
      <w:r w:rsidR="00A546E3" w:rsidRPr="00861553">
        <w:rPr>
          <w:rFonts w:cs="Arial"/>
          <w:sz w:val="22"/>
          <w:szCs w:val="22"/>
        </w:rPr>
        <w:t>ed that:</w:t>
      </w:r>
      <w:r w:rsidR="00D01A1D" w:rsidRPr="00861553">
        <w:rPr>
          <w:rFonts w:cs="Arial"/>
          <w:sz w:val="22"/>
          <w:szCs w:val="22"/>
        </w:rPr>
        <w:t xml:space="preserve"> </w:t>
      </w:r>
      <w:r w:rsidR="00A546E3" w:rsidRPr="00861553">
        <w:rPr>
          <w:rFonts w:cs="Arial"/>
          <w:sz w:val="22"/>
          <w:szCs w:val="22"/>
        </w:rPr>
        <w:t>“t</w:t>
      </w:r>
      <w:r w:rsidRPr="00861553">
        <w:rPr>
          <w:rFonts w:cs="Arial"/>
          <w:sz w:val="22"/>
          <w:szCs w:val="22"/>
        </w:rPr>
        <w:t>he majority of small local stations have limited revenue</w:t>
      </w:r>
      <w:r w:rsidR="009B52E8" w:rsidRPr="00861553">
        <w:rPr>
          <w:rFonts w:cs="Arial"/>
          <w:sz w:val="22"/>
          <w:szCs w:val="22"/>
        </w:rPr>
        <w:t>,</w:t>
      </w:r>
      <w:r w:rsidRPr="00861553">
        <w:rPr>
          <w:rFonts w:cs="Arial"/>
          <w:sz w:val="22"/>
          <w:szCs w:val="22"/>
        </w:rPr>
        <w:t xml:space="preserve"> they just scrape by” and “if you have less than 50</w:t>
      </w:r>
      <w:r w:rsidR="00A546E3" w:rsidRPr="00861553">
        <w:rPr>
          <w:rFonts w:cs="Arial"/>
          <w:sz w:val="22"/>
          <w:szCs w:val="22"/>
        </w:rPr>
        <w:t>0k listeners you are struggling.”</w:t>
      </w:r>
      <w:r w:rsidRPr="00861553">
        <w:rPr>
          <w:rFonts w:cs="Arial"/>
          <w:sz w:val="22"/>
          <w:szCs w:val="22"/>
        </w:rPr>
        <w:t xml:space="preserve"> </w:t>
      </w:r>
      <w:r w:rsidR="00A546E3" w:rsidRPr="00861553">
        <w:rPr>
          <w:rFonts w:cs="Arial"/>
          <w:sz w:val="22"/>
          <w:szCs w:val="22"/>
        </w:rPr>
        <w:t>T</w:t>
      </w:r>
      <w:r w:rsidR="009B52E8" w:rsidRPr="00861553">
        <w:rPr>
          <w:rFonts w:cs="Arial"/>
          <w:sz w:val="22"/>
          <w:szCs w:val="22"/>
        </w:rPr>
        <w:t>he</w:t>
      </w:r>
      <w:r w:rsidR="00A546E3" w:rsidRPr="00861553">
        <w:rPr>
          <w:rFonts w:cs="Arial"/>
          <w:sz w:val="22"/>
          <w:szCs w:val="22"/>
        </w:rPr>
        <w:t xml:space="preserve"> financial </w:t>
      </w:r>
      <w:r w:rsidR="009B52E8" w:rsidRPr="00861553">
        <w:rPr>
          <w:rFonts w:cs="Arial"/>
          <w:sz w:val="22"/>
          <w:szCs w:val="22"/>
        </w:rPr>
        <w:t>impac</w:t>
      </w:r>
      <w:r w:rsidR="00A546E3" w:rsidRPr="00861553">
        <w:rPr>
          <w:rFonts w:cs="Arial"/>
          <w:sz w:val="22"/>
          <w:szCs w:val="22"/>
        </w:rPr>
        <w:t xml:space="preserve">t on </w:t>
      </w:r>
      <w:r w:rsidR="009B52E8" w:rsidRPr="00861553">
        <w:rPr>
          <w:rFonts w:cs="Arial"/>
          <w:sz w:val="22"/>
          <w:szCs w:val="22"/>
        </w:rPr>
        <w:t>smaller station</w:t>
      </w:r>
      <w:r w:rsidR="00A546E3" w:rsidRPr="00861553">
        <w:rPr>
          <w:rFonts w:cs="Arial"/>
          <w:sz w:val="22"/>
          <w:szCs w:val="22"/>
        </w:rPr>
        <w:t>s</w:t>
      </w:r>
      <w:r w:rsidR="009B52E8" w:rsidRPr="00861553">
        <w:rPr>
          <w:rFonts w:cs="Arial"/>
          <w:sz w:val="22"/>
          <w:szCs w:val="22"/>
        </w:rPr>
        <w:t xml:space="preserve"> </w:t>
      </w:r>
      <w:r w:rsidR="00A546E3" w:rsidRPr="00861553">
        <w:rPr>
          <w:rFonts w:cs="Arial"/>
          <w:sz w:val="22"/>
          <w:szCs w:val="22"/>
        </w:rPr>
        <w:t xml:space="preserve">having to </w:t>
      </w:r>
      <w:r w:rsidR="009B52E8" w:rsidRPr="00861553">
        <w:rPr>
          <w:rFonts w:cs="Arial"/>
          <w:sz w:val="22"/>
          <w:szCs w:val="22"/>
        </w:rPr>
        <w:t xml:space="preserve">spend significant amounts of money and time </w:t>
      </w:r>
      <w:r w:rsidR="00A546E3" w:rsidRPr="00861553">
        <w:rPr>
          <w:rFonts w:cs="Arial"/>
          <w:sz w:val="22"/>
          <w:szCs w:val="22"/>
        </w:rPr>
        <w:t>on winning a licence is therefore likely to</w:t>
      </w:r>
      <w:r w:rsidR="009B52E8" w:rsidRPr="00861553">
        <w:rPr>
          <w:rFonts w:cs="Arial"/>
          <w:sz w:val="22"/>
          <w:szCs w:val="22"/>
        </w:rPr>
        <w:t xml:space="preserve"> be </w:t>
      </w:r>
      <w:r w:rsidR="00A546E3" w:rsidRPr="00861553">
        <w:rPr>
          <w:rFonts w:cs="Arial"/>
          <w:sz w:val="22"/>
          <w:szCs w:val="22"/>
        </w:rPr>
        <w:t>greater than the effect on t</w:t>
      </w:r>
      <w:r w:rsidR="009B52E8" w:rsidRPr="00861553">
        <w:rPr>
          <w:rFonts w:cs="Arial"/>
          <w:sz w:val="22"/>
          <w:szCs w:val="22"/>
        </w:rPr>
        <w:t xml:space="preserve">he larger stations. </w:t>
      </w:r>
      <w:r w:rsidR="00B77D33" w:rsidRPr="00861553">
        <w:rPr>
          <w:rFonts w:cs="Arial"/>
          <w:sz w:val="22"/>
          <w:szCs w:val="22"/>
        </w:rPr>
        <w:t>We would also assume</w:t>
      </w:r>
      <w:r w:rsidR="00A546E3" w:rsidRPr="00861553">
        <w:rPr>
          <w:rFonts w:cs="Arial"/>
          <w:sz w:val="22"/>
          <w:szCs w:val="22"/>
        </w:rPr>
        <w:t>, given the responses to the consultation indicate that it is larger licences that are more likely to be contested, that</w:t>
      </w:r>
      <w:r w:rsidR="00E73453" w:rsidRPr="00861553">
        <w:rPr>
          <w:rFonts w:cs="Arial"/>
          <w:sz w:val="22"/>
          <w:szCs w:val="22"/>
        </w:rPr>
        <w:t xml:space="preserve"> </w:t>
      </w:r>
      <w:r w:rsidR="00B77D33" w:rsidRPr="00861553">
        <w:rPr>
          <w:rFonts w:cs="Arial"/>
          <w:sz w:val="22"/>
          <w:szCs w:val="22"/>
        </w:rPr>
        <w:t>com</w:t>
      </w:r>
      <w:r w:rsidR="00A546E3" w:rsidRPr="00861553">
        <w:rPr>
          <w:rFonts w:cs="Arial"/>
          <w:sz w:val="22"/>
          <w:szCs w:val="22"/>
        </w:rPr>
        <w:t>petition for the small local licences would be minimal - hence these stations co</w:t>
      </w:r>
      <w:r w:rsidR="00B77D33" w:rsidRPr="00861553">
        <w:rPr>
          <w:rFonts w:cs="Arial"/>
          <w:sz w:val="22"/>
          <w:szCs w:val="22"/>
        </w:rPr>
        <w:t>uld be incurring large costs for little need.</w:t>
      </w:r>
      <w:r w:rsidRPr="00861553">
        <w:rPr>
          <w:rFonts w:cs="Arial"/>
          <w:sz w:val="22"/>
          <w:szCs w:val="22"/>
        </w:rPr>
        <w:t xml:space="preserve"> </w:t>
      </w:r>
      <w:r w:rsidR="009B52E8" w:rsidRPr="00861553">
        <w:rPr>
          <w:rFonts w:cs="Arial"/>
          <w:sz w:val="22"/>
          <w:szCs w:val="22"/>
        </w:rPr>
        <w:t xml:space="preserve">We are unable to </w:t>
      </w:r>
      <w:r w:rsidR="00A546E3" w:rsidRPr="00861553">
        <w:rPr>
          <w:rFonts w:cs="Arial"/>
          <w:sz w:val="22"/>
          <w:szCs w:val="22"/>
        </w:rPr>
        <w:t>demonstrate this fully</w:t>
      </w:r>
      <w:r w:rsidR="009B52E8" w:rsidRPr="00861553">
        <w:rPr>
          <w:rFonts w:cs="Arial"/>
          <w:sz w:val="22"/>
          <w:szCs w:val="22"/>
        </w:rPr>
        <w:t xml:space="preserve"> </w:t>
      </w:r>
      <w:r w:rsidR="00A546E3" w:rsidRPr="00861553">
        <w:rPr>
          <w:rFonts w:cs="Arial"/>
          <w:sz w:val="22"/>
          <w:szCs w:val="22"/>
        </w:rPr>
        <w:t>as we</w:t>
      </w:r>
      <w:r w:rsidR="009B52E8" w:rsidRPr="00861553">
        <w:rPr>
          <w:rFonts w:cs="Arial"/>
          <w:sz w:val="22"/>
          <w:szCs w:val="22"/>
        </w:rPr>
        <w:t xml:space="preserve"> lack data </w:t>
      </w:r>
      <w:r w:rsidR="00E73453" w:rsidRPr="00861553">
        <w:rPr>
          <w:rFonts w:cs="Arial"/>
          <w:sz w:val="22"/>
          <w:szCs w:val="22"/>
        </w:rPr>
        <w:t>on</w:t>
      </w:r>
      <w:r w:rsidR="009B52E8" w:rsidRPr="00861553">
        <w:rPr>
          <w:rFonts w:cs="Arial"/>
          <w:sz w:val="22"/>
          <w:szCs w:val="22"/>
        </w:rPr>
        <w:t xml:space="preserve"> the exact costs to these small business and </w:t>
      </w:r>
      <w:r w:rsidR="00A546E3" w:rsidRPr="00861553">
        <w:rPr>
          <w:rFonts w:cs="Arial"/>
          <w:sz w:val="22"/>
          <w:szCs w:val="22"/>
        </w:rPr>
        <w:t>detailed</w:t>
      </w:r>
      <w:r w:rsidR="009B52E8" w:rsidRPr="00861553">
        <w:rPr>
          <w:rFonts w:cs="Arial"/>
          <w:sz w:val="22"/>
          <w:szCs w:val="22"/>
        </w:rPr>
        <w:t xml:space="preserve"> </w:t>
      </w:r>
      <w:r w:rsidR="00E73453" w:rsidRPr="00861553">
        <w:rPr>
          <w:rFonts w:cs="Arial"/>
          <w:sz w:val="22"/>
          <w:szCs w:val="22"/>
        </w:rPr>
        <w:t xml:space="preserve">information on their </w:t>
      </w:r>
      <w:r w:rsidR="009B52E8" w:rsidRPr="00861553">
        <w:rPr>
          <w:rFonts w:cs="Arial"/>
          <w:sz w:val="22"/>
          <w:szCs w:val="22"/>
        </w:rPr>
        <w:t>finances, however from the independent research, market research and interviews, we can be confident there would be a</w:t>
      </w:r>
      <w:r w:rsidR="007B477B" w:rsidRPr="00861553">
        <w:rPr>
          <w:rFonts w:cs="Arial"/>
          <w:sz w:val="22"/>
          <w:szCs w:val="22"/>
        </w:rPr>
        <w:t xml:space="preserve"> </w:t>
      </w:r>
      <w:r w:rsidR="00A546E3" w:rsidRPr="00861553">
        <w:rPr>
          <w:rFonts w:cs="Arial"/>
          <w:sz w:val="22"/>
          <w:szCs w:val="22"/>
        </w:rPr>
        <w:t>significant negative impact</w:t>
      </w:r>
      <w:r w:rsidR="009B52E8" w:rsidRPr="00861553">
        <w:rPr>
          <w:rFonts w:cs="Arial"/>
          <w:sz w:val="22"/>
          <w:szCs w:val="22"/>
        </w:rPr>
        <w:t xml:space="preserve"> </w:t>
      </w:r>
      <w:r w:rsidR="00A546E3" w:rsidRPr="00861553">
        <w:rPr>
          <w:rFonts w:cs="Arial"/>
          <w:sz w:val="22"/>
          <w:szCs w:val="22"/>
        </w:rPr>
        <w:t xml:space="preserve">on </w:t>
      </w:r>
      <w:r w:rsidR="00B77D33" w:rsidRPr="00861553">
        <w:rPr>
          <w:rFonts w:cs="Arial"/>
          <w:sz w:val="22"/>
          <w:szCs w:val="22"/>
        </w:rPr>
        <w:t xml:space="preserve">smaller local stations due to their </w:t>
      </w:r>
      <w:r w:rsidR="00A546E3" w:rsidRPr="00861553">
        <w:rPr>
          <w:rFonts w:cs="Arial"/>
          <w:sz w:val="22"/>
          <w:szCs w:val="22"/>
        </w:rPr>
        <w:t>smaller</w:t>
      </w:r>
      <w:r w:rsidR="00B77D33" w:rsidRPr="00861553">
        <w:rPr>
          <w:rFonts w:cs="Arial"/>
          <w:sz w:val="22"/>
          <w:szCs w:val="22"/>
        </w:rPr>
        <w:t xml:space="preserve"> budgets</w:t>
      </w:r>
      <w:r w:rsidR="00A546E3" w:rsidRPr="00861553">
        <w:rPr>
          <w:rFonts w:cs="Arial"/>
          <w:sz w:val="22"/>
          <w:szCs w:val="22"/>
        </w:rPr>
        <w:t xml:space="preserve">. We also believe the impact would be greater as smaller local stations are unable to </w:t>
      </w:r>
      <w:r w:rsidR="00E73453" w:rsidRPr="00861553">
        <w:rPr>
          <w:rFonts w:cs="Arial"/>
          <w:sz w:val="22"/>
          <w:szCs w:val="22"/>
        </w:rPr>
        <w:t>save money by syndicating</w:t>
      </w:r>
      <w:r w:rsidR="00A546E3" w:rsidRPr="00861553">
        <w:rPr>
          <w:rFonts w:cs="Arial"/>
          <w:sz w:val="22"/>
          <w:szCs w:val="22"/>
        </w:rPr>
        <w:t xml:space="preserve"> or shar</w:t>
      </w:r>
      <w:r w:rsidR="00E73453" w:rsidRPr="00861553">
        <w:rPr>
          <w:rFonts w:cs="Arial"/>
          <w:sz w:val="22"/>
          <w:szCs w:val="22"/>
        </w:rPr>
        <w:t>ing</w:t>
      </w:r>
      <w:r w:rsidR="00A546E3" w:rsidRPr="00861553">
        <w:rPr>
          <w:rFonts w:cs="Arial"/>
          <w:sz w:val="22"/>
          <w:szCs w:val="22"/>
        </w:rPr>
        <w:t xml:space="preserve"> fixed costs across a network of stations in the same way tha</w:t>
      </w:r>
      <w:r w:rsidR="00861553">
        <w:rPr>
          <w:rFonts w:cs="Arial"/>
          <w:sz w:val="22"/>
          <w:szCs w:val="22"/>
        </w:rPr>
        <w:t>t larger radio groups are able.</w:t>
      </w:r>
    </w:p>
    <w:p w14:paraId="70389A17" w14:textId="77777777" w:rsidR="00BE37B4" w:rsidRPr="00861553" w:rsidRDefault="00BE37B4" w:rsidP="00B405DA">
      <w:pPr>
        <w:widowControl w:val="0"/>
        <w:tabs>
          <w:tab w:val="left" w:pos="9050"/>
        </w:tabs>
        <w:autoSpaceDE w:val="0"/>
        <w:autoSpaceDN w:val="0"/>
        <w:adjustRightInd w:val="0"/>
        <w:ind w:right="18"/>
        <w:jc w:val="both"/>
        <w:rPr>
          <w:rFonts w:cs="Arial"/>
          <w:sz w:val="22"/>
          <w:szCs w:val="22"/>
        </w:rPr>
      </w:pPr>
    </w:p>
    <w:p w14:paraId="467C5187" w14:textId="77777777" w:rsidR="00A60C02" w:rsidRPr="00861553" w:rsidRDefault="00A60C02" w:rsidP="00B405DA">
      <w:pPr>
        <w:widowControl w:val="0"/>
        <w:tabs>
          <w:tab w:val="left" w:pos="9050"/>
        </w:tabs>
        <w:autoSpaceDE w:val="0"/>
        <w:autoSpaceDN w:val="0"/>
        <w:adjustRightInd w:val="0"/>
        <w:ind w:right="18"/>
        <w:jc w:val="both"/>
        <w:rPr>
          <w:rFonts w:cs="Arial"/>
          <w:b/>
        </w:rPr>
      </w:pPr>
      <w:r w:rsidRPr="00861553">
        <w:rPr>
          <w:rFonts w:cs="Arial"/>
          <w:b/>
        </w:rPr>
        <w:t>Benefits</w:t>
      </w:r>
    </w:p>
    <w:p w14:paraId="52707F2D" w14:textId="77777777" w:rsidR="00916B0B" w:rsidRPr="00861553" w:rsidRDefault="00916B0B" w:rsidP="00B405DA">
      <w:pPr>
        <w:widowControl w:val="0"/>
        <w:tabs>
          <w:tab w:val="left" w:pos="9050"/>
        </w:tabs>
        <w:autoSpaceDE w:val="0"/>
        <w:autoSpaceDN w:val="0"/>
        <w:adjustRightInd w:val="0"/>
        <w:ind w:right="18"/>
        <w:jc w:val="both"/>
        <w:rPr>
          <w:rFonts w:cs="Arial"/>
          <w:b/>
          <w:sz w:val="22"/>
          <w:szCs w:val="22"/>
        </w:rPr>
      </w:pPr>
    </w:p>
    <w:p w14:paraId="40CBB797" w14:textId="038B2644" w:rsidR="00916B0B" w:rsidRPr="00861553" w:rsidRDefault="00916B0B" w:rsidP="00B405DA">
      <w:pPr>
        <w:widowControl w:val="0"/>
        <w:tabs>
          <w:tab w:val="left" w:pos="9050"/>
        </w:tabs>
        <w:autoSpaceDE w:val="0"/>
        <w:autoSpaceDN w:val="0"/>
        <w:adjustRightInd w:val="0"/>
        <w:ind w:right="18"/>
        <w:jc w:val="both"/>
        <w:rPr>
          <w:rFonts w:cs="Arial"/>
          <w:sz w:val="22"/>
          <w:szCs w:val="22"/>
        </w:rPr>
      </w:pPr>
      <w:r w:rsidRPr="00861553">
        <w:rPr>
          <w:rFonts w:cs="Arial"/>
          <w:sz w:val="22"/>
          <w:szCs w:val="22"/>
        </w:rPr>
        <w:t>Due to the lack of quantified evidence and data surrounding the impacts of opening the market to competition it is not possible to obtain any quantification of the benefits option 1 would create. We can however, give a relatively accurate qualitative narrative surrounding the potential benefits re-tendering may induce, based on evidence and trends from the industry.</w:t>
      </w:r>
    </w:p>
    <w:p w14:paraId="2A50748C" w14:textId="77777777" w:rsidR="00B77D33" w:rsidRPr="00861553" w:rsidRDefault="00B77D33" w:rsidP="00B405DA">
      <w:pPr>
        <w:widowControl w:val="0"/>
        <w:tabs>
          <w:tab w:val="left" w:pos="9050"/>
        </w:tabs>
        <w:autoSpaceDE w:val="0"/>
        <w:autoSpaceDN w:val="0"/>
        <w:adjustRightInd w:val="0"/>
        <w:ind w:right="18"/>
        <w:jc w:val="both"/>
        <w:rPr>
          <w:rFonts w:cs="Arial"/>
          <w:b/>
          <w:sz w:val="22"/>
          <w:szCs w:val="22"/>
        </w:rPr>
      </w:pPr>
    </w:p>
    <w:p w14:paraId="4D05BD5E" w14:textId="7882F150" w:rsidR="00916B0B" w:rsidRPr="00861553" w:rsidRDefault="00916B0B" w:rsidP="00B405DA">
      <w:pPr>
        <w:widowControl w:val="0"/>
        <w:tabs>
          <w:tab w:val="left" w:pos="9050"/>
        </w:tabs>
        <w:autoSpaceDE w:val="0"/>
        <w:autoSpaceDN w:val="0"/>
        <w:adjustRightInd w:val="0"/>
        <w:ind w:right="18"/>
        <w:jc w:val="both"/>
        <w:rPr>
          <w:rFonts w:cs="Arial"/>
          <w:b/>
          <w:sz w:val="22"/>
          <w:szCs w:val="22"/>
          <w:u w:val="single"/>
        </w:rPr>
      </w:pPr>
      <w:r w:rsidRPr="00861553">
        <w:rPr>
          <w:rFonts w:cs="Arial"/>
          <w:b/>
          <w:sz w:val="22"/>
          <w:szCs w:val="22"/>
          <w:u w:val="single"/>
        </w:rPr>
        <w:t>Non-monetised benefits</w:t>
      </w:r>
    </w:p>
    <w:p w14:paraId="703E9F47" w14:textId="77777777" w:rsidR="00916B0B" w:rsidRPr="00861553" w:rsidRDefault="00916B0B" w:rsidP="00B405DA">
      <w:pPr>
        <w:widowControl w:val="0"/>
        <w:tabs>
          <w:tab w:val="left" w:pos="9050"/>
        </w:tabs>
        <w:autoSpaceDE w:val="0"/>
        <w:autoSpaceDN w:val="0"/>
        <w:adjustRightInd w:val="0"/>
        <w:ind w:right="18"/>
        <w:jc w:val="both"/>
        <w:rPr>
          <w:rFonts w:cs="Arial"/>
          <w:b/>
          <w:sz w:val="22"/>
          <w:szCs w:val="22"/>
        </w:rPr>
      </w:pPr>
    </w:p>
    <w:p w14:paraId="02772B5F" w14:textId="740A22F8" w:rsidR="00D22C27" w:rsidRPr="00861553" w:rsidRDefault="00D22C27" w:rsidP="00B405DA">
      <w:pPr>
        <w:widowControl w:val="0"/>
        <w:tabs>
          <w:tab w:val="left" w:pos="9050"/>
        </w:tabs>
        <w:autoSpaceDE w:val="0"/>
        <w:autoSpaceDN w:val="0"/>
        <w:adjustRightInd w:val="0"/>
        <w:ind w:right="18"/>
        <w:jc w:val="both"/>
        <w:rPr>
          <w:rFonts w:cs="Arial"/>
          <w:i/>
          <w:sz w:val="22"/>
          <w:szCs w:val="22"/>
        </w:rPr>
      </w:pPr>
      <w:r w:rsidRPr="00861553">
        <w:rPr>
          <w:rFonts w:cs="Arial"/>
          <w:i/>
          <w:sz w:val="22"/>
          <w:szCs w:val="22"/>
        </w:rPr>
        <w:lastRenderedPageBreak/>
        <w:t>New entrants</w:t>
      </w:r>
    </w:p>
    <w:p w14:paraId="30C79775" w14:textId="77777777" w:rsidR="00D22C27" w:rsidRPr="00861553" w:rsidRDefault="00D22C27" w:rsidP="00B405DA">
      <w:pPr>
        <w:widowControl w:val="0"/>
        <w:tabs>
          <w:tab w:val="left" w:pos="9050"/>
        </w:tabs>
        <w:autoSpaceDE w:val="0"/>
        <w:autoSpaceDN w:val="0"/>
        <w:adjustRightInd w:val="0"/>
        <w:ind w:right="18"/>
        <w:jc w:val="both"/>
        <w:rPr>
          <w:rFonts w:cs="Arial"/>
          <w:b/>
          <w:sz w:val="22"/>
          <w:szCs w:val="22"/>
        </w:rPr>
      </w:pPr>
    </w:p>
    <w:p w14:paraId="6B93E3CB" w14:textId="77777777" w:rsidR="00B73F07" w:rsidRPr="00861553" w:rsidRDefault="00A546E3" w:rsidP="00B405DA">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 xml:space="preserve">The main benefit of this option </w:t>
      </w:r>
      <w:r w:rsidR="004F5DBA" w:rsidRPr="00861553">
        <w:rPr>
          <w:rFonts w:eastAsiaTheme="minorHAnsi" w:cs="Arial"/>
          <w:sz w:val="22"/>
          <w:szCs w:val="22"/>
        </w:rPr>
        <w:t>would be</w:t>
      </w:r>
      <w:r w:rsidRPr="00861553">
        <w:rPr>
          <w:rFonts w:eastAsiaTheme="minorHAnsi" w:cs="Arial"/>
          <w:sz w:val="22"/>
          <w:szCs w:val="22"/>
        </w:rPr>
        <w:t xml:space="preserve"> that t</w:t>
      </w:r>
      <w:r w:rsidR="00A60C02" w:rsidRPr="00861553">
        <w:rPr>
          <w:rFonts w:eastAsiaTheme="minorHAnsi" w:cs="Arial"/>
          <w:sz w:val="22"/>
          <w:szCs w:val="22"/>
        </w:rPr>
        <w:t>he market is open</w:t>
      </w:r>
      <w:r w:rsidRPr="00861553">
        <w:rPr>
          <w:rFonts w:eastAsiaTheme="minorHAnsi" w:cs="Arial"/>
          <w:sz w:val="22"/>
          <w:szCs w:val="22"/>
        </w:rPr>
        <w:t>ed up to potential</w:t>
      </w:r>
      <w:r w:rsidR="00A60C02" w:rsidRPr="00861553">
        <w:rPr>
          <w:rFonts w:eastAsiaTheme="minorHAnsi" w:cs="Arial"/>
          <w:sz w:val="22"/>
          <w:szCs w:val="22"/>
        </w:rPr>
        <w:t xml:space="preserve"> competition, allowing new entrants and radio stations which currently don’t hold a licence the opportunity to bid and obtain one.</w:t>
      </w:r>
      <w:r w:rsidRPr="00861553">
        <w:rPr>
          <w:rFonts w:eastAsiaTheme="minorHAnsi" w:cs="Arial"/>
          <w:sz w:val="22"/>
          <w:szCs w:val="22"/>
        </w:rPr>
        <w:t xml:space="preserve"> However, as we have outlined in the costs of this option, there is little quantitative evidence to confirm that there would be significant interest in newly re-advertised radio licences, or that the competition would lead to a better outcome or an improved listening proposition for consumers.</w:t>
      </w:r>
    </w:p>
    <w:p w14:paraId="2396C0C8" w14:textId="77777777" w:rsidR="00B73F07" w:rsidRPr="00861553" w:rsidRDefault="00B73F07" w:rsidP="00B405DA">
      <w:pPr>
        <w:widowControl w:val="0"/>
        <w:tabs>
          <w:tab w:val="left" w:pos="9050"/>
        </w:tabs>
        <w:autoSpaceDE w:val="0"/>
        <w:autoSpaceDN w:val="0"/>
        <w:adjustRightInd w:val="0"/>
        <w:ind w:right="18"/>
        <w:rPr>
          <w:rFonts w:eastAsiaTheme="minorHAnsi" w:cs="Arial"/>
          <w:sz w:val="22"/>
          <w:szCs w:val="22"/>
        </w:rPr>
      </w:pPr>
    </w:p>
    <w:p w14:paraId="644E158A" w14:textId="4026E5D1" w:rsidR="00D22C27" w:rsidRPr="00861553" w:rsidRDefault="00D22C27" w:rsidP="00B405DA">
      <w:pPr>
        <w:widowControl w:val="0"/>
        <w:tabs>
          <w:tab w:val="left" w:pos="9050"/>
        </w:tabs>
        <w:autoSpaceDE w:val="0"/>
        <w:autoSpaceDN w:val="0"/>
        <w:adjustRightInd w:val="0"/>
        <w:ind w:right="18"/>
        <w:rPr>
          <w:rFonts w:eastAsiaTheme="minorHAnsi" w:cs="Arial"/>
          <w:i/>
          <w:sz w:val="22"/>
          <w:szCs w:val="22"/>
        </w:rPr>
      </w:pPr>
      <w:r w:rsidRPr="00861553">
        <w:rPr>
          <w:rFonts w:eastAsiaTheme="minorHAnsi" w:cs="Arial"/>
          <w:i/>
          <w:sz w:val="22"/>
          <w:szCs w:val="22"/>
        </w:rPr>
        <w:t>Quality of service</w:t>
      </w:r>
    </w:p>
    <w:p w14:paraId="022E2AA6" w14:textId="77777777" w:rsidR="00D22C27" w:rsidRPr="00861553" w:rsidRDefault="00D22C27" w:rsidP="00B405DA">
      <w:pPr>
        <w:widowControl w:val="0"/>
        <w:tabs>
          <w:tab w:val="left" w:pos="9050"/>
        </w:tabs>
        <w:autoSpaceDE w:val="0"/>
        <w:autoSpaceDN w:val="0"/>
        <w:adjustRightInd w:val="0"/>
        <w:ind w:right="18"/>
        <w:rPr>
          <w:rFonts w:eastAsiaTheme="minorHAnsi" w:cs="Arial"/>
          <w:sz w:val="22"/>
          <w:szCs w:val="22"/>
        </w:rPr>
      </w:pPr>
    </w:p>
    <w:p w14:paraId="696E90FF" w14:textId="484CA380" w:rsidR="000B6C74" w:rsidRPr="00861553" w:rsidRDefault="004F5DBA" w:rsidP="00B405DA">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However, g</w:t>
      </w:r>
      <w:r w:rsidR="000B6C74" w:rsidRPr="00861553">
        <w:rPr>
          <w:rFonts w:eastAsiaTheme="minorHAnsi" w:cs="Arial"/>
          <w:sz w:val="22"/>
          <w:szCs w:val="22"/>
        </w:rPr>
        <w:t xml:space="preserve">iven </w:t>
      </w:r>
      <w:r w:rsidRPr="00861553">
        <w:rPr>
          <w:rFonts w:eastAsiaTheme="minorHAnsi" w:cs="Arial"/>
          <w:sz w:val="22"/>
          <w:szCs w:val="22"/>
        </w:rPr>
        <w:t xml:space="preserve">that there is </w:t>
      </w:r>
      <w:r w:rsidR="0043603C" w:rsidRPr="00861553">
        <w:rPr>
          <w:rFonts w:eastAsiaTheme="minorHAnsi" w:cs="Arial"/>
          <w:sz w:val="22"/>
          <w:szCs w:val="22"/>
        </w:rPr>
        <w:t xml:space="preserve">at least some </w:t>
      </w:r>
      <w:r w:rsidR="000B6C74" w:rsidRPr="00861553">
        <w:rPr>
          <w:rFonts w:eastAsiaTheme="minorHAnsi" w:cs="Arial"/>
          <w:sz w:val="22"/>
          <w:szCs w:val="22"/>
        </w:rPr>
        <w:t>potential for new entrants in this scenario, a</w:t>
      </w:r>
      <w:r w:rsidR="00B73F07" w:rsidRPr="00861553">
        <w:rPr>
          <w:rFonts w:eastAsiaTheme="minorHAnsi" w:cs="Arial"/>
          <w:sz w:val="22"/>
          <w:szCs w:val="22"/>
        </w:rPr>
        <w:t xml:space="preserve"> second benefit </w:t>
      </w:r>
      <w:r w:rsidR="000B6C74" w:rsidRPr="00861553">
        <w:rPr>
          <w:rFonts w:eastAsiaTheme="minorHAnsi" w:cs="Arial"/>
          <w:sz w:val="22"/>
          <w:szCs w:val="22"/>
        </w:rPr>
        <w:t xml:space="preserve">could be </w:t>
      </w:r>
      <w:r w:rsidR="00B73F07" w:rsidRPr="00861553">
        <w:rPr>
          <w:rFonts w:eastAsiaTheme="minorHAnsi" w:cs="Arial"/>
          <w:sz w:val="22"/>
          <w:szCs w:val="22"/>
        </w:rPr>
        <w:t xml:space="preserve">an opportunity to re-secure greater commitments to high quality and varied content from licensees. </w:t>
      </w:r>
      <w:r w:rsidR="000B6C74" w:rsidRPr="00861553">
        <w:rPr>
          <w:rFonts w:eastAsiaTheme="minorHAnsi" w:cs="Arial"/>
          <w:sz w:val="22"/>
          <w:szCs w:val="22"/>
        </w:rPr>
        <w:t>We could assume, based on historic licence re-advertisement data from Ofcom</w:t>
      </w:r>
      <w:r w:rsidR="00E14100" w:rsidRPr="00861553">
        <w:rPr>
          <w:rStyle w:val="FootnoteReference"/>
          <w:rFonts w:eastAsiaTheme="minorHAnsi" w:cs="Arial"/>
          <w:szCs w:val="22"/>
        </w:rPr>
        <w:footnoteReference w:id="6"/>
      </w:r>
      <w:r w:rsidR="00133DBA" w:rsidRPr="00861553">
        <w:rPr>
          <w:rFonts w:eastAsiaTheme="minorHAnsi" w:cs="Arial"/>
          <w:sz w:val="22"/>
          <w:szCs w:val="22"/>
        </w:rPr>
        <w:t xml:space="preserve"> that</w:t>
      </w:r>
      <w:r w:rsidR="000B6C74" w:rsidRPr="00861553">
        <w:rPr>
          <w:rFonts w:eastAsiaTheme="minorHAnsi" w:cs="Arial"/>
          <w:sz w:val="22"/>
          <w:szCs w:val="22"/>
        </w:rPr>
        <w:t xml:space="preserve"> around 10% of re-advertised licences are awarded to a new operator/entrant (rather than the incumbent). This may, potentially, result in a greater commitment to high quality content, including for example local news and information, and potentially a slightly greater diversity of stations. </w:t>
      </w:r>
      <w:r w:rsidRPr="00861553">
        <w:rPr>
          <w:rFonts w:eastAsiaTheme="minorHAnsi" w:cs="Arial"/>
          <w:sz w:val="22"/>
          <w:szCs w:val="22"/>
        </w:rPr>
        <w:t>This could amount to between 6-10 new stations across the UK.</w:t>
      </w:r>
    </w:p>
    <w:p w14:paraId="51BD6665" w14:textId="77777777" w:rsidR="000B6C74" w:rsidRPr="00861553" w:rsidRDefault="000B6C74" w:rsidP="00B405DA">
      <w:pPr>
        <w:widowControl w:val="0"/>
        <w:tabs>
          <w:tab w:val="left" w:pos="9050"/>
        </w:tabs>
        <w:autoSpaceDE w:val="0"/>
        <w:autoSpaceDN w:val="0"/>
        <w:adjustRightInd w:val="0"/>
        <w:ind w:right="18"/>
        <w:rPr>
          <w:rFonts w:eastAsiaTheme="minorHAnsi" w:cs="Arial"/>
          <w:sz w:val="22"/>
          <w:szCs w:val="22"/>
        </w:rPr>
      </w:pPr>
    </w:p>
    <w:p w14:paraId="6A0E0FC6" w14:textId="0B74DFD3" w:rsidR="00773334" w:rsidRPr="00861553" w:rsidRDefault="000B6C74" w:rsidP="00B405DA">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 xml:space="preserve">However, the bidding process is by no means a guarantee of improved content. For example, at present stations are able to apply to Ofcom for permission to amend the licence conditions </w:t>
      </w:r>
      <w:r w:rsidR="004F5DBA" w:rsidRPr="00861553">
        <w:rPr>
          <w:rFonts w:eastAsiaTheme="minorHAnsi" w:cs="Arial"/>
          <w:sz w:val="22"/>
          <w:szCs w:val="22"/>
        </w:rPr>
        <w:t xml:space="preserve">to </w:t>
      </w:r>
      <w:r w:rsidRPr="00861553">
        <w:rPr>
          <w:rFonts w:eastAsiaTheme="minorHAnsi" w:cs="Arial"/>
          <w:sz w:val="22"/>
          <w:szCs w:val="22"/>
        </w:rPr>
        <w:t>which they were originally bound on the basis of what they said they would offer as part of their successful bid. The licensing p</w:t>
      </w:r>
      <w:r w:rsidR="00773334" w:rsidRPr="00861553">
        <w:rPr>
          <w:rFonts w:eastAsiaTheme="minorHAnsi" w:cs="Arial"/>
          <w:sz w:val="22"/>
          <w:szCs w:val="22"/>
        </w:rPr>
        <w:t>rocess, whilst adequate for the occasional renewals Ofcom deals w</w:t>
      </w:r>
      <w:r w:rsidR="00CD0CCF" w:rsidRPr="00861553">
        <w:rPr>
          <w:rFonts w:eastAsiaTheme="minorHAnsi" w:cs="Arial"/>
          <w:sz w:val="22"/>
          <w:szCs w:val="22"/>
        </w:rPr>
        <w:t>hich</w:t>
      </w:r>
      <w:r w:rsidR="00773334" w:rsidRPr="00861553">
        <w:rPr>
          <w:rFonts w:eastAsiaTheme="minorHAnsi" w:cs="Arial"/>
          <w:sz w:val="22"/>
          <w:szCs w:val="22"/>
        </w:rPr>
        <w:t xml:space="preserve"> at present, has not been used for large scale competition since the mid-1990s. </w:t>
      </w:r>
      <w:r w:rsidR="004F5DBA" w:rsidRPr="00861553">
        <w:rPr>
          <w:rFonts w:eastAsiaTheme="minorHAnsi" w:cs="Arial"/>
          <w:sz w:val="22"/>
          <w:szCs w:val="22"/>
        </w:rPr>
        <w:t>Therefore i</w:t>
      </w:r>
      <w:r w:rsidR="00773334" w:rsidRPr="00861553">
        <w:rPr>
          <w:rFonts w:eastAsiaTheme="minorHAnsi" w:cs="Arial"/>
          <w:sz w:val="22"/>
          <w:szCs w:val="22"/>
        </w:rPr>
        <w:t xml:space="preserve">f option 1 was pursued, Government would need to review the entire licensing framework for radio to ensure it is capable of securing better quality and wider choice. </w:t>
      </w:r>
    </w:p>
    <w:p w14:paraId="38800C07" w14:textId="77777777" w:rsidR="00773334" w:rsidRPr="00861553" w:rsidRDefault="00773334" w:rsidP="00B405DA">
      <w:pPr>
        <w:widowControl w:val="0"/>
        <w:tabs>
          <w:tab w:val="left" w:pos="9050"/>
        </w:tabs>
        <w:autoSpaceDE w:val="0"/>
        <w:autoSpaceDN w:val="0"/>
        <w:adjustRightInd w:val="0"/>
        <w:ind w:right="18"/>
        <w:rPr>
          <w:rFonts w:eastAsiaTheme="minorHAnsi" w:cs="Arial"/>
          <w:sz w:val="22"/>
          <w:szCs w:val="22"/>
        </w:rPr>
      </w:pPr>
    </w:p>
    <w:p w14:paraId="235A2E01" w14:textId="3A58A99A" w:rsidR="00A60C02" w:rsidRPr="00861553" w:rsidRDefault="0043603C" w:rsidP="00B405DA">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Furthermore</w:t>
      </w:r>
      <w:r w:rsidR="00773334" w:rsidRPr="00861553">
        <w:rPr>
          <w:rFonts w:eastAsiaTheme="minorHAnsi" w:cs="Arial"/>
          <w:sz w:val="22"/>
          <w:szCs w:val="22"/>
        </w:rPr>
        <w:t xml:space="preserve">, as more radio listening goes digital (50% digital listening expected by 2017/18) the difference between the analogue and digital regimes (the latter of which is much lighter-touch) will become much more apparent: it will be difficult to maintain the existing content requirements, which are only there as the result of the analogue licence conditions – the ability of a mass licensing process for analogue licences in 2017-2020 to drive better quality against the trend towards </w:t>
      </w:r>
      <w:r w:rsidR="009C7E71" w:rsidRPr="00861553">
        <w:rPr>
          <w:rFonts w:eastAsiaTheme="minorHAnsi" w:cs="Arial"/>
          <w:sz w:val="22"/>
          <w:szCs w:val="22"/>
        </w:rPr>
        <w:t xml:space="preserve">digital, </w:t>
      </w:r>
      <w:r w:rsidR="00773334" w:rsidRPr="00861553">
        <w:rPr>
          <w:rFonts w:eastAsiaTheme="minorHAnsi" w:cs="Arial"/>
          <w:sz w:val="22"/>
          <w:szCs w:val="22"/>
        </w:rPr>
        <w:t>is therefore likely to be limited.</w:t>
      </w:r>
      <w:r w:rsidR="00A60C02" w:rsidRPr="00861553">
        <w:rPr>
          <w:rFonts w:eastAsiaTheme="minorHAnsi" w:cs="Arial"/>
          <w:sz w:val="22"/>
          <w:szCs w:val="22"/>
        </w:rPr>
        <w:br/>
      </w:r>
    </w:p>
    <w:p w14:paraId="55A39E73" w14:textId="77777777" w:rsidR="00773334" w:rsidRPr="00861553" w:rsidRDefault="00773334" w:rsidP="00773334">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Finally,</w:t>
      </w:r>
      <w:r w:rsidR="000B6C74" w:rsidRPr="00861553">
        <w:rPr>
          <w:rFonts w:eastAsiaTheme="minorHAnsi" w:cs="Arial"/>
          <w:sz w:val="22"/>
          <w:szCs w:val="22"/>
        </w:rPr>
        <w:t xml:space="preserve"> it</w:t>
      </w:r>
      <w:r w:rsidR="00005F31" w:rsidRPr="00861553">
        <w:rPr>
          <w:rFonts w:eastAsiaTheme="minorHAnsi" w:cs="Arial"/>
          <w:sz w:val="22"/>
          <w:szCs w:val="22"/>
        </w:rPr>
        <w:t xml:space="preserve"> is possible that whoever wins any given</w:t>
      </w:r>
      <w:r w:rsidR="000B6C74" w:rsidRPr="00861553">
        <w:rPr>
          <w:rFonts w:eastAsiaTheme="minorHAnsi" w:cs="Arial"/>
          <w:sz w:val="22"/>
          <w:szCs w:val="22"/>
        </w:rPr>
        <w:t xml:space="preserve"> licence simply decides to sell it, if it is an attractive analogue licence (this may be the case with the local licences in larger, more urban areas).</w:t>
      </w:r>
    </w:p>
    <w:p w14:paraId="01028390" w14:textId="77777777" w:rsidR="00773334" w:rsidRPr="00861553" w:rsidRDefault="00773334" w:rsidP="00773334">
      <w:pPr>
        <w:widowControl w:val="0"/>
        <w:tabs>
          <w:tab w:val="left" w:pos="9050"/>
        </w:tabs>
        <w:autoSpaceDE w:val="0"/>
        <w:autoSpaceDN w:val="0"/>
        <w:adjustRightInd w:val="0"/>
        <w:ind w:right="18"/>
        <w:rPr>
          <w:rFonts w:eastAsiaTheme="minorHAnsi" w:cs="Arial"/>
          <w:sz w:val="22"/>
          <w:szCs w:val="22"/>
        </w:rPr>
      </w:pPr>
    </w:p>
    <w:p w14:paraId="587DE05C" w14:textId="77777777" w:rsidR="00A60C02" w:rsidRPr="00861553" w:rsidRDefault="00A60C02" w:rsidP="00B405DA">
      <w:pPr>
        <w:widowControl w:val="0"/>
        <w:tabs>
          <w:tab w:val="left" w:pos="9050"/>
        </w:tabs>
        <w:autoSpaceDE w:val="0"/>
        <w:autoSpaceDN w:val="0"/>
        <w:adjustRightInd w:val="0"/>
        <w:ind w:right="18"/>
        <w:jc w:val="both"/>
        <w:rPr>
          <w:rFonts w:cs="Arial"/>
          <w:sz w:val="22"/>
          <w:szCs w:val="22"/>
        </w:rPr>
      </w:pPr>
    </w:p>
    <w:p w14:paraId="01367D7B" w14:textId="77777777" w:rsidR="00633168" w:rsidRDefault="00633168">
      <w:pPr>
        <w:rPr>
          <w:rFonts w:cs="Arial"/>
          <w:b/>
          <w:sz w:val="22"/>
          <w:szCs w:val="22"/>
        </w:rPr>
      </w:pPr>
      <w:r>
        <w:rPr>
          <w:rFonts w:cs="Arial"/>
          <w:b/>
          <w:sz w:val="22"/>
          <w:szCs w:val="22"/>
        </w:rPr>
        <w:br w:type="page"/>
      </w:r>
    </w:p>
    <w:p w14:paraId="3982F2BC" w14:textId="038E3290" w:rsidR="00446B5F" w:rsidRPr="00861553" w:rsidRDefault="00133DBA" w:rsidP="00E73453">
      <w:pPr>
        <w:rPr>
          <w:rFonts w:cs="Arial"/>
          <w:b/>
          <w:sz w:val="28"/>
          <w:szCs w:val="28"/>
        </w:rPr>
      </w:pPr>
      <w:r w:rsidRPr="00861553">
        <w:rPr>
          <w:rFonts w:cs="Arial"/>
          <w:b/>
          <w:sz w:val="28"/>
          <w:szCs w:val="28"/>
        </w:rPr>
        <w:lastRenderedPageBreak/>
        <w:t xml:space="preserve">Option </w:t>
      </w:r>
      <w:r w:rsidR="00446B5F" w:rsidRPr="00861553">
        <w:rPr>
          <w:rFonts w:cs="Arial"/>
          <w:b/>
          <w:sz w:val="28"/>
          <w:szCs w:val="28"/>
        </w:rPr>
        <w:t>2</w:t>
      </w:r>
    </w:p>
    <w:p w14:paraId="6FA6E053" w14:textId="77777777" w:rsidR="00A60C02" w:rsidRPr="00861553" w:rsidRDefault="00A60C02" w:rsidP="00B405DA">
      <w:pPr>
        <w:widowControl w:val="0"/>
        <w:tabs>
          <w:tab w:val="left" w:pos="9050"/>
        </w:tabs>
        <w:autoSpaceDE w:val="0"/>
        <w:autoSpaceDN w:val="0"/>
        <w:adjustRightInd w:val="0"/>
        <w:ind w:right="18"/>
        <w:jc w:val="both"/>
        <w:rPr>
          <w:rFonts w:cs="Arial"/>
          <w:b/>
          <w:color w:val="00B050"/>
          <w:sz w:val="22"/>
          <w:szCs w:val="22"/>
        </w:rPr>
      </w:pPr>
    </w:p>
    <w:p w14:paraId="32023928" w14:textId="4C676A26" w:rsidR="004C1AF7" w:rsidRPr="00861553" w:rsidRDefault="004C1AF7" w:rsidP="00B405DA">
      <w:pPr>
        <w:widowControl w:val="0"/>
        <w:tabs>
          <w:tab w:val="left" w:pos="9050"/>
        </w:tabs>
        <w:autoSpaceDE w:val="0"/>
        <w:autoSpaceDN w:val="0"/>
        <w:adjustRightInd w:val="0"/>
        <w:ind w:right="18"/>
        <w:jc w:val="both"/>
        <w:rPr>
          <w:rFonts w:cs="Arial"/>
          <w:sz w:val="22"/>
          <w:szCs w:val="22"/>
        </w:rPr>
      </w:pPr>
      <w:r w:rsidRPr="00861553">
        <w:rPr>
          <w:rFonts w:cs="Arial"/>
          <w:sz w:val="22"/>
          <w:szCs w:val="22"/>
        </w:rPr>
        <w:t>Option 2 looks to renew the current licences held by stations for a further</w:t>
      </w:r>
      <w:r w:rsidR="00633168">
        <w:rPr>
          <w:rFonts w:cs="Arial"/>
          <w:sz w:val="22"/>
          <w:szCs w:val="22"/>
        </w:rPr>
        <w:t xml:space="preserve"> five</w:t>
      </w:r>
      <w:r w:rsidRPr="00861553">
        <w:rPr>
          <w:rFonts w:cs="Arial"/>
          <w:sz w:val="22"/>
          <w:szCs w:val="22"/>
        </w:rPr>
        <w:t xml:space="preserve"> years from the date of the first expiry, which is</w:t>
      </w:r>
      <w:r w:rsidR="00633168">
        <w:rPr>
          <w:rFonts w:cs="Arial"/>
          <w:sz w:val="22"/>
          <w:szCs w:val="22"/>
        </w:rPr>
        <w:t xml:space="preserve"> October</w:t>
      </w:r>
      <w:r w:rsidRPr="00861553">
        <w:rPr>
          <w:rFonts w:cs="Arial"/>
          <w:sz w:val="22"/>
          <w:szCs w:val="22"/>
        </w:rPr>
        <w:t xml:space="preserve"> 2017. Current licence holders would not need to go through the process of re-bidding for their licence, it would simply be renewed for a further 5 years from the date it expires. This impacts 63 local radio stations and 3 national stations</w:t>
      </w:r>
      <w:r w:rsidR="006C2BE1" w:rsidRPr="00861553">
        <w:rPr>
          <w:rFonts w:cs="Arial"/>
          <w:sz w:val="22"/>
          <w:szCs w:val="22"/>
        </w:rPr>
        <w:t xml:space="preserve"> set out in table 1.</w:t>
      </w:r>
    </w:p>
    <w:p w14:paraId="0139D0A1" w14:textId="77777777" w:rsidR="00794463" w:rsidRPr="00861553" w:rsidRDefault="00794463" w:rsidP="00B405DA">
      <w:pPr>
        <w:widowControl w:val="0"/>
        <w:tabs>
          <w:tab w:val="left" w:pos="9050"/>
        </w:tabs>
        <w:autoSpaceDE w:val="0"/>
        <w:autoSpaceDN w:val="0"/>
        <w:adjustRightInd w:val="0"/>
        <w:ind w:right="18"/>
        <w:jc w:val="both"/>
        <w:rPr>
          <w:rFonts w:cs="Arial"/>
          <w:b/>
          <w:color w:val="00B050"/>
          <w:sz w:val="22"/>
          <w:szCs w:val="22"/>
        </w:rPr>
      </w:pPr>
    </w:p>
    <w:p w14:paraId="427C760A" w14:textId="5811C267" w:rsidR="0043603C" w:rsidRPr="00861553" w:rsidRDefault="0043603C" w:rsidP="00B405DA">
      <w:pPr>
        <w:widowControl w:val="0"/>
        <w:tabs>
          <w:tab w:val="left" w:pos="9050"/>
        </w:tabs>
        <w:autoSpaceDE w:val="0"/>
        <w:autoSpaceDN w:val="0"/>
        <w:adjustRightInd w:val="0"/>
        <w:ind w:right="18"/>
        <w:jc w:val="both"/>
        <w:rPr>
          <w:rFonts w:cs="Arial"/>
          <w:sz w:val="22"/>
          <w:szCs w:val="22"/>
        </w:rPr>
      </w:pPr>
      <w:r w:rsidRPr="00861553">
        <w:rPr>
          <w:rFonts w:cs="Arial"/>
          <w:sz w:val="22"/>
          <w:szCs w:val="22"/>
        </w:rPr>
        <w:t xml:space="preserve">This is Government’s preferred option, and will allow a further five year renewal of the affected licences, or 12 years if the licence in question has not yet received its further renewal. </w:t>
      </w:r>
    </w:p>
    <w:p w14:paraId="6A907243" w14:textId="77777777" w:rsidR="0043603C" w:rsidRPr="00861553" w:rsidRDefault="0043603C" w:rsidP="00B405DA">
      <w:pPr>
        <w:widowControl w:val="0"/>
        <w:tabs>
          <w:tab w:val="left" w:pos="9050"/>
        </w:tabs>
        <w:autoSpaceDE w:val="0"/>
        <w:autoSpaceDN w:val="0"/>
        <w:adjustRightInd w:val="0"/>
        <w:ind w:right="18"/>
        <w:jc w:val="both"/>
        <w:rPr>
          <w:rFonts w:cs="Arial"/>
          <w:b/>
          <w:color w:val="00B050"/>
          <w:sz w:val="22"/>
          <w:szCs w:val="22"/>
        </w:rPr>
      </w:pPr>
    </w:p>
    <w:p w14:paraId="6FF8BBAC" w14:textId="77777777" w:rsidR="00446B5F" w:rsidRPr="00861553" w:rsidRDefault="00A60C02" w:rsidP="00B405DA">
      <w:pPr>
        <w:widowControl w:val="0"/>
        <w:tabs>
          <w:tab w:val="left" w:pos="9050"/>
        </w:tabs>
        <w:autoSpaceDE w:val="0"/>
        <w:autoSpaceDN w:val="0"/>
        <w:adjustRightInd w:val="0"/>
        <w:ind w:right="18"/>
        <w:jc w:val="both"/>
        <w:rPr>
          <w:rFonts w:cs="Arial"/>
          <w:b/>
        </w:rPr>
      </w:pPr>
      <w:r w:rsidRPr="00861553">
        <w:rPr>
          <w:rFonts w:cs="Arial"/>
          <w:b/>
        </w:rPr>
        <w:t>Costs</w:t>
      </w:r>
    </w:p>
    <w:p w14:paraId="3444A880" w14:textId="77777777" w:rsidR="00A60C02" w:rsidRPr="00861553" w:rsidRDefault="00A60C02" w:rsidP="00B405DA">
      <w:pPr>
        <w:widowControl w:val="0"/>
        <w:tabs>
          <w:tab w:val="left" w:pos="9050"/>
        </w:tabs>
        <w:autoSpaceDE w:val="0"/>
        <w:autoSpaceDN w:val="0"/>
        <w:adjustRightInd w:val="0"/>
        <w:ind w:right="18"/>
        <w:jc w:val="both"/>
        <w:rPr>
          <w:rFonts w:cs="Arial"/>
          <w:b/>
          <w:sz w:val="22"/>
          <w:szCs w:val="22"/>
        </w:rPr>
      </w:pPr>
    </w:p>
    <w:p w14:paraId="49010972" w14:textId="30D5C5EE" w:rsidR="00A60C02" w:rsidRPr="00861553" w:rsidRDefault="00A60C02" w:rsidP="00B405DA">
      <w:pPr>
        <w:widowControl w:val="0"/>
        <w:tabs>
          <w:tab w:val="left" w:pos="9050"/>
        </w:tabs>
        <w:autoSpaceDE w:val="0"/>
        <w:autoSpaceDN w:val="0"/>
        <w:adjustRightInd w:val="0"/>
        <w:ind w:right="18"/>
        <w:jc w:val="both"/>
        <w:rPr>
          <w:rFonts w:cs="Arial"/>
          <w:b/>
          <w:sz w:val="22"/>
          <w:szCs w:val="22"/>
          <w:u w:val="single"/>
        </w:rPr>
      </w:pPr>
      <w:r w:rsidRPr="00861553">
        <w:rPr>
          <w:rFonts w:cs="Arial"/>
          <w:b/>
          <w:sz w:val="22"/>
          <w:szCs w:val="22"/>
          <w:u w:val="single"/>
        </w:rPr>
        <w:t>Monetised</w:t>
      </w:r>
      <w:r w:rsidR="00516DF9" w:rsidRPr="00861553">
        <w:rPr>
          <w:rFonts w:cs="Arial"/>
          <w:b/>
          <w:sz w:val="22"/>
          <w:szCs w:val="22"/>
          <w:u w:val="single"/>
        </w:rPr>
        <w:t xml:space="preserve"> costs</w:t>
      </w:r>
    </w:p>
    <w:p w14:paraId="47D4372D" w14:textId="77777777" w:rsidR="00A60C02" w:rsidRPr="00861553" w:rsidRDefault="00A60C02" w:rsidP="00B405DA">
      <w:pPr>
        <w:widowControl w:val="0"/>
        <w:tabs>
          <w:tab w:val="left" w:pos="9050"/>
        </w:tabs>
        <w:autoSpaceDE w:val="0"/>
        <w:autoSpaceDN w:val="0"/>
        <w:adjustRightInd w:val="0"/>
        <w:ind w:right="18"/>
        <w:jc w:val="both"/>
        <w:rPr>
          <w:rFonts w:cs="Arial"/>
          <w:i/>
          <w:sz w:val="22"/>
          <w:szCs w:val="22"/>
        </w:rPr>
      </w:pPr>
    </w:p>
    <w:p w14:paraId="743EB2A4" w14:textId="212A0099" w:rsidR="00446B5F" w:rsidRPr="00861553" w:rsidRDefault="00DD3AEB" w:rsidP="00B405DA">
      <w:pPr>
        <w:pStyle w:val="Default"/>
        <w:rPr>
          <w:sz w:val="22"/>
          <w:szCs w:val="22"/>
        </w:rPr>
      </w:pPr>
      <w:r w:rsidRPr="00861553">
        <w:rPr>
          <w:sz w:val="22"/>
          <w:szCs w:val="22"/>
        </w:rPr>
        <w:t>We would not expect the licence renewal to impose significant costs on any affected groups (nor is there any issue with these costs). The costs to Ofcom would be a possible small administration cost to extend the licences, however this would be negligible, as the process of renewing licences is not significantly time consuming, and would largely be absorbed into Ofcom’s regular course of business</w:t>
      </w:r>
      <w:r w:rsidR="00C55010" w:rsidRPr="00861553">
        <w:rPr>
          <w:sz w:val="22"/>
          <w:szCs w:val="22"/>
        </w:rPr>
        <w:t>.</w:t>
      </w:r>
    </w:p>
    <w:p w14:paraId="5C6BDBCF" w14:textId="77777777" w:rsidR="00DD3AEB" w:rsidRPr="00861553" w:rsidRDefault="00DD3AEB" w:rsidP="00DD3AEB">
      <w:pPr>
        <w:pStyle w:val="IAPOA1"/>
        <w:ind w:left="0"/>
        <w:rPr>
          <w:rFonts w:cs="Arial"/>
          <w:szCs w:val="22"/>
        </w:rPr>
      </w:pPr>
    </w:p>
    <w:p w14:paraId="442EC3CF" w14:textId="7F648A42" w:rsidR="0063273F" w:rsidRPr="00861553" w:rsidRDefault="00DD3AEB" w:rsidP="00DD3AEB">
      <w:pPr>
        <w:pStyle w:val="IAPOA1"/>
        <w:ind w:left="0"/>
        <w:rPr>
          <w:rFonts w:cs="Arial"/>
          <w:szCs w:val="22"/>
        </w:rPr>
      </w:pPr>
      <w:r w:rsidRPr="00861553">
        <w:rPr>
          <w:rFonts w:cs="Arial"/>
          <w:szCs w:val="22"/>
        </w:rPr>
        <w:t>To highlight this small impact we know from Ofcom’s figures that t</w:t>
      </w:r>
      <w:r w:rsidR="00446B5F" w:rsidRPr="00861553">
        <w:rPr>
          <w:rFonts w:cs="Arial"/>
          <w:szCs w:val="22"/>
        </w:rPr>
        <w:t>he cost of renewing one individual licence would, at the very most, be in the low £100s</w:t>
      </w:r>
      <w:r w:rsidR="008E0D0B" w:rsidRPr="00861553">
        <w:rPr>
          <w:rStyle w:val="FootnoteReference"/>
          <w:rFonts w:cs="Arial"/>
          <w:szCs w:val="22"/>
        </w:rPr>
        <w:footnoteReference w:id="7"/>
      </w:r>
      <w:r w:rsidRPr="00861553">
        <w:rPr>
          <w:rFonts w:cs="Arial"/>
          <w:szCs w:val="22"/>
        </w:rPr>
        <w:t>. Assuming all 63 licences plus 3 national licences that expire from 2017-2020 are renewed, the cost would be in the approx. range of  £13,200 to £39,600 distributed across the years 2017 to 2023, using a cost of £200 for a min and £600 as a max per licence. These costs are ultimately met by the licensees through charges set by Ofcom</w:t>
      </w:r>
      <w:r w:rsidR="00510D35" w:rsidRPr="00861553">
        <w:rPr>
          <w:rFonts w:cs="Arial"/>
          <w:szCs w:val="22"/>
        </w:rPr>
        <w:t xml:space="preserve"> to buy the licence</w:t>
      </w:r>
      <w:r w:rsidRPr="00861553">
        <w:rPr>
          <w:rFonts w:cs="Arial"/>
          <w:szCs w:val="22"/>
        </w:rPr>
        <w:t xml:space="preserve">. . </w:t>
      </w:r>
      <w:r w:rsidR="0063273F" w:rsidRPr="00861553">
        <w:rPr>
          <w:rFonts w:cs="Arial"/>
          <w:szCs w:val="22"/>
        </w:rPr>
        <w:t xml:space="preserve">Table </w:t>
      </w:r>
      <w:r w:rsidR="00CB3C2F">
        <w:rPr>
          <w:rFonts w:cs="Arial"/>
          <w:szCs w:val="22"/>
        </w:rPr>
        <w:t>3</w:t>
      </w:r>
      <w:r w:rsidR="0063273F" w:rsidRPr="00861553">
        <w:rPr>
          <w:rFonts w:cs="Arial"/>
          <w:szCs w:val="22"/>
        </w:rPr>
        <w:t xml:space="preserve"> shows the cost in each year this measure is implemented taking the number of licences which expire in each year and multiplying these by the minimum and maximum estimated cost for renewal.</w:t>
      </w:r>
      <w:r w:rsidR="0063273F" w:rsidRPr="00861553">
        <w:rPr>
          <w:rFonts w:cs="Arial"/>
          <w:szCs w:val="22"/>
        </w:rPr>
        <w:br/>
      </w:r>
    </w:p>
    <w:p w14:paraId="0731218B" w14:textId="0E8010AC" w:rsidR="0063273F" w:rsidRPr="00861553" w:rsidRDefault="0063273F" w:rsidP="00DD3AEB">
      <w:pPr>
        <w:pStyle w:val="IAPOA1"/>
        <w:ind w:left="0"/>
        <w:rPr>
          <w:rFonts w:cs="Arial"/>
          <w:szCs w:val="22"/>
        </w:rPr>
      </w:pPr>
      <w:r w:rsidRPr="00861553">
        <w:rPr>
          <w:rFonts w:cs="Arial"/>
          <w:szCs w:val="22"/>
        </w:rPr>
        <w:t xml:space="preserve">We are measuring the impacts of each of these options over 5 years starting from 2017. We are starting at 2017 as this is the year the first licences will expire. We are carrying the impacts on over 5 years </w:t>
      </w:r>
      <w:r w:rsidR="0043603C" w:rsidRPr="00861553">
        <w:rPr>
          <w:rFonts w:cs="Arial"/>
          <w:szCs w:val="22"/>
        </w:rPr>
        <w:t>because it is anticipated that</w:t>
      </w:r>
      <w:r w:rsidR="00526240" w:rsidRPr="00861553">
        <w:rPr>
          <w:rFonts w:cs="Arial"/>
          <w:szCs w:val="22"/>
        </w:rPr>
        <w:t xml:space="preserve">, based on current trends, a digital radio switchover could take place by 2021. </w:t>
      </w:r>
      <w:r w:rsidRPr="00861553">
        <w:rPr>
          <w:rFonts w:cs="Arial"/>
          <w:szCs w:val="22"/>
        </w:rPr>
        <w:t xml:space="preserve"> </w:t>
      </w:r>
      <w:r w:rsidR="00526240" w:rsidRPr="00861553">
        <w:rPr>
          <w:rFonts w:cs="Arial"/>
          <w:szCs w:val="22"/>
        </w:rPr>
        <w:t xml:space="preserve">At this point, the role analogue radio plays in the wider radio ecology will have become much smaller. </w:t>
      </w:r>
      <w:r w:rsidRPr="00861553">
        <w:rPr>
          <w:rFonts w:cs="Arial"/>
          <w:szCs w:val="22"/>
        </w:rPr>
        <w:t>This measure w</w:t>
      </w:r>
      <w:r w:rsidR="0043603C" w:rsidRPr="00861553">
        <w:rPr>
          <w:rFonts w:cs="Arial"/>
          <w:szCs w:val="22"/>
        </w:rPr>
        <w:t>ill</w:t>
      </w:r>
      <w:r w:rsidRPr="00861553">
        <w:rPr>
          <w:rFonts w:cs="Arial"/>
          <w:szCs w:val="22"/>
        </w:rPr>
        <w:t xml:space="preserve"> </w:t>
      </w:r>
      <w:r w:rsidR="00526240" w:rsidRPr="00861553">
        <w:rPr>
          <w:rFonts w:cs="Arial"/>
          <w:szCs w:val="22"/>
        </w:rPr>
        <w:t xml:space="preserve">therefore </w:t>
      </w:r>
      <w:r w:rsidRPr="00861553">
        <w:rPr>
          <w:rFonts w:cs="Arial"/>
          <w:szCs w:val="22"/>
        </w:rPr>
        <w:t xml:space="preserve">need to be re-assessed again in </w:t>
      </w:r>
      <w:r w:rsidR="00526240" w:rsidRPr="00861553">
        <w:rPr>
          <w:rFonts w:cs="Arial"/>
          <w:szCs w:val="22"/>
        </w:rPr>
        <w:t>5</w:t>
      </w:r>
      <w:r w:rsidRPr="00861553">
        <w:rPr>
          <w:rFonts w:cs="Arial"/>
          <w:szCs w:val="22"/>
        </w:rPr>
        <w:t xml:space="preserve"> years</w:t>
      </w:r>
      <w:r w:rsidR="00C55010" w:rsidRPr="00861553">
        <w:rPr>
          <w:rFonts w:cs="Arial"/>
          <w:szCs w:val="22"/>
        </w:rPr>
        <w:t>’</w:t>
      </w:r>
      <w:r w:rsidRPr="00861553">
        <w:rPr>
          <w:rFonts w:cs="Arial"/>
          <w:szCs w:val="22"/>
        </w:rPr>
        <w:t xml:space="preserve"> time</w:t>
      </w:r>
      <w:r w:rsidR="00526240" w:rsidRPr="00861553">
        <w:rPr>
          <w:rFonts w:cs="Arial"/>
          <w:szCs w:val="22"/>
        </w:rPr>
        <w:t xml:space="preserve">, certainly </w:t>
      </w:r>
      <w:r w:rsidR="0043603C" w:rsidRPr="00861553">
        <w:rPr>
          <w:rFonts w:cs="Arial"/>
          <w:szCs w:val="22"/>
        </w:rPr>
        <w:t>when a decision has been made on a digital radio sw</w:t>
      </w:r>
      <w:r w:rsidR="00526240" w:rsidRPr="00861553">
        <w:rPr>
          <w:rFonts w:cs="Arial"/>
          <w:szCs w:val="22"/>
        </w:rPr>
        <w:t>itchover</w:t>
      </w:r>
      <w:r w:rsidR="0043603C" w:rsidRPr="00861553">
        <w:rPr>
          <w:rFonts w:cs="Arial"/>
          <w:szCs w:val="22"/>
        </w:rPr>
        <w:t xml:space="preserve"> and a timetable for this is set</w:t>
      </w:r>
      <w:r w:rsidR="00526240" w:rsidRPr="00861553">
        <w:rPr>
          <w:rFonts w:cs="Arial"/>
          <w:szCs w:val="22"/>
        </w:rPr>
        <w:t>, and probably as part of a more holistic examination of the entire regulatory framework for radio.</w:t>
      </w:r>
    </w:p>
    <w:p w14:paraId="682F6E04" w14:textId="4F1910F8" w:rsidR="0063273F" w:rsidRPr="00861553" w:rsidRDefault="0063273F" w:rsidP="00DD3AEB">
      <w:pPr>
        <w:pStyle w:val="IAPOA1"/>
        <w:ind w:left="0"/>
        <w:rPr>
          <w:rFonts w:cs="Arial"/>
          <w:szCs w:val="22"/>
        </w:rPr>
      </w:pPr>
      <w:r w:rsidRPr="00861553">
        <w:rPr>
          <w:rFonts w:cs="Arial"/>
          <w:szCs w:val="22"/>
        </w:rPr>
        <w:br/>
        <w:t xml:space="preserve">Table </w:t>
      </w:r>
      <w:r w:rsidR="00EC6142" w:rsidRPr="00861553">
        <w:rPr>
          <w:rFonts w:cs="Arial"/>
          <w:szCs w:val="22"/>
        </w:rPr>
        <w:t>3</w:t>
      </w:r>
      <w:r w:rsidR="00CB3C2F">
        <w:rPr>
          <w:rFonts w:cs="Arial"/>
          <w:szCs w:val="22"/>
        </w:rPr>
        <w:t xml:space="preserve"> – Estimated costs of licence renewal</w:t>
      </w:r>
    </w:p>
    <w:tbl>
      <w:tblPr>
        <w:tblW w:w="10055" w:type="dxa"/>
        <w:tblInd w:w="10" w:type="dxa"/>
        <w:tblLook w:val="04A0" w:firstRow="1" w:lastRow="0" w:firstColumn="1" w:lastColumn="0" w:noHBand="0" w:noVBand="1"/>
      </w:tblPr>
      <w:tblGrid>
        <w:gridCol w:w="3676"/>
        <w:gridCol w:w="1134"/>
        <w:gridCol w:w="1276"/>
        <w:gridCol w:w="1275"/>
        <w:gridCol w:w="1276"/>
        <w:gridCol w:w="1418"/>
      </w:tblGrid>
      <w:tr w:rsidR="0063273F" w:rsidRPr="00B96818" w14:paraId="44A7519E" w14:textId="77777777" w:rsidTr="00944C97">
        <w:trPr>
          <w:trHeight w:val="315"/>
        </w:trPr>
        <w:tc>
          <w:tcPr>
            <w:tcW w:w="3676" w:type="dxa"/>
            <w:tcBorders>
              <w:top w:val="single" w:sz="8" w:space="0" w:color="000000"/>
              <w:left w:val="nil"/>
              <w:bottom w:val="single" w:sz="8" w:space="0" w:color="000000"/>
              <w:right w:val="single" w:sz="8" w:space="0" w:color="000000"/>
            </w:tcBorders>
            <w:shd w:val="clear" w:color="auto" w:fill="auto"/>
            <w:noWrap/>
            <w:vAlign w:val="bottom"/>
            <w:hideMark/>
          </w:tcPr>
          <w:p w14:paraId="54A7EF94" w14:textId="03AFB003" w:rsidR="0063273F" w:rsidRPr="00861553" w:rsidRDefault="0063273F" w:rsidP="0063273F">
            <w:pPr>
              <w:jc w:val="center"/>
              <w:rPr>
                <w:rFonts w:cs="Arial"/>
                <w:color w:val="000000"/>
                <w:sz w:val="22"/>
                <w:szCs w:val="22"/>
              </w:rPr>
            </w:pPr>
            <w:r w:rsidRPr="00861553">
              <w:rPr>
                <w:rFonts w:cs="Arial"/>
                <w:color w:val="000000"/>
                <w:sz w:val="22"/>
                <w:szCs w:val="22"/>
              </w:rPr>
              <w:t>Year</w:t>
            </w:r>
          </w:p>
        </w:tc>
        <w:tc>
          <w:tcPr>
            <w:tcW w:w="1134" w:type="dxa"/>
            <w:tcBorders>
              <w:top w:val="single" w:sz="8" w:space="0" w:color="000000"/>
              <w:left w:val="nil"/>
              <w:bottom w:val="single" w:sz="8" w:space="0" w:color="000000"/>
              <w:right w:val="nil"/>
            </w:tcBorders>
            <w:shd w:val="clear" w:color="99CCFF" w:fill="99CCFF"/>
            <w:noWrap/>
            <w:vAlign w:val="bottom"/>
            <w:hideMark/>
          </w:tcPr>
          <w:p w14:paraId="499ED31D" w14:textId="7A1E9E66" w:rsidR="0063273F" w:rsidRPr="00861553" w:rsidRDefault="0063273F" w:rsidP="0063273F">
            <w:pPr>
              <w:jc w:val="right"/>
              <w:rPr>
                <w:rFonts w:cs="Arial"/>
                <w:color w:val="000000"/>
                <w:sz w:val="22"/>
                <w:szCs w:val="22"/>
              </w:rPr>
            </w:pPr>
            <w:r w:rsidRPr="00861553">
              <w:rPr>
                <w:rFonts w:cs="Arial"/>
                <w:color w:val="000000"/>
                <w:sz w:val="22"/>
                <w:szCs w:val="22"/>
              </w:rPr>
              <w:t>0</w:t>
            </w:r>
          </w:p>
        </w:tc>
        <w:tc>
          <w:tcPr>
            <w:tcW w:w="1276" w:type="dxa"/>
            <w:tcBorders>
              <w:top w:val="single" w:sz="8" w:space="0" w:color="000000"/>
              <w:left w:val="nil"/>
              <w:bottom w:val="single" w:sz="8" w:space="0" w:color="000000"/>
              <w:right w:val="nil"/>
            </w:tcBorders>
            <w:shd w:val="clear" w:color="99CCFF" w:fill="99CCFF"/>
            <w:noWrap/>
            <w:vAlign w:val="bottom"/>
            <w:hideMark/>
          </w:tcPr>
          <w:p w14:paraId="6D15CAE9" w14:textId="47A75C8E" w:rsidR="0063273F" w:rsidRPr="00861553" w:rsidRDefault="0063273F" w:rsidP="0063273F">
            <w:pPr>
              <w:jc w:val="right"/>
              <w:rPr>
                <w:rFonts w:cs="Arial"/>
                <w:color w:val="000000"/>
                <w:sz w:val="22"/>
                <w:szCs w:val="22"/>
              </w:rPr>
            </w:pPr>
            <w:r w:rsidRPr="00861553">
              <w:rPr>
                <w:rFonts w:cs="Arial"/>
                <w:color w:val="000000"/>
                <w:sz w:val="22"/>
                <w:szCs w:val="22"/>
              </w:rPr>
              <w:t>1</w:t>
            </w:r>
          </w:p>
        </w:tc>
        <w:tc>
          <w:tcPr>
            <w:tcW w:w="1275" w:type="dxa"/>
            <w:tcBorders>
              <w:top w:val="single" w:sz="8" w:space="0" w:color="000000"/>
              <w:left w:val="nil"/>
              <w:bottom w:val="single" w:sz="8" w:space="0" w:color="000000"/>
              <w:right w:val="nil"/>
            </w:tcBorders>
            <w:shd w:val="clear" w:color="99CCFF" w:fill="99CCFF"/>
            <w:noWrap/>
            <w:vAlign w:val="bottom"/>
            <w:hideMark/>
          </w:tcPr>
          <w:p w14:paraId="78164281" w14:textId="0F7E595F" w:rsidR="0063273F" w:rsidRPr="00861553" w:rsidRDefault="0063273F" w:rsidP="0063273F">
            <w:pPr>
              <w:jc w:val="right"/>
              <w:rPr>
                <w:rFonts w:cs="Arial"/>
                <w:color w:val="000000"/>
                <w:sz w:val="22"/>
                <w:szCs w:val="22"/>
              </w:rPr>
            </w:pPr>
            <w:r w:rsidRPr="00861553">
              <w:rPr>
                <w:rFonts w:cs="Arial"/>
                <w:color w:val="000000"/>
                <w:sz w:val="22"/>
                <w:szCs w:val="22"/>
              </w:rPr>
              <w:t>2</w:t>
            </w:r>
          </w:p>
        </w:tc>
        <w:tc>
          <w:tcPr>
            <w:tcW w:w="1276" w:type="dxa"/>
            <w:tcBorders>
              <w:top w:val="single" w:sz="8" w:space="0" w:color="000000"/>
              <w:left w:val="nil"/>
              <w:bottom w:val="single" w:sz="8" w:space="0" w:color="000000"/>
              <w:right w:val="nil"/>
            </w:tcBorders>
            <w:shd w:val="clear" w:color="99CCFF" w:fill="99CCFF"/>
            <w:noWrap/>
            <w:vAlign w:val="bottom"/>
            <w:hideMark/>
          </w:tcPr>
          <w:p w14:paraId="0902446E" w14:textId="4B1F6B98" w:rsidR="0063273F" w:rsidRPr="00861553" w:rsidRDefault="0063273F" w:rsidP="0063273F">
            <w:pPr>
              <w:jc w:val="right"/>
              <w:rPr>
                <w:rFonts w:cs="Arial"/>
                <w:color w:val="000000"/>
                <w:sz w:val="22"/>
                <w:szCs w:val="22"/>
              </w:rPr>
            </w:pPr>
            <w:r w:rsidRPr="00861553">
              <w:rPr>
                <w:rFonts w:cs="Arial"/>
                <w:color w:val="000000"/>
                <w:sz w:val="22"/>
                <w:szCs w:val="22"/>
              </w:rPr>
              <w:t>3</w:t>
            </w:r>
          </w:p>
        </w:tc>
        <w:tc>
          <w:tcPr>
            <w:tcW w:w="1418" w:type="dxa"/>
            <w:tcBorders>
              <w:top w:val="single" w:sz="8" w:space="0" w:color="000000"/>
              <w:left w:val="nil"/>
              <w:bottom w:val="single" w:sz="8" w:space="0" w:color="000000"/>
              <w:right w:val="nil"/>
            </w:tcBorders>
            <w:shd w:val="clear" w:color="99CCFF" w:fill="99CCFF"/>
            <w:noWrap/>
            <w:vAlign w:val="bottom"/>
            <w:hideMark/>
          </w:tcPr>
          <w:p w14:paraId="3707E34A" w14:textId="423D6062" w:rsidR="0063273F" w:rsidRPr="00861553" w:rsidRDefault="0063273F" w:rsidP="0063273F">
            <w:pPr>
              <w:jc w:val="right"/>
              <w:rPr>
                <w:rFonts w:cs="Arial"/>
                <w:color w:val="000000"/>
                <w:sz w:val="22"/>
                <w:szCs w:val="22"/>
              </w:rPr>
            </w:pPr>
            <w:r w:rsidRPr="00861553">
              <w:rPr>
                <w:rFonts w:cs="Arial"/>
                <w:color w:val="000000"/>
                <w:sz w:val="22"/>
                <w:szCs w:val="22"/>
              </w:rPr>
              <w:t>4</w:t>
            </w:r>
          </w:p>
        </w:tc>
      </w:tr>
      <w:tr w:rsidR="0063273F" w:rsidRPr="00B96818" w14:paraId="3E1B496A" w14:textId="77777777" w:rsidTr="00944C97">
        <w:trPr>
          <w:trHeight w:val="300"/>
        </w:trPr>
        <w:tc>
          <w:tcPr>
            <w:tcW w:w="3676" w:type="dxa"/>
            <w:tcBorders>
              <w:top w:val="nil"/>
              <w:left w:val="nil"/>
              <w:bottom w:val="nil"/>
              <w:right w:val="single" w:sz="8" w:space="0" w:color="000000"/>
            </w:tcBorders>
            <w:shd w:val="clear" w:color="auto" w:fill="auto"/>
            <w:vAlign w:val="center"/>
            <w:hideMark/>
          </w:tcPr>
          <w:p w14:paraId="41BB8C62" w14:textId="6F725C37" w:rsidR="0063273F" w:rsidRPr="00861553" w:rsidRDefault="0063273F" w:rsidP="0063273F">
            <w:pPr>
              <w:rPr>
                <w:rFonts w:cs="Arial"/>
                <w:b/>
                <w:color w:val="000000"/>
                <w:sz w:val="22"/>
                <w:szCs w:val="22"/>
              </w:rPr>
            </w:pPr>
            <w:r w:rsidRPr="00861553">
              <w:rPr>
                <w:rFonts w:cs="Arial"/>
                <w:b/>
                <w:color w:val="000000"/>
                <w:sz w:val="22"/>
                <w:szCs w:val="22"/>
              </w:rPr>
              <w:t>Annual Cost 1 - Best Estimate (£m)</w:t>
            </w:r>
          </w:p>
        </w:tc>
        <w:tc>
          <w:tcPr>
            <w:tcW w:w="1134" w:type="dxa"/>
            <w:tcBorders>
              <w:top w:val="nil"/>
              <w:left w:val="single" w:sz="4" w:space="0" w:color="000000"/>
              <w:bottom w:val="single" w:sz="4" w:space="0" w:color="000000"/>
              <w:right w:val="single" w:sz="4" w:space="0" w:color="000000"/>
            </w:tcBorders>
            <w:shd w:val="clear" w:color="FFFFFF" w:fill="FFFFFF"/>
            <w:noWrap/>
            <w:vAlign w:val="bottom"/>
            <w:hideMark/>
          </w:tcPr>
          <w:p w14:paraId="53055E66"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0.02</w:t>
            </w:r>
          </w:p>
        </w:tc>
        <w:tc>
          <w:tcPr>
            <w:tcW w:w="1276" w:type="dxa"/>
            <w:tcBorders>
              <w:top w:val="nil"/>
              <w:left w:val="nil"/>
              <w:bottom w:val="single" w:sz="4" w:space="0" w:color="000000"/>
              <w:right w:val="single" w:sz="4" w:space="0" w:color="000000"/>
            </w:tcBorders>
            <w:shd w:val="clear" w:color="FFFFFF" w:fill="FFFFFF"/>
            <w:noWrap/>
            <w:vAlign w:val="bottom"/>
            <w:hideMark/>
          </w:tcPr>
          <w:p w14:paraId="10033DE2"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0.02</w:t>
            </w:r>
          </w:p>
        </w:tc>
        <w:tc>
          <w:tcPr>
            <w:tcW w:w="1275" w:type="dxa"/>
            <w:tcBorders>
              <w:top w:val="nil"/>
              <w:left w:val="nil"/>
              <w:bottom w:val="single" w:sz="4" w:space="0" w:color="000000"/>
              <w:right w:val="single" w:sz="4" w:space="0" w:color="000000"/>
            </w:tcBorders>
            <w:shd w:val="clear" w:color="FFFFFF" w:fill="FFFFFF"/>
            <w:noWrap/>
            <w:vAlign w:val="bottom"/>
            <w:hideMark/>
          </w:tcPr>
          <w:p w14:paraId="6769BDDF" w14:textId="77777777" w:rsidR="0063273F" w:rsidRPr="00861553" w:rsidRDefault="0063273F" w:rsidP="0063273F">
            <w:pPr>
              <w:jc w:val="right"/>
              <w:rPr>
                <w:rFonts w:cs="Arial"/>
                <w:b/>
                <w:color w:val="000000"/>
                <w:sz w:val="22"/>
                <w:szCs w:val="22"/>
              </w:rPr>
            </w:pPr>
            <w:r w:rsidRPr="00861553">
              <w:rPr>
                <w:rFonts w:cs="Arial"/>
                <w:b/>
                <w:color w:val="000000"/>
                <w:sz w:val="22"/>
                <w:szCs w:val="22"/>
              </w:rPr>
              <w:t>0.94</w:t>
            </w:r>
          </w:p>
        </w:tc>
        <w:tc>
          <w:tcPr>
            <w:tcW w:w="1276" w:type="dxa"/>
            <w:tcBorders>
              <w:top w:val="nil"/>
              <w:left w:val="nil"/>
              <w:bottom w:val="single" w:sz="4" w:space="0" w:color="000000"/>
              <w:right w:val="single" w:sz="4" w:space="0" w:color="000000"/>
            </w:tcBorders>
            <w:shd w:val="clear" w:color="FFFFFF" w:fill="FFFFFF"/>
            <w:noWrap/>
            <w:vAlign w:val="bottom"/>
            <w:hideMark/>
          </w:tcPr>
          <w:p w14:paraId="5EA60BBF" w14:textId="77777777" w:rsidR="0063273F" w:rsidRPr="00861553" w:rsidRDefault="0063273F" w:rsidP="0063273F">
            <w:pPr>
              <w:jc w:val="right"/>
              <w:rPr>
                <w:rFonts w:cs="Arial"/>
                <w:b/>
                <w:color w:val="000000"/>
                <w:sz w:val="22"/>
                <w:szCs w:val="22"/>
              </w:rPr>
            </w:pPr>
            <w:r w:rsidRPr="00861553">
              <w:rPr>
                <w:rFonts w:cs="Arial"/>
                <w:b/>
                <w:color w:val="000000"/>
                <w:sz w:val="22"/>
                <w:szCs w:val="22"/>
              </w:rPr>
              <w:t>0.41</w:t>
            </w:r>
          </w:p>
        </w:tc>
        <w:tc>
          <w:tcPr>
            <w:tcW w:w="1418" w:type="dxa"/>
            <w:tcBorders>
              <w:top w:val="nil"/>
              <w:left w:val="nil"/>
              <w:bottom w:val="single" w:sz="4" w:space="0" w:color="000000"/>
              <w:right w:val="single" w:sz="4" w:space="0" w:color="000000"/>
            </w:tcBorders>
            <w:shd w:val="clear" w:color="FFFFFF" w:fill="FFFFFF"/>
            <w:noWrap/>
            <w:vAlign w:val="bottom"/>
            <w:hideMark/>
          </w:tcPr>
          <w:p w14:paraId="231D8245" w14:textId="77777777" w:rsidR="0063273F" w:rsidRPr="00861553" w:rsidRDefault="0063273F" w:rsidP="0063273F">
            <w:pPr>
              <w:jc w:val="right"/>
              <w:rPr>
                <w:rFonts w:cs="Arial"/>
                <w:b/>
                <w:color w:val="000000"/>
                <w:sz w:val="22"/>
                <w:szCs w:val="22"/>
              </w:rPr>
            </w:pPr>
            <w:r w:rsidRPr="00861553">
              <w:rPr>
                <w:rFonts w:cs="Arial"/>
                <w:b/>
                <w:color w:val="000000"/>
                <w:sz w:val="22"/>
                <w:szCs w:val="22"/>
              </w:rPr>
              <w:t>0.12</w:t>
            </w:r>
          </w:p>
        </w:tc>
      </w:tr>
      <w:tr w:rsidR="0063273F" w:rsidRPr="00B96818" w14:paraId="57EF80B3" w14:textId="77777777" w:rsidTr="00944C97">
        <w:trPr>
          <w:trHeight w:val="300"/>
        </w:trPr>
        <w:tc>
          <w:tcPr>
            <w:tcW w:w="3676" w:type="dxa"/>
            <w:tcBorders>
              <w:top w:val="nil"/>
              <w:left w:val="nil"/>
              <w:bottom w:val="nil"/>
              <w:right w:val="single" w:sz="8" w:space="0" w:color="000000"/>
            </w:tcBorders>
            <w:shd w:val="clear" w:color="auto" w:fill="auto"/>
            <w:vAlign w:val="bottom"/>
            <w:hideMark/>
          </w:tcPr>
          <w:p w14:paraId="156DDFE8" w14:textId="77777777" w:rsidR="0063273F" w:rsidRPr="00861553" w:rsidRDefault="0063273F" w:rsidP="0063273F">
            <w:pPr>
              <w:rPr>
                <w:rFonts w:cs="Arial"/>
                <w:color w:val="000000"/>
                <w:sz w:val="22"/>
                <w:szCs w:val="22"/>
              </w:rPr>
            </w:pPr>
            <w:r w:rsidRPr="00861553">
              <w:rPr>
                <w:rFonts w:cs="Arial"/>
                <w:color w:val="000000"/>
                <w:sz w:val="22"/>
                <w:szCs w:val="22"/>
              </w:rPr>
              <w:t>Low</w:t>
            </w:r>
          </w:p>
        </w:tc>
        <w:tc>
          <w:tcPr>
            <w:tcW w:w="1134" w:type="dxa"/>
            <w:tcBorders>
              <w:top w:val="nil"/>
              <w:left w:val="single" w:sz="4" w:space="0" w:color="000000"/>
              <w:bottom w:val="single" w:sz="4" w:space="0" w:color="000000"/>
              <w:right w:val="single" w:sz="4" w:space="0" w:color="000000"/>
            </w:tcBorders>
            <w:shd w:val="clear" w:color="FFFFFF" w:fill="FFFFFF"/>
            <w:noWrap/>
            <w:vAlign w:val="bottom"/>
            <w:hideMark/>
          </w:tcPr>
          <w:p w14:paraId="3333877F"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0.01</w:t>
            </w:r>
          </w:p>
        </w:tc>
        <w:tc>
          <w:tcPr>
            <w:tcW w:w="1276" w:type="dxa"/>
            <w:tcBorders>
              <w:top w:val="nil"/>
              <w:left w:val="nil"/>
              <w:bottom w:val="single" w:sz="4" w:space="0" w:color="000000"/>
              <w:right w:val="single" w:sz="4" w:space="0" w:color="000000"/>
            </w:tcBorders>
            <w:shd w:val="clear" w:color="FFFFFF" w:fill="FFFFFF"/>
            <w:noWrap/>
            <w:vAlign w:val="bottom"/>
            <w:hideMark/>
          </w:tcPr>
          <w:p w14:paraId="5AE1E029"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0.01</w:t>
            </w:r>
          </w:p>
        </w:tc>
        <w:tc>
          <w:tcPr>
            <w:tcW w:w="1275" w:type="dxa"/>
            <w:tcBorders>
              <w:top w:val="nil"/>
              <w:left w:val="nil"/>
              <w:bottom w:val="single" w:sz="4" w:space="0" w:color="000000"/>
              <w:right w:val="single" w:sz="4" w:space="0" w:color="000000"/>
            </w:tcBorders>
            <w:shd w:val="clear" w:color="FFFFFF" w:fill="FFFFFF"/>
            <w:noWrap/>
            <w:vAlign w:val="bottom"/>
            <w:hideMark/>
          </w:tcPr>
          <w:p w14:paraId="26617A9C" w14:textId="77777777" w:rsidR="0063273F" w:rsidRPr="00861553" w:rsidRDefault="0063273F" w:rsidP="0063273F">
            <w:pPr>
              <w:jc w:val="right"/>
              <w:rPr>
                <w:rFonts w:cs="Arial"/>
                <w:b/>
                <w:color w:val="000000"/>
                <w:sz w:val="22"/>
                <w:szCs w:val="22"/>
              </w:rPr>
            </w:pPr>
            <w:r w:rsidRPr="00861553">
              <w:rPr>
                <w:rFonts w:cs="Arial"/>
                <w:b/>
                <w:color w:val="000000"/>
                <w:sz w:val="22"/>
                <w:szCs w:val="22"/>
              </w:rPr>
              <w:t>0.51</w:t>
            </w:r>
          </w:p>
        </w:tc>
        <w:tc>
          <w:tcPr>
            <w:tcW w:w="1276" w:type="dxa"/>
            <w:tcBorders>
              <w:top w:val="nil"/>
              <w:left w:val="nil"/>
              <w:bottom w:val="single" w:sz="4" w:space="0" w:color="000000"/>
              <w:right w:val="single" w:sz="4" w:space="0" w:color="000000"/>
            </w:tcBorders>
            <w:shd w:val="clear" w:color="FFFFFF" w:fill="FFFFFF"/>
            <w:noWrap/>
            <w:vAlign w:val="bottom"/>
            <w:hideMark/>
          </w:tcPr>
          <w:p w14:paraId="04A973DD" w14:textId="77777777" w:rsidR="0063273F" w:rsidRPr="00861553" w:rsidRDefault="0063273F" w:rsidP="0063273F">
            <w:pPr>
              <w:jc w:val="right"/>
              <w:rPr>
                <w:rFonts w:cs="Arial"/>
                <w:b/>
                <w:color w:val="000000"/>
                <w:sz w:val="22"/>
                <w:szCs w:val="22"/>
              </w:rPr>
            </w:pPr>
            <w:r w:rsidRPr="00861553">
              <w:rPr>
                <w:rFonts w:cs="Arial"/>
                <w:b/>
                <w:color w:val="000000"/>
                <w:sz w:val="22"/>
                <w:szCs w:val="22"/>
              </w:rPr>
              <w:t>0.22</w:t>
            </w:r>
          </w:p>
        </w:tc>
        <w:tc>
          <w:tcPr>
            <w:tcW w:w="1418" w:type="dxa"/>
            <w:tcBorders>
              <w:top w:val="nil"/>
              <w:left w:val="nil"/>
              <w:bottom w:val="single" w:sz="4" w:space="0" w:color="000000"/>
              <w:right w:val="single" w:sz="4" w:space="0" w:color="000000"/>
            </w:tcBorders>
            <w:shd w:val="clear" w:color="FFFFFF" w:fill="FFFFFF"/>
            <w:noWrap/>
            <w:vAlign w:val="bottom"/>
            <w:hideMark/>
          </w:tcPr>
          <w:p w14:paraId="73CE99CF"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0.07</w:t>
            </w:r>
          </w:p>
        </w:tc>
      </w:tr>
      <w:tr w:rsidR="0063273F" w:rsidRPr="00B96818" w14:paraId="6858E28B" w14:textId="77777777" w:rsidTr="00944C97">
        <w:trPr>
          <w:trHeight w:val="315"/>
        </w:trPr>
        <w:tc>
          <w:tcPr>
            <w:tcW w:w="3676" w:type="dxa"/>
            <w:tcBorders>
              <w:top w:val="nil"/>
              <w:left w:val="nil"/>
              <w:bottom w:val="single" w:sz="4" w:space="0" w:color="000000"/>
              <w:right w:val="single" w:sz="8" w:space="0" w:color="000000"/>
            </w:tcBorders>
            <w:shd w:val="clear" w:color="auto" w:fill="auto"/>
            <w:vAlign w:val="bottom"/>
            <w:hideMark/>
          </w:tcPr>
          <w:p w14:paraId="3B73F240" w14:textId="77777777" w:rsidR="0063273F" w:rsidRPr="00861553" w:rsidRDefault="0063273F" w:rsidP="0063273F">
            <w:pPr>
              <w:rPr>
                <w:rFonts w:cs="Arial"/>
                <w:color w:val="000000"/>
                <w:sz w:val="22"/>
                <w:szCs w:val="22"/>
              </w:rPr>
            </w:pPr>
            <w:r w:rsidRPr="00861553">
              <w:rPr>
                <w:rFonts w:cs="Arial"/>
                <w:color w:val="000000"/>
                <w:sz w:val="22"/>
                <w:szCs w:val="22"/>
              </w:rPr>
              <w:t>High</w:t>
            </w:r>
          </w:p>
        </w:tc>
        <w:tc>
          <w:tcPr>
            <w:tcW w:w="1134" w:type="dxa"/>
            <w:tcBorders>
              <w:top w:val="nil"/>
              <w:left w:val="single" w:sz="4" w:space="0" w:color="000000"/>
              <w:bottom w:val="single" w:sz="4" w:space="0" w:color="000000"/>
              <w:right w:val="single" w:sz="4" w:space="0" w:color="000000"/>
            </w:tcBorders>
            <w:shd w:val="clear" w:color="FFFFFF" w:fill="FFFFFF"/>
            <w:noWrap/>
            <w:vAlign w:val="bottom"/>
            <w:hideMark/>
          </w:tcPr>
          <w:p w14:paraId="6A214210"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0.04</w:t>
            </w:r>
          </w:p>
        </w:tc>
        <w:tc>
          <w:tcPr>
            <w:tcW w:w="1276" w:type="dxa"/>
            <w:tcBorders>
              <w:top w:val="nil"/>
              <w:left w:val="nil"/>
              <w:bottom w:val="single" w:sz="4" w:space="0" w:color="000000"/>
              <w:right w:val="single" w:sz="4" w:space="0" w:color="000000"/>
            </w:tcBorders>
            <w:shd w:val="clear" w:color="FFFFFF" w:fill="FFFFFF"/>
            <w:noWrap/>
            <w:vAlign w:val="bottom"/>
            <w:hideMark/>
          </w:tcPr>
          <w:p w14:paraId="18F03E3A" w14:textId="77777777" w:rsidR="0063273F" w:rsidRPr="00861553" w:rsidRDefault="0063273F" w:rsidP="0063273F">
            <w:pPr>
              <w:jc w:val="right"/>
              <w:rPr>
                <w:rFonts w:cs="Arial"/>
                <w:b/>
                <w:color w:val="000000"/>
                <w:sz w:val="22"/>
                <w:szCs w:val="22"/>
              </w:rPr>
            </w:pPr>
            <w:r w:rsidRPr="00861553">
              <w:rPr>
                <w:rFonts w:cs="Arial"/>
                <w:b/>
                <w:color w:val="000000"/>
                <w:sz w:val="22"/>
                <w:szCs w:val="22"/>
              </w:rPr>
              <w:t>0.04</w:t>
            </w:r>
          </w:p>
        </w:tc>
        <w:tc>
          <w:tcPr>
            <w:tcW w:w="1275" w:type="dxa"/>
            <w:tcBorders>
              <w:top w:val="nil"/>
              <w:left w:val="nil"/>
              <w:bottom w:val="single" w:sz="4" w:space="0" w:color="000000"/>
              <w:right w:val="single" w:sz="4" w:space="0" w:color="000000"/>
            </w:tcBorders>
            <w:shd w:val="clear" w:color="FFFFFF" w:fill="FFFFFF"/>
            <w:noWrap/>
            <w:vAlign w:val="bottom"/>
            <w:hideMark/>
          </w:tcPr>
          <w:p w14:paraId="538FE573" w14:textId="77777777" w:rsidR="0063273F" w:rsidRPr="00861553" w:rsidRDefault="0063273F" w:rsidP="0063273F">
            <w:pPr>
              <w:jc w:val="right"/>
              <w:rPr>
                <w:rFonts w:cs="Arial"/>
                <w:b/>
                <w:color w:val="000000"/>
                <w:sz w:val="22"/>
                <w:szCs w:val="22"/>
              </w:rPr>
            </w:pPr>
            <w:r w:rsidRPr="00861553">
              <w:rPr>
                <w:rFonts w:cs="Arial"/>
                <w:b/>
                <w:color w:val="000000"/>
                <w:sz w:val="22"/>
                <w:szCs w:val="22"/>
              </w:rPr>
              <w:t>1.54</w:t>
            </w:r>
          </w:p>
        </w:tc>
        <w:tc>
          <w:tcPr>
            <w:tcW w:w="1276" w:type="dxa"/>
            <w:tcBorders>
              <w:top w:val="nil"/>
              <w:left w:val="nil"/>
              <w:bottom w:val="single" w:sz="4" w:space="0" w:color="000000"/>
              <w:right w:val="single" w:sz="4" w:space="0" w:color="000000"/>
            </w:tcBorders>
            <w:shd w:val="clear" w:color="FFFFFF" w:fill="FFFFFF"/>
            <w:noWrap/>
            <w:vAlign w:val="bottom"/>
            <w:hideMark/>
          </w:tcPr>
          <w:p w14:paraId="52625753" w14:textId="77777777" w:rsidR="0063273F" w:rsidRPr="00861553" w:rsidRDefault="0063273F" w:rsidP="0063273F">
            <w:pPr>
              <w:jc w:val="right"/>
              <w:rPr>
                <w:rFonts w:cs="Arial"/>
                <w:b/>
                <w:color w:val="000000"/>
                <w:sz w:val="22"/>
                <w:szCs w:val="22"/>
              </w:rPr>
            </w:pPr>
            <w:r w:rsidRPr="00861553">
              <w:rPr>
                <w:rFonts w:cs="Arial"/>
                <w:b/>
                <w:color w:val="000000"/>
                <w:sz w:val="22"/>
                <w:szCs w:val="22"/>
              </w:rPr>
              <w:t>0.67</w:t>
            </w:r>
          </w:p>
        </w:tc>
        <w:tc>
          <w:tcPr>
            <w:tcW w:w="1418" w:type="dxa"/>
            <w:tcBorders>
              <w:top w:val="nil"/>
              <w:left w:val="nil"/>
              <w:bottom w:val="single" w:sz="4" w:space="0" w:color="000000"/>
              <w:right w:val="single" w:sz="4" w:space="0" w:color="000000"/>
            </w:tcBorders>
            <w:shd w:val="clear" w:color="FFFFFF" w:fill="FFFFFF"/>
            <w:noWrap/>
            <w:vAlign w:val="bottom"/>
            <w:hideMark/>
          </w:tcPr>
          <w:p w14:paraId="21BCF03C" w14:textId="77777777" w:rsidR="0063273F" w:rsidRPr="00861553" w:rsidRDefault="0063273F" w:rsidP="0063273F">
            <w:pPr>
              <w:jc w:val="right"/>
              <w:rPr>
                <w:rFonts w:cs="Arial"/>
                <w:b/>
                <w:color w:val="000000"/>
                <w:sz w:val="22"/>
                <w:szCs w:val="22"/>
              </w:rPr>
            </w:pPr>
            <w:r w:rsidRPr="00861553">
              <w:rPr>
                <w:rFonts w:cs="Arial"/>
                <w:b/>
                <w:color w:val="000000"/>
                <w:sz w:val="22"/>
                <w:szCs w:val="22"/>
              </w:rPr>
              <w:t>0.20</w:t>
            </w:r>
          </w:p>
        </w:tc>
      </w:tr>
    </w:tbl>
    <w:p w14:paraId="1EFB3D6D" w14:textId="1074B423" w:rsidR="00DD3AEB" w:rsidRPr="00861553" w:rsidRDefault="00DD3AEB" w:rsidP="00DD3AEB">
      <w:pPr>
        <w:pStyle w:val="IAPOA1"/>
        <w:ind w:left="0"/>
        <w:rPr>
          <w:rFonts w:cs="Arial"/>
          <w:szCs w:val="22"/>
        </w:rPr>
      </w:pPr>
    </w:p>
    <w:p w14:paraId="68B9EE3A" w14:textId="77777777" w:rsidR="00446B5F" w:rsidRPr="00861553" w:rsidRDefault="00446B5F" w:rsidP="00B405DA">
      <w:pPr>
        <w:widowControl w:val="0"/>
        <w:tabs>
          <w:tab w:val="left" w:pos="9050"/>
        </w:tabs>
        <w:autoSpaceDE w:val="0"/>
        <w:autoSpaceDN w:val="0"/>
        <w:adjustRightInd w:val="0"/>
        <w:ind w:right="18"/>
        <w:jc w:val="both"/>
        <w:rPr>
          <w:rFonts w:cs="Arial"/>
          <w:b/>
          <w:sz w:val="22"/>
          <w:szCs w:val="22"/>
        </w:rPr>
      </w:pPr>
    </w:p>
    <w:p w14:paraId="10325CA3" w14:textId="77777777" w:rsidR="00516DF9" w:rsidRPr="00861553" w:rsidRDefault="00516DF9" w:rsidP="00B405DA">
      <w:pPr>
        <w:widowControl w:val="0"/>
        <w:tabs>
          <w:tab w:val="left" w:pos="9050"/>
        </w:tabs>
        <w:autoSpaceDE w:val="0"/>
        <w:autoSpaceDN w:val="0"/>
        <w:adjustRightInd w:val="0"/>
        <w:ind w:right="18"/>
        <w:jc w:val="both"/>
        <w:rPr>
          <w:rFonts w:cs="Arial"/>
          <w:b/>
          <w:i/>
          <w:sz w:val="22"/>
          <w:szCs w:val="22"/>
          <w:u w:val="single"/>
        </w:rPr>
      </w:pPr>
    </w:p>
    <w:p w14:paraId="3A35A282" w14:textId="77777777" w:rsidR="00A60C02" w:rsidRPr="00861553" w:rsidRDefault="00A60C02" w:rsidP="00B405DA">
      <w:pPr>
        <w:widowControl w:val="0"/>
        <w:tabs>
          <w:tab w:val="left" w:pos="9050"/>
        </w:tabs>
        <w:autoSpaceDE w:val="0"/>
        <w:autoSpaceDN w:val="0"/>
        <w:adjustRightInd w:val="0"/>
        <w:ind w:right="18"/>
        <w:jc w:val="both"/>
        <w:rPr>
          <w:rFonts w:cs="Arial"/>
          <w:b/>
          <w:sz w:val="22"/>
          <w:szCs w:val="22"/>
          <w:u w:val="single"/>
        </w:rPr>
      </w:pPr>
      <w:r w:rsidRPr="00861553">
        <w:rPr>
          <w:rFonts w:cs="Arial"/>
          <w:b/>
          <w:sz w:val="22"/>
          <w:szCs w:val="22"/>
          <w:u w:val="single"/>
        </w:rPr>
        <w:t xml:space="preserve">Non-Monetised costs </w:t>
      </w:r>
    </w:p>
    <w:p w14:paraId="33BB3CFA" w14:textId="77777777" w:rsidR="00066AF6" w:rsidRPr="00861553" w:rsidRDefault="00066AF6" w:rsidP="00B405DA">
      <w:pPr>
        <w:widowControl w:val="0"/>
        <w:tabs>
          <w:tab w:val="left" w:pos="9050"/>
        </w:tabs>
        <w:autoSpaceDE w:val="0"/>
        <w:autoSpaceDN w:val="0"/>
        <w:adjustRightInd w:val="0"/>
        <w:ind w:right="18"/>
        <w:jc w:val="both"/>
        <w:rPr>
          <w:rFonts w:cs="Arial"/>
          <w:b/>
          <w:i/>
          <w:sz w:val="22"/>
          <w:szCs w:val="22"/>
          <w:u w:val="single"/>
        </w:rPr>
      </w:pPr>
    </w:p>
    <w:p w14:paraId="36A82DF1" w14:textId="77777777" w:rsidR="00523B46" w:rsidRPr="00861553" w:rsidRDefault="00066AF6" w:rsidP="00B405DA">
      <w:pPr>
        <w:widowControl w:val="0"/>
        <w:tabs>
          <w:tab w:val="left" w:pos="9050"/>
        </w:tabs>
        <w:autoSpaceDE w:val="0"/>
        <w:autoSpaceDN w:val="0"/>
        <w:adjustRightInd w:val="0"/>
        <w:ind w:right="18"/>
        <w:jc w:val="both"/>
        <w:rPr>
          <w:rFonts w:cs="Arial"/>
          <w:i/>
          <w:sz w:val="22"/>
          <w:szCs w:val="22"/>
        </w:rPr>
      </w:pPr>
      <w:r w:rsidRPr="00861553">
        <w:rPr>
          <w:rFonts w:cs="Arial"/>
          <w:i/>
          <w:sz w:val="22"/>
          <w:szCs w:val="22"/>
        </w:rPr>
        <w:t>Competition</w:t>
      </w:r>
    </w:p>
    <w:p w14:paraId="08C2BA6E" w14:textId="77777777" w:rsidR="00526240" w:rsidRPr="00861553" w:rsidRDefault="00526240" w:rsidP="00B405DA">
      <w:pPr>
        <w:widowControl w:val="0"/>
        <w:tabs>
          <w:tab w:val="left" w:pos="9050"/>
        </w:tabs>
        <w:autoSpaceDE w:val="0"/>
        <w:autoSpaceDN w:val="0"/>
        <w:adjustRightInd w:val="0"/>
        <w:ind w:right="18"/>
        <w:jc w:val="both"/>
        <w:rPr>
          <w:rFonts w:cs="Arial"/>
          <w:sz w:val="22"/>
          <w:szCs w:val="22"/>
        </w:rPr>
      </w:pPr>
    </w:p>
    <w:p w14:paraId="6CF752C9" w14:textId="0C47B541" w:rsidR="00523B46" w:rsidRPr="00861553" w:rsidRDefault="00523B46" w:rsidP="00B405DA">
      <w:pPr>
        <w:widowControl w:val="0"/>
        <w:tabs>
          <w:tab w:val="left" w:pos="9050"/>
        </w:tabs>
        <w:autoSpaceDE w:val="0"/>
        <w:autoSpaceDN w:val="0"/>
        <w:adjustRightInd w:val="0"/>
        <w:ind w:right="18"/>
        <w:jc w:val="both"/>
        <w:rPr>
          <w:rFonts w:cs="Arial"/>
          <w:sz w:val="22"/>
          <w:szCs w:val="22"/>
        </w:rPr>
      </w:pPr>
      <w:r w:rsidRPr="00861553">
        <w:rPr>
          <w:rFonts w:cs="Arial"/>
          <w:sz w:val="22"/>
          <w:szCs w:val="22"/>
        </w:rPr>
        <w:t>The potential benefit of improved service</w:t>
      </w:r>
      <w:r w:rsidR="00A546E3" w:rsidRPr="00861553">
        <w:rPr>
          <w:rFonts w:cs="Arial"/>
          <w:sz w:val="22"/>
          <w:szCs w:val="22"/>
        </w:rPr>
        <w:t>s</w:t>
      </w:r>
      <w:r w:rsidRPr="00861553">
        <w:rPr>
          <w:rFonts w:cs="Arial"/>
          <w:sz w:val="22"/>
          <w:szCs w:val="22"/>
        </w:rPr>
        <w:t xml:space="preserve"> and </w:t>
      </w:r>
      <w:r w:rsidR="00A546E3" w:rsidRPr="00861553">
        <w:rPr>
          <w:rFonts w:cs="Arial"/>
          <w:sz w:val="22"/>
          <w:szCs w:val="22"/>
        </w:rPr>
        <w:t>content for</w:t>
      </w:r>
      <w:r w:rsidR="00E73453" w:rsidRPr="00861553">
        <w:rPr>
          <w:rFonts w:cs="Arial"/>
          <w:sz w:val="22"/>
          <w:szCs w:val="22"/>
        </w:rPr>
        <w:t xml:space="preserve"> consumers through</w:t>
      </w:r>
      <w:r w:rsidRPr="00861553">
        <w:rPr>
          <w:rFonts w:cs="Arial"/>
          <w:sz w:val="22"/>
          <w:szCs w:val="22"/>
        </w:rPr>
        <w:t xml:space="preserve"> increased competition would not be </w:t>
      </w:r>
      <w:r w:rsidR="00A546E3" w:rsidRPr="00861553">
        <w:rPr>
          <w:rFonts w:cs="Arial"/>
          <w:sz w:val="22"/>
          <w:szCs w:val="22"/>
        </w:rPr>
        <w:t>realised</w:t>
      </w:r>
      <w:r w:rsidRPr="00861553">
        <w:rPr>
          <w:rFonts w:cs="Arial"/>
          <w:sz w:val="22"/>
          <w:szCs w:val="22"/>
        </w:rPr>
        <w:t xml:space="preserve"> if the licences were to continue to be held</w:t>
      </w:r>
      <w:r w:rsidR="00A546E3" w:rsidRPr="00861553">
        <w:rPr>
          <w:rFonts w:cs="Arial"/>
          <w:sz w:val="22"/>
          <w:szCs w:val="22"/>
        </w:rPr>
        <w:t xml:space="preserve"> by incumbents</w:t>
      </w:r>
      <w:r w:rsidRPr="00861553">
        <w:rPr>
          <w:rFonts w:cs="Arial"/>
          <w:sz w:val="22"/>
          <w:szCs w:val="22"/>
        </w:rPr>
        <w:t xml:space="preserve"> for a further 5 years after the </w:t>
      </w:r>
      <w:r w:rsidR="00A546E3" w:rsidRPr="00861553">
        <w:rPr>
          <w:rFonts w:cs="Arial"/>
          <w:sz w:val="22"/>
          <w:szCs w:val="22"/>
        </w:rPr>
        <w:t>expiry</w:t>
      </w:r>
      <w:r w:rsidRPr="00861553">
        <w:rPr>
          <w:rFonts w:cs="Arial"/>
          <w:sz w:val="22"/>
          <w:szCs w:val="22"/>
        </w:rPr>
        <w:t xml:space="preserve"> date.</w:t>
      </w:r>
      <w:r w:rsidR="00A546E3" w:rsidRPr="00861553">
        <w:rPr>
          <w:rFonts w:cs="Arial"/>
          <w:sz w:val="22"/>
          <w:szCs w:val="22"/>
        </w:rPr>
        <w:t xml:space="preserve"> However, as we have already outlined</w:t>
      </w:r>
      <w:r w:rsidR="007865BE">
        <w:rPr>
          <w:rFonts w:cs="Arial"/>
          <w:sz w:val="22"/>
          <w:szCs w:val="22"/>
        </w:rPr>
        <w:t xml:space="preserve"> (see competition assessment)</w:t>
      </w:r>
      <w:r w:rsidR="00A546E3" w:rsidRPr="00861553">
        <w:rPr>
          <w:rFonts w:cs="Arial"/>
          <w:sz w:val="22"/>
          <w:szCs w:val="22"/>
        </w:rPr>
        <w:t>, there is little evidence that a competitive process would increase the range of services on offer, nor is there any evidence that listeners are dissatisfied with the current offer.</w:t>
      </w:r>
      <w:r w:rsidR="00944C97" w:rsidRPr="00861553">
        <w:rPr>
          <w:rFonts w:cs="Arial"/>
          <w:sz w:val="22"/>
          <w:szCs w:val="22"/>
        </w:rPr>
        <w:t xml:space="preserve"> </w:t>
      </w:r>
      <w:r w:rsidR="00526240" w:rsidRPr="00861553">
        <w:rPr>
          <w:rFonts w:cs="Arial"/>
          <w:sz w:val="22"/>
          <w:szCs w:val="22"/>
        </w:rPr>
        <w:t>As already indicated, r</w:t>
      </w:r>
      <w:r w:rsidR="00944C97" w:rsidRPr="00861553">
        <w:rPr>
          <w:rFonts w:cs="Arial"/>
          <w:sz w:val="22"/>
          <w:szCs w:val="22"/>
        </w:rPr>
        <w:t>esearch by Ofcom demonstrates that listeners are satisfied with current offerings, with over 80% of listeners saying they are satisfied with their local radio services</w:t>
      </w:r>
      <w:r w:rsidR="00051114" w:rsidRPr="00861553">
        <w:rPr>
          <w:rFonts w:cs="Arial"/>
          <w:sz w:val="22"/>
          <w:szCs w:val="22"/>
        </w:rPr>
        <w:t xml:space="preserve"> and h</w:t>
      </w:r>
      <w:r w:rsidR="00944C97" w:rsidRPr="00861553">
        <w:rPr>
          <w:rFonts w:cs="Arial"/>
          <w:sz w:val="22"/>
          <w:szCs w:val="22"/>
        </w:rPr>
        <w:t>istorically, contested licences have tended to be re-awarded to incumbents:</w:t>
      </w:r>
      <w:r w:rsidR="00944C97" w:rsidRPr="00861553">
        <w:rPr>
          <w:rFonts w:cs="Arial"/>
          <w:color w:val="222222"/>
          <w:sz w:val="22"/>
          <w:szCs w:val="22"/>
          <w:shd w:val="clear" w:color="auto" w:fill="FFFFFF"/>
        </w:rPr>
        <w:t xml:space="preserve"> of </w:t>
      </w:r>
      <w:r w:rsidR="00944C97" w:rsidRPr="00861553">
        <w:rPr>
          <w:rFonts w:cs="Arial"/>
          <w:sz w:val="22"/>
          <w:szCs w:val="22"/>
        </w:rPr>
        <w:t>the total number of licences (c.100) that have been re-advertised by Ofcom since 2003, only around ten have proceeded to a full competition and in most cases the licence was re-awarded to the incumbent</w:t>
      </w:r>
      <w:r w:rsidR="00526240" w:rsidRPr="00861553">
        <w:rPr>
          <w:rFonts w:cs="Arial"/>
          <w:sz w:val="22"/>
          <w:szCs w:val="22"/>
        </w:rPr>
        <w:t>.</w:t>
      </w:r>
    </w:p>
    <w:p w14:paraId="272A4348" w14:textId="77777777" w:rsidR="00562F73" w:rsidRPr="00861553" w:rsidRDefault="00562F73" w:rsidP="00B405DA">
      <w:pPr>
        <w:widowControl w:val="0"/>
        <w:tabs>
          <w:tab w:val="left" w:pos="9050"/>
        </w:tabs>
        <w:autoSpaceDE w:val="0"/>
        <w:autoSpaceDN w:val="0"/>
        <w:adjustRightInd w:val="0"/>
        <w:ind w:right="18"/>
        <w:jc w:val="both"/>
        <w:rPr>
          <w:rFonts w:cs="Arial"/>
          <w:sz w:val="22"/>
          <w:szCs w:val="22"/>
        </w:rPr>
      </w:pPr>
    </w:p>
    <w:p w14:paraId="1B63FAB3" w14:textId="77777777" w:rsidR="00562F73" w:rsidRPr="00861553" w:rsidRDefault="00562F73" w:rsidP="00B405DA">
      <w:pPr>
        <w:widowControl w:val="0"/>
        <w:tabs>
          <w:tab w:val="left" w:pos="9050"/>
        </w:tabs>
        <w:autoSpaceDE w:val="0"/>
        <w:autoSpaceDN w:val="0"/>
        <w:adjustRightInd w:val="0"/>
        <w:ind w:right="18"/>
        <w:jc w:val="both"/>
        <w:rPr>
          <w:rFonts w:cs="Arial"/>
          <w:sz w:val="22"/>
          <w:szCs w:val="22"/>
        </w:rPr>
      </w:pPr>
    </w:p>
    <w:p w14:paraId="65955AD3" w14:textId="04D6194B" w:rsidR="00562F73" w:rsidRPr="00861553" w:rsidRDefault="001C7303" w:rsidP="00B405DA">
      <w:pPr>
        <w:widowControl w:val="0"/>
        <w:tabs>
          <w:tab w:val="left" w:pos="9050"/>
        </w:tabs>
        <w:autoSpaceDE w:val="0"/>
        <w:autoSpaceDN w:val="0"/>
        <w:adjustRightInd w:val="0"/>
        <w:ind w:right="18"/>
        <w:jc w:val="both"/>
        <w:rPr>
          <w:rFonts w:cs="Arial"/>
          <w:i/>
          <w:sz w:val="22"/>
          <w:szCs w:val="22"/>
        </w:rPr>
      </w:pPr>
      <w:r w:rsidRPr="00861553">
        <w:rPr>
          <w:rFonts w:cs="Arial"/>
          <w:i/>
          <w:sz w:val="22"/>
          <w:szCs w:val="22"/>
        </w:rPr>
        <w:t>Innovation</w:t>
      </w:r>
    </w:p>
    <w:p w14:paraId="672FD9DC" w14:textId="77777777" w:rsidR="00A546E3" w:rsidRPr="00861553" w:rsidRDefault="00A546E3" w:rsidP="00B405DA">
      <w:pPr>
        <w:widowControl w:val="0"/>
        <w:tabs>
          <w:tab w:val="left" w:pos="9050"/>
        </w:tabs>
        <w:autoSpaceDE w:val="0"/>
        <w:autoSpaceDN w:val="0"/>
        <w:adjustRightInd w:val="0"/>
        <w:ind w:right="18"/>
        <w:jc w:val="both"/>
        <w:rPr>
          <w:rFonts w:cs="Arial"/>
          <w:sz w:val="22"/>
          <w:szCs w:val="22"/>
        </w:rPr>
      </w:pPr>
    </w:p>
    <w:p w14:paraId="44991464" w14:textId="7C89C4D7" w:rsidR="00526240" w:rsidRPr="00861553" w:rsidRDefault="00526240" w:rsidP="00115388">
      <w:pPr>
        <w:widowControl w:val="0"/>
        <w:tabs>
          <w:tab w:val="left" w:pos="9050"/>
        </w:tabs>
        <w:autoSpaceDE w:val="0"/>
        <w:autoSpaceDN w:val="0"/>
        <w:adjustRightInd w:val="0"/>
        <w:ind w:right="18"/>
        <w:rPr>
          <w:rFonts w:cs="Arial"/>
          <w:sz w:val="22"/>
          <w:szCs w:val="22"/>
        </w:rPr>
      </w:pPr>
      <w:r w:rsidRPr="00861553">
        <w:rPr>
          <w:rFonts w:cs="Arial"/>
          <w:sz w:val="22"/>
          <w:szCs w:val="22"/>
        </w:rPr>
        <w:t>Furthermore, Ofcom have recently advertised a second digital national multiplex. DAB as a platform has a far greater capacity than analogue, spectrum on which is scarce, so we expect this will greatly increase opportunities for new entrants looking to come into the radio market. Therefore we can argue that</w:t>
      </w:r>
      <w:r w:rsidR="00FB623A" w:rsidRPr="00861553">
        <w:rPr>
          <w:rFonts w:cs="Arial"/>
          <w:sz w:val="22"/>
          <w:szCs w:val="22"/>
        </w:rPr>
        <w:t xml:space="preserve"> </w:t>
      </w:r>
      <w:r w:rsidRPr="00861553">
        <w:rPr>
          <w:rFonts w:cs="Arial"/>
          <w:sz w:val="22"/>
          <w:szCs w:val="22"/>
        </w:rPr>
        <w:t xml:space="preserve">this option does not and will not prohibit entry into </w:t>
      </w:r>
      <w:r w:rsidR="00EB6CD9">
        <w:rPr>
          <w:rFonts w:cs="Arial"/>
          <w:sz w:val="22"/>
          <w:szCs w:val="22"/>
        </w:rPr>
        <w:t xml:space="preserve">a </w:t>
      </w:r>
      <w:r w:rsidRPr="00861553">
        <w:rPr>
          <w:rFonts w:cs="Arial"/>
          <w:sz w:val="22"/>
          <w:szCs w:val="22"/>
        </w:rPr>
        <w:t>market</w:t>
      </w:r>
      <w:r w:rsidR="00EB6CD9">
        <w:rPr>
          <w:rFonts w:cs="Arial"/>
          <w:sz w:val="22"/>
          <w:szCs w:val="22"/>
        </w:rPr>
        <w:t xml:space="preserve"> that is transitioning from analogue to digital. </w:t>
      </w:r>
      <w:r w:rsidRPr="00861553">
        <w:rPr>
          <w:rFonts w:cs="Arial"/>
          <w:sz w:val="22"/>
          <w:szCs w:val="22"/>
        </w:rPr>
        <w:t>.</w:t>
      </w:r>
    </w:p>
    <w:p w14:paraId="655EEF01" w14:textId="77777777" w:rsidR="00FB623A" w:rsidRPr="00861553" w:rsidRDefault="00FB623A" w:rsidP="00FB623A">
      <w:pPr>
        <w:widowControl w:val="0"/>
        <w:tabs>
          <w:tab w:val="left" w:pos="9050"/>
        </w:tabs>
        <w:autoSpaceDE w:val="0"/>
        <w:autoSpaceDN w:val="0"/>
        <w:adjustRightInd w:val="0"/>
        <w:ind w:right="18"/>
        <w:rPr>
          <w:rFonts w:cs="Arial"/>
          <w:sz w:val="22"/>
          <w:szCs w:val="22"/>
        </w:rPr>
      </w:pPr>
    </w:p>
    <w:p w14:paraId="367CD99E" w14:textId="2D0D9850" w:rsidR="00526240" w:rsidRPr="00861553" w:rsidRDefault="00526240" w:rsidP="00B405DA">
      <w:pPr>
        <w:widowControl w:val="0"/>
        <w:tabs>
          <w:tab w:val="left" w:pos="9050"/>
        </w:tabs>
        <w:autoSpaceDE w:val="0"/>
        <w:autoSpaceDN w:val="0"/>
        <w:adjustRightInd w:val="0"/>
        <w:ind w:right="18"/>
        <w:jc w:val="both"/>
        <w:rPr>
          <w:rFonts w:cs="Arial"/>
          <w:i/>
          <w:sz w:val="22"/>
          <w:szCs w:val="22"/>
        </w:rPr>
      </w:pPr>
      <w:r w:rsidRPr="00861553">
        <w:rPr>
          <w:rFonts w:cs="Arial"/>
          <w:i/>
          <w:sz w:val="22"/>
          <w:szCs w:val="22"/>
        </w:rPr>
        <w:t>Growth of digital radio</w:t>
      </w:r>
    </w:p>
    <w:p w14:paraId="6EB540A9" w14:textId="77777777" w:rsidR="00526240" w:rsidRPr="00861553" w:rsidRDefault="00526240" w:rsidP="00B405DA">
      <w:pPr>
        <w:widowControl w:val="0"/>
        <w:tabs>
          <w:tab w:val="left" w:pos="9050"/>
        </w:tabs>
        <w:autoSpaceDE w:val="0"/>
        <w:autoSpaceDN w:val="0"/>
        <w:adjustRightInd w:val="0"/>
        <w:ind w:right="18"/>
        <w:jc w:val="both"/>
        <w:rPr>
          <w:rFonts w:cs="Arial"/>
          <w:sz w:val="22"/>
          <w:szCs w:val="22"/>
        </w:rPr>
      </w:pPr>
    </w:p>
    <w:p w14:paraId="31C5BC0B" w14:textId="15FD4ED0" w:rsidR="00446B5F" w:rsidRPr="00861553" w:rsidRDefault="00A546E3" w:rsidP="00B405DA">
      <w:pPr>
        <w:widowControl w:val="0"/>
        <w:tabs>
          <w:tab w:val="left" w:pos="9050"/>
        </w:tabs>
        <w:autoSpaceDE w:val="0"/>
        <w:autoSpaceDN w:val="0"/>
        <w:adjustRightInd w:val="0"/>
        <w:ind w:right="18"/>
        <w:jc w:val="both"/>
        <w:rPr>
          <w:rFonts w:cs="Arial"/>
          <w:sz w:val="22"/>
          <w:szCs w:val="22"/>
        </w:rPr>
      </w:pPr>
      <w:r w:rsidRPr="00861553">
        <w:rPr>
          <w:rFonts w:cs="Arial"/>
          <w:sz w:val="22"/>
          <w:szCs w:val="22"/>
        </w:rPr>
        <w:t>It could be argued however that</w:t>
      </w:r>
      <w:r w:rsidR="00523B46" w:rsidRPr="00861553">
        <w:rPr>
          <w:rFonts w:cs="Arial"/>
          <w:sz w:val="22"/>
          <w:szCs w:val="22"/>
        </w:rPr>
        <w:t xml:space="preserve"> without competition there is no incentive for the current licence holders to innovate and improve their servic</w:t>
      </w:r>
      <w:r w:rsidR="00E73453" w:rsidRPr="00861553">
        <w:rPr>
          <w:rFonts w:cs="Arial"/>
          <w:sz w:val="22"/>
          <w:szCs w:val="22"/>
        </w:rPr>
        <w:t>e and delivery to the consumers, and</w:t>
      </w:r>
      <w:r w:rsidRPr="00861553">
        <w:rPr>
          <w:rFonts w:cs="Arial"/>
          <w:sz w:val="22"/>
          <w:szCs w:val="22"/>
        </w:rPr>
        <w:t xml:space="preserve"> </w:t>
      </w:r>
      <w:r w:rsidR="00446B5F" w:rsidRPr="00861553">
        <w:rPr>
          <w:rFonts w:cs="Arial"/>
          <w:sz w:val="22"/>
          <w:szCs w:val="22"/>
        </w:rPr>
        <w:t>DCMS acknowledge</w:t>
      </w:r>
      <w:r w:rsidRPr="00861553">
        <w:rPr>
          <w:rFonts w:cs="Arial"/>
          <w:sz w:val="22"/>
          <w:szCs w:val="22"/>
        </w:rPr>
        <w:t>s</w:t>
      </w:r>
      <w:r w:rsidR="00446B5F" w:rsidRPr="00861553">
        <w:rPr>
          <w:rFonts w:cs="Arial"/>
          <w:sz w:val="22"/>
          <w:szCs w:val="22"/>
        </w:rPr>
        <w:t xml:space="preserve"> that this option could </w:t>
      </w:r>
      <w:r w:rsidR="002863C4" w:rsidRPr="00861553">
        <w:rPr>
          <w:rFonts w:cs="Arial"/>
          <w:sz w:val="22"/>
          <w:szCs w:val="22"/>
        </w:rPr>
        <w:t xml:space="preserve">potentially </w:t>
      </w:r>
      <w:r w:rsidR="00446B5F" w:rsidRPr="00861553">
        <w:rPr>
          <w:rFonts w:cs="Arial"/>
          <w:sz w:val="22"/>
          <w:szCs w:val="22"/>
        </w:rPr>
        <w:t xml:space="preserve">be </w:t>
      </w:r>
      <w:r w:rsidRPr="00861553">
        <w:rPr>
          <w:rFonts w:cs="Arial"/>
          <w:sz w:val="22"/>
          <w:szCs w:val="22"/>
        </w:rPr>
        <w:t>perceived</w:t>
      </w:r>
      <w:r w:rsidR="00446B5F" w:rsidRPr="00861553">
        <w:rPr>
          <w:rFonts w:cs="Arial"/>
          <w:sz w:val="22"/>
          <w:szCs w:val="22"/>
        </w:rPr>
        <w:t xml:space="preserve"> to be delaying an inevitable re-op</w:t>
      </w:r>
      <w:r w:rsidRPr="00861553">
        <w:rPr>
          <w:rFonts w:cs="Arial"/>
          <w:sz w:val="22"/>
          <w:szCs w:val="22"/>
        </w:rPr>
        <w:t>ening of the market by 5 years. H</w:t>
      </w:r>
      <w:r w:rsidR="00446B5F" w:rsidRPr="00861553">
        <w:rPr>
          <w:rFonts w:cs="Arial"/>
          <w:sz w:val="22"/>
          <w:szCs w:val="22"/>
        </w:rPr>
        <w:t>owever</w:t>
      </w:r>
      <w:r w:rsidRPr="00861553">
        <w:rPr>
          <w:rFonts w:cs="Arial"/>
          <w:sz w:val="22"/>
          <w:szCs w:val="22"/>
        </w:rPr>
        <w:t xml:space="preserve">, it remains Government policy to work towards a switchover to digital radio, and based on current progress we think it is probable that the required market conditions (50% of all radio listening to be to digital sources) will be met by 2017-18. Therefore, </w:t>
      </w:r>
      <w:r w:rsidR="00EF77A1" w:rsidRPr="00861553">
        <w:rPr>
          <w:rFonts w:cs="Arial"/>
          <w:sz w:val="22"/>
          <w:szCs w:val="22"/>
        </w:rPr>
        <w:t xml:space="preserve">in line with current </w:t>
      </w:r>
      <w:r w:rsidR="002863C4" w:rsidRPr="00861553">
        <w:rPr>
          <w:rFonts w:cs="Arial"/>
          <w:sz w:val="22"/>
          <w:szCs w:val="22"/>
        </w:rPr>
        <w:t xml:space="preserve">Government </w:t>
      </w:r>
      <w:r w:rsidR="00EF77A1" w:rsidRPr="00861553">
        <w:rPr>
          <w:rFonts w:cs="Arial"/>
          <w:sz w:val="22"/>
          <w:szCs w:val="22"/>
        </w:rPr>
        <w:t>policy,</w:t>
      </w:r>
      <w:r w:rsidRPr="00861553">
        <w:rPr>
          <w:rFonts w:cs="Arial"/>
          <w:sz w:val="22"/>
          <w:szCs w:val="22"/>
        </w:rPr>
        <w:t xml:space="preserve"> and w</w:t>
      </w:r>
      <w:r w:rsidR="002863C4" w:rsidRPr="00861553">
        <w:rPr>
          <w:rFonts w:cs="Arial"/>
          <w:sz w:val="22"/>
          <w:szCs w:val="22"/>
        </w:rPr>
        <w:t xml:space="preserve">ith the </w:t>
      </w:r>
      <w:r w:rsidRPr="00861553">
        <w:rPr>
          <w:rFonts w:cs="Arial"/>
          <w:sz w:val="22"/>
          <w:szCs w:val="22"/>
        </w:rPr>
        <w:t xml:space="preserve">continued </w:t>
      </w:r>
      <w:r w:rsidR="002863C4" w:rsidRPr="00861553">
        <w:rPr>
          <w:rFonts w:cs="Arial"/>
          <w:sz w:val="22"/>
          <w:szCs w:val="22"/>
        </w:rPr>
        <w:t xml:space="preserve">growth of digital listening and a clear move towards a digital transition, the analogue platform is likely to play a much smaller role in the wider radio ecology. </w:t>
      </w:r>
      <w:r w:rsidRPr="00861553">
        <w:rPr>
          <w:rFonts w:cs="Arial"/>
          <w:sz w:val="22"/>
          <w:szCs w:val="22"/>
        </w:rPr>
        <w:t>By this time, DAB is likely to be the dominant platform and a</w:t>
      </w:r>
      <w:r w:rsidR="002863C4" w:rsidRPr="00861553">
        <w:rPr>
          <w:rFonts w:cs="Arial"/>
          <w:sz w:val="22"/>
          <w:szCs w:val="22"/>
        </w:rPr>
        <w:t xml:space="preserve">s such, </w:t>
      </w:r>
      <w:r w:rsidR="005A58B1" w:rsidRPr="00861553">
        <w:rPr>
          <w:rFonts w:cs="Arial"/>
          <w:sz w:val="22"/>
          <w:szCs w:val="22"/>
        </w:rPr>
        <w:t>we do not consider that this option delays a wholesale</w:t>
      </w:r>
      <w:r w:rsidR="00B2747C" w:rsidRPr="00861553">
        <w:rPr>
          <w:rFonts w:cs="Arial"/>
          <w:sz w:val="22"/>
          <w:szCs w:val="22"/>
        </w:rPr>
        <w:t>,</w:t>
      </w:r>
      <w:r w:rsidR="00F1344A" w:rsidRPr="00861553">
        <w:rPr>
          <w:rFonts w:cs="Arial"/>
          <w:sz w:val="22"/>
          <w:szCs w:val="22"/>
        </w:rPr>
        <w:t xml:space="preserve"> </w:t>
      </w:r>
      <w:r w:rsidR="00B2747C" w:rsidRPr="00861553">
        <w:rPr>
          <w:rFonts w:cs="Arial"/>
          <w:sz w:val="22"/>
          <w:szCs w:val="22"/>
        </w:rPr>
        <w:t xml:space="preserve">widespread </w:t>
      </w:r>
      <w:r w:rsidR="005A58B1" w:rsidRPr="00861553">
        <w:rPr>
          <w:rFonts w:cs="Arial"/>
          <w:sz w:val="22"/>
          <w:szCs w:val="22"/>
        </w:rPr>
        <w:t xml:space="preserve">relicensing </w:t>
      </w:r>
      <w:r w:rsidRPr="00861553">
        <w:rPr>
          <w:rFonts w:cs="Arial"/>
          <w:sz w:val="22"/>
          <w:szCs w:val="22"/>
        </w:rPr>
        <w:t>process</w:t>
      </w:r>
      <w:r w:rsidR="00526240" w:rsidRPr="00861553">
        <w:rPr>
          <w:rFonts w:cs="Arial"/>
          <w:sz w:val="22"/>
          <w:szCs w:val="22"/>
        </w:rPr>
        <w:t>,</w:t>
      </w:r>
      <w:r w:rsidR="00051114" w:rsidRPr="00861553">
        <w:rPr>
          <w:rFonts w:cs="Arial"/>
          <w:sz w:val="22"/>
          <w:szCs w:val="22"/>
        </w:rPr>
        <w:t xml:space="preserve"> as it </w:t>
      </w:r>
      <w:r w:rsidR="00526240" w:rsidRPr="00861553">
        <w:rPr>
          <w:rFonts w:cs="Arial"/>
          <w:sz w:val="22"/>
          <w:szCs w:val="22"/>
        </w:rPr>
        <w:t>may</w:t>
      </w:r>
      <w:r w:rsidR="00051114" w:rsidRPr="00861553">
        <w:rPr>
          <w:rFonts w:cs="Arial"/>
          <w:sz w:val="22"/>
          <w:szCs w:val="22"/>
        </w:rPr>
        <w:t xml:space="preserve"> not be needed in</w:t>
      </w:r>
      <w:r w:rsidR="00526240" w:rsidRPr="00861553">
        <w:rPr>
          <w:rFonts w:cs="Arial"/>
          <w:sz w:val="22"/>
          <w:szCs w:val="22"/>
        </w:rPr>
        <w:t xml:space="preserve"> its current legislative guise</w:t>
      </w:r>
      <w:r w:rsidR="00051114" w:rsidRPr="00861553">
        <w:rPr>
          <w:rFonts w:cs="Arial"/>
          <w:sz w:val="22"/>
          <w:szCs w:val="22"/>
        </w:rPr>
        <w:t xml:space="preserve"> 5 years from 2017</w:t>
      </w:r>
      <w:r w:rsidRPr="00861553">
        <w:rPr>
          <w:rFonts w:cs="Arial"/>
          <w:sz w:val="22"/>
          <w:szCs w:val="22"/>
        </w:rPr>
        <w:t>.</w:t>
      </w:r>
      <w:r w:rsidR="005A58B1" w:rsidRPr="00861553">
        <w:rPr>
          <w:rFonts w:cs="Arial"/>
          <w:sz w:val="22"/>
          <w:szCs w:val="22"/>
        </w:rPr>
        <w:t xml:space="preserve"> </w:t>
      </w:r>
    </w:p>
    <w:p w14:paraId="09CBB3C9" w14:textId="77777777" w:rsidR="00503B9D" w:rsidRPr="00861553" w:rsidRDefault="00503B9D" w:rsidP="00B405DA">
      <w:pPr>
        <w:widowControl w:val="0"/>
        <w:tabs>
          <w:tab w:val="left" w:pos="9050"/>
        </w:tabs>
        <w:autoSpaceDE w:val="0"/>
        <w:autoSpaceDN w:val="0"/>
        <w:adjustRightInd w:val="0"/>
        <w:ind w:right="18"/>
        <w:rPr>
          <w:rFonts w:cs="Arial"/>
          <w:b/>
          <w:sz w:val="22"/>
          <w:szCs w:val="22"/>
        </w:rPr>
      </w:pPr>
    </w:p>
    <w:p w14:paraId="63EF72D4" w14:textId="77777777" w:rsidR="00EB54E0" w:rsidRPr="00861553" w:rsidRDefault="00EB54E0" w:rsidP="00B405DA">
      <w:pPr>
        <w:widowControl w:val="0"/>
        <w:tabs>
          <w:tab w:val="left" w:pos="9050"/>
        </w:tabs>
        <w:autoSpaceDE w:val="0"/>
        <w:autoSpaceDN w:val="0"/>
        <w:adjustRightInd w:val="0"/>
        <w:ind w:right="18"/>
        <w:rPr>
          <w:rFonts w:cs="Arial"/>
          <w:sz w:val="22"/>
          <w:szCs w:val="22"/>
        </w:rPr>
      </w:pPr>
    </w:p>
    <w:p w14:paraId="44CAC509" w14:textId="77777777" w:rsidR="00446B5F" w:rsidRPr="00861553" w:rsidRDefault="00446B5F" w:rsidP="00B405DA">
      <w:pPr>
        <w:widowControl w:val="0"/>
        <w:tabs>
          <w:tab w:val="left" w:pos="9050"/>
        </w:tabs>
        <w:autoSpaceDE w:val="0"/>
        <w:autoSpaceDN w:val="0"/>
        <w:adjustRightInd w:val="0"/>
        <w:ind w:right="18"/>
        <w:jc w:val="both"/>
        <w:rPr>
          <w:rFonts w:eastAsiaTheme="minorHAnsi" w:cs="Arial"/>
          <w:b/>
        </w:rPr>
      </w:pPr>
      <w:r w:rsidRPr="00861553">
        <w:rPr>
          <w:rFonts w:eastAsiaTheme="minorHAnsi" w:cs="Arial"/>
          <w:b/>
        </w:rPr>
        <w:t>Benefits</w:t>
      </w:r>
    </w:p>
    <w:p w14:paraId="31F5CD07" w14:textId="77777777" w:rsidR="00446B5F" w:rsidRPr="00861553" w:rsidRDefault="00446B5F" w:rsidP="00B405DA">
      <w:pPr>
        <w:widowControl w:val="0"/>
        <w:tabs>
          <w:tab w:val="left" w:pos="9050"/>
        </w:tabs>
        <w:autoSpaceDE w:val="0"/>
        <w:autoSpaceDN w:val="0"/>
        <w:adjustRightInd w:val="0"/>
        <w:ind w:right="18"/>
        <w:jc w:val="both"/>
        <w:rPr>
          <w:rFonts w:eastAsiaTheme="minorHAnsi" w:cs="Arial"/>
          <w:b/>
          <w:sz w:val="22"/>
          <w:szCs w:val="22"/>
        </w:rPr>
      </w:pPr>
    </w:p>
    <w:p w14:paraId="3DC74874" w14:textId="04DCE856" w:rsidR="0066302D" w:rsidRPr="00861553" w:rsidRDefault="0066302D" w:rsidP="00B405DA">
      <w:pPr>
        <w:widowControl w:val="0"/>
        <w:tabs>
          <w:tab w:val="left" w:pos="9050"/>
        </w:tabs>
        <w:autoSpaceDE w:val="0"/>
        <w:autoSpaceDN w:val="0"/>
        <w:adjustRightInd w:val="0"/>
        <w:ind w:right="18"/>
        <w:jc w:val="both"/>
        <w:rPr>
          <w:rFonts w:eastAsiaTheme="minorHAnsi" w:cs="Arial"/>
          <w:b/>
          <w:sz w:val="22"/>
          <w:szCs w:val="22"/>
          <w:u w:val="single"/>
        </w:rPr>
      </w:pPr>
      <w:r w:rsidRPr="00861553">
        <w:rPr>
          <w:rFonts w:eastAsiaTheme="minorHAnsi" w:cs="Arial"/>
          <w:b/>
          <w:sz w:val="22"/>
          <w:szCs w:val="22"/>
          <w:u w:val="single"/>
        </w:rPr>
        <w:t>Monetised</w:t>
      </w:r>
      <w:r w:rsidR="00516DF9" w:rsidRPr="00861553">
        <w:rPr>
          <w:rFonts w:eastAsiaTheme="minorHAnsi" w:cs="Arial"/>
          <w:b/>
          <w:sz w:val="22"/>
          <w:szCs w:val="22"/>
          <w:u w:val="single"/>
        </w:rPr>
        <w:t xml:space="preserve"> benefits</w:t>
      </w:r>
    </w:p>
    <w:p w14:paraId="7718936E" w14:textId="77777777" w:rsidR="00516DF9" w:rsidRPr="00861553" w:rsidRDefault="00516DF9" w:rsidP="00B405DA">
      <w:pPr>
        <w:widowControl w:val="0"/>
        <w:tabs>
          <w:tab w:val="left" w:pos="9050"/>
        </w:tabs>
        <w:autoSpaceDE w:val="0"/>
        <w:autoSpaceDN w:val="0"/>
        <w:adjustRightInd w:val="0"/>
        <w:ind w:right="18"/>
        <w:jc w:val="both"/>
        <w:rPr>
          <w:rFonts w:eastAsiaTheme="minorHAnsi" w:cs="Arial"/>
          <w:b/>
          <w:i/>
          <w:sz w:val="22"/>
          <w:szCs w:val="22"/>
          <w:u w:val="single"/>
        </w:rPr>
      </w:pPr>
    </w:p>
    <w:p w14:paraId="21336BD9" w14:textId="77777777" w:rsidR="002855AF" w:rsidRPr="00861553" w:rsidRDefault="002855AF"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The </w:t>
      </w:r>
      <w:r w:rsidR="00635F2F" w:rsidRPr="00861553">
        <w:rPr>
          <w:rFonts w:eastAsiaTheme="minorHAnsi" w:cs="Arial"/>
          <w:sz w:val="22"/>
          <w:szCs w:val="22"/>
        </w:rPr>
        <w:t xml:space="preserve">quantifiable </w:t>
      </w:r>
      <w:r w:rsidR="001664B7" w:rsidRPr="00861553">
        <w:rPr>
          <w:rFonts w:eastAsiaTheme="minorHAnsi" w:cs="Arial"/>
          <w:sz w:val="22"/>
          <w:szCs w:val="22"/>
        </w:rPr>
        <w:t>benefits of option 2 fall to t</w:t>
      </w:r>
      <w:r w:rsidRPr="00861553">
        <w:rPr>
          <w:rFonts w:eastAsiaTheme="minorHAnsi" w:cs="Arial"/>
          <w:sz w:val="22"/>
          <w:szCs w:val="22"/>
        </w:rPr>
        <w:t xml:space="preserve">he businesses </w:t>
      </w:r>
      <w:r w:rsidR="008A4693" w:rsidRPr="00861553">
        <w:rPr>
          <w:rFonts w:eastAsiaTheme="minorHAnsi" w:cs="Arial"/>
          <w:sz w:val="22"/>
          <w:szCs w:val="22"/>
        </w:rPr>
        <w:t>whose</w:t>
      </w:r>
      <w:r w:rsidRPr="00861553">
        <w:rPr>
          <w:rFonts w:eastAsiaTheme="minorHAnsi" w:cs="Arial"/>
          <w:sz w:val="22"/>
          <w:szCs w:val="22"/>
        </w:rPr>
        <w:t xml:space="preserve"> licences </w:t>
      </w:r>
      <w:r w:rsidR="008A4693" w:rsidRPr="00861553">
        <w:rPr>
          <w:rFonts w:eastAsiaTheme="minorHAnsi" w:cs="Arial"/>
          <w:sz w:val="22"/>
          <w:szCs w:val="22"/>
        </w:rPr>
        <w:t xml:space="preserve">are </w:t>
      </w:r>
      <w:r w:rsidRPr="00861553">
        <w:rPr>
          <w:rFonts w:eastAsiaTheme="minorHAnsi" w:cs="Arial"/>
          <w:sz w:val="22"/>
          <w:szCs w:val="22"/>
        </w:rPr>
        <w:t xml:space="preserve">due to expire in the period </w:t>
      </w:r>
      <w:r w:rsidR="0084649F" w:rsidRPr="00861553">
        <w:rPr>
          <w:rFonts w:eastAsiaTheme="minorHAnsi" w:cs="Arial"/>
          <w:sz w:val="22"/>
          <w:szCs w:val="22"/>
        </w:rPr>
        <w:t>2017-2023.</w:t>
      </w:r>
    </w:p>
    <w:p w14:paraId="4CBD3847" w14:textId="77777777" w:rsidR="001664B7" w:rsidRPr="00861553" w:rsidRDefault="001664B7" w:rsidP="00B405DA">
      <w:pPr>
        <w:widowControl w:val="0"/>
        <w:tabs>
          <w:tab w:val="left" w:pos="9050"/>
        </w:tabs>
        <w:autoSpaceDE w:val="0"/>
        <w:autoSpaceDN w:val="0"/>
        <w:adjustRightInd w:val="0"/>
        <w:ind w:right="18"/>
        <w:jc w:val="both"/>
        <w:rPr>
          <w:rFonts w:eastAsiaTheme="minorHAnsi" w:cs="Arial"/>
          <w:sz w:val="22"/>
          <w:szCs w:val="22"/>
        </w:rPr>
      </w:pPr>
    </w:p>
    <w:p w14:paraId="1224CA79" w14:textId="46C3A111" w:rsidR="001664B7" w:rsidRPr="00861553" w:rsidRDefault="002855AF"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If we were to do nothing </w:t>
      </w:r>
      <w:r w:rsidR="001664B7" w:rsidRPr="00861553">
        <w:rPr>
          <w:rFonts w:eastAsiaTheme="minorHAnsi" w:cs="Arial"/>
          <w:sz w:val="22"/>
          <w:szCs w:val="22"/>
        </w:rPr>
        <w:t xml:space="preserve">and </w:t>
      </w:r>
      <w:r w:rsidR="008A4693" w:rsidRPr="00861553">
        <w:rPr>
          <w:rFonts w:eastAsiaTheme="minorHAnsi" w:cs="Arial"/>
          <w:sz w:val="22"/>
          <w:szCs w:val="22"/>
        </w:rPr>
        <w:t xml:space="preserve">allow </w:t>
      </w:r>
      <w:r w:rsidR="001664B7" w:rsidRPr="00861553">
        <w:rPr>
          <w:rFonts w:eastAsiaTheme="minorHAnsi" w:cs="Arial"/>
          <w:sz w:val="22"/>
          <w:szCs w:val="22"/>
        </w:rPr>
        <w:t xml:space="preserve">the licences </w:t>
      </w:r>
      <w:r w:rsidR="008A4693" w:rsidRPr="00861553">
        <w:rPr>
          <w:rFonts w:eastAsiaTheme="minorHAnsi" w:cs="Arial"/>
          <w:sz w:val="22"/>
          <w:szCs w:val="22"/>
        </w:rPr>
        <w:t xml:space="preserve">to </w:t>
      </w:r>
      <w:r w:rsidR="001664B7" w:rsidRPr="00861553">
        <w:rPr>
          <w:rFonts w:eastAsiaTheme="minorHAnsi" w:cs="Arial"/>
          <w:sz w:val="22"/>
          <w:szCs w:val="22"/>
        </w:rPr>
        <w:t xml:space="preserve">expire, </w:t>
      </w:r>
      <w:r w:rsidRPr="00861553">
        <w:rPr>
          <w:rFonts w:eastAsiaTheme="minorHAnsi" w:cs="Arial"/>
          <w:sz w:val="22"/>
          <w:szCs w:val="22"/>
        </w:rPr>
        <w:t xml:space="preserve">these businesses would </w:t>
      </w:r>
      <w:r w:rsidR="008A4693" w:rsidRPr="00861553">
        <w:rPr>
          <w:rFonts w:eastAsiaTheme="minorHAnsi" w:cs="Arial"/>
          <w:sz w:val="22"/>
          <w:szCs w:val="22"/>
        </w:rPr>
        <w:t>have to meet</w:t>
      </w:r>
      <w:r w:rsidRPr="00861553">
        <w:rPr>
          <w:rFonts w:eastAsiaTheme="minorHAnsi" w:cs="Arial"/>
          <w:sz w:val="22"/>
          <w:szCs w:val="22"/>
        </w:rPr>
        <w:t xml:space="preserve"> the cost of putting together a bid and buying the licence</w:t>
      </w:r>
      <w:r w:rsidR="008A4693" w:rsidRPr="00861553">
        <w:rPr>
          <w:rFonts w:eastAsiaTheme="minorHAnsi" w:cs="Arial"/>
          <w:sz w:val="22"/>
          <w:szCs w:val="22"/>
        </w:rPr>
        <w:t>. H</w:t>
      </w:r>
      <w:r w:rsidRPr="00861553">
        <w:rPr>
          <w:rFonts w:eastAsiaTheme="minorHAnsi" w:cs="Arial"/>
          <w:sz w:val="22"/>
          <w:szCs w:val="22"/>
        </w:rPr>
        <w:t>owever</w:t>
      </w:r>
      <w:r w:rsidR="008A4693" w:rsidRPr="00861553">
        <w:rPr>
          <w:rFonts w:eastAsiaTheme="minorHAnsi" w:cs="Arial"/>
          <w:sz w:val="22"/>
          <w:szCs w:val="22"/>
        </w:rPr>
        <w:t>,</w:t>
      </w:r>
      <w:r w:rsidRPr="00861553">
        <w:rPr>
          <w:rFonts w:eastAsiaTheme="minorHAnsi" w:cs="Arial"/>
          <w:sz w:val="22"/>
          <w:szCs w:val="22"/>
        </w:rPr>
        <w:t xml:space="preserve"> if their licences were renewed for a further 5 year</w:t>
      </w:r>
      <w:r w:rsidR="008A4693" w:rsidRPr="00861553">
        <w:rPr>
          <w:rFonts w:eastAsiaTheme="minorHAnsi" w:cs="Arial"/>
          <w:sz w:val="22"/>
          <w:szCs w:val="22"/>
        </w:rPr>
        <w:t>s from the time of expiry, the</w:t>
      </w:r>
      <w:r w:rsidRPr="00861553">
        <w:rPr>
          <w:rFonts w:eastAsiaTheme="minorHAnsi" w:cs="Arial"/>
          <w:sz w:val="22"/>
          <w:szCs w:val="22"/>
        </w:rPr>
        <w:t xml:space="preserve"> costs of re-bidding and buying the licence would not be incurred</w:t>
      </w:r>
      <w:r w:rsidR="001664B7" w:rsidRPr="00861553">
        <w:rPr>
          <w:rFonts w:eastAsiaTheme="minorHAnsi" w:cs="Arial"/>
          <w:sz w:val="22"/>
          <w:szCs w:val="22"/>
        </w:rPr>
        <w:t>,</w:t>
      </w:r>
      <w:r w:rsidR="00E73453" w:rsidRPr="00861553">
        <w:rPr>
          <w:rFonts w:eastAsiaTheme="minorHAnsi" w:cs="Arial"/>
          <w:sz w:val="22"/>
          <w:szCs w:val="22"/>
        </w:rPr>
        <w:t xml:space="preserve"> </w:t>
      </w:r>
      <w:r w:rsidR="008A4693" w:rsidRPr="00861553">
        <w:rPr>
          <w:rFonts w:eastAsiaTheme="minorHAnsi" w:cs="Arial"/>
          <w:sz w:val="22"/>
          <w:szCs w:val="22"/>
        </w:rPr>
        <w:t>thereby generating</w:t>
      </w:r>
      <w:r w:rsidR="001664B7" w:rsidRPr="00861553">
        <w:rPr>
          <w:rFonts w:eastAsiaTheme="minorHAnsi" w:cs="Arial"/>
          <w:sz w:val="22"/>
          <w:szCs w:val="22"/>
        </w:rPr>
        <w:t xml:space="preserve"> a cost saving</w:t>
      </w:r>
      <w:r w:rsidR="00526240" w:rsidRPr="00861553">
        <w:rPr>
          <w:rFonts w:eastAsiaTheme="minorHAnsi" w:cs="Arial"/>
          <w:sz w:val="22"/>
          <w:szCs w:val="22"/>
        </w:rPr>
        <w:t xml:space="preserve"> for the affected businesses.</w:t>
      </w:r>
    </w:p>
    <w:p w14:paraId="28782CCB" w14:textId="77777777" w:rsidR="001664B7" w:rsidRPr="00861553" w:rsidRDefault="001664B7" w:rsidP="00B405DA">
      <w:pPr>
        <w:widowControl w:val="0"/>
        <w:tabs>
          <w:tab w:val="left" w:pos="9050"/>
        </w:tabs>
        <w:autoSpaceDE w:val="0"/>
        <w:autoSpaceDN w:val="0"/>
        <w:adjustRightInd w:val="0"/>
        <w:ind w:right="18"/>
        <w:jc w:val="both"/>
        <w:rPr>
          <w:rFonts w:eastAsiaTheme="minorHAnsi" w:cs="Arial"/>
          <w:sz w:val="22"/>
          <w:szCs w:val="22"/>
        </w:rPr>
      </w:pPr>
    </w:p>
    <w:p w14:paraId="255B415D" w14:textId="77777777" w:rsidR="00402551" w:rsidRPr="00861553" w:rsidRDefault="00402551" w:rsidP="00B405DA">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 xml:space="preserve">The cost savings to business </w:t>
      </w:r>
      <w:r w:rsidR="008A4693" w:rsidRPr="00861553">
        <w:rPr>
          <w:rFonts w:eastAsiaTheme="minorHAnsi" w:cs="Arial"/>
          <w:sz w:val="22"/>
          <w:szCs w:val="22"/>
        </w:rPr>
        <w:t>as a result of being allowed a further licence renewal</w:t>
      </w:r>
      <w:r w:rsidRPr="00861553">
        <w:rPr>
          <w:rFonts w:eastAsiaTheme="minorHAnsi" w:cs="Arial"/>
          <w:sz w:val="22"/>
          <w:szCs w:val="22"/>
        </w:rPr>
        <w:t xml:space="preserve"> can be </w:t>
      </w:r>
      <w:r w:rsidR="008A4693" w:rsidRPr="00861553">
        <w:rPr>
          <w:rFonts w:eastAsiaTheme="minorHAnsi" w:cs="Arial"/>
          <w:sz w:val="22"/>
          <w:szCs w:val="22"/>
        </w:rPr>
        <w:t>demonstrated</w:t>
      </w:r>
      <w:r w:rsidRPr="00861553">
        <w:rPr>
          <w:rFonts w:eastAsiaTheme="minorHAnsi" w:cs="Arial"/>
          <w:sz w:val="22"/>
          <w:szCs w:val="22"/>
        </w:rPr>
        <w:t xml:space="preserve"> through calculating the</w:t>
      </w:r>
      <w:r w:rsidR="00A60C02" w:rsidRPr="00861553">
        <w:rPr>
          <w:rFonts w:eastAsiaTheme="minorHAnsi" w:cs="Arial"/>
          <w:sz w:val="22"/>
          <w:szCs w:val="22"/>
        </w:rPr>
        <w:t xml:space="preserve"> potential</w:t>
      </w:r>
      <w:r w:rsidRPr="00861553">
        <w:rPr>
          <w:rFonts w:eastAsiaTheme="minorHAnsi" w:cs="Arial"/>
          <w:sz w:val="22"/>
          <w:szCs w:val="22"/>
        </w:rPr>
        <w:t xml:space="preserve"> costs incurred if incumbents were </w:t>
      </w:r>
      <w:r w:rsidR="008A4693" w:rsidRPr="00861553">
        <w:rPr>
          <w:rFonts w:eastAsiaTheme="minorHAnsi" w:cs="Arial"/>
          <w:sz w:val="22"/>
          <w:szCs w:val="22"/>
        </w:rPr>
        <w:t>required</w:t>
      </w:r>
      <w:r w:rsidRPr="00861553">
        <w:rPr>
          <w:rFonts w:eastAsiaTheme="minorHAnsi" w:cs="Arial"/>
          <w:sz w:val="22"/>
          <w:szCs w:val="22"/>
        </w:rPr>
        <w:t xml:space="preserve"> to re-bid and re-buy a licences.</w:t>
      </w:r>
      <w:r w:rsidR="008A4693" w:rsidRPr="00861553">
        <w:rPr>
          <w:rFonts w:eastAsiaTheme="minorHAnsi" w:cs="Arial"/>
          <w:sz w:val="22"/>
          <w:szCs w:val="22"/>
        </w:rPr>
        <w:t xml:space="preserve"> </w:t>
      </w:r>
      <w:r w:rsidRPr="00861553">
        <w:rPr>
          <w:rFonts w:eastAsiaTheme="minorHAnsi" w:cs="Arial"/>
          <w:sz w:val="22"/>
          <w:szCs w:val="22"/>
        </w:rPr>
        <w:t>These calculations are based on the following assumptions:</w:t>
      </w:r>
    </w:p>
    <w:p w14:paraId="38E7498E" w14:textId="77777777" w:rsidR="002855AF" w:rsidRPr="00861553" w:rsidRDefault="002855AF" w:rsidP="00B405DA">
      <w:pPr>
        <w:widowControl w:val="0"/>
        <w:tabs>
          <w:tab w:val="left" w:pos="9050"/>
        </w:tabs>
        <w:autoSpaceDE w:val="0"/>
        <w:autoSpaceDN w:val="0"/>
        <w:adjustRightInd w:val="0"/>
        <w:ind w:right="18"/>
        <w:jc w:val="both"/>
        <w:rPr>
          <w:rFonts w:eastAsiaTheme="minorHAnsi" w:cs="Arial"/>
          <w:sz w:val="22"/>
          <w:szCs w:val="22"/>
        </w:rPr>
      </w:pPr>
    </w:p>
    <w:p w14:paraId="1BFD8BFA" w14:textId="77777777" w:rsidR="00155405" w:rsidRPr="00861553" w:rsidRDefault="00155405" w:rsidP="00B405DA">
      <w:pPr>
        <w:widowControl w:val="0"/>
        <w:tabs>
          <w:tab w:val="left" w:pos="9050"/>
        </w:tabs>
        <w:autoSpaceDE w:val="0"/>
        <w:autoSpaceDN w:val="0"/>
        <w:adjustRightInd w:val="0"/>
        <w:ind w:right="18"/>
        <w:jc w:val="both"/>
        <w:rPr>
          <w:rFonts w:eastAsiaTheme="minorHAnsi" w:cs="Arial"/>
          <w:sz w:val="22"/>
          <w:szCs w:val="22"/>
          <w:u w:val="single"/>
        </w:rPr>
      </w:pPr>
      <w:r w:rsidRPr="00861553">
        <w:rPr>
          <w:rFonts w:eastAsiaTheme="minorHAnsi" w:cs="Arial"/>
          <w:sz w:val="22"/>
          <w:szCs w:val="22"/>
          <w:u w:val="single"/>
        </w:rPr>
        <w:t>Assumptions underpinning cost calculations</w:t>
      </w:r>
    </w:p>
    <w:p w14:paraId="68EFC2EB" w14:textId="77777777" w:rsidR="00155405" w:rsidRPr="00861553" w:rsidRDefault="00155405" w:rsidP="00B405DA">
      <w:pPr>
        <w:widowControl w:val="0"/>
        <w:tabs>
          <w:tab w:val="left" w:pos="9050"/>
        </w:tabs>
        <w:autoSpaceDE w:val="0"/>
        <w:autoSpaceDN w:val="0"/>
        <w:adjustRightInd w:val="0"/>
        <w:ind w:right="18"/>
        <w:jc w:val="both"/>
        <w:rPr>
          <w:rFonts w:eastAsiaTheme="minorHAnsi" w:cs="Arial"/>
          <w:sz w:val="22"/>
          <w:szCs w:val="22"/>
        </w:rPr>
      </w:pPr>
    </w:p>
    <w:p w14:paraId="5115AE0D" w14:textId="69421534" w:rsidR="002855AF" w:rsidRPr="00861553" w:rsidRDefault="00155405" w:rsidP="00B405DA">
      <w:pPr>
        <w:pStyle w:val="ListParagraph"/>
        <w:widowControl w:val="0"/>
        <w:numPr>
          <w:ilvl w:val="0"/>
          <w:numId w:val="34"/>
        </w:numPr>
        <w:tabs>
          <w:tab w:val="left" w:pos="9050"/>
        </w:tabs>
        <w:autoSpaceDE w:val="0"/>
        <w:autoSpaceDN w:val="0"/>
        <w:adjustRightInd w:val="0"/>
        <w:ind w:right="18"/>
        <w:jc w:val="both"/>
        <w:rPr>
          <w:rFonts w:cs="Arial"/>
          <w:sz w:val="22"/>
          <w:szCs w:val="22"/>
        </w:rPr>
      </w:pPr>
      <w:r w:rsidRPr="00861553">
        <w:rPr>
          <w:rFonts w:eastAsiaTheme="minorHAnsi" w:cs="Arial"/>
          <w:sz w:val="22"/>
          <w:szCs w:val="22"/>
        </w:rPr>
        <w:t xml:space="preserve">Value Partners conducted a research piece and </w:t>
      </w:r>
      <w:r w:rsidR="008A4693" w:rsidRPr="00861553">
        <w:rPr>
          <w:rFonts w:eastAsiaTheme="minorHAnsi" w:cs="Arial"/>
          <w:sz w:val="22"/>
          <w:szCs w:val="22"/>
        </w:rPr>
        <w:t>spoke</w:t>
      </w:r>
      <w:r w:rsidRPr="00861553">
        <w:rPr>
          <w:rFonts w:eastAsiaTheme="minorHAnsi" w:cs="Arial"/>
          <w:sz w:val="22"/>
          <w:szCs w:val="22"/>
        </w:rPr>
        <w:t xml:space="preserve"> to </w:t>
      </w:r>
      <w:r w:rsidR="008A4693" w:rsidRPr="00861553">
        <w:rPr>
          <w:rFonts w:eastAsiaTheme="minorHAnsi" w:cs="Arial"/>
          <w:sz w:val="22"/>
          <w:szCs w:val="22"/>
        </w:rPr>
        <w:t>a range of industry representatives. During discussions, t</w:t>
      </w:r>
      <w:r w:rsidRPr="00861553">
        <w:rPr>
          <w:rFonts w:eastAsiaTheme="minorHAnsi" w:cs="Arial"/>
          <w:sz w:val="22"/>
          <w:szCs w:val="22"/>
        </w:rPr>
        <w:t xml:space="preserve">he costs </w:t>
      </w:r>
      <w:r w:rsidR="008A4693" w:rsidRPr="00861553">
        <w:rPr>
          <w:rFonts w:eastAsiaTheme="minorHAnsi" w:cs="Arial"/>
          <w:sz w:val="22"/>
          <w:szCs w:val="22"/>
        </w:rPr>
        <w:t>to</w:t>
      </w:r>
      <w:r w:rsidRPr="00861553">
        <w:rPr>
          <w:rFonts w:eastAsiaTheme="minorHAnsi" w:cs="Arial"/>
          <w:sz w:val="22"/>
          <w:szCs w:val="22"/>
        </w:rPr>
        <w:t xml:space="preserve"> an incumbent to re-bid for a licence were </w:t>
      </w:r>
      <w:r w:rsidR="00402551" w:rsidRPr="00861553">
        <w:rPr>
          <w:rFonts w:eastAsiaTheme="minorHAnsi" w:cs="Arial"/>
          <w:sz w:val="22"/>
          <w:szCs w:val="22"/>
        </w:rPr>
        <w:t xml:space="preserve">estimated to be </w:t>
      </w:r>
      <w:r w:rsidRPr="00861553">
        <w:rPr>
          <w:rFonts w:eastAsiaTheme="minorHAnsi" w:cs="Arial"/>
          <w:sz w:val="22"/>
          <w:szCs w:val="22"/>
        </w:rPr>
        <w:t xml:space="preserve">between </w:t>
      </w:r>
      <w:r w:rsidRPr="00861553">
        <w:rPr>
          <w:rFonts w:cs="Arial"/>
          <w:sz w:val="22"/>
          <w:szCs w:val="22"/>
        </w:rPr>
        <w:t xml:space="preserve">£20-100k. </w:t>
      </w:r>
      <w:r w:rsidR="008A4693" w:rsidRPr="00861553">
        <w:rPr>
          <w:rFonts w:cs="Arial"/>
          <w:sz w:val="22"/>
          <w:szCs w:val="22"/>
        </w:rPr>
        <w:t xml:space="preserve">These estimates were corroborated by </w:t>
      </w:r>
      <w:r w:rsidR="00E73453" w:rsidRPr="00861553">
        <w:rPr>
          <w:rFonts w:cs="Arial"/>
          <w:sz w:val="22"/>
          <w:szCs w:val="22"/>
        </w:rPr>
        <w:t>written</w:t>
      </w:r>
      <w:r w:rsidR="008A4693" w:rsidRPr="00861553">
        <w:rPr>
          <w:rFonts w:cs="Arial"/>
          <w:sz w:val="22"/>
          <w:szCs w:val="22"/>
        </w:rPr>
        <w:t xml:space="preserve"> consultation responses.</w:t>
      </w:r>
    </w:p>
    <w:p w14:paraId="47C30C27" w14:textId="77777777" w:rsidR="00155405" w:rsidRPr="00861553" w:rsidRDefault="002855AF" w:rsidP="00B405DA">
      <w:pPr>
        <w:pStyle w:val="ListParagraph"/>
        <w:widowControl w:val="0"/>
        <w:numPr>
          <w:ilvl w:val="0"/>
          <w:numId w:val="34"/>
        </w:numPr>
        <w:tabs>
          <w:tab w:val="left" w:pos="9050"/>
        </w:tabs>
        <w:autoSpaceDE w:val="0"/>
        <w:autoSpaceDN w:val="0"/>
        <w:adjustRightInd w:val="0"/>
        <w:ind w:right="18"/>
        <w:jc w:val="both"/>
        <w:rPr>
          <w:rFonts w:cs="Arial"/>
          <w:sz w:val="22"/>
          <w:szCs w:val="22"/>
        </w:rPr>
      </w:pPr>
      <w:r w:rsidRPr="00861553">
        <w:rPr>
          <w:rFonts w:cs="Arial"/>
          <w:sz w:val="22"/>
          <w:szCs w:val="22"/>
        </w:rPr>
        <w:t xml:space="preserve">There would be </w:t>
      </w:r>
      <w:r w:rsidR="008A4693" w:rsidRPr="00861553">
        <w:rPr>
          <w:rFonts w:cs="Arial"/>
          <w:sz w:val="22"/>
          <w:szCs w:val="22"/>
        </w:rPr>
        <w:t>a</w:t>
      </w:r>
      <w:r w:rsidRPr="00861553">
        <w:rPr>
          <w:rFonts w:cs="Arial"/>
          <w:sz w:val="22"/>
          <w:szCs w:val="22"/>
        </w:rPr>
        <w:t xml:space="preserve"> higher costs to </w:t>
      </w:r>
      <w:r w:rsidR="00402551" w:rsidRPr="00861553">
        <w:rPr>
          <w:rFonts w:cs="Arial"/>
          <w:sz w:val="22"/>
          <w:szCs w:val="22"/>
        </w:rPr>
        <w:t xml:space="preserve">new entrants, however these cannot be counted as business savings as these costs are </w:t>
      </w:r>
      <w:r w:rsidRPr="00861553">
        <w:rPr>
          <w:rFonts w:cs="Arial"/>
          <w:sz w:val="22"/>
          <w:szCs w:val="22"/>
        </w:rPr>
        <w:t xml:space="preserve">optional </w:t>
      </w:r>
      <w:r w:rsidR="00402551" w:rsidRPr="00861553">
        <w:rPr>
          <w:rFonts w:cs="Arial"/>
          <w:sz w:val="22"/>
          <w:szCs w:val="22"/>
        </w:rPr>
        <w:t xml:space="preserve">and would not necessarily be incurred. </w:t>
      </w:r>
    </w:p>
    <w:p w14:paraId="20B60F6F" w14:textId="77777777" w:rsidR="00402551" w:rsidRPr="00861553" w:rsidRDefault="00155405" w:rsidP="00B405DA">
      <w:pPr>
        <w:pStyle w:val="ListParagraph"/>
        <w:widowControl w:val="0"/>
        <w:numPr>
          <w:ilvl w:val="0"/>
          <w:numId w:val="34"/>
        </w:numPr>
        <w:tabs>
          <w:tab w:val="left" w:pos="9050"/>
        </w:tabs>
        <w:autoSpaceDE w:val="0"/>
        <w:autoSpaceDN w:val="0"/>
        <w:adjustRightInd w:val="0"/>
        <w:ind w:right="18"/>
        <w:jc w:val="both"/>
        <w:rPr>
          <w:rFonts w:cs="Arial"/>
          <w:sz w:val="22"/>
          <w:szCs w:val="22"/>
        </w:rPr>
      </w:pPr>
      <w:r w:rsidRPr="00861553">
        <w:rPr>
          <w:rFonts w:cs="Arial"/>
          <w:sz w:val="22"/>
          <w:szCs w:val="22"/>
        </w:rPr>
        <w:t>The current number of incumbents holding a licence is 63 local and 3 national</w:t>
      </w:r>
      <w:r w:rsidR="008A4693" w:rsidRPr="00861553">
        <w:rPr>
          <w:rFonts w:cs="Arial"/>
          <w:sz w:val="22"/>
          <w:szCs w:val="22"/>
        </w:rPr>
        <w:t xml:space="preserve">. </w:t>
      </w:r>
      <w:r w:rsidR="007C3DFC" w:rsidRPr="00861553">
        <w:rPr>
          <w:rFonts w:cs="Arial"/>
          <w:sz w:val="22"/>
          <w:szCs w:val="22"/>
        </w:rPr>
        <w:t>We have not included data on the cost of a national licence as applicants are required to submit a cash bid (unlike local licence applications which are awarded via ‘beauty parade’) and no data is available on what potential applicants are likely to be willing to pay.</w:t>
      </w:r>
    </w:p>
    <w:p w14:paraId="2BF9F4EB" w14:textId="5A06E99B" w:rsidR="00155405" w:rsidRPr="00861553" w:rsidRDefault="00402551" w:rsidP="00B405DA">
      <w:pPr>
        <w:pStyle w:val="ListParagraph"/>
        <w:numPr>
          <w:ilvl w:val="0"/>
          <w:numId w:val="35"/>
        </w:numPr>
        <w:rPr>
          <w:rFonts w:cs="Arial"/>
          <w:sz w:val="22"/>
          <w:szCs w:val="22"/>
        </w:rPr>
      </w:pPr>
      <w:r w:rsidRPr="00861553">
        <w:rPr>
          <w:rFonts w:cs="Arial"/>
          <w:sz w:val="22"/>
          <w:szCs w:val="22"/>
        </w:rPr>
        <w:t>T</w:t>
      </w:r>
      <w:r w:rsidR="002855AF" w:rsidRPr="00861553">
        <w:rPr>
          <w:rFonts w:cs="Arial"/>
          <w:sz w:val="22"/>
          <w:szCs w:val="22"/>
        </w:rPr>
        <w:t xml:space="preserve">able </w:t>
      </w:r>
      <w:r w:rsidR="0065675B" w:rsidRPr="00861553">
        <w:rPr>
          <w:rFonts w:cs="Arial"/>
          <w:sz w:val="22"/>
          <w:szCs w:val="22"/>
        </w:rPr>
        <w:t>4</w:t>
      </w:r>
      <w:r w:rsidR="002855AF" w:rsidRPr="00861553">
        <w:rPr>
          <w:rFonts w:cs="Arial"/>
          <w:sz w:val="22"/>
          <w:szCs w:val="22"/>
        </w:rPr>
        <w:t xml:space="preserve"> shows the </w:t>
      </w:r>
      <w:r w:rsidRPr="00861553">
        <w:rPr>
          <w:rFonts w:cs="Arial"/>
          <w:sz w:val="22"/>
          <w:szCs w:val="22"/>
        </w:rPr>
        <w:t xml:space="preserve">cost </w:t>
      </w:r>
      <w:r w:rsidR="002855AF" w:rsidRPr="00861553">
        <w:rPr>
          <w:rFonts w:cs="Arial"/>
          <w:sz w:val="22"/>
          <w:szCs w:val="22"/>
        </w:rPr>
        <w:t xml:space="preserve">of </w:t>
      </w:r>
      <w:r w:rsidRPr="00861553">
        <w:rPr>
          <w:rFonts w:cs="Arial"/>
          <w:sz w:val="22"/>
          <w:szCs w:val="22"/>
        </w:rPr>
        <w:t>a l</w:t>
      </w:r>
      <w:r w:rsidR="002855AF" w:rsidRPr="00861553">
        <w:rPr>
          <w:rFonts w:cs="Arial"/>
          <w:sz w:val="22"/>
          <w:szCs w:val="22"/>
        </w:rPr>
        <w:t>icence depending on population size in the area. Deflating the prices to 2013 prices, we have used these as indicative costs to buy a licence</w:t>
      </w:r>
      <w:r w:rsidRPr="00861553">
        <w:rPr>
          <w:rFonts w:cs="Arial"/>
          <w:sz w:val="22"/>
          <w:szCs w:val="22"/>
        </w:rPr>
        <w:t xml:space="preserve"> today</w:t>
      </w:r>
      <w:r w:rsidR="002855AF" w:rsidRPr="00861553">
        <w:rPr>
          <w:rFonts w:cs="Arial"/>
          <w:sz w:val="22"/>
          <w:szCs w:val="22"/>
        </w:rPr>
        <w:t>.</w:t>
      </w:r>
      <w:r w:rsidR="00155405" w:rsidRPr="00861553">
        <w:rPr>
          <w:rFonts w:cs="Arial"/>
          <w:sz w:val="22"/>
          <w:szCs w:val="22"/>
        </w:rPr>
        <w:br/>
      </w:r>
    </w:p>
    <w:p w14:paraId="20955E20" w14:textId="77777777" w:rsidR="00E73453" w:rsidRDefault="00E73453" w:rsidP="00B405DA">
      <w:pPr>
        <w:rPr>
          <w:rFonts w:cs="Arial"/>
          <w:i/>
          <w:sz w:val="22"/>
          <w:szCs w:val="22"/>
        </w:rPr>
      </w:pPr>
    </w:p>
    <w:p w14:paraId="74151D4F" w14:textId="77777777" w:rsidR="00EB54E0" w:rsidRDefault="00EB54E0" w:rsidP="00B405DA">
      <w:pPr>
        <w:rPr>
          <w:rFonts w:cs="Arial"/>
          <w:i/>
          <w:sz w:val="22"/>
          <w:szCs w:val="22"/>
        </w:rPr>
      </w:pPr>
    </w:p>
    <w:p w14:paraId="691247EC" w14:textId="77777777" w:rsidR="00EB54E0" w:rsidRDefault="00EB54E0" w:rsidP="00B405DA">
      <w:pPr>
        <w:rPr>
          <w:rFonts w:cs="Arial"/>
          <w:i/>
          <w:sz w:val="22"/>
          <w:szCs w:val="22"/>
        </w:rPr>
      </w:pPr>
    </w:p>
    <w:p w14:paraId="7D5E1C0C" w14:textId="77777777" w:rsidR="00EB54E0" w:rsidRDefault="00EB54E0" w:rsidP="00B405DA">
      <w:pPr>
        <w:rPr>
          <w:rFonts w:cs="Arial"/>
          <w:i/>
          <w:sz w:val="22"/>
          <w:szCs w:val="22"/>
        </w:rPr>
      </w:pPr>
    </w:p>
    <w:p w14:paraId="1E66E71B" w14:textId="77777777" w:rsidR="00EB54E0" w:rsidRDefault="00EB54E0" w:rsidP="00B405DA">
      <w:pPr>
        <w:rPr>
          <w:rFonts w:cs="Arial"/>
          <w:i/>
          <w:sz w:val="22"/>
          <w:szCs w:val="22"/>
        </w:rPr>
      </w:pPr>
    </w:p>
    <w:p w14:paraId="6CBCBC44" w14:textId="77777777" w:rsidR="00EB54E0" w:rsidRPr="00861553" w:rsidRDefault="00EB54E0" w:rsidP="00B405DA">
      <w:pPr>
        <w:rPr>
          <w:rFonts w:cs="Arial"/>
          <w:i/>
          <w:sz w:val="22"/>
          <w:szCs w:val="22"/>
        </w:rPr>
      </w:pPr>
    </w:p>
    <w:p w14:paraId="0F9E22D9" w14:textId="059964A2" w:rsidR="00DD3E4C" w:rsidRPr="00861553" w:rsidRDefault="0065675B" w:rsidP="00562F73">
      <w:pPr>
        <w:ind w:firstLine="720"/>
        <w:rPr>
          <w:rFonts w:cs="Arial"/>
          <w:sz w:val="22"/>
          <w:szCs w:val="22"/>
        </w:rPr>
      </w:pPr>
      <w:r w:rsidRPr="00861553">
        <w:rPr>
          <w:rFonts w:cs="Arial"/>
          <w:sz w:val="22"/>
          <w:szCs w:val="22"/>
        </w:rPr>
        <w:t>Table 4</w:t>
      </w:r>
      <w:r w:rsidR="007865BE">
        <w:rPr>
          <w:rFonts w:cs="Arial"/>
          <w:sz w:val="22"/>
          <w:szCs w:val="22"/>
        </w:rPr>
        <w:t xml:space="preserve"> – Indicative cost of licence based on population size of an area</w:t>
      </w:r>
    </w:p>
    <w:tbl>
      <w:tblPr>
        <w:tblpPr w:leftFromText="180" w:rightFromText="180" w:vertAnchor="text" w:horzAnchor="page" w:tblpX="1527" w:tblpY="137"/>
        <w:tblW w:w="7780" w:type="dxa"/>
        <w:tblLook w:val="04A0" w:firstRow="1" w:lastRow="0" w:firstColumn="1" w:lastColumn="0" w:noHBand="0" w:noVBand="1"/>
      </w:tblPr>
      <w:tblGrid>
        <w:gridCol w:w="1860"/>
        <w:gridCol w:w="2060"/>
        <w:gridCol w:w="1920"/>
        <w:gridCol w:w="1940"/>
      </w:tblGrid>
      <w:tr w:rsidR="00DD3E4C" w:rsidRPr="00B96818" w14:paraId="397EB1F5" w14:textId="77777777" w:rsidTr="00562F73">
        <w:trPr>
          <w:trHeight w:val="300"/>
        </w:trPr>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7A6CF"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Ofcom category</w:t>
            </w:r>
          </w:p>
        </w:tc>
        <w:tc>
          <w:tcPr>
            <w:tcW w:w="2060" w:type="dxa"/>
            <w:tcBorders>
              <w:top w:val="single" w:sz="4" w:space="0" w:color="000000"/>
              <w:left w:val="nil"/>
              <w:bottom w:val="single" w:sz="4" w:space="0" w:color="000000"/>
              <w:right w:val="single" w:sz="4" w:space="0" w:color="000000"/>
            </w:tcBorders>
            <w:shd w:val="clear" w:color="auto" w:fill="auto"/>
            <w:noWrap/>
            <w:vAlign w:val="bottom"/>
            <w:hideMark/>
          </w:tcPr>
          <w:p w14:paraId="77B734E7"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Population</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14:paraId="4A757CBA" w14:textId="7EED349C"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FM</w:t>
            </w:r>
            <w:r w:rsidR="006B0A4C">
              <w:rPr>
                <w:rFonts w:cs="Arial"/>
                <w:color w:val="000000"/>
                <w:sz w:val="22"/>
                <w:szCs w:val="22"/>
                <w:lang w:eastAsia="en-GB"/>
              </w:rPr>
              <w:t xml:space="preserve"> (£’s)</w:t>
            </w:r>
          </w:p>
        </w:tc>
        <w:tc>
          <w:tcPr>
            <w:tcW w:w="1940" w:type="dxa"/>
            <w:tcBorders>
              <w:top w:val="single" w:sz="4" w:space="0" w:color="000000"/>
              <w:left w:val="nil"/>
              <w:bottom w:val="single" w:sz="4" w:space="0" w:color="000000"/>
              <w:right w:val="single" w:sz="4" w:space="0" w:color="000000"/>
            </w:tcBorders>
            <w:shd w:val="clear" w:color="auto" w:fill="auto"/>
            <w:noWrap/>
            <w:vAlign w:val="bottom"/>
            <w:hideMark/>
          </w:tcPr>
          <w:p w14:paraId="183EBA53" w14:textId="4636F7C4"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AM</w:t>
            </w:r>
            <w:r w:rsidR="006B0A4C">
              <w:rPr>
                <w:rFonts w:cs="Arial"/>
                <w:color w:val="000000"/>
                <w:sz w:val="22"/>
                <w:szCs w:val="22"/>
                <w:lang w:eastAsia="en-GB"/>
              </w:rPr>
              <w:t xml:space="preserve"> (£’s)</w:t>
            </w:r>
          </w:p>
        </w:tc>
      </w:tr>
      <w:tr w:rsidR="00DD3E4C" w:rsidRPr="00B96818" w14:paraId="1DE788A4" w14:textId="77777777" w:rsidTr="00562F73">
        <w:trPr>
          <w:trHeight w:val="300"/>
        </w:trPr>
        <w:tc>
          <w:tcPr>
            <w:tcW w:w="1860" w:type="dxa"/>
            <w:tcBorders>
              <w:top w:val="nil"/>
              <w:left w:val="single" w:sz="4" w:space="0" w:color="000000"/>
              <w:bottom w:val="nil"/>
              <w:right w:val="single" w:sz="4" w:space="0" w:color="000000"/>
            </w:tcBorders>
            <w:shd w:val="clear" w:color="auto" w:fill="auto"/>
            <w:noWrap/>
            <w:vAlign w:val="bottom"/>
            <w:hideMark/>
          </w:tcPr>
          <w:p w14:paraId="4C7DD97F"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A</w:t>
            </w:r>
          </w:p>
        </w:tc>
        <w:tc>
          <w:tcPr>
            <w:tcW w:w="2060" w:type="dxa"/>
            <w:tcBorders>
              <w:top w:val="nil"/>
              <w:left w:val="nil"/>
              <w:bottom w:val="nil"/>
              <w:right w:val="single" w:sz="4" w:space="0" w:color="000000"/>
            </w:tcBorders>
            <w:shd w:val="clear" w:color="auto" w:fill="auto"/>
            <w:noWrap/>
            <w:vAlign w:val="bottom"/>
            <w:hideMark/>
          </w:tcPr>
          <w:p w14:paraId="130DC0A5"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4.5m</w:t>
            </w:r>
          </w:p>
        </w:tc>
        <w:tc>
          <w:tcPr>
            <w:tcW w:w="1920" w:type="dxa"/>
            <w:tcBorders>
              <w:top w:val="nil"/>
              <w:left w:val="nil"/>
              <w:bottom w:val="nil"/>
              <w:right w:val="single" w:sz="4" w:space="0" w:color="000000"/>
            </w:tcBorders>
            <w:shd w:val="clear" w:color="auto" w:fill="auto"/>
            <w:noWrap/>
            <w:vAlign w:val="bottom"/>
            <w:hideMark/>
          </w:tcPr>
          <w:p w14:paraId="11A435D0"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57,208</w:t>
            </w:r>
          </w:p>
        </w:tc>
        <w:tc>
          <w:tcPr>
            <w:tcW w:w="1940" w:type="dxa"/>
            <w:tcBorders>
              <w:top w:val="nil"/>
              <w:left w:val="nil"/>
              <w:bottom w:val="nil"/>
              <w:right w:val="single" w:sz="4" w:space="0" w:color="000000"/>
            </w:tcBorders>
            <w:shd w:val="clear" w:color="auto" w:fill="auto"/>
            <w:noWrap/>
            <w:vAlign w:val="bottom"/>
            <w:hideMark/>
          </w:tcPr>
          <w:p w14:paraId="63B1250E"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16,590</w:t>
            </w:r>
          </w:p>
        </w:tc>
      </w:tr>
      <w:tr w:rsidR="00DD3E4C" w:rsidRPr="00B96818" w14:paraId="25C793A6" w14:textId="77777777" w:rsidTr="00562F73">
        <w:trPr>
          <w:trHeight w:val="300"/>
        </w:trPr>
        <w:tc>
          <w:tcPr>
            <w:tcW w:w="1860" w:type="dxa"/>
            <w:tcBorders>
              <w:top w:val="nil"/>
              <w:left w:val="single" w:sz="4" w:space="0" w:color="000000"/>
              <w:bottom w:val="nil"/>
              <w:right w:val="single" w:sz="4" w:space="0" w:color="000000"/>
            </w:tcBorders>
            <w:shd w:val="clear" w:color="auto" w:fill="auto"/>
            <w:noWrap/>
            <w:vAlign w:val="bottom"/>
            <w:hideMark/>
          </w:tcPr>
          <w:p w14:paraId="5671CD66"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B</w:t>
            </w:r>
          </w:p>
        </w:tc>
        <w:tc>
          <w:tcPr>
            <w:tcW w:w="2060" w:type="dxa"/>
            <w:tcBorders>
              <w:top w:val="nil"/>
              <w:left w:val="nil"/>
              <w:bottom w:val="nil"/>
              <w:right w:val="single" w:sz="4" w:space="0" w:color="000000"/>
            </w:tcBorders>
            <w:shd w:val="clear" w:color="auto" w:fill="auto"/>
            <w:noWrap/>
            <w:vAlign w:val="bottom"/>
            <w:hideMark/>
          </w:tcPr>
          <w:p w14:paraId="66E1A961"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1m-4.5</w:t>
            </w:r>
          </w:p>
        </w:tc>
        <w:tc>
          <w:tcPr>
            <w:tcW w:w="1920" w:type="dxa"/>
            <w:tcBorders>
              <w:top w:val="nil"/>
              <w:left w:val="nil"/>
              <w:bottom w:val="nil"/>
              <w:right w:val="single" w:sz="4" w:space="0" w:color="000000"/>
            </w:tcBorders>
            <w:shd w:val="clear" w:color="auto" w:fill="auto"/>
            <w:noWrap/>
            <w:vAlign w:val="bottom"/>
            <w:hideMark/>
          </w:tcPr>
          <w:p w14:paraId="7A2BDA95"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28,604</w:t>
            </w:r>
          </w:p>
        </w:tc>
        <w:tc>
          <w:tcPr>
            <w:tcW w:w="1940" w:type="dxa"/>
            <w:tcBorders>
              <w:top w:val="nil"/>
              <w:left w:val="nil"/>
              <w:bottom w:val="nil"/>
              <w:right w:val="single" w:sz="4" w:space="0" w:color="000000"/>
            </w:tcBorders>
            <w:shd w:val="clear" w:color="auto" w:fill="auto"/>
            <w:noWrap/>
            <w:vAlign w:val="bottom"/>
            <w:hideMark/>
          </w:tcPr>
          <w:p w14:paraId="7F6D78FE"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9,153</w:t>
            </w:r>
          </w:p>
        </w:tc>
      </w:tr>
      <w:tr w:rsidR="00DD3E4C" w:rsidRPr="00B96818" w14:paraId="5B6CB57A" w14:textId="77777777" w:rsidTr="00562F73">
        <w:trPr>
          <w:trHeight w:val="300"/>
        </w:trPr>
        <w:tc>
          <w:tcPr>
            <w:tcW w:w="1860" w:type="dxa"/>
            <w:tcBorders>
              <w:top w:val="nil"/>
              <w:left w:val="single" w:sz="4" w:space="0" w:color="000000"/>
              <w:bottom w:val="nil"/>
              <w:right w:val="single" w:sz="4" w:space="0" w:color="000000"/>
            </w:tcBorders>
            <w:shd w:val="clear" w:color="auto" w:fill="auto"/>
            <w:noWrap/>
            <w:vAlign w:val="bottom"/>
            <w:hideMark/>
          </w:tcPr>
          <w:p w14:paraId="74780604"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C</w:t>
            </w:r>
          </w:p>
        </w:tc>
        <w:tc>
          <w:tcPr>
            <w:tcW w:w="2060" w:type="dxa"/>
            <w:tcBorders>
              <w:top w:val="nil"/>
              <w:left w:val="nil"/>
              <w:bottom w:val="nil"/>
              <w:right w:val="single" w:sz="4" w:space="0" w:color="000000"/>
            </w:tcBorders>
            <w:shd w:val="clear" w:color="auto" w:fill="auto"/>
            <w:noWrap/>
            <w:vAlign w:val="bottom"/>
            <w:hideMark/>
          </w:tcPr>
          <w:p w14:paraId="3B8BC8EE"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400k-1m</w:t>
            </w:r>
          </w:p>
        </w:tc>
        <w:tc>
          <w:tcPr>
            <w:tcW w:w="1920" w:type="dxa"/>
            <w:tcBorders>
              <w:top w:val="nil"/>
              <w:left w:val="nil"/>
              <w:bottom w:val="nil"/>
              <w:right w:val="single" w:sz="4" w:space="0" w:color="000000"/>
            </w:tcBorders>
            <w:shd w:val="clear" w:color="auto" w:fill="auto"/>
            <w:noWrap/>
            <w:vAlign w:val="bottom"/>
            <w:hideMark/>
          </w:tcPr>
          <w:p w14:paraId="7CA82780"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11,442</w:t>
            </w:r>
          </w:p>
        </w:tc>
        <w:tc>
          <w:tcPr>
            <w:tcW w:w="1940" w:type="dxa"/>
            <w:tcBorders>
              <w:top w:val="nil"/>
              <w:left w:val="nil"/>
              <w:bottom w:val="nil"/>
              <w:right w:val="single" w:sz="4" w:space="0" w:color="000000"/>
            </w:tcBorders>
            <w:shd w:val="clear" w:color="auto" w:fill="auto"/>
            <w:noWrap/>
            <w:vAlign w:val="bottom"/>
            <w:hideMark/>
          </w:tcPr>
          <w:p w14:paraId="5A005FEC"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4,005</w:t>
            </w:r>
          </w:p>
        </w:tc>
      </w:tr>
      <w:tr w:rsidR="00DD3E4C" w:rsidRPr="00B96818" w14:paraId="300F4759" w14:textId="77777777" w:rsidTr="00562F73">
        <w:trPr>
          <w:trHeight w:val="300"/>
        </w:trPr>
        <w:tc>
          <w:tcPr>
            <w:tcW w:w="1860" w:type="dxa"/>
            <w:tcBorders>
              <w:top w:val="nil"/>
              <w:left w:val="single" w:sz="4" w:space="0" w:color="000000"/>
              <w:bottom w:val="nil"/>
              <w:right w:val="single" w:sz="4" w:space="0" w:color="000000"/>
            </w:tcBorders>
            <w:shd w:val="clear" w:color="auto" w:fill="auto"/>
            <w:noWrap/>
            <w:vAlign w:val="bottom"/>
            <w:hideMark/>
          </w:tcPr>
          <w:p w14:paraId="747AF3DE"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D</w:t>
            </w:r>
          </w:p>
        </w:tc>
        <w:tc>
          <w:tcPr>
            <w:tcW w:w="2060" w:type="dxa"/>
            <w:tcBorders>
              <w:top w:val="nil"/>
              <w:left w:val="nil"/>
              <w:bottom w:val="nil"/>
              <w:right w:val="single" w:sz="4" w:space="0" w:color="000000"/>
            </w:tcBorders>
            <w:shd w:val="clear" w:color="auto" w:fill="auto"/>
            <w:noWrap/>
            <w:vAlign w:val="bottom"/>
            <w:hideMark/>
          </w:tcPr>
          <w:p w14:paraId="2BEA70BA" w14:textId="77777777" w:rsidR="00DD3E4C" w:rsidRPr="00861553" w:rsidRDefault="00DD3E4C" w:rsidP="0065675B">
            <w:pPr>
              <w:rPr>
                <w:rFonts w:cs="Arial"/>
                <w:color w:val="000000"/>
                <w:sz w:val="22"/>
                <w:szCs w:val="22"/>
                <w:lang w:eastAsia="en-GB"/>
              </w:rPr>
            </w:pPr>
            <w:r w:rsidRPr="00861553">
              <w:rPr>
                <w:rFonts w:cs="Arial"/>
                <w:color w:val="000000"/>
                <w:sz w:val="22"/>
                <w:szCs w:val="22"/>
                <w:lang w:eastAsia="en-GB"/>
              </w:rPr>
              <w:t>0-400k</w:t>
            </w:r>
          </w:p>
        </w:tc>
        <w:tc>
          <w:tcPr>
            <w:tcW w:w="1920" w:type="dxa"/>
            <w:tcBorders>
              <w:top w:val="nil"/>
              <w:left w:val="nil"/>
              <w:bottom w:val="nil"/>
              <w:right w:val="single" w:sz="4" w:space="0" w:color="000000"/>
            </w:tcBorders>
            <w:shd w:val="clear" w:color="auto" w:fill="auto"/>
            <w:noWrap/>
            <w:vAlign w:val="bottom"/>
            <w:hideMark/>
          </w:tcPr>
          <w:p w14:paraId="5BF36AC2"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5,721</w:t>
            </w:r>
          </w:p>
        </w:tc>
        <w:tc>
          <w:tcPr>
            <w:tcW w:w="1940" w:type="dxa"/>
            <w:tcBorders>
              <w:top w:val="nil"/>
              <w:left w:val="nil"/>
              <w:bottom w:val="nil"/>
              <w:right w:val="single" w:sz="4" w:space="0" w:color="000000"/>
            </w:tcBorders>
            <w:shd w:val="clear" w:color="auto" w:fill="auto"/>
            <w:noWrap/>
            <w:vAlign w:val="bottom"/>
            <w:hideMark/>
          </w:tcPr>
          <w:p w14:paraId="2453707E" w14:textId="77777777" w:rsidR="00DD3E4C" w:rsidRPr="00861553" w:rsidRDefault="00DD3E4C" w:rsidP="0065675B">
            <w:pPr>
              <w:jc w:val="right"/>
              <w:rPr>
                <w:rFonts w:cs="Arial"/>
                <w:color w:val="000000"/>
                <w:sz w:val="22"/>
                <w:szCs w:val="22"/>
                <w:lang w:eastAsia="en-GB"/>
              </w:rPr>
            </w:pPr>
            <w:r w:rsidRPr="00861553">
              <w:rPr>
                <w:rFonts w:cs="Arial"/>
                <w:color w:val="000000"/>
                <w:sz w:val="22"/>
                <w:szCs w:val="22"/>
                <w:lang w:eastAsia="en-GB"/>
              </w:rPr>
              <w:t>1,144</w:t>
            </w:r>
          </w:p>
        </w:tc>
      </w:tr>
    </w:tbl>
    <w:p w14:paraId="40AB90CF" w14:textId="77777777" w:rsidR="00DD3E4C" w:rsidRPr="00861553" w:rsidRDefault="00DD3E4C" w:rsidP="00B405DA">
      <w:pPr>
        <w:rPr>
          <w:rFonts w:cs="Arial"/>
          <w:i/>
          <w:sz w:val="22"/>
          <w:szCs w:val="22"/>
        </w:rPr>
      </w:pPr>
    </w:p>
    <w:p w14:paraId="10DF34F6" w14:textId="77777777" w:rsidR="00DD3E4C" w:rsidRPr="00861553" w:rsidRDefault="00DD3E4C" w:rsidP="00B405DA">
      <w:pPr>
        <w:rPr>
          <w:rFonts w:cs="Arial"/>
          <w:i/>
          <w:sz w:val="22"/>
          <w:szCs w:val="22"/>
        </w:rPr>
      </w:pPr>
    </w:p>
    <w:p w14:paraId="5DFF7A16" w14:textId="77777777" w:rsidR="00DD3E4C" w:rsidRPr="00861553" w:rsidRDefault="00DD3E4C" w:rsidP="00B405DA">
      <w:pPr>
        <w:rPr>
          <w:rFonts w:cs="Arial"/>
          <w:i/>
          <w:sz w:val="22"/>
          <w:szCs w:val="22"/>
        </w:rPr>
      </w:pPr>
    </w:p>
    <w:p w14:paraId="2CFB8B17" w14:textId="77777777" w:rsidR="00DD3E4C" w:rsidRPr="00861553" w:rsidRDefault="00DD3E4C" w:rsidP="00B405DA">
      <w:pPr>
        <w:rPr>
          <w:rFonts w:cs="Arial"/>
          <w:i/>
          <w:sz w:val="22"/>
          <w:szCs w:val="22"/>
        </w:rPr>
      </w:pPr>
    </w:p>
    <w:p w14:paraId="4913B6D0" w14:textId="77777777" w:rsidR="00DD3E4C" w:rsidRPr="00861553" w:rsidRDefault="00DD3E4C" w:rsidP="00B405DA">
      <w:pPr>
        <w:rPr>
          <w:rFonts w:cs="Arial"/>
          <w:i/>
          <w:sz w:val="22"/>
          <w:szCs w:val="22"/>
        </w:rPr>
      </w:pPr>
    </w:p>
    <w:p w14:paraId="1D48AAB9" w14:textId="77777777" w:rsidR="00E73453" w:rsidRPr="00861553" w:rsidRDefault="00E73453" w:rsidP="00B405DA">
      <w:pPr>
        <w:rPr>
          <w:rFonts w:cs="Arial"/>
          <w:i/>
          <w:sz w:val="22"/>
          <w:szCs w:val="22"/>
        </w:rPr>
      </w:pPr>
    </w:p>
    <w:p w14:paraId="28D47AD3" w14:textId="77777777" w:rsidR="00DD3E4C" w:rsidRPr="00861553" w:rsidRDefault="00DD3E4C" w:rsidP="00B405DA">
      <w:pPr>
        <w:rPr>
          <w:rFonts w:cs="Arial"/>
          <w:i/>
          <w:sz w:val="22"/>
          <w:szCs w:val="22"/>
        </w:rPr>
      </w:pPr>
    </w:p>
    <w:p w14:paraId="7A78B9DB" w14:textId="77777777" w:rsidR="00DD3E4C" w:rsidRPr="00861553" w:rsidRDefault="00DD3E4C" w:rsidP="00B405DA">
      <w:pPr>
        <w:rPr>
          <w:rFonts w:cs="Arial"/>
          <w:i/>
          <w:sz w:val="22"/>
          <w:szCs w:val="22"/>
        </w:rPr>
      </w:pPr>
    </w:p>
    <w:p w14:paraId="047EF229" w14:textId="77777777" w:rsidR="00DD3E4C" w:rsidRPr="00861553" w:rsidRDefault="00DD3E4C" w:rsidP="00B405DA">
      <w:pPr>
        <w:rPr>
          <w:rFonts w:cs="Arial"/>
          <w:i/>
          <w:sz w:val="22"/>
          <w:szCs w:val="22"/>
        </w:rPr>
      </w:pPr>
    </w:p>
    <w:p w14:paraId="07CA3E6C" w14:textId="77777777" w:rsidR="00155405" w:rsidRPr="00861553" w:rsidRDefault="0065675B" w:rsidP="00B405DA">
      <w:pPr>
        <w:rPr>
          <w:rFonts w:cs="Arial"/>
          <w:i/>
          <w:sz w:val="22"/>
          <w:szCs w:val="22"/>
        </w:rPr>
      </w:pPr>
      <w:r w:rsidRPr="00861553">
        <w:rPr>
          <w:rFonts w:cs="Arial"/>
          <w:i/>
          <w:sz w:val="22"/>
          <w:szCs w:val="22"/>
        </w:rPr>
        <w:t xml:space="preserve">(Prices in table deflated to 2013 prices). </w:t>
      </w:r>
      <w:r w:rsidR="00155405" w:rsidRPr="00861553">
        <w:rPr>
          <w:rFonts w:cs="Arial"/>
          <w:i/>
          <w:sz w:val="22"/>
          <w:szCs w:val="22"/>
        </w:rPr>
        <w:t xml:space="preserve">Source: Original costs- </w:t>
      </w:r>
      <w:hyperlink r:id="rId12" w:history="1">
        <w:r w:rsidR="00155405" w:rsidRPr="00861553">
          <w:rPr>
            <w:rStyle w:val="Hyperlink"/>
            <w:rFonts w:cs="Arial"/>
            <w:i/>
            <w:sz w:val="22"/>
            <w:szCs w:val="22"/>
          </w:rPr>
          <w:t>http://licensing.ofcom.org.uk/radio-broadcast-licensing/analogue-radio/apply-for-licence/re-advertisement/notes/</w:t>
        </w:r>
      </w:hyperlink>
    </w:p>
    <w:p w14:paraId="74C96616" w14:textId="77777777" w:rsidR="00155405" w:rsidRPr="00861553" w:rsidRDefault="00155405" w:rsidP="00B405DA">
      <w:pPr>
        <w:rPr>
          <w:rFonts w:cs="Arial"/>
          <w:i/>
          <w:sz w:val="22"/>
          <w:szCs w:val="22"/>
        </w:rPr>
      </w:pPr>
    </w:p>
    <w:p w14:paraId="6D5E4450" w14:textId="77777777" w:rsidR="0084649F" w:rsidRPr="00861553" w:rsidRDefault="0084649F" w:rsidP="00B405DA">
      <w:pPr>
        <w:rPr>
          <w:rFonts w:cs="Arial"/>
          <w:i/>
          <w:sz w:val="22"/>
          <w:szCs w:val="22"/>
        </w:rPr>
      </w:pPr>
    </w:p>
    <w:p w14:paraId="546FA7AC" w14:textId="77777777" w:rsidR="00FE15E7" w:rsidRPr="00861553" w:rsidRDefault="002855AF" w:rsidP="00B405DA">
      <w:pPr>
        <w:rPr>
          <w:rFonts w:cs="Arial"/>
          <w:sz w:val="22"/>
          <w:szCs w:val="22"/>
        </w:rPr>
      </w:pPr>
      <w:r w:rsidRPr="00861553">
        <w:rPr>
          <w:rFonts w:cs="Arial"/>
          <w:sz w:val="22"/>
          <w:szCs w:val="22"/>
        </w:rPr>
        <w:t xml:space="preserve">To calculate the benefits </w:t>
      </w:r>
      <w:r w:rsidR="00402551" w:rsidRPr="00861553">
        <w:rPr>
          <w:rFonts w:cs="Arial"/>
          <w:sz w:val="22"/>
          <w:szCs w:val="22"/>
        </w:rPr>
        <w:t xml:space="preserve">to business </w:t>
      </w:r>
      <w:r w:rsidRPr="00861553">
        <w:rPr>
          <w:rFonts w:cs="Arial"/>
          <w:sz w:val="22"/>
          <w:szCs w:val="22"/>
        </w:rPr>
        <w:t>of extending the licences</w:t>
      </w:r>
      <w:r w:rsidR="00402551" w:rsidRPr="00861553">
        <w:rPr>
          <w:rFonts w:cs="Arial"/>
          <w:sz w:val="22"/>
          <w:szCs w:val="22"/>
        </w:rPr>
        <w:t xml:space="preserve"> for a further 5 years</w:t>
      </w:r>
      <w:r w:rsidRPr="00861553">
        <w:rPr>
          <w:rFonts w:cs="Arial"/>
          <w:sz w:val="22"/>
          <w:szCs w:val="22"/>
        </w:rPr>
        <w:t xml:space="preserve"> we </w:t>
      </w:r>
      <w:r w:rsidR="00E73453" w:rsidRPr="00861553">
        <w:rPr>
          <w:rFonts w:cs="Arial"/>
          <w:sz w:val="22"/>
          <w:szCs w:val="22"/>
        </w:rPr>
        <w:t>worked</w:t>
      </w:r>
      <w:r w:rsidR="00FC1661" w:rsidRPr="00861553">
        <w:rPr>
          <w:rFonts w:cs="Arial"/>
          <w:sz w:val="22"/>
          <w:szCs w:val="22"/>
        </w:rPr>
        <w:t xml:space="preserve"> out the number of licences </w:t>
      </w:r>
      <w:r w:rsidR="00227A38" w:rsidRPr="00861553">
        <w:rPr>
          <w:rFonts w:cs="Arial"/>
          <w:sz w:val="22"/>
          <w:szCs w:val="22"/>
        </w:rPr>
        <w:t>in</w:t>
      </w:r>
      <w:r w:rsidR="00FC1661" w:rsidRPr="00861553">
        <w:rPr>
          <w:rFonts w:cs="Arial"/>
          <w:sz w:val="22"/>
          <w:szCs w:val="22"/>
        </w:rPr>
        <w:t xml:space="preserve"> each Ofcom category due to expire and multipl</w:t>
      </w:r>
      <w:r w:rsidR="00E73453" w:rsidRPr="00861553">
        <w:rPr>
          <w:rFonts w:cs="Arial"/>
          <w:sz w:val="22"/>
          <w:szCs w:val="22"/>
        </w:rPr>
        <w:t>ied</w:t>
      </w:r>
      <w:r w:rsidR="00FC1661" w:rsidRPr="00861553">
        <w:rPr>
          <w:rFonts w:cs="Arial"/>
          <w:sz w:val="22"/>
          <w:szCs w:val="22"/>
        </w:rPr>
        <w:t xml:space="preserve"> </w:t>
      </w:r>
      <w:r w:rsidR="00227A38" w:rsidRPr="00861553">
        <w:rPr>
          <w:rFonts w:cs="Arial"/>
          <w:sz w:val="22"/>
          <w:szCs w:val="22"/>
        </w:rPr>
        <w:t xml:space="preserve">this number by the cost of the licence for that category to obtain the overall costs of licence purchases in each category. </w:t>
      </w:r>
    </w:p>
    <w:p w14:paraId="5A806001" w14:textId="77777777" w:rsidR="00FE15E7" w:rsidRPr="00861553" w:rsidRDefault="00FE15E7" w:rsidP="00B405DA">
      <w:pPr>
        <w:rPr>
          <w:rFonts w:cs="Arial"/>
          <w:sz w:val="22"/>
          <w:szCs w:val="22"/>
        </w:rPr>
      </w:pPr>
    </w:p>
    <w:p w14:paraId="09EFDD22" w14:textId="77777777" w:rsidR="00FE15E7" w:rsidRPr="00861553" w:rsidRDefault="0065675B" w:rsidP="00B405DA">
      <w:pPr>
        <w:rPr>
          <w:rFonts w:cs="Arial"/>
          <w:sz w:val="22"/>
          <w:szCs w:val="22"/>
        </w:rPr>
      </w:pPr>
      <w:r w:rsidRPr="00861553">
        <w:rPr>
          <w:rFonts w:cs="Arial"/>
          <w:sz w:val="22"/>
          <w:szCs w:val="22"/>
        </w:rPr>
        <w:t>Table 5</w:t>
      </w:r>
    </w:p>
    <w:tbl>
      <w:tblPr>
        <w:tblStyle w:val="TableGrid"/>
        <w:tblW w:w="9243" w:type="dxa"/>
        <w:tblInd w:w="108" w:type="dxa"/>
        <w:tblLook w:val="04A0" w:firstRow="1" w:lastRow="0" w:firstColumn="1" w:lastColumn="0" w:noHBand="0" w:noVBand="1"/>
      </w:tblPr>
      <w:tblGrid>
        <w:gridCol w:w="2408"/>
        <w:gridCol w:w="1916"/>
        <w:gridCol w:w="2509"/>
        <w:gridCol w:w="2410"/>
      </w:tblGrid>
      <w:tr w:rsidR="00FE15E7" w:rsidRPr="00B96818" w14:paraId="380BFDFB" w14:textId="77777777" w:rsidTr="00A47E69">
        <w:trPr>
          <w:trHeight w:val="300"/>
        </w:trPr>
        <w:tc>
          <w:tcPr>
            <w:tcW w:w="2408" w:type="dxa"/>
            <w:noWrap/>
            <w:hideMark/>
          </w:tcPr>
          <w:p w14:paraId="520321DD" w14:textId="77777777" w:rsidR="00FE15E7" w:rsidRPr="00861553" w:rsidRDefault="00FE15E7" w:rsidP="00B405DA">
            <w:pPr>
              <w:rPr>
                <w:rFonts w:cs="Arial"/>
                <w:b/>
                <w:sz w:val="22"/>
                <w:szCs w:val="22"/>
              </w:rPr>
            </w:pPr>
            <w:r w:rsidRPr="00861553">
              <w:rPr>
                <w:rFonts w:cs="Arial"/>
                <w:b/>
                <w:sz w:val="22"/>
                <w:szCs w:val="22"/>
              </w:rPr>
              <w:t>Ofcom licence category</w:t>
            </w:r>
          </w:p>
        </w:tc>
        <w:tc>
          <w:tcPr>
            <w:tcW w:w="1916" w:type="dxa"/>
            <w:noWrap/>
            <w:hideMark/>
          </w:tcPr>
          <w:p w14:paraId="5D37042F" w14:textId="77777777" w:rsidR="00FE15E7" w:rsidRPr="00861553" w:rsidRDefault="00FE15E7" w:rsidP="00B405DA">
            <w:pPr>
              <w:rPr>
                <w:rFonts w:cs="Arial"/>
                <w:b/>
                <w:sz w:val="22"/>
                <w:szCs w:val="22"/>
              </w:rPr>
            </w:pPr>
            <w:r w:rsidRPr="00861553">
              <w:rPr>
                <w:rFonts w:cs="Arial"/>
                <w:b/>
                <w:sz w:val="22"/>
                <w:szCs w:val="22"/>
              </w:rPr>
              <w:t>no. of licences</w:t>
            </w:r>
          </w:p>
        </w:tc>
        <w:tc>
          <w:tcPr>
            <w:tcW w:w="2509" w:type="dxa"/>
            <w:noWrap/>
            <w:hideMark/>
          </w:tcPr>
          <w:p w14:paraId="22A8644E" w14:textId="77777777" w:rsidR="00FE15E7" w:rsidRPr="00861553" w:rsidRDefault="00FE15E7" w:rsidP="00B405DA">
            <w:pPr>
              <w:rPr>
                <w:rFonts w:cs="Arial"/>
                <w:b/>
                <w:sz w:val="22"/>
                <w:szCs w:val="22"/>
              </w:rPr>
            </w:pPr>
            <w:r w:rsidRPr="00861553">
              <w:rPr>
                <w:rFonts w:cs="Arial"/>
                <w:b/>
                <w:sz w:val="22"/>
                <w:szCs w:val="22"/>
              </w:rPr>
              <w:t>Price of licence</w:t>
            </w:r>
          </w:p>
        </w:tc>
        <w:tc>
          <w:tcPr>
            <w:tcW w:w="2410" w:type="dxa"/>
            <w:noWrap/>
            <w:hideMark/>
          </w:tcPr>
          <w:p w14:paraId="311CC706" w14:textId="77072564" w:rsidR="00FE15E7" w:rsidRPr="00861553" w:rsidRDefault="001C31E1" w:rsidP="001C31E1">
            <w:pPr>
              <w:rPr>
                <w:rFonts w:cs="Arial"/>
                <w:b/>
                <w:sz w:val="22"/>
                <w:szCs w:val="22"/>
              </w:rPr>
            </w:pPr>
            <w:r w:rsidRPr="00861553">
              <w:rPr>
                <w:rFonts w:cs="Arial"/>
                <w:b/>
                <w:sz w:val="22"/>
                <w:szCs w:val="22"/>
              </w:rPr>
              <w:t>C</w:t>
            </w:r>
            <w:r w:rsidR="00FE15E7" w:rsidRPr="00861553">
              <w:rPr>
                <w:rFonts w:cs="Arial"/>
                <w:b/>
                <w:sz w:val="22"/>
                <w:szCs w:val="22"/>
              </w:rPr>
              <w:t>ost for incumbents</w:t>
            </w:r>
          </w:p>
        </w:tc>
      </w:tr>
      <w:tr w:rsidR="00FE15E7" w:rsidRPr="00B96818" w14:paraId="257E5AEA" w14:textId="77777777" w:rsidTr="00A47E69">
        <w:trPr>
          <w:trHeight w:val="289"/>
        </w:trPr>
        <w:tc>
          <w:tcPr>
            <w:tcW w:w="2408" w:type="dxa"/>
            <w:noWrap/>
            <w:hideMark/>
          </w:tcPr>
          <w:p w14:paraId="3F1B66FE" w14:textId="77777777" w:rsidR="00FE15E7" w:rsidRPr="00861553" w:rsidRDefault="00FE15E7" w:rsidP="00B405DA">
            <w:pPr>
              <w:rPr>
                <w:rFonts w:cs="Arial"/>
                <w:sz w:val="22"/>
                <w:szCs w:val="22"/>
              </w:rPr>
            </w:pPr>
            <w:r w:rsidRPr="00861553">
              <w:rPr>
                <w:rFonts w:cs="Arial"/>
                <w:sz w:val="22"/>
                <w:szCs w:val="22"/>
              </w:rPr>
              <w:t>A</w:t>
            </w:r>
          </w:p>
        </w:tc>
        <w:tc>
          <w:tcPr>
            <w:tcW w:w="1916" w:type="dxa"/>
            <w:noWrap/>
            <w:hideMark/>
          </w:tcPr>
          <w:p w14:paraId="194AEBD4" w14:textId="77777777" w:rsidR="00FE15E7" w:rsidRPr="00861553" w:rsidRDefault="00FE15E7" w:rsidP="00B405DA">
            <w:pPr>
              <w:rPr>
                <w:rFonts w:cs="Arial"/>
                <w:sz w:val="22"/>
                <w:szCs w:val="22"/>
              </w:rPr>
            </w:pPr>
            <w:r w:rsidRPr="00861553">
              <w:rPr>
                <w:rFonts w:cs="Arial"/>
                <w:sz w:val="22"/>
                <w:szCs w:val="22"/>
              </w:rPr>
              <w:t>12</w:t>
            </w:r>
          </w:p>
        </w:tc>
        <w:tc>
          <w:tcPr>
            <w:tcW w:w="2509" w:type="dxa"/>
            <w:noWrap/>
            <w:hideMark/>
          </w:tcPr>
          <w:p w14:paraId="6A45D76A" w14:textId="77777777" w:rsidR="00FE15E7" w:rsidRPr="00861553" w:rsidRDefault="00FE15E7" w:rsidP="00B405DA">
            <w:pPr>
              <w:rPr>
                <w:rFonts w:cs="Arial"/>
                <w:sz w:val="22"/>
                <w:szCs w:val="22"/>
              </w:rPr>
            </w:pPr>
            <w:r w:rsidRPr="00861553">
              <w:rPr>
                <w:rFonts w:cs="Arial"/>
                <w:sz w:val="22"/>
                <w:szCs w:val="22"/>
              </w:rPr>
              <w:t xml:space="preserve"> £                     57,208 </w:t>
            </w:r>
          </w:p>
        </w:tc>
        <w:tc>
          <w:tcPr>
            <w:tcW w:w="2410" w:type="dxa"/>
            <w:noWrap/>
            <w:hideMark/>
          </w:tcPr>
          <w:p w14:paraId="1465EE94" w14:textId="77777777" w:rsidR="00FE15E7" w:rsidRPr="00861553" w:rsidRDefault="00FE15E7" w:rsidP="00B405DA">
            <w:pPr>
              <w:rPr>
                <w:rFonts w:cs="Arial"/>
                <w:sz w:val="22"/>
                <w:szCs w:val="22"/>
              </w:rPr>
            </w:pPr>
            <w:r w:rsidRPr="00861553">
              <w:rPr>
                <w:rFonts w:cs="Arial"/>
                <w:sz w:val="22"/>
                <w:szCs w:val="22"/>
              </w:rPr>
              <w:t xml:space="preserve"> £                  686,499 </w:t>
            </w:r>
          </w:p>
        </w:tc>
      </w:tr>
      <w:tr w:rsidR="00FE15E7" w:rsidRPr="00B96818" w14:paraId="1DAAC379" w14:textId="77777777" w:rsidTr="00A47E69">
        <w:trPr>
          <w:trHeight w:val="289"/>
        </w:trPr>
        <w:tc>
          <w:tcPr>
            <w:tcW w:w="2408" w:type="dxa"/>
            <w:noWrap/>
            <w:hideMark/>
          </w:tcPr>
          <w:p w14:paraId="7B7290DB" w14:textId="77777777" w:rsidR="00FE15E7" w:rsidRPr="00861553" w:rsidRDefault="00FE15E7" w:rsidP="00B405DA">
            <w:pPr>
              <w:rPr>
                <w:rFonts w:cs="Arial"/>
                <w:sz w:val="22"/>
                <w:szCs w:val="22"/>
              </w:rPr>
            </w:pPr>
            <w:r w:rsidRPr="00861553">
              <w:rPr>
                <w:rFonts w:cs="Arial"/>
                <w:sz w:val="22"/>
                <w:szCs w:val="22"/>
              </w:rPr>
              <w:t>B</w:t>
            </w:r>
          </w:p>
        </w:tc>
        <w:tc>
          <w:tcPr>
            <w:tcW w:w="1916" w:type="dxa"/>
            <w:noWrap/>
            <w:hideMark/>
          </w:tcPr>
          <w:p w14:paraId="752C1731" w14:textId="77777777" w:rsidR="00FE15E7" w:rsidRPr="00861553" w:rsidRDefault="00FE15E7" w:rsidP="00B405DA">
            <w:pPr>
              <w:rPr>
                <w:rFonts w:cs="Arial"/>
                <w:sz w:val="22"/>
                <w:szCs w:val="22"/>
              </w:rPr>
            </w:pPr>
            <w:r w:rsidRPr="00861553">
              <w:rPr>
                <w:rFonts w:cs="Arial"/>
                <w:sz w:val="22"/>
                <w:szCs w:val="22"/>
              </w:rPr>
              <w:t>19</w:t>
            </w:r>
          </w:p>
        </w:tc>
        <w:tc>
          <w:tcPr>
            <w:tcW w:w="2509" w:type="dxa"/>
            <w:noWrap/>
            <w:hideMark/>
          </w:tcPr>
          <w:p w14:paraId="3782B9E6" w14:textId="77777777" w:rsidR="00FE15E7" w:rsidRPr="00861553" w:rsidRDefault="00FE15E7" w:rsidP="00B405DA">
            <w:pPr>
              <w:rPr>
                <w:rFonts w:cs="Arial"/>
                <w:sz w:val="22"/>
                <w:szCs w:val="22"/>
              </w:rPr>
            </w:pPr>
            <w:r w:rsidRPr="00861553">
              <w:rPr>
                <w:rFonts w:cs="Arial"/>
                <w:sz w:val="22"/>
                <w:szCs w:val="22"/>
              </w:rPr>
              <w:t xml:space="preserve"> £                     28,604 </w:t>
            </w:r>
          </w:p>
        </w:tc>
        <w:tc>
          <w:tcPr>
            <w:tcW w:w="2410" w:type="dxa"/>
            <w:noWrap/>
            <w:hideMark/>
          </w:tcPr>
          <w:p w14:paraId="2D227337" w14:textId="77777777" w:rsidR="00FE15E7" w:rsidRPr="00861553" w:rsidRDefault="00FE15E7" w:rsidP="00B405DA">
            <w:pPr>
              <w:rPr>
                <w:rFonts w:cs="Arial"/>
                <w:sz w:val="22"/>
                <w:szCs w:val="22"/>
              </w:rPr>
            </w:pPr>
            <w:r w:rsidRPr="00861553">
              <w:rPr>
                <w:rFonts w:cs="Arial"/>
                <w:sz w:val="22"/>
                <w:szCs w:val="22"/>
              </w:rPr>
              <w:t xml:space="preserve"> £                  543,478 </w:t>
            </w:r>
          </w:p>
        </w:tc>
      </w:tr>
      <w:tr w:rsidR="00FE15E7" w:rsidRPr="00B96818" w14:paraId="5B1D1091" w14:textId="77777777" w:rsidTr="00A47E69">
        <w:trPr>
          <w:trHeight w:val="289"/>
        </w:trPr>
        <w:tc>
          <w:tcPr>
            <w:tcW w:w="2408" w:type="dxa"/>
            <w:noWrap/>
            <w:hideMark/>
          </w:tcPr>
          <w:p w14:paraId="3B19BF2A" w14:textId="77777777" w:rsidR="00FE15E7" w:rsidRPr="00861553" w:rsidRDefault="00FE15E7" w:rsidP="00B405DA">
            <w:pPr>
              <w:rPr>
                <w:rFonts w:cs="Arial"/>
                <w:sz w:val="22"/>
                <w:szCs w:val="22"/>
              </w:rPr>
            </w:pPr>
            <w:r w:rsidRPr="00861553">
              <w:rPr>
                <w:rFonts w:cs="Arial"/>
                <w:sz w:val="22"/>
                <w:szCs w:val="22"/>
              </w:rPr>
              <w:t>C</w:t>
            </w:r>
          </w:p>
        </w:tc>
        <w:tc>
          <w:tcPr>
            <w:tcW w:w="1916" w:type="dxa"/>
            <w:noWrap/>
            <w:hideMark/>
          </w:tcPr>
          <w:p w14:paraId="65C78FAA" w14:textId="77777777" w:rsidR="00FE15E7" w:rsidRPr="00861553" w:rsidRDefault="00FE15E7" w:rsidP="00B405DA">
            <w:pPr>
              <w:rPr>
                <w:rFonts w:cs="Arial"/>
                <w:sz w:val="22"/>
                <w:szCs w:val="22"/>
              </w:rPr>
            </w:pPr>
            <w:r w:rsidRPr="00861553">
              <w:rPr>
                <w:rFonts w:cs="Arial"/>
                <w:sz w:val="22"/>
                <w:szCs w:val="22"/>
              </w:rPr>
              <w:t>15</w:t>
            </w:r>
          </w:p>
        </w:tc>
        <w:tc>
          <w:tcPr>
            <w:tcW w:w="2509" w:type="dxa"/>
            <w:noWrap/>
            <w:hideMark/>
          </w:tcPr>
          <w:p w14:paraId="33DF4BB1" w14:textId="77777777" w:rsidR="00FE15E7" w:rsidRPr="00861553" w:rsidRDefault="00FE15E7" w:rsidP="00B405DA">
            <w:pPr>
              <w:rPr>
                <w:rFonts w:cs="Arial"/>
                <w:sz w:val="22"/>
                <w:szCs w:val="22"/>
              </w:rPr>
            </w:pPr>
            <w:r w:rsidRPr="00861553">
              <w:rPr>
                <w:rFonts w:cs="Arial"/>
                <w:sz w:val="22"/>
                <w:szCs w:val="22"/>
              </w:rPr>
              <w:t xml:space="preserve"> £                     11,442 </w:t>
            </w:r>
          </w:p>
        </w:tc>
        <w:tc>
          <w:tcPr>
            <w:tcW w:w="2410" w:type="dxa"/>
            <w:noWrap/>
            <w:hideMark/>
          </w:tcPr>
          <w:p w14:paraId="1867A476" w14:textId="77777777" w:rsidR="00FE15E7" w:rsidRPr="00861553" w:rsidRDefault="00FE15E7" w:rsidP="00B405DA">
            <w:pPr>
              <w:rPr>
                <w:rFonts w:cs="Arial"/>
                <w:sz w:val="22"/>
                <w:szCs w:val="22"/>
              </w:rPr>
            </w:pPr>
            <w:r w:rsidRPr="00861553">
              <w:rPr>
                <w:rFonts w:cs="Arial"/>
                <w:sz w:val="22"/>
                <w:szCs w:val="22"/>
              </w:rPr>
              <w:t xml:space="preserve"> £                  171,625 </w:t>
            </w:r>
          </w:p>
        </w:tc>
      </w:tr>
      <w:tr w:rsidR="00FE15E7" w:rsidRPr="00B96818" w14:paraId="3FB41DCE" w14:textId="77777777" w:rsidTr="00A47E69">
        <w:trPr>
          <w:trHeight w:val="300"/>
        </w:trPr>
        <w:tc>
          <w:tcPr>
            <w:tcW w:w="2408" w:type="dxa"/>
            <w:noWrap/>
            <w:hideMark/>
          </w:tcPr>
          <w:p w14:paraId="05117261" w14:textId="77777777" w:rsidR="00FE15E7" w:rsidRPr="00861553" w:rsidRDefault="00FE15E7" w:rsidP="00B405DA">
            <w:pPr>
              <w:rPr>
                <w:rFonts w:cs="Arial"/>
                <w:sz w:val="22"/>
                <w:szCs w:val="22"/>
              </w:rPr>
            </w:pPr>
            <w:r w:rsidRPr="00861553">
              <w:rPr>
                <w:rFonts w:cs="Arial"/>
                <w:sz w:val="22"/>
                <w:szCs w:val="22"/>
              </w:rPr>
              <w:t>D</w:t>
            </w:r>
          </w:p>
        </w:tc>
        <w:tc>
          <w:tcPr>
            <w:tcW w:w="1916" w:type="dxa"/>
            <w:noWrap/>
            <w:hideMark/>
          </w:tcPr>
          <w:p w14:paraId="095DB5B4" w14:textId="77777777" w:rsidR="00FE15E7" w:rsidRPr="00861553" w:rsidRDefault="00FE15E7" w:rsidP="00B405DA">
            <w:pPr>
              <w:rPr>
                <w:rFonts w:cs="Arial"/>
                <w:sz w:val="22"/>
                <w:szCs w:val="22"/>
              </w:rPr>
            </w:pPr>
            <w:r w:rsidRPr="00861553">
              <w:rPr>
                <w:rFonts w:cs="Arial"/>
                <w:sz w:val="22"/>
                <w:szCs w:val="22"/>
              </w:rPr>
              <w:t>17</w:t>
            </w:r>
          </w:p>
        </w:tc>
        <w:tc>
          <w:tcPr>
            <w:tcW w:w="2509" w:type="dxa"/>
            <w:noWrap/>
            <w:hideMark/>
          </w:tcPr>
          <w:p w14:paraId="6B107249" w14:textId="77777777" w:rsidR="00FE15E7" w:rsidRPr="00861553" w:rsidRDefault="00FE15E7" w:rsidP="00B405DA">
            <w:pPr>
              <w:rPr>
                <w:rFonts w:cs="Arial"/>
                <w:sz w:val="22"/>
                <w:szCs w:val="22"/>
              </w:rPr>
            </w:pPr>
            <w:r w:rsidRPr="00861553">
              <w:rPr>
                <w:rFonts w:cs="Arial"/>
                <w:sz w:val="22"/>
                <w:szCs w:val="22"/>
              </w:rPr>
              <w:t xml:space="preserve"> £                       5,721 </w:t>
            </w:r>
          </w:p>
        </w:tc>
        <w:tc>
          <w:tcPr>
            <w:tcW w:w="2410" w:type="dxa"/>
            <w:noWrap/>
            <w:hideMark/>
          </w:tcPr>
          <w:p w14:paraId="70FD47B0" w14:textId="77777777" w:rsidR="00FE15E7" w:rsidRPr="00861553" w:rsidRDefault="00FE15E7" w:rsidP="00B405DA">
            <w:pPr>
              <w:rPr>
                <w:rFonts w:cs="Arial"/>
                <w:sz w:val="22"/>
                <w:szCs w:val="22"/>
              </w:rPr>
            </w:pPr>
            <w:r w:rsidRPr="00861553">
              <w:rPr>
                <w:rFonts w:cs="Arial"/>
                <w:sz w:val="22"/>
                <w:szCs w:val="22"/>
              </w:rPr>
              <w:t xml:space="preserve"> £                     97,254 </w:t>
            </w:r>
          </w:p>
        </w:tc>
      </w:tr>
      <w:tr w:rsidR="00FE15E7" w:rsidRPr="00B96818" w14:paraId="4CD4A75B" w14:textId="77777777" w:rsidTr="00A47E69">
        <w:trPr>
          <w:trHeight w:val="300"/>
        </w:trPr>
        <w:tc>
          <w:tcPr>
            <w:tcW w:w="2408" w:type="dxa"/>
            <w:noWrap/>
            <w:hideMark/>
          </w:tcPr>
          <w:p w14:paraId="7BE82CD7" w14:textId="77777777" w:rsidR="00FE15E7" w:rsidRPr="00861553" w:rsidRDefault="00FE15E7" w:rsidP="00B405DA">
            <w:pPr>
              <w:rPr>
                <w:rFonts w:cs="Arial"/>
                <w:b/>
                <w:bCs/>
                <w:sz w:val="22"/>
                <w:szCs w:val="22"/>
              </w:rPr>
            </w:pPr>
            <w:r w:rsidRPr="00861553">
              <w:rPr>
                <w:rFonts w:cs="Arial"/>
                <w:b/>
                <w:bCs/>
                <w:sz w:val="22"/>
                <w:szCs w:val="22"/>
              </w:rPr>
              <w:t>TOTAL</w:t>
            </w:r>
          </w:p>
        </w:tc>
        <w:tc>
          <w:tcPr>
            <w:tcW w:w="1916" w:type="dxa"/>
            <w:noWrap/>
            <w:hideMark/>
          </w:tcPr>
          <w:p w14:paraId="150D3F7A" w14:textId="77777777" w:rsidR="00FE15E7" w:rsidRPr="00861553" w:rsidRDefault="00FE15E7" w:rsidP="00B405DA">
            <w:pPr>
              <w:rPr>
                <w:rFonts w:cs="Arial"/>
                <w:b/>
                <w:bCs/>
                <w:sz w:val="22"/>
                <w:szCs w:val="22"/>
              </w:rPr>
            </w:pPr>
            <w:r w:rsidRPr="00861553">
              <w:rPr>
                <w:rFonts w:cs="Arial"/>
                <w:b/>
                <w:bCs/>
                <w:sz w:val="22"/>
                <w:szCs w:val="22"/>
              </w:rPr>
              <w:t>63</w:t>
            </w:r>
          </w:p>
        </w:tc>
        <w:tc>
          <w:tcPr>
            <w:tcW w:w="2509" w:type="dxa"/>
            <w:noWrap/>
            <w:hideMark/>
          </w:tcPr>
          <w:p w14:paraId="3848D91A" w14:textId="77777777" w:rsidR="00FE15E7" w:rsidRPr="00861553" w:rsidRDefault="00FE15E7" w:rsidP="00B405DA">
            <w:pPr>
              <w:rPr>
                <w:rFonts w:cs="Arial"/>
                <w:b/>
                <w:bCs/>
                <w:sz w:val="22"/>
                <w:szCs w:val="22"/>
              </w:rPr>
            </w:pPr>
          </w:p>
        </w:tc>
        <w:tc>
          <w:tcPr>
            <w:tcW w:w="2410" w:type="dxa"/>
            <w:noWrap/>
            <w:hideMark/>
          </w:tcPr>
          <w:p w14:paraId="5DBD939C" w14:textId="77777777" w:rsidR="00FE15E7" w:rsidRPr="00861553" w:rsidRDefault="00FE15E7" w:rsidP="00B405DA">
            <w:pPr>
              <w:rPr>
                <w:rFonts w:cs="Arial"/>
                <w:b/>
                <w:bCs/>
                <w:sz w:val="22"/>
                <w:szCs w:val="22"/>
              </w:rPr>
            </w:pPr>
            <w:r w:rsidRPr="00861553">
              <w:rPr>
                <w:rFonts w:cs="Arial"/>
                <w:b/>
                <w:bCs/>
                <w:sz w:val="22"/>
                <w:szCs w:val="22"/>
              </w:rPr>
              <w:t xml:space="preserve"> £               1,498,856 </w:t>
            </w:r>
          </w:p>
        </w:tc>
      </w:tr>
    </w:tbl>
    <w:p w14:paraId="1525262D" w14:textId="77777777" w:rsidR="00FE15E7" w:rsidRPr="00861553" w:rsidRDefault="00FE15E7" w:rsidP="00B405DA">
      <w:pPr>
        <w:rPr>
          <w:rFonts w:cs="Arial"/>
          <w:sz w:val="22"/>
          <w:szCs w:val="22"/>
        </w:rPr>
      </w:pPr>
    </w:p>
    <w:p w14:paraId="4D365733" w14:textId="701F136A" w:rsidR="00FE15E7" w:rsidRPr="00861553" w:rsidRDefault="0065675B" w:rsidP="00B405DA">
      <w:pPr>
        <w:rPr>
          <w:rFonts w:cs="Arial"/>
          <w:sz w:val="22"/>
          <w:szCs w:val="22"/>
        </w:rPr>
      </w:pPr>
      <w:r w:rsidRPr="00861553">
        <w:rPr>
          <w:rFonts w:cs="Arial"/>
          <w:sz w:val="22"/>
          <w:szCs w:val="22"/>
        </w:rPr>
        <w:t>Table 5</w:t>
      </w:r>
      <w:r w:rsidR="00272B62" w:rsidRPr="00861553">
        <w:rPr>
          <w:rFonts w:cs="Arial"/>
          <w:sz w:val="22"/>
          <w:szCs w:val="22"/>
        </w:rPr>
        <w:t xml:space="preserve"> shows the cost </w:t>
      </w:r>
      <w:r w:rsidR="00E73453" w:rsidRPr="00861553">
        <w:rPr>
          <w:rFonts w:cs="Arial"/>
          <w:sz w:val="22"/>
          <w:szCs w:val="22"/>
        </w:rPr>
        <w:t>of purely buying their licences.</w:t>
      </w:r>
      <w:r w:rsidR="00272B62" w:rsidRPr="00861553">
        <w:rPr>
          <w:rFonts w:cs="Arial"/>
          <w:sz w:val="22"/>
          <w:szCs w:val="22"/>
        </w:rPr>
        <w:t xml:space="preserve"> </w:t>
      </w:r>
      <w:r w:rsidR="00E73453" w:rsidRPr="00861553">
        <w:rPr>
          <w:rFonts w:cs="Arial"/>
          <w:sz w:val="22"/>
          <w:szCs w:val="22"/>
        </w:rPr>
        <w:t>W</w:t>
      </w:r>
      <w:r w:rsidR="00272B62" w:rsidRPr="00861553">
        <w:rPr>
          <w:rFonts w:cs="Arial"/>
          <w:sz w:val="22"/>
          <w:szCs w:val="22"/>
        </w:rPr>
        <w:t xml:space="preserve">e </w:t>
      </w:r>
      <w:r w:rsidR="00E73453" w:rsidRPr="00861553">
        <w:rPr>
          <w:rFonts w:cs="Arial"/>
          <w:sz w:val="22"/>
          <w:szCs w:val="22"/>
        </w:rPr>
        <w:t xml:space="preserve">have added </w:t>
      </w:r>
      <w:r w:rsidR="00272B62" w:rsidRPr="00861553">
        <w:rPr>
          <w:rFonts w:cs="Arial"/>
          <w:sz w:val="22"/>
          <w:szCs w:val="22"/>
        </w:rPr>
        <w:t xml:space="preserve">in the costs we expect </w:t>
      </w:r>
      <w:r w:rsidR="00E73453" w:rsidRPr="00861553">
        <w:rPr>
          <w:rFonts w:cs="Arial"/>
          <w:sz w:val="22"/>
          <w:szCs w:val="22"/>
        </w:rPr>
        <w:t xml:space="preserve">applicants </w:t>
      </w:r>
      <w:r w:rsidR="00272B62" w:rsidRPr="00861553">
        <w:rPr>
          <w:rFonts w:cs="Arial"/>
          <w:sz w:val="22"/>
          <w:szCs w:val="22"/>
        </w:rPr>
        <w:t>to incur to create the bid for the licences</w:t>
      </w:r>
      <w:r w:rsidR="007C3DFC" w:rsidRPr="00861553">
        <w:rPr>
          <w:rFonts w:cs="Arial"/>
          <w:sz w:val="22"/>
          <w:szCs w:val="22"/>
        </w:rPr>
        <w:t>,</w:t>
      </w:r>
      <w:r w:rsidR="00272B62" w:rsidRPr="00861553">
        <w:rPr>
          <w:rFonts w:cs="Arial"/>
          <w:sz w:val="22"/>
          <w:szCs w:val="22"/>
        </w:rPr>
        <w:t xml:space="preserve"> which we have assumed to be between £20k and 100k.</w:t>
      </w:r>
    </w:p>
    <w:p w14:paraId="38BC2AFA" w14:textId="77777777" w:rsidR="00272B62" w:rsidRPr="00861553" w:rsidRDefault="00272B62" w:rsidP="00B405DA">
      <w:pPr>
        <w:rPr>
          <w:rFonts w:cs="Arial"/>
          <w:sz w:val="22"/>
          <w:szCs w:val="22"/>
        </w:rPr>
      </w:pPr>
    </w:p>
    <w:p w14:paraId="25C97E6E" w14:textId="77777777" w:rsidR="00AC249B" w:rsidRPr="00861553" w:rsidRDefault="00AC249B" w:rsidP="00B405DA">
      <w:pPr>
        <w:rPr>
          <w:rFonts w:cs="Arial"/>
          <w:sz w:val="22"/>
          <w:szCs w:val="22"/>
        </w:rPr>
      </w:pPr>
      <w:r w:rsidRPr="00861553">
        <w:rPr>
          <w:rFonts w:cs="Arial"/>
          <w:sz w:val="22"/>
          <w:szCs w:val="22"/>
        </w:rPr>
        <w:t xml:space="preserve">We </w:t>
      </w:r>
      <w:r w:rsidR="002C62D2" w:rsidRPr="00861553">
        <w:rPr>
          <w:rFonts w:cs="Arial"/>
          <w:sz w:val="22"/>
          <w:szCs w:val="22"/>
        </w:rPr>
        <w:t xml:space="preserve">then </w:t>
      </w:r>
      <w:r w:rsidRPr="00861553">
        <w:rPr>
          <w:rFonts w:cs="Arial"/>
          <w:sz w:val="22"/>
          <w:szCs w:val="22"/>
        </w:rPr>
        <w:t>add</w:t>
      </w:r>
      <w:r w:rsidR="00E73453" w:rsidRPr="00861553">
        <w:rPr>
          <w:rFonts w:cs="Arial"/>
          <w:sz w:val="22"/>
          <w:szCs w:val="22"/>
        </w:rPr>
        <w:t>ed</w:t>
      </w:r>
      <w:r w:rsidRPr="00861553">
        <w:rPr>
          <w:rFonts w:cs="Arial"/>
          <w:sz w:val="22"/>
          <w:szCs w:val="22"/>
        </w:rPr>
        <w:t xml:space="preserve"> the cost of the bids to the licence fee costs to obtain an overall cost to incumbents.</w:t>
      </w:r>
      <w:r w:rsidR="002C62D2" w:rsidRPr="00861553">
        <w:rPr>
          <w:rFonts w:cs="Arial"/>
          <w:sz w:val="22"/>
          <w:szCs w:val="22"/>
        </w:rPr>
        <w:t xml:space="preserve"> </w:t>
      </w:r>
      <w:r w:rsidRPr="00861553">
        <w:rPr>
          <w:rFonts w:cs="Arial"/>
          <w:sz w:val="22"/>
          <w:szCs w:val="22"/>
        </w:rPr>
        <w:t xml:space="preserve">We </w:t>
      </w:r>
      <w:r w:rsidR="00E73453" w:rsidRPr="00861553">
        <w:rPr>
          <w:rFonts w:cs="Arial"/>
          <w:sz w:val="22"/>
          <w:szCs w:val="22"/>
        </w:rPr>
        <w:t xml:space="preserve">have </w:t>
      </w:r>
      <w:r w:rsidRPr="00861553">
        <w:rPr>
          <w:rFonts w:cs="Arial"/>
          <w:sz w:val="22"/>
          <w:szCs w:val="22"/>
        </w:rPr>
        <w:t>split the bid cost of 20-100k into 3 categories to obtain a min and max overall cost ra</w:t>
      </w:r>
      <w:r w:rsidR="007C3DFC" w:rsidRPr="00861553">
        <w:rPr>
          <w:rFonts w:cs="Arial"/>
          <w:sz w:val="22"/>
          <w:szCs w:val="22"/>
        </w:rPr>
        <w:t>nge:</w:t>
      </w:r>
    </w:p>
    <w:p w14:paraId="3E0411FC" w14:textId="77777777" w:rsidR="007C3DFC" w:rsidRPr="00861553" w:rsidRDefault="007C3DFC" w:rsidP="00B405DA">
      <w:pPr>
        <w:rPr>
          <w:rFonts w:cs="Arial"/>
          <w:sz w:val="22"/>
          <w:szCs w:val="22"/>
        </w:rPr>
      </w:pPr>
    </w:p>
    <w:p w14:paraId="3D32CA16" w14:textId="77777777" w:rsidR="00AC249B" w:rsidRPr="00861553" w:rsidRDefault="00AC249B" w:rsidP="00B405DA">
      <w:pPr>
        <w:rPr>
          <w:rFonts w:cs="Arial"/>
          <w:sz w:val="22"/>
          <w:szCs w:val="22"/>
        </w:rPr>
      </w:pPr>
      <w:r w:rsidRPr="00861553">
        <w:rPr>
          <w:rFonts w:cs="Arial"/>
          <w:sz w:val="22"/>
          <w:szCs w:val="22"/>
        </w:rPr>
        <w:t>Low = £20k</w:t>
      </w:r>
    </w:p>
    <w:p w14:paraId="607F8A27" w14:textId="77777777" w:rsidR="00AC249B" w:rsidRPr="00861553" w:rsidRDefault="00AC249B" w:rsidP="00B405DA">
      <w:pPr>
        <w:rPr>
          <w:rFonts w:cs="Arial"/>
          <w:sz w:val="22"/>
          <w:szCs w:val="22"/>
        </w:rPr>
      </w:pPr>
      <w:r w:rsidRPr="00861553">
        <w:rPr>
          <w:rFonts w:cs="Arial"/>
          <w:sz w:val="22"/>
          <w:szCs w:val="22"/>
        </w:rPr>
        <w:t>Med= £60k</w:t>
      </w:r>
    </w:p>
    <w:p w14:paraId="17E3E40B" w14:textId="77777777" w:rsidR="0084649F" w:rsidRPr="00861553" w:rsidRDefault="00AC249B" w:rsidP="00B405DA">
      <w:pPr>
        <w:rPr>
          <w:rFonts w:cs="Arial"/>
          <w:sz w:val="22"/>
          <w:szCs w:val="22"/>
        </w:rPr>
      </w:pPr>
      <w:r w:rsidRPr="00861553">
        <w:rPr>
          <w:rFonts w:cs="Arial"/>
          <w:sz w:val="22"/>
          <w:szCs w:val="22"/>
        </w:rPr>
        <w:t>High = £100k</w:t>
      </w:r>
    </w:p>
    <w:p w14:paraId="1CB046BA" w14:textId="77777777" w:rsidR="0084649F" w:rsidRPr="00861553" w:rsidRDefault="0084649F" w:rsidP="00B405DA">
      <w:pPr>
        <w:rPr>
          <w:rFonts w:cs="Arial"/>
          <w:sz w:val="22"/>
          <w:szCs w:val="22"/>
        </w:rPr>
      </w:pPr>
    </w:p>
    <w:p w14:paraId="3196010C" w14:textId="4B4789C5" w:rsidR="00875571" w:rsidRPr="00861553" w:rsidRDefault="0065675B" w:rsidP="00B405DA">
      <w:pPr>
        <w:rPr>
          <w:rFonts w:cs="Arial"/>
          <w:sz w:val="22"/>
          <w:szCs w:val="22"/>
        </w:rPr>
      </w:pPr>
      <w:r w:rsidRPr="00861553">
        <w:rPr>
          <w:rFonts w:cs="Arial"/>
          <w:sz w:val="22"/>
          <w:szCs w:val="22"/>
        </w:rPr>
        <w:t>Table 6</w:t>
      </w:r>
      <w:r w:rsidR="00FC1661" w:rsidRPr="00861553">
        <w:rPr>
          <w:rFonts w:cs="Arial"/>
          <w:sz w:val="22"/>
          <w:szCs w:val="22"/>
        </w:rPr>
        <w:t xml:space="preserve"> below shows</w:t>
      </w:r>
      <w:r w:rsidR="007C3DFC" w:rsidRPr="00861553">
        <w:rPr>
          <w:rFonts w:cs="Arial"/>
          <w:sz w:val="22"/>
          <w:szCs w:val="22"/>
        </w:rPr>
        <w:t>,</w:t>
      </w:r>
      <w:r w:rsidR="00FC1661" w:rsidRPr="00861553">
        <w:rPr>
          <w:rFonts w:cs="Arial"/>
          <w:sz w:val="22"/>
          <w:szCs w:val="22"/>
        </w:rPr>
        <w:t xml:space="preserve"> assuming </w:t>
      </w:r>
      <w:r w:rsidR="00384B2C" w:rsidRPr="00861553">
        <w:rPr>
          <w:rFonts w:cs="Arial"/>
          <w:sz w:val="22"/>
          <w:szCs w:val="22"/>
        </w:rPr>
        <w:t xml:space="preserve">all incumbents </w:t>
      </w:r>
      <w:r w:rsidR="00FC1661" w:rsidRPr="00861553">
        <w:rPr>
          <w:rFonts w:cs="Arial"/>
          <w:sz w:val="22"/>
          <w:szCs w:val="22"/>
        </w:rPr>
        <w:t>will have to re-apply for their licence and put a bid together</w:t>
      </w:r>
      <w:r w:rsidR="007C3DFC" w:rsidRPr="00861553">
        <w:rPr>
          <w:rFonts w:cs="Arial"/>
          <w:sz w:val="22"/>
          <w:szCs w:val="22"/>
        </w:rPr>
        <w:t>,</w:t>
      </w:r>
      <w:r w:rsidR="00384B2C" w:rsidRPr="00861553">
        <w:rPr>
          <w:rFonts w:cs="Arial"/>
          <w:sz w:val="22"/>
          <w:szCs w:val="22"/>
        </w:rPr>
        <w:t xml:space="preserve"> </w:t>
      </w:r>
      <w:r w:rsidR="00BB7EA0" w:rsidRPr="00861553">
        <w:rPr>
          <w:rFonts w:cs="Arial"/>
          <w:sz w:val="22"/>
          <w:szCs w:val="22"/>
        </w:rPr>
        <w:t>the costs would be</w:t>
      </w:r>
      <w:r w:rsidR="001C31E1" w:rsidRPr="00861553">
        <w:rPr>
          <w:rFonts w:cs="Arial"/>
          <w:sz w:val="22"/>
          <w:szCs w:val="22"/>
        </w:rPr>
        <w:t xml:space="preserve"> the price of buying the licence in table </w:t>
      </w:r>
      <w:r w:rsidRPr="00861553">
        <w:rPr>
          <w:rFonts w:cs="Arial"/>
          <w:sz w:val="22"/>
          <w:szCs w:val="22"/>
        </w:rPr>
        <w:t>4</w:t>
      </w:r>
      <w:r w:rsidR="001C31E1" w:rsidRPr="00861553">
        <w:rPr>
          <w:rFonts w:cs="Arial"/>
          <w:sz w:val="22"/>
          <w:szCs w:val="22"/>
        </w:rPr>
        <w:t xml:space="preserve"> plus either the low, med or high price or rebidding. Table </w:t>
      </w:r>
      <w:r w:rsidRPr="00861553">
        <w:rPr>
          <w:rFonts w:cs="Arial"/>
          <w:sz w:val="22"/>
          <w:szCs w:val="22"/>
        </w:rPr>
        <w:t>6</w:t>
      </w:r>
      <w:r w:rsidR="001C31E1" w:rsidRPr="00861553">
        <w:rPr>
          <w:rFonts w:cs="Arial"/>
          <w:sz w:val="22"/>
          <w:szCs w:val="22"/>
        </w:rPr>
        <w:t xml:space="preserve"> summarises the totals of the addition of these two figures. </w:t>
      </w:r>
      <w:r w:rsidR="00BB7EA0" w:rsidRPr="00861553">
        <w:rPr>
          <w:rFonts w:cs="Arial"/>
          <w:sz w:val="22"/>
          <w:szCs w:val="22"/>
        </w:rPr>
        <w:t xml:space="preserve"> </w:t>
      </w:r>
    </w:p>
    <w:p w14:paraId="62B2FB08" w14:textId="77777777" w:rsidR="00155405" w:rsidRPr="00861553" w:rsidRDefault="00155405" w:rsidP="00B405DA">
      <w:pPr>
        <w:rPr>
          <w:rFonts w:cs="Arial"/>
          <w:sz w:val="22"/>
          <w:szCs w:val="22"/>
        </w:rPr>
      </w:pPr>
    </w:p>
    <w:p w14:paraId="07553B4D" w14:textId="7598A2F5" w:rsidR="00155405" w:rsidRPr="00861553" w:rsidRDefault="0065675B" w:rsidP="00B405DA">
      <w:pPr>
        <w:rPr>
          <w:rFonts w:cs="Arial"/>
          <w:sz w:val="22"/>
          <w:szCs w:val="22"/>
        </w:rPr>
      </w:pPr>
      <w:r w:rsidRPr="00861553">
        <w:rPr>
          <w:rFonts w:cs="Arial"/>
          <w:sz w:val="22"/>
          <w:szCs w:val="22"/>
        </w:rPr>
        <w:t>Table 6</w:t>
      </w:r>
      <w:r w:rsidR="003B0000">
        <w:rPr>
          <w:rFonts w:cs="Arial"/>
          <w:sz w:val="22"/>
          <w:szCs w:val="22"/>
        </w:rPr>
        <w:t xml:space="preserve"> – Total cost of re-applying</w:t>
      </w:r>
    </w:p>
    <w:tbl>
      <w:tblPr>
        <w:tblStyle w:val="TableGrid"/>
        <w:tblW w:w="4308" w:type="dxa"/>
        <w:tblInd w:w="108" w:type="dxa"/>
        <w:tblLook w:val="04A0" w:firstRow="1" w:lastRow="0" w:firstColumn="1" w:lastColumn="0" w:noHBand="0" w:noVBand="1"/>
      </w:tblPr>
      <w:tblGrid>
        <w:gridCol w:w="2392"/>
        <w:gridCol w:w="1916"/>
      </w:tblGrid>
      <w:tr w:rsidR="00BB7EA0" w:rsidRPr="00B96818" w14:paraId="3027BD31" w14:textId="77777777" w:rsidTr="00A47E69">
        <w:trPr>
          <w:trHeight w:val="300"/>
        </w:trPr>
        <w:tc>
          <w:tcPr>
            <w:tcW w:w="2392" w:type="dxa"/>
            <w:noWrap/>
            <w:hideMark/>
          </w:tcPr>
          <w:p w14:paraId="6BD0A0D5" w14:textId="77777777" w:rsidR="00BB7EA0" w:rsidRPr="00861553" w:rsidRDefault="00BB7EA0" w:rsidP="00B405DA">
            <w:pPr>
              <w:rPr>
                <w:rFonts w:cs="Arial"/>
                <w:color w:val="000000"/>
                <w:sz w:val="22"/>
                <w:szCs w:val="22"/>
              </w:rPr>
            </w:pPr>
            <w:r w:rsidRPr="00861553">
              <w:rPr>
                <w:rFonts w:cs="Arial"/>
                <w:color w:val="000000"/>
                <w:sz w:val="22"/>
                <w:szCs w:val="22"/>
              </w:rPr>
              <w:t>Cost of application</w:t>
            </w:r>
          </w:p>
        </w:tc>
        <w:tc>
          <w:tcPr>
            <w:tcW w:w="1916" w:type="dxa"/>
            <w:noWrap/>
            <w:hideMark/>
          </w:tcPr>
          <w:p w14:paraId="3DB6FD7F" w14:textId="77777777" w:rsidR="00BB7EA0" w:rsidRPr="00861553" w:rsidRDefault="00BB7EA0" w:rsidP="00B405DA">
            <w:pPr>
              <w:rPr>
                <w:rFonts w:cs="Arial"/>
                <w:color w:val="000000"/>
                <w:sz w:val="22"/>
                <w:szCs w:val="22"/>
              </w:rPr>
            </w:pPr>
            <w:r w:rsidRPr="00861553">
              <w:rPr>
                <w:rFonts w:cs="Arial"/>
                <w:color w:val="000000"/>
                <w:sz w:val="22"/>
                <w:szCs w:val="22"/>
              </w:rPr>
              <w:t>63 applications</w:t>
            </w:r>
          </w:p>
        </w:tc>
      </w:tr>
      <w:tr w:rsidR="00BB7EA0" w:rsidRPr="00B96818" w14:paraId="02BBDD41" w14:textId="77777777" w:rsidTr="00A47E69">
        <w:trPr>
          <w:trHeight w:val="300"/>
        </w:trPr>
        <w:tc>
          <w:tcPr>
            <w:tcW w:w="2392" w:type="dxa"/>
            <w:noWrap/>
            <w:hideMark/>
          </w:tcPr>
          <w:p w14:paraId="7F91C249" w14:textId="77777777" w:rsidR="00BB7EA0" w:rsidRPr="00861553" w:rsidRDefault="00BB7EA0" w:rsidP="00B405DA">
            <w:pPr>
              <w:rPr>
                <w:rFonts w:cs="Arial"/>
                <w:color w:val="000000"/>
                <w:sz w:val="22"/>
                <w:szCs w:val="22"/>
              </w:rPr>
            </w:pPr>
            <w:r w:rsidRPr="00861553">
              <w:rPr>
                <w:rFonts w:cs="Arial"/>
                <w:color w:val="000000"/>
                <w:sz w:val="22"/>
                <w:szCs w:val="22"/>
              </w:rPr>
              <w:t>Low (£20,000)</w:t>
            </w:r>
          </w:p>
        </w:tc>
        <w:tc>
          <w:tcPr>
            <w:tcW w:w="1916" w:type="dxa"/>
            <w:noWrap/>
            <w:hideMark/>
          </w:tcPr>
          <w:p w14:paraId="15D76149" w14:textId="77777777" w:rsidR="00BB7EA0" w:rsidRPr="00861553" w:rsidRDefault="00BB7EA0" w:rsidP="00B405DA">
            <w:pPr>
              <w:jc w:val="right"/>
              <w:rPr>
                <w:rFonts w:cs="Arial"/>
                <w:color w:val="000000"/>
                <w:sz w:val="22"/>
                <w:szCs w:val="22"/>
              </w:rPr>
            </w:pPr>
            <w:r w:rsidRPr="00861553">
              <w:rPr>
                <w:rFonts w:cs="Arial"/>
                <w:color w:val="000000"/>
                <w:sz w:val="22"/>
                <w:szCs w:val="22"/>
              </w:rPr>
              <w:t>£2,758,856</w:t>
            </w:r>
          </w:p>
        </w:tc>
      </w:tr>
      <w:tr w:rsidR="00BB7EA0" w:rsidRPr="00B96818" w14:paraId="6CE54571" w14:textId="77777777" w:rsidTr="00A47E69">
        <w:trPr>
          <w:trHeight w:val="300"/>
        </w:trPr>
        <w:tc>
          <w:tcPr>
            <w:tcW w:w="2392" w:type="dxa"/>
            <w:noWrap/>
            <w:hideMark/>
          </w:tcPr>
          <w:p w14:paraId="7C23AEC6" w14:textId="77777777" w:rsidR="00BB7EA0" w:rsidRPr="00861553" w:rsidRDefault="00BB7EA0" w:rsidP="00B405DA">
            <w:pPr>
              <w:rPr>
                <w:rFonts w:cs="Arial"/>
                <w:color w:val="000000"/>
                <w:sz w:val="22"/>
                <w:szCs w:val="22"/>
              </w:rPr>
            </w:pPr>
            <w:r w:rsidRPr="00861553">
              <w:rPr>
                <w:rFonts w:cs="Arial"/>
                <w:color w:val="000000"/>
                <w:sz w:val="22"/>
                <w:szCs w:val="22"/>
              </w:rPr>
              <w:t>Med (£60,000)</w:t>
            </w:r>
          </w:p>
        </w:tc>
        <w:tc>
          <w:tcPr>
            <w:tcW w:w="1916" w:type="dxa"/>
            <w:noWrap/>
            <w:hideMark/>
          </w:tcPr>
          <w:p w14:paraId="7FF4C98E" w14:textId="77777777" w:rsidR="00BB7EA0" w:rsidRPr="00861553" w:rsidRDefault="00BB7EA0" w:rsidP="00B405DA">
            <w:pPr>
              <w:jc w:val="right"/>
              <w:rPr>
                <w:rFonts w:cs="Arial"/>
                <w:color w:val="000000"/>
                <w:sz w:val="22"/>
                <w:szCs w:val="22"/>
              </w:rPr>
            </w:pPr>
            <w:r w:rsidRPr="00861553">
              <w:rPr>
                <w:rFonts w:cs="Arial"/>
                <w:color w:val="000000"/>
                <w:sz w:val="22"/>
                <w:szCs w:val="22"/>
              </w:rPr>
              <w:t>£5,278,856</w:t>
            </w:r>
          </w:p>
        </w:tc>
      </w:tr>
      <w:tr w:rsidR="00BB7EA0" w:rsidRPr="00B96818" w14:paraId="08362170" w14:textId="77777777" w:rsidTr="00A47E69">
        <w:trPr>
          <w:trHeight w:val="300"/>
        </w:trPr>
        <w:tc>
          <w:tcPr>
            <w:tcW w:w="2392" w:type="dxa"/>
            <w:noWrap/>
            <w:hideMark/>
          </w:tcPr>
          <w:p w14:paraId="32A5FFCE" w14:textId="77777777" w:rsidR="00BB7EA0" w:rsidRPr="00861553" w:rsidRDefault="00BB7EA0" w:rsidP="00B405DA">
            <w:pPr>
              <w:rPr>
                <w:rFonts w:cs="Arial"/>
                <w:color w:val="000000"/>
                <w:sz w:val="22"/>
                <w:szCs w:val="22"/>
              </w:rPr>
            </w:pPr>
            <w:r w:rsidRPr="00861553">
              <w:rPr>
                <w:rFonts w:cs="Arial"/>
                <w:color w:val="000000"/>
                <w:sz w:val="22"/>
                <w:szCs w:val="22"/>
              </w:rPr>
              <w:t>High (£100,000)</w:t>
            </w:r>
          </w:p>
        </w:tc>
        <w:tc>
          <w:tcPr>
            <w:tcW w:w="1916" w:type="dxa"/>
            <w:noWrap/>
            <w:hideMark/>
          </w:tcPr>
          <w:p w14:paraId="25535023" w14:textId="77777777" w:rsidR="00BB7EA0" w:rsidRPr="00861553" w:rsidRDefault="00BB7EA0" w:rsidP="00B405DA">
            <w:pPr>
              <w:jc w:val="right"/>
              <w:rPr>
                <w:rFonts w:cs="Arial"/>
                <w:color w:val="000000"/>
                <w:sz w:val="22"/>
                <w:szCs w:val="22"/>
              </w:rPr>
            </w:pPr>
            <w:r w:rsidRPr="00861553">
              <w:rPr>
                <w:rFonts w:cs="Arial"/>
                <w:color w:val="000000"/>
                <w:sz w:val="22"/>
                <w:szCs w:val="22"/>
              </w:rPr>
              <w:t>£7,798,856</w:t>
            </w:r>
          </w:p>
        </w:tc>
      </w:tr>
    </w:tbl>
    <w:p w14:paraId="1FAD8D8C" w14:textId="77777777" w:rsidR="00875571" w:rsidRPr="00861553" w:rsidRDefault="00875571" w:rsidP="00B405DA">
      <w:pPr>
        <w:rPr>
          <w:rFonts w:cs="Arial"/>
          <w:i/>
          <w:sz w:val="22"/>
          <w:szCs w:val="22"/>
        </w:rPr>
      </w:pPr>
    </w:p>
    <w:p w14:paraId="2AA3331D" w14:textId="396D4F85" w:rsidR="00875571" w:rsidRPr="00861553" w:rsidRDefault="001C31E1" w:rsidP="00B405DA">
      <w:pPr>
        <w:rPr>
          <w:rFonts w:cs="Arial"/>
          <w:sz w:val="22"/>
          <w:szCs w:val="22"/>
        </w:rPr>
      </w:pPr>
      <w:r w:rsidRPr="00861553">
        <w:rPr>
          <w:rFonts w:cs="Arial"/>
          <w:sz w:val="22"/>
          <w:szCs w:val="22"/>
        </w:rPr>
        <w:t xml:space="preserve">Table </w:t>
      </w:r>
      <w:r w:rsidR="0065675B" w:rsidRPr="00861553">
        <w:rPr>
          <w:rFonts w:cs="Arial"/>
          <w:sz w:val="22"/>
          <w:szCs w:val="22"/>
        </w:rPr>
        <w:t>6</w:t>
      </w:r>
      <w:r w:rsidRPr="00861553">
        <w:rPr>
          <w:rFonts w:cs="Arial"/>
          <w:sz w:val="22"/>
          <w:szCs w:val="22"/>
        </w:rPr>
        <w:t xml:space="preserve"> shows that the total cost of re-applying and bidding is between £2,758,856 and £7,798,856. Hence, we can</w:t>
      </w:r>
      <w:r w:rsidR="00D05E21" w:rsidRPr="00861553">
        <w:rPr>
          <w:rFonts w:cs="Arial"/>
          <w:sz w:val="22"/>
          <w:szCs w:val="22"/>
        </w:rPr>
        <w:t xml:space="preserve"> assume that extending the licences by a further 5 years is saving the incumbents be</w:t>
      </w:r>
      <w:r w:rsidR="00384017" w:rsidRPr="00861553">
        <w:rPr>
          <w:rFonts w:cs="Arial"/>
          <w:sz w:val="22"/>
          <w:szCs w:val="22"/>
        </w:rPr>
        <w:t>tween £2,758,856 and £7,798,856</w:t>
      </w:r>
      <w:r w:rsidR="00D05E21" w:rsidRPr="00861553">
        <w:rPr>
          <w:rFonts w:cs="Arial"/>
          <w:sz w:val="22"/>
          <w:szCs w:val="22"/>
        </w:rPr>
        <w:t>, which is the</w:t>
      </w:r>
      <w:r w:rsidR="002C62D2" w:rsidRPr="00861553">
        <w:rPr>
          <w:rFonts w:cs="Arial"/>
          <w:sz w:val="22"/>
          <w:szCs w:val="22"/>
        </w:rPr>
        <w:t xml:space="preserve"> range of</w:t>
      </w:r>
      <w:r w:rsidR="00D05E21" w:rsidRPr="00861553">
        <w:rPr>
          <w:rFonts w:cs="Arial"/>
          <w:sz w:val="22"/>
          <w:szCs w:val="22"/>
        </w:rPr>
        <w:t xml:space="preserve"> cost</w:t>
      </w:r>
      <w:r w:rsidR="002C62D2" w:rsidRPr="00861553">
        <w:rPr>
          <w:rFonts w:cs="Arial"/>
          <w:sz w:val="22"/>
          <w:szCs w:val="22"/>
        </w:rPr>
        <w:t>s</w:t>
      </w:r>
      <w:r w:rsidR="00D05E21" w:rsidRPr="00861553">
        <w:rPr>
          <w:rFonts w:cs="Arial"/>
          <w:sz w:val="22"/>
          <w:szCs w:val="22"/>
        </w:rPr>
        <w:t xml:space="preserve"> they would have to pay to re-bid and buy their licence</w:t>
      </w:r>
      <w:r w:rsidR="007C3DFC" w:rsidRPr="00861553">
        <w:rPr>
          <w:rFonts w:cs="Arial"/>
          <w:sz w:val="22"/>
          <w:szCs w:val="22"/>
        </w:rPr>
        <w:t>s if option 1 “Do nothing” was taken forward</w:t>
      </w:r>
      <w:r w:rsidR="00D05E21" w:rsidRPr="00861553">
        <w:rPr>
          <w:rFonts w:cs="Arial"/>
          <w:sz w:val="22"/>
          <w:szCs w:val="22"/>
        </w:rPr>
        <w:t>.</w:t>
      </w:r>
    </w:p>
    <w:p w14:paraId="51ECA092" w14:textId="77777777" w:rsidR="00D05E21" w:rsidRPr="00861553" w:rsidRDefault="00D05E21" w:rsidP="00B405DA">
      <w:pPr>
        <w:rPr>
          <w:rFonts w:cs="Arial"/>
          <w:sz w:val="22"/>
          <w:szCs w:val="22"/>
        </w:rPr>
      </w:pPr>
    </w:p>
    <w:p w14:paraId="7DD8F45A" w14:textId="0BCEB61C" w:rsidR="001664B7" w:rsidRDefault="007C3DFC" w:rsidP="00B405DA">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As already outlined, in line with current Government policy on digital radio</w:t>
      </w:r>
      <w:r w:rsidR="00E73453" w:rsidRPr="00861553">
        <w:rPr>
          <w:rFonts w:eastAsiaTheme="minorHAnsi" w:cs="Arial"/>
          <w:sz w:val="22"/>
          <w:szCs w:val="22"/>
        </w:rPr>
        <w:t xml:space="preserve">, </w:t>
      </w:r>
      <w:r w:rsidRPr="00861553">
        <w:rPr>
          <w:rFonts w:eastAsiaTheme="minorHAnsi" w:cs="Arial"/>
          <w:sz w:val="22"/>
          <w:szCs w:val="22"/>
        </w:rPr>
        <w:t>with the continued growth of digital listening and a clear move towards a digital transition, the analogue platform is likely to play a much smaller role in the wider radio ecology</w:t>
      </w:r>
      <w:r w:rsidR="00E73453" w:rsidRPr="00861553">
        <w:rPr>
          <w:rFonts w:eastAsiaTheme="minorHAnsi" w:cs="Arial"/>
          <w:sz w:val="22"/>
          <w:szCs w:val="22"/>
        </w:rPr>
        <w:t xml:space="preserve"> in future</w:t>
      </w:r>
      <w:r w:rsidRPr="00861553">
        <w:rPr>
          <w:rFonts w:eastAsiaTheme="minorHAnsi" w:cs="Arial"/>
          <w:sz w:val="22"/>
          <w:szCs w:val="22"/>
        </w:rPr>
        <w:t xml:space="preserve">. By this time, DAB is likely to be the dominant platform and as such, we do not consider that this option delays </w:t>
      </w:r>
      <w:r w:rsidR="00267759" w:rsidRPr="00861553">
        <w:rPr>
          <w:rFonts w:eastAsiaTheme="minorHAnsi" w:cs="Arial"/>
          <w:sz w:val="22"/>
          <w:szCs w:val="22"/>
        </w:rPr>
        <w:t>this</w:t>
      </w:r>
      <w:r w:rsidRPr="00861553">
        <w:rPr>
          <w:rFonts w:eastAsiaTheme="minorHAnsi" w:cs="Arial"/>
          <w:sz w:val="22"/>
          <w:szCs w:val="22"/>
        </w:rPr>
        <w:t xml:space="preserve"> wholesale relicensing process. </w:t>
      </w:r>
      <w:r w:rsidR="00A60C02" w:rsidRPr="00861553">
        <w:rPr>
          <w:rFonts w:eastAsiaTheme="minorHAnsi" w:cs="Arial"/>
          <w:sz w:val="22"/>
          <w:szCs w:val="22"/>
        </w:rPr>
        <w:br/>
      </w:r>
    </w:p>
    <w:p w14:paraId="7BB088D0" w14:textId="77777777" w:rsidR="003B0000" w:rsidRDefault="003B0000" w:rsidP="00B405DA">
      <w:pPr>
        <w:widowControl w:val="0"/>
        <w:tabs>
          <w:tab w:val="left" w:pos="9050"/>
        </w:tabs>
        <w:autoSpaceDE w:val="0"/>
        <w:autoSpaceDN w:val="0"/>
        <w:adjustRightInd w:val="0"/>
        <w:ind w:right="18"/>
        <w:rPr>
          <w:rFonts w:eastAsiaTheme="minorHAnsi" w:cs="Arial"/>
          <w:sz w:val="22"/>
          <w:szCs w:val="22"/>
        </w:rPr>
      </w:pPr>
    </w:p>
    <w:p w14:paraId="3E7D7E7C" w14:textId="77777777" w:rsidR="003B0000" w:rsidRPr="00861553" w:rsidRDefault="003B0000" w:rsidP="00B405DA">
      <w:pPr>
        <w:widowControl w:val="0"/>
        <w:tabs>
          <w:tab w:val="left" w:pos="9050"/>
        </w:tabs>
        <w:autoSpaceDE w:val="0"/>
        <w:autoSpaceDN w:val="0"/>
        <w:adjustRightInd w:val="0"/>
        <w:ind w:right="18"/>
        <w:rPr>
          <w:rFonts w:eastAsiaTheme="minorHAnsi" w:cs="Arial"/>
          <w:sz w:val="22"/>
          <w:szCs w:val="22"/>
        </w:rPr>
      </w:pPr>
    </w:p>
    <w:p w14:paraId="07230F71" w14:textId="77777777" w:rsidR="001664B7" w:rsidRPr="00861553" w:rsidRDefault="00D05E21" w:rsidP="00B405DA">
      <w:pPr>
        <w:widowControl w:val="0"/>
        <w:tabs>
          <w:tab w:val="left" w:pos="9050"/>
        </w:tabs>
        <w:autoSpaceDE w:val="0"/>
        <w:autoSpaceDN w:val="0"/>
        <w:adjustRightInd w:val="0"/>
        <w:ind w:right="18"/>
        <w:jc w:val="both"/>
        <w:rPr>
          <w:rFonts w:eastAsiaTheme="minorHAnsi" w:cs="Arial"/>
          <w:b/>
          <w:sz w:val="22"/>
          <w:szCs w:val="22"/>
          <w:u w:val="single"/>
        </w:rPr>
      </w:pPr>
      <w:r w:rsidRPr="00861553">
        <w:rPr>
          <w:rFonts w:eastAsiaTheme="minorHAnsi" w:cs="Arial"/>
          <w:b/>
          <w:sz w:val="22"/>
          <w:szCs w:val="22"/>
          <w:u w:val="single"/>
        </w:rPr>
        <w:t>Non-monetised benefits</w:t>
      </w:r>
    </w:p>
    <w:p w14:paraId="3BD7F8D8" w14:textId="77777777" w:rsidR="00B2747C" w:rsidRPr="00861553" w:rsidRDefault="00B2747C" w:rsidP="00B405DA">
      <w:pPr>
        <w:widowControl w:val="0"/>
        <w:tabs>
          <w:tab w:val="left" w:pos="9050"/>
        </w:tabs>
        <w:autoSpaceDE w:val="0"/>
        <w:autoSpaceDN w:val="0"/>
        <w:adjustRightInd w:val="0"/>
        <w:ind w:right="18"/>
        <w:jc w:val="both"/>
        <w:rPr>
          <w:rFonts w:eastAsiaTheme="minorHAnsi" w:cs="Arial"/>
          <w:i/>
          <w:sz w:val="22"/>
          <w:szCs w:val="22"/>
          <w:u w:val="single"/>
        </w:rPr>
      </w:pPr>
    </w:p>
    <w:p w14:paraId="67142782" w14:textId="42AE57A3" w:rsidR="00223970" w:rsidRPr="00861553" w:rsidRDefault="00B2747C" w:rsidP="00B405DA">
      <w:pPr>
        <w:widowControl w:val="0"/>
        <w:tabs>
          <w:tab w:val="left" w:pos="9050"/>
        </w:tabs>
        <w:autoSpaceDE w:val="0"/>
        <w:autoSpaceDN w:val="0"/>
        <w:adjustRightInd w:val="0"/>
        <w:ind w:right="18"/>
        <w:jc w:val="both"/>
        <w:rPr>
          <w:rFonts w:eastAsiaTheme="minorHAnsi" w:cs="Arial"/>
          <w:i/>
          <w:sz w:val="22"/>
          <w:szCs w:val="22"/>
        </w:rPr>
      </w:pPr>
      <w:r w:rsidRPr="00861553">
        <w:rPr>
          <w:rFonts w:eastAsiaTheme="minorHAnsi" w:cs="Arial"/>
          <w:i/>
          <w:sz w:val="22"/>
          <w:szCs w:val="22"/>
        </w:rPr>
        <w:t>Competition</w:t>
      </w:r>
    </w:p>
    <w:p w14:paraId="29C9EB02" w14:textId="77777777" w:rsidR="00516DF9" w:rsidRPr="00861553" w:rsidRDefault="00516DF9" w:rsidP="00B405DA">
      <w:pPr>
        <w:widowControl w:val="0"/>
        <w:tabs>
          <w:tab w:val="left" w:pos="9050"/>
        </w:tabs>
        <w:autoSpaceDE w:val="0"/>
        <w:autoSpaceDN w:val="0"/>
        <w:adjustRightInd w:val="0"/>
        <w:ind w:right="18"/>
        <w:jc w:val="both"/>
        <w:rPr>
          <w:rFonts w:eastAsiaTheme="minorHAnsi" w:cs="Arial"/>
          <w:i/>
          <w:sz w:val="22"/>
          <w:szCs w:val="22"/>
        </w:rPr>
      </w:pPr>
    </w:p>
    <w:p w14:paraId="3829ADEB" w14:textId="366009D3" w:rsidR="002E6072" w:rsidRPr="00861553" w:rsidRDefault="002E6072"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The Non-monetised benefits of option 2 are the counter arguments of the costs of option </w:t>
      </w:r>
      <w:r w:rsidR="00223970" w:rsidRPr="00861553">
        <w:rPr>
          <w:rFonts w:eastAsiaTheme="minorHAnsi" w:cs="Arial"/>
          <w:sz w:val="22"/>
          <w:szCs w:val="22"/>
        </w:rPr>
        <w:t>1</w:t>
      </w:r>
      <w:r w:rsidRPr="00861553">
        <w:rPr>
          <w:rFonts w:eastAsiaTheme="minorHAnsi" w:cs="Arial"/>
          <w:sz w:val="22"/>
          <w:szCs w:val="22"/>
        </w:rPr>
        <w:t>.</w:t>
      </w:r>
    </w:p>
    <w:p w14:paraId="0FEA3B20" w14:textId="77777777" w:rsidR="002E6072" w:rsidRPr="00861553" w:rsidRDefault="002E6072" w:rsidP="00B405DA">
      <w:pPr>
        <w:widowControl w:val="0"/>
        <w:tabs>
          <w:tab w:val="left" w:pos="9050"/>
        </w:tabs>
        <w:autoSpaceDE w:val="0"/>
        <w:autoSpaceDN w:val="0"/>
        <w:adjustRightInd w:val="0"/>
        <w:ind w:right="18"/>
        <w:jc w:val="both"/>
        <w:rPr>
          <w:rFonts w:eastAsiaTheme="minorHAnsi" w:cs="Arial"/>
          <w:sz w:val="22"/>
          <w:szCs w:val="22"/>
        </w:rPr>
      </w:pPr>
    </w:p>
    <w:p w14:paraId="0B3C8EAE" w14:textId="7338AF7C" w:rsidR="00223970" w:rsidRPr="00861553" w:rsidRDefault="00635F2F" w:rsidP="00B405DA">
      <w:pPr>
        <w:widowControl w:val="0"/>
        <w:tabs>
          <w:tab w:val="left" w:pos="9050"/>
        </w:tabs>
        <w:autoSpaceDE w:val="0"/>
        <w:autoSpaceDN w:val="0"/>
        <w:adjustRightInd w:val="0"/>
        <w:ind w:right="18"/>
        <w:jc w:val="both"/>
        <w:rPr>
          <w:rFonts w:cs="Arial"/>
          <w:i/>
          <w:sz w:val="22"/>
          <w:szCs w:val="22"/>
          <w:u w:val="single"/>
        </w:rPr>
      </w:pPr>
      <w:r w:rsidRPr="00861553">
        <w:rPr>
          <w:rFonts w:eastAsiaTheme="minorHAnsi" w:cs="Arial"/>
          <w:sz w:val="22"/>
          <w:szCs w:val="22"/>
        </w:rPr>
        <w:t>DCMS recognises</w:t>
      </w:r>
      <w:r w:rsidR="00223970" w:rsidRPr="00861553">
        <w:rPr>
          <w:rFonts w:eastAsiaTheme="minorHAnsi" w:cs="Arial"/>
          <w:sz w:val="22"/>
          <w:szCs w:val="22"/>
        </w:rPr>
        <w:t xml:space="preserve"> that</w:t>
      </w:r>
      <w:r w:rsidR="00267759" w:rsidRPr="00861553">
        <w:rPr>
          <w:rFonts w:eastAsiaTheme="minorHAnsi" w:cs="Arial"/>
          <w:sz w:val="22"/>
          <w:szCs w:val="22"/>
        </w:rPr>
        <w:t xml:space="preserve"> opening up to</w:t>
      </w:r>
      <w:r w:rsidR="00223970" w:rsidRPr="00861553">
        <w:rPr>
          <w:rFonts w:eastAsiaTheme="minorHAnsi" w:cs="Arial"/>
          <w:sz w:val="22"/>
          <w:szCs w:val="22"/>
        </w:rPr>
        <w:t xml:space="preserve"> competition is normally the </w:t>
      </w:r>
      <w:r w:rsidR="00E73453" w:rsidRPr="00861553">
        <w:rPr>
          <w:rFonts w:eastAsiaTheme="minorHAnsi" w:cs="Arial"/>
          <w:sz w:val="22"/>
          <w:szCs w:val="22"/>
        </w:rPr>
        <w:t>most</w:t>
      </w:r>
      <w:r w:rsidR="007C3DFC" w:rsidRPr="00861553">
        <w:rPr>
          <w:rFonts w:eastAsiaTheme="minorHAnsi" w:cs="Arial"/>
          <w:sz w:val="22"/>
          <w:szCs w:val="22"/>
        </w:rPr>
        <w:t xml:space="preserve"> appropriate course of action</w:t>
      </w:r>
      <w:r w:rsidR="00E73453" w:rsidRPr="00861553">
        <w:rPr>
          <w:rFonts w:eastAsiaTheme="minorHAnsi" w:cs="Arial"/>
          <w:sz w:val="22"/>
          <w:szCs w:val="22"/>
        </w:rPr>
        <w:t>. H</w:t>
      </w:r>
      <w:r w:rsidRPr="00861553">
        <w:rPr>
          <w:rFonts w:eastAsiaTheme="minorHAnsi" w:cs="Arial"/>
          <w:sz w:val="22"/>
          <w:szCs w:val="22"/>
        </w:rPr>
        <w:t xml:space="preserve">owever, based on the cost savings calculated in option 2 and </w:t>
      </w:r>
      <w:r w:rsidR="007C3DFC" w:rsidRPr="00861553">
        <w:rPr>
          <w:rFonts w:eastAsiaTheme="minorHAnsi" w:cs="Arial"/>
          <w:sz w:val="22"/>
          <w:szCs w:val="22"/>
        </w:rPr>
        <w:t>the lack of quantitative evidence on the number of potential new entrants and extent of any competition</w:t>
      </w:r>
      <w:r w:rsidR="001F324C" w:rsidRPr="00861553">
        <w:rPr>
          <w:rFonts w:eastAsiaTheme="minorHAnsi" w:cs="Arial"/>
          <w:sz w:val="22"/>
          <w:szCs w:val="22"/>
        </w:rPr>
        <w:t>,</w:t>
      </w:r>
      <w:r w:rsidR="00267759" w:rsidRPr="00861553">
        <w:rPr>
          <w:rFonts w:eastAsiaTheme="minorHAnsi" w:cs="Arial"/>
          <w:sz w:val="22"/>
          <w:szCs w:val="22"/>
        </w:rPr>
        <w:t xml:space="preserve"> on top of the notion that the industry is </w:t>
      </w:r>
      <w:r w:rsidR="00B2747C" w:rsidRPr="00861553">
        <w:rPr>
          <w:rFonts w:eastAsiaTheme="minorHAnsi" w:cs="Arial"/>
          <w:sz w:val="22"/>
          <w:szCs w:val="22"/>
        </w:rPr>
        <w:t xml:space="preserve">fully </w:t>
      </w:r>
      <w:r w:rsidR="00267759" w:rsidRPr="00861553">
        <w:rPr>
          <w:rFonts w:eastAsiaTheme="minorHAnsi" w:cs="Arial"/>
          <w:sz w:val="22"/>
          <w:szCs w:val="22"/>
        </w:rPr>
        <w:t xml:space="preserve">moving towards digital platform which will open up </w:t>
      </w:r>
      <w:r w:rsidR="00B2747C" w:rsidRPr="00861553">
        <w:rPr>
          <w:rFonts w:eastAsiaTheme="minorHAnsi" w:cs="Arial"/>
          <w:sz w:val="22"/>
          <w:szCs w:val="22"/>
        </w:rPr>
        <w:t xml:space="preserve">further </w:t>
      </w:r>
      <w:r w:rsidR="00267759" w:rsidRPr="00861553">
        <w:rPr>
          <w:rFonts w:eastAsiaTheme="minorHAnsi" w:cs="Arial"/>
          <w:sz w:val="22"/>
          <w:szCs w:val="22"/>
        </w:rPr>
        <w:t>opportunit</w:t>
      </w:r>
      <w:r w:rsidR="00B2747C" w:rsidRPr="00861553">
        <w:rPr>
          <w:rFonts w:eastAsiaTheme="minorHAnsi" w:cs="Arial"/>
          <w:sz w:val="22"/>
          <w:szCs w:val="22"/>
        </w:rPr>
        <w:t>ies</w:t>
      </w:r>
      <w:r w:rsidR="00267759" w:rsidRPr="00861553">
        <w:rPr>
          <w:rFonts w:eastAsiaTheme="minorHAnsi" w:cs="Arial"/>
          <w:sz w:val="22"/>
          <w:szCs w:val="22"/>
        </w:rPr>
        <w:t xml:space="preserve"> for new entrants in the near future,</w:t>
      </w:r>
      <w:r w:rsidR="001F324C" w:rsidRPr="00861553">
        <w:rPr>
          <w:rFonts w:eastAsiaTheme="minorHAnsi" w:cs="Arial"/>
          <w:sz w:val="22"/>
          <w:szCs w:val="22"/>
        </w:rPr>
        <w:t xml:space="preserve"> </w:t>
      </w:r>
      <w:r w:rsidR="007C3DFC" w:rsidRPr="00861553">
        <w:rPr>
          <w:rFonts w:eastAsiaTheme="minorHAnsi" w:cs="Arial"/>
          <w:sz w:val="22"/>
          <w:szCs w:val="22"/>
        </w:rPr>
        <w:t>we</w:t>
      </w:r>
      <w:r w:rsidR="007C3DFC" w:rsidRPr="00861553">
        <w:rPr>
          <w:rFonts w:cs="Arial"/>
          <w:sz w:val="22"/>
          <w:szCs w:val="22"/>
        </w:rPr>
        <w:t xml:space="preserve"> consider that the</w:t>
      </w:r>
      <w:r w:rsidR="00223970" w:rsidRPr="00861553">
        <w:rPr>
          <w:rFonts w:cs="Arial"/>
          <w:sz w:val="22"/>
          <w:szCs w:val="22"/>
        </w:rPr>
        <w:t xml:space="preserve"> benefits of renewing the licences</w:t>
      </w:r>
      <w:r w:rsidR="00267759" w:rsidRPr="00861553">
        <w:rPr>
          <w:rFonts w:cs="Arial"/>
          <w:sz w:val="22"/>
          <w:szCs w:val="22"/>
        </w:rPr>
        <w:t xml:space="preserve"> now for a further 5 years</w:t>
      </w:r>
      <w:r w:rsidR="00223970" w:rsidRPr="00861553">
        <w:rPr>
          <w:rFonts w:cs="Arial"/>
          <w:sz w:val="22"/>
          <w:szCs w:val="22"/>
        </w:rPr>
        <w:t xml:space="preserve"> will outweigh any </w:t>
      </w:r>
      <w:r w:rsidR="00267759" w:rsidRPr="00861553">
        <w:rPr>
          <w:rFonts w:cs="Arial"/>
          <w:sz w:val="22"/>
          <w:szCs w:val="22"/>
        </w:rPr>
        <w:t>possible</w:t>
      </w:r>
      <w:r w:rsidR="00223970" w:rsidRPr="00861553">
        <w:rPr>
          <w:rFonts w:cs="Arial"/>
          <w:sz w:val="22"/>
          <w:szCs w:val="22"/>
        </w:rPr>
        <w:t xml:space="preserve"> benefits to any potential new entrants</w:t>
      </w:r>
      <w:r w:rsidR="007C3DFC" w:rsidRPr="00861553">
        <w:rPr>
          <w:rFonts w:cs="Arial"/>
          <w:sz w:val="22"/>
          <w:szCs w:val="22"/>
        </w:rPr>
        <w:t xml:space="preserve"> (all of which remain hypothetical due to the low amount of evidence)</w:t>
      </w:r>
      <w:r w:rsidR="00223970" w:rsidRPr="00861553">
        <w:rPr>
          <w:rFonts w:cs="Arial"/>
          <w:sz w:val="22"/>
          <w:szCs w:val="22"/>
        </w:rPr>
        <w:t>.</w:t>
      </w:r>
    </w:p>
    <w:p w14:paraId="006531F0" w14:textId="77777777" w:rsidR="00B2747C" w:rsidRPr="00861553" w:rsidRDefault="00B2747C" w:rsidP="00B405DA">
      <w:pPr>
        <w:widowControl w:val="0"/>
        <w:tabs>
          <w:tab w:val="left" w:pos="9050"/>
        </w:tabs>
        <w:autoSpaceDE w:val="0"/>
        <w:autoSpaceDN w:val="0"/>
        <w:adjustRightInd w:val="0"/>
        <w:ind w:right="18"/>
        <w:jc w:val="both"/>
        <w:rPr>
          <w:rFonts w:cs="Arial"/>
          <w:sz w:val="22"/>
          <w:szCs w:val="22"/>
        </w:rPr>
      </w:pPr>
    </w:p>
    <w:p w14:paraId="61052048" w14:textId="77777777" w:rsidR="00B2747C" w:rsidRPr="00861553" w:rsidRDefault="00B2747C" w:rsidP="00B2747C">
      <w:pPr>
        <w:widowControl w:val="0"/>
        <w:tabs>
          <w:tab w:val="left" w:pos="9050"/>
        </w:tabs>
        <w:autoSpaceDE w:val="0"/>
        <w:autoSpaceDN w:val="0"/>
        <w:adjustRightInd w:val="0"/>
        <w:ind w:right="18"/>
        <w:rPr>
          <w:rFonts w:eastAsiaTheme="minorHAnsi" w:cs="Arial"/>
          <w:sz w:val="22"/>
          <w:szCs w:val="22"/>
        </w:rPr>
      </w:pPr>
      <w:r w:rsidRPr="00861553">
        <w:rPr>
          <w:rFonts w:eastAsiaTheme="minorHAnsi" w:cs="Arial"/>
          <w:sz w:val="22"/>
          <w:szCs w:val="22"/>
        </w:rPr>
        <w:t>While option 2 does not allow the potential benefits of opening the market to competition as in option 1, it generates a cost saving to businesses of almost £8million, allowing them to continue to innovate and improve their broadcasting offer to the public. On top of the cost saving to business, the lack of open competition for the affected licences for a further five years is lessened by the recent advertisement of a second digital national multiplex. DAB as a platform has a far greater capacity than analogue, spectrum on which is scarce, so we expect this will greatly increase opportunities for new entrants looking to come into the radio market. As digital listening grows, we also expect analogue to be a much smaller part of the radio landscape.</w:t>
      </w:r>
    </w:p>
    <w:p w14:paraId="2F8D3C3A" w14:textId="77777777" w:rsidR="00B2747C" w:rsidRPr="00861553" w:rsidRDefault="00B2747C" w:rsidP="00B405DA">
      <w:pPr>
        <w:widowControl w:val="0"/>
        <w:tabs>
          <w:tab w:val="left" w:pos="9050"/>
        </w:tabs>
        <w:autoSpaceDE w:val="0"/>
        <w:autoSpaceDN w:val="0"/>
        <w:adjustRightInd w:val="0"/>
        <w:ind w:right="18"/>
        <w:jc w:val="both"/>
        <w:rPr>
          <w:rFonts w:cs="Arial"/>
          <w:sz w:val="22"/>
          <w:szCs w:val="22"/>
        </w:rPr>
      </w:pPr>
    </w:p>
    <w:p w14:paraId="4BD71CD7" w14:textId="643C64F5" w:rsidR="00B2747C" w:rsidRPr="00861553" w:rsidRDefault="00B2747C" w:rsidP="00B405DA">
      <w:pPr>
        <w:widowControl w:val="0"/>
        <w:tabs>
          <w:tab w:val="left" w:pos="9050"/>
        </w:tabs>
        <w:autoSpaceDE w:val="0"/>
        <w:autoSpaceDN w:val="0"/>
        <w:adjustRightInd w:val="0"/>
        <w:ind w:right="18"/>
        <w:jc w:val="both"/>
        <w:rPr>
          <w:rFonts w:eastAsiaTheme="minorHAnsi" w:cs="Arial"/>
          <w:i/>
          <w:sz w:val="22"/>
          <w:szCs w:val="22"/>
        </w:rPr>
      </w:pPr>
      <w:r w:rsidRPr="00861553">
        <w:rPr>
          <w:rFonts w:cs="Arial"/>
          <w:i/>
          <w:sz w:val="22"/>
          <w:szCs w:val="22"/>
        </w:rPr>
        <w:t>Stability for listeners and industry</w:t>
      </w:r>
    </w:p>
    <w:p w14:paraId="2D3A64A1" w14:textId="77777777" w:rsidR="00635F2F" w:rsidRPr="00861553" w:rsidRDefault="00635F2F" w:rsidP="00B405DA">
      <w:pPr>
        <w:pStyle w:val="Default"/>
        <w:rPr>
          <w:b/>
          <w:sz w:val="22"/>
          <w:szCs w:val="22"/>
          <w:u w:val="single"/>
        </w:rPr>
      </w:pPr>
    </w:p>
    <w:p w14:paraId="2F8D1B79" w14:textId="1D65AB36" w:rsidR="00000482" w:rsidRPr="00861553" w:rsidRDefault="00000482" w:rsidP="00861553">
      <w:pPr>
        <w:pStyle w:val="Default"/>
        <w:rPr>
          <w:rFonts w:eastAsiaTheme="minorHAnsi"/>
        </w:rPr>
      </w:pPr>
      <w:r w:rsidRPr="00861553">
        <w:rPr>
          <w:sz w:val="22"/>
          <w:szCs w:val="22"/>
        </w:rPr>
        <w:t>Option 2 is the l</w:t>
      </w:r>
      <w:r w:rsidR="00446B5F" w:rsidRPr="00861553">
        <w:rPr>
          <w:sz w:val="22"/>
          <w:szCs w:val="22"/>
        </w:rPr>
        <w:t xml:space="preserve">ow cost way forward and will offer continuity </w:t>
      </w:r>
      <w:r w:rsidRPr="00861553">
        <w:rPr>
          <w:sz w:val="22"/>
          <w:szCs w:val="22"/>
        </w:rPr>
        <w:t>to those holding licences in the market</w:t>
      </w:r>
      <w:r w:rsidR="00446B5F" w:rsidRPr="00861553">
        <w:rPr>
          <w:sz w:val="22"/>
          <w:szCs w:val="22"/>
        </w:rPr>
        <w:t xml:space="preserve"> at a time when the sector’s advertising revenues have only just begun to recover and challenges from alternative </w:t>
      </w:r>
      <w:r w:rsidR="00E73453" w:rsidRPr="00861553">
        <w:rPr>
          <w:sz w:val="22"/>
          <w:szCs w:val="22"/>
        </w:rPr>
        <w:t xml:space="preserve">forms of </w:t>
      </w:r>
      <w:r w:rsidR="00446B5F" w:rsidRPr="00861553">
        <w:rPr>
          <w:sz w:val="22"/>
          <w:szCs w:val="22"/>
        </w:rPr>
        <w:t>audio content continue to put pressure on the industry.</w:t>
      </w:r>
      <w:r w:rsidR="007C3DFC" w:rsidRPr="00861553">
        <w:rPr>
          <w:sz w:val="22"/>
          <w:szCs w:val="22"/>
        </w:rPr>
        <w:t xml:space="preserve"> In line with Government policy on digital radio, we also want to encourage the sector to continue to invest in digital radio, and we believe</w:t>
      </w:r>
      <w:r w:rsidR="001E5267" w:rsidRPr="00861553">
        <w:rPr>
          <w:sz w:val="22"/>
          <w:szCs w:val="22"/>
        </w:rPr>
        <w:t xml:space="preserve"> offering stability through</w:t>
      </w:r>
      <w:r w:rsidR="007C3DFC" w:rsidRPr="00861553">
        <w:rPr>
          <w:sz w:val="22"/>
          <w:szCs w:val="22"/>
        </w:rPr>
        <w:t xml:space="preserve"> a further renewal will best allow stations to do that. A five year renewal (i.e. the shortest renewal period proposed in our consultation) will drive momentum towards a future digital transition. A</w:t>
      </w:r>
      <w:r w:rsidRPr="00861553">
        <w:rPr>
          <w:sz w:val="22"/>
          <w:szCs w:val="22"/>
        </w:rPr>
        <w:t>n exte</w:t>
      </w:r>
      <w:r w:rsidR="007C3DFC" w:rsidRPr="00861553">
        <w:rPr>
          <w:sz w:val="22"/>
          <w:szCs w:val="22"/>
        </w:rPr>
        <w:t>nsion of existing licences will</w:t>
      </w:r>
      <w:r w:rsidRPr="00861553">
        <w:rPr>
          <w:sz w:val="22"/>
          <w:szCs w:val="22"/>
        </w:rPr>
        <w:t xml:space="preserve"> provide stability in the market, without any </w:t>
      </w:r>
      <w:r w:rsidR="007C3DFC" w:rsidRPr="00861553">
        <w:rPr>
          <w:sz w:val="22"/>
          <w:szCs w:val="22"/>
        </w:rPr>
        <w:t xml:space="preserve">of the </w:t>
      </w:r>
      <w:r w:rsidRPr="00861553">
        <w:rPr>
          <w:sz w:val="22"/>
          <w:szCs w:val="22"/>
        </w:rPr>
        <w:t xml:space="preserve">uncertainty of the effects of re-tendering and opening up the licence market. It will provide commercial broadcasters with </w:t>
      </w:r>
      <w:r w:rsidR="008E685F" w:rsidRPr="00861553">
        <w:rPr>
          <w:sz w:val="22"/>
          <w:szCs w:val="22"/>
        </w:rPr>
        <w:t>confidence</w:t>
      </w:r>
      <w:r w:rsidRPr="00861553">
        <w:rPr>
          <w:sz w:val="22"/>
          <w:szCs w:val="22"/>
        </w:rPr>
        <w:t xml:space="preserve"> and allow them to</w:t>
      </w:r>
      <w:r w:rsidR="008E685F" w:rsidRPr="00861553">
        <w:rPr>
          <w:sz w:val="22"/>
          <w:szCs w:val="22"/>
        </w:rPr>
        <w:t xml:space="preserve"> continue to invest in and</w:t>
      </w:r>
      <w:r w:rsidRPr="00861553">
        <w:rPr>
          <w:sz w:val="22"/>
          <w:szCs w:val="22"/>
        </w:rPr>
        <w:t xml:space="preserve"> prepare for a managed transition to digital. It would also allow them to focus their time and finances on developing more innovative programme content for listeners</w:t>
      </w:r>
      <w:r w:rsidR="007C3DFC" w:rsidRPr="00861553">
        <w:rPr>
          <w:sz w:val="22"/>
          <w:szCs w:val="22"/>
        </w:rPr>
        <w:t>.</w:t>
      </w:r>
    </w:p>
    <w:bookmarkEnd w:id="21"/>
    <w:p w14:paraId="79D1C7FD" w14:textId="77777777" w:rsidR="00E642F8" w:rsidRPr="00861553" w:rsidRDefault="00E642F8" w:rsidP="00B405DA">
      <w:pPr>
        <w:rPr>
          <w:rFonts w:cs="Arial"/>
          <w:sz w:val="22"/>
          <w:szCs w:val="22"/>
        </w:rPr>
      </w:pPr>
    </w:p>
    <w:p w14:paraId="2ED1B1B2" w14:textId="4249754E" w:rsidR="00A60C02" w:rsidRPr="00861553" w:rsidRDefault="00146C4F" w:rsidP="00B405DA">
      <w:pPr>
        <w:rPr>
          <w:rFonts w:cs="Arial"/>
          <w:sz w:val="22"/>
          <w:szCs w:val="22"/>
        </w:rPr>
      </w:pPr>
      <w:r w:rsidRPr="00861553">
        <w:rPr>
          <w:rFonts w:cs="Arial"/>
          <w:b/>
          <w:sz w:val="22"/>
          <w:szCs w:val="22"/>
          <w:u w:val="single"/>
        </w:rPr>
        <w:t>Cost and Benefit</w:t>
      </w:r>
      <w:r w:rsidR="00AE75D2" w:rsidRPr="00861553">
        <w:rPr>
          <w:rFonts w:cs="Arial"/>
          <w:b/>
          <w:sz w:val="22"/>
          <w:szCs w:val="22"/>
          <w:u w:val="single"/>
        </w:rPr>
        <w:t xml:space="preserve"> analysis</w:t>
      </w:r>
    </w:p>
    <w:p w14:paraId="7F211AF0" w14:textId="77777777" w:rsidR="00AE75D2" w:rsidRPr="00861553" w:rsidRDefault="00AE75D2" w:rsidP="00562F73">
      <w:pPr>
        <w:jc w:val="both"/>
        <w:rPr>
          <w:rFonts w:cs="Arial"/>
          <w:sz w:val="22"/>
          <w:szCs w:val="22"/>
        </w:rPr>
      </w:pPr>
    </w:p>
    <w:p w14:paraId="34136D10" w14:textId="6F6A3CAD" w:rsidR="00AE75D2" w:rsidRPr="00861553" w:rsidRDefault="00AE315D" w:rsidP="00562F73">
      <w:pPr>
        <w:jc w:val="both"/>
        <w:rPr>
          <w:rFonts w:cs="Arial"/>
          <w:sz w:val="22"/>
          <w:szCs w:val="22"/>
        </w:rPr>
      </w:pPr>
      <w:r w:rsidRPr="00861553">
        <w:rPr>
          <w:rFonts w:cs="Arial"/>
          <w:sz w:val="22"/>
          <w:szCs w:val="22"/>
        </w:rPr>
        <w:t>Taking the above qualitative evidence of the costs and benefits into consideration, on top of the quantitative figures we have, it can be seen that the benefits of option 2, renewing the licences, outweigh any costs that may be incurred</w:t>
      </w:r>
      <w:r w:rsidR="003B0000">
        <w:rPr>
          <w:rFonts w:cs="Arial"/>
          <w:sz w:val="22"/>
          <w:szCs w:val="22"/>
        </w:rPr>
        <w:t xml:space="preserve"> if they were left to expire</w:t>
      </w:r>
      <w:r w:rsidRPr="00861553">
        <w:rPr>
          <w:rFonts w:cs="Arial"/>
          <w:sz w:val="22"/>
          <w:szCs w:val="22"/>
        </w:rPr>
        <w:t>.</w:t>
      </w:r>
    </w:p>
    <w:p w14:paraId="684BCCA9" w14:textId="6DF5510C" w:rsidR="00AE75D2" w:rsidRPr="00861553" w:rsidRDefault="00AE315D" w:rsidP="00562F73">
      <w:pPr>
        <w:jc w:val="both"/>
        <w:rPr>
          <w:rFonts w:cs="Arial"/>
          <w:b/>
          <w:sz w:val="22"/>
          <w:szCs w:val="22"/>
        </w:rPr>
      </w:pPr>
      <w:r w:rsidRPr="00861553">
        <w:rPr>
          <w:rFonts w:cs="Arial"/>
          <w:sz w:val="22"/>
          <w:szCs w:val="22"/>
        </w:rPr>
        <w:br/>
        <w:t xml:space="preserve">Table 7 sets out these figures. The </w:t>
      </w:r>
      <w:r w:rsidR="006606F9" w:rsidRPr="00861553">
        <w:rPr>
          <w:rFonts w:cs="Arial"/>
          <w:sz w:val="22"/>
          <w:szCs w:val="22"/>
        </w:rPr>
        <w:t>overall impact</w:t>
      </w:r>
      <w:r w:rsidR="00EE2100" w:rsidRPr="00861553">
        <w:rPr>
          <w:rFonts w:cs="Arial"/>
          <w:sz w:val="22"/>
          <w:szCs w:val="22"/>
        </w:rPr>
        <w:t xml:space="preserve"> of option 2,</w:t>
      </w:r>
      <w:r w:rsidRPr="00861553">
        <w:rPr>
          <w:rFonts w:cs="Arial"/>
          <w:sz w:val="22"/>
          <w:szCs w:val="22"/>
        </w:rPr>
        <w:t xml:space="preserve"> </w:t>
      </w:r>
      <w:r w:rsidR="00EE2100" w:rsidRPr="00861553">
        <w:rPr>
          <w:rFonts w:cs="Arial"/>
          <w:sz w:val="22"/>
          <w:szCs w:val="22"/>
        </w:rPr>
        <w:t>extending the existing licences for a further 5 years from the expiry date, is a positive net present value of</w:t>
      </w:r>
      <w:r w:rsidRPr="00861553">
        <w:rPr>
          <w:rFonts w:cs="Arial"/>
          <w:sz w:val="22"/>
          <w:szCs w:val="22"/>
        </w:rPr>
        <w:t xml:space="preserve"> £4.8million</w:t>
      </w:r>
      <w:r w:rsidR="00EE2100" w:rsidRPr="00861553">
        <w:rPr>
          <w:rFonts w:cs="Arial"/>
          <w:sz w:val="22"/>
          <w:szCs w:val="22"/>
        </w:rPr>
        <w:t>, on top of the qualitative benefits we have set out.</w:t>
      </w:r>
      <w:r w:rsidR="006606F9" w:rsidRPr="00861553">
        <w:rPr>
          <w:rFonts w:cs="Arial"/>
          <w:sz w:val="22"/>
          <w:szCs w:val="22"/>
        </w:rPr>
        <w:t xml:space="preserve"> The Equivalent annual </w:t>
      </w:r>
      <w:r w:rsidR="004B1D47">
        <w:rPr>
          <w:rFonts w:cs="Arial"/>
          <w:sz w:val="22"/>
          <w:szCs w:val="22"/>
        </w:rPr>
        <w:t>net cost to business in 2014 prices is £-0.82</w:t>
      </w:r>
      <w:r w:rsidR="006606F9" w:rsidRPr="00861553">
        <w:rPr>
          <w:rFonts w:cs="Arial"/>
          <w:sz w:val="22"/>
          <w:szCs w:val="22"/>
        </w:rPr>
        <w:t>million, this shows that extending the licence</w:t>
      </w:r>
      <w:r w:rsidR="00B816BD">
        <w:rPr>
          <w:rFonts w:cs="Arial"/>
          <w:sz w:val="22"/>
          <w:szCs w:val="22"/>
        </w:rPr>
        <w:t>s is creating a benefit of £0.82</w:t>
      </w:r>
      <w:r w:rsidR="006606F9" w:rsidRPr="00861553">
        <w:rPr>
          <w:rFonts w:cs="Arial"/>
          <w:sz w:val="22"/>
          <w:szCs w:val="22"/>
        </w:rPr>
        <w:t xml:space="preserve"> million to businesses over the 5 year appraisal period.</w:t>
      </w:r>
    </w:p>
    <w:p w14:paraId="3644C500" w14:textId="77777777" w:rsidR="00AE75D2" w:rsidRPr="00861553" w:rsidRDefault="00AE75D2" w:rsidP="00562F73">
      <w:pPr>
        <w:jc w:val="both"/>
        <w:rPr>
          <w:rFonts w:cs="Arial"/>
          <w:b/>
          <w:sz w:val="22"/>
          <w:szCs w:val="22"/>
        </w:rPr>
      </w:pPr>
    </w:p>
    <w:p w14:paraId="3110A7B7" w14:textId="67F0000D" w:rsidR="00AE75D2" w:rsidRPr="00861553" w:rsidRDefault="006606F9" w:rsidP="00562F73">
      <w:pPr>
        <w:jc w:val="both"/>
        <w:rPr>
          <w:rFonts w:cs="Arial"/>
          <w:sz w:val="22"/>
          <w:szCs w:val="22"/>
        </w:rPr>
      </w:pPr>
      <w:r w:rsidRPr="00861553">
        <w:rPr>
          <w:rFonts w:cs="Arial"/>
          <w:sz w:val="22"/>
          <w:szCs w:val="22"/>
        </w:rPr>
        <w:t>Table 7</w:t>
      </w:r>
      <w:r w:rsidR="003B0000">
        <w:rPr>
          <w:rFonts w:cs="Arial"/>
          <w:sz w:val="22"/>
          <w:szCs w:val="22"/>
        </w:rPr>
        <w:t xml:space="preserve"> – Overall NPV and EANCB table</w:t>
      </w:r>
    </w:p>
    <w:tbl>
      <w:tblPr>
        <w:tblW w:w="6379" w:type="dxa"/>
        <w:tblInd w:w="5" w:type="dxa"/>
        <w:tblLook w:val="04A0" w:firstRow="1" w:lastRow="0" w:firstColumn="1" w:lastColumn="0" w:noHBand="0" w:noVBand="1"/>
      </w:tblPr>
      <w:tblGrid>
        <w:gridCol w:w="2127"/>
        <w:gridCol w:w="1842"/>
        <w:gridCol w:w="2410"/>
      </w:tblGrid>
      <w:tr w:rsidR="00562F73" w:rsidRPr="00B96818" w14:paraId="0762760A" w14:textId="77777777" w:rsidTr="00E33839">
        <w:trPr>
          <w:trHeight w:val="390"/>
        </w:trPr>
        <w:tc>
          <w:tcPr>
            <w:tcW w:w="6379"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5470D32E" w14:textId="6D76DF44" w:rsidR="00AE75D2" w:rsidRPr="00861553" w:rsidRDefault="00AE75D2" w:rsidP="00AE75D2">
            <w:pPr>
              <w:jc w:val="center"/>
              <w:rPr>
                <w:rFonts w:cs="Arial"/>
                <w:b/>
                <w:bCs/>
                <w:color w:val="000000"/>
                <w:sz w:val="22"/>
                <w:szCs w:val="22"/>
                <w:lang w:eastAsia="en-GB"/>
              </w:rPr>
            </w:pPr>
            <w:r w:rsidRPr="00861553">
              <w:rPr>
                <w:rFonts w:cs="Arial"/>
                <w:b/>
                <w:bCs/>
                <w:color w:val="000000"/>
                <w:sz w:val="22"/>
                <w:szCs w:val="22"/>
                <w:lang w:eastAsia="en-GB"/>
              </w:rPr>
              <w:t>Cost of Option</w:t>
            </w:r>
            <w:r w:rsidR="003B0000">
              <w:rPr>
                <w:rFonts w:cs="Arial"/>
                <w:b/>
                <w:bCs/>
                <w:color w:val="000000"/>
                <w:sz w:val="22"/>
                <w:szCs w:val="22"/>
                <w:lang w:eastAsia="en-GB"/>
              </w:rPr>
              <w:t xml:space="preserve"> 2 (preferred option)</w:t>
            </w:r>
          </w:p>
        </w:tc>
      </w:tr>
      <w:tr w:rsidR="00E33839" w:rsidRPr="00B96818" w14:paraId="20DE06FE" w14:textId="77777777" w:rsidTr="00562F73">
        <w:trPr>
          <w:trHeight w:val="315"/>
        </w:trPr>
        <w:tc>
          <w:tcPr>
            <w:tcW w:w="2127" w:type="dxa"/>
            <w:tcBorders>
              <w:top w:val="single" w:sz="4" w:space="0" w:color="000000"/>
              <w:left w:val="single" w:sz="4" w:space="0" w:color="000000"/>
              <w:bottom w:val="nil"/>
              <w:right w:val="single" w:sz="4" w:space="0" w:color="000000"/>
            </w:tcBorders>
            <w:shd w:val="clear" w:color="auto" w:fill="auto"/>
            <w:noWrap/>
            <w:vAlign w:val="bottom"/>
            <w:hideMark/>
          </w:tcPr>
          <w:p w14:paraId="67570771" w14:textId="77777777" w:rsidR="00AE75D2" w:rsidRPr="00861553" w:rsidRDefault="00AE75D2" w:rsidP="00AE75D2">
            <w:pPr>
              <w:rPr>
                <w:rFonts w:cs="Arial"/>
                <w:b/>
                <w:bCs/>
                <w:color w:val="000000"/>
                <w:sz w:val="22"/>
                <w:szCs w:val="22"/>
                <w:lang w:eastAsia="en-GB"/>
              </w:rPr>
            </w:pPr>
            <w:r w:rsidRPr="00861553">
              <w:rPr>
                <w:rFonts w:cs="Arial"/>
                <w:b/>
                <w:bCs/>
                <w:color w:val="000000"/>
                <w:sz w:val="22"/>
                <w:szCs w:val="22"/>
                <w:lang w:eastAsia="en-GB"/>
              </w:rPr>
              <w:t>Total Net Present</w:t>
            </w:r>
          </w:p>
        </w:tc>
        <w:tc>
          <w:tcPr>
            <w:tcW w:w="1842" w:type="dxa"/>
            <w:tcBorders>
              <w:top w:val="single" w:sz="4" w:space="0" w:color="000000"/>
              <w:left w:val="nil"/>
              <w:bottom w:val="nil"/>
              <w:right w:val="single" w:sz="4" w:space="0" w:color="000000"/>
            </w:tcBorders>
            <w:shd w:val="clear" w:color="auto" w:fill="auto"/>
            <w:noWrap/>
            <w:vAlign w:val="bottom"/>
            <w:hideMark/>
          </w:tcPr>
          <w:p w14:paraId="10C56188" w14:textId="77777777" w:rsidR="00AE75D2" w:rsidRPr="00861553" w:rsidRDefault="00AE75D2" w:rsidP="00AE75D2">
            <w:pPr>
              <w:rPr>
                <w:rFonts w:cs="Arial"/>
                <w:b/>
                <w:bCs/>
                <w:color w:val="000000"/>
                <w:sz w:val="22"/>
                <w:szCs w:val="22"/>
                <w:lang w:eastAsia="en-GB"/>
              </w:rPr>
            </w:pPr>
            <w:r w:rsidRPr="00861553">
              <w:rPr>
                <w:rFonts w:cs="Arial"/>
                <w:b/>
                <w:bCs/>
                <w:color w:val="000000"/>
                <w:sz w:val="22"/>
                <w:szCs w:val="22"/>
                <w:lang w:eastAsia="en-GB"/>
              </w:rPr>
              <w:t>Business Net</w:t>
            </w:r>
          </w:p>
        </w:tc>
        <w:tc>
          <w:tcPr>
            <w:tcW w:w="2410" w:type="dxa"/>
            <w:tcBorders>
              <w:top w:val="single" w:sz="4" w:space="0" w:color="000000"/>
              <w:left w:val="nil"/>
              <w:bottom w:val="nil"/>
              <w:right w:val="single" w:sz="4" w:space="0" w:color="000000"/>
            </w:tcBorders>
            <w:shd w:val="clear" w:color="auto" w:fill="auto"/>
            <w:noWrap/>
            <w:vAlign w:val="bottom"/>
            <w:hideMark/>
          </w:tcPr>
          <w:p w14:paraId="7F3B4BF6" w14:textId="77777777" w:rsidR="00AE75D2" w:rsidRPr="00861553" w:rsidRDefault="00AE75D2" w:rsidP="00AE75D2">
            <w:pPr>
              <w:rPr>
                <w:rFonts w:cs="Arial"/>
                <w:b/>
                <w:bCs/>
                <w:color w:val="000000"/>
                <w:sz w:val="22"/>
                <w:szCs w:val="22"/>
                <w:lang w:eastAsia="en-GB"/>
              </w:rPr>
            </w:pPr>
            <w:r w:rsidRPr="00861553">
              <w:rPr>
                <w:rFonts w:cs="Arial"/>
                <w:b/>
                <w:bCs/>
                <w:color w:val="000000"/>
                <w:sz w:val="22"/>
                <w:szCs w:val="22"/>
                <w:lang w:eastAsia="en-GB"/>
              </w:rPr>
              <w:t>Net cost to</w:t>
            </w:r>
          </w:p>
        </w:tc>
      </w:tr>
      <w:tr w:rsidR="00E33839" w:rsidRPr="00B96818" w14:paraId="6CC27149" w14:textId="77777777" w:rsidTr="00562F73">
        <w:trPr>
          <w:trHeight w:val="315"/>
        </w:trPr>
        <w:tc>
          <w:tcPr>
            <w:tcW w:w="2127" w:type="dxa"/>
            <w:tcBorders>
              <w:top w:val="nil"/>
              <w:left w:val="single" w:sz="4" w:space="0" w:color="000000"/>
              <w:bottom w:val="nil"/>
              <w:right w:val="single" w:sz="4" w:space="0" w:color="000000"/>
            </w:tcBorders>
            <w:shd w:val="clear" w:color="auto" w:fill="auto"/>
            <w:noWrap/>
            <w:vAlign w:val="bottom"/>
            <w:hideMark/>
          </w:tcPr>
          <w:p w14:paraId="00BF0409" w14:textId="77777777" w:rsidR="00AE75D2" w:rsidRPr="00861553" w:rsidRDefault="00AE75D2" w:rsidP="00AE75D2">
            <w:pPr>
              <w:rPr>
                <w:rFonts w:cs="Arial"/>
                <w:b/>
                <w:bCs/>
                <w:color w:val="000000"/>
                <w:sz w:val="22"/>
                <w:szCs w:val="22"/>
                <w:lang w:eastAsia="en-GB"/>
              </w:rPr>
            </w:pPr>
            <w:r w:rsidRPr="00861553">
              <w:rPr>
                <w:rFonts w:cs="Arial"/>
                <w:b/>
                <w:bCs/>
                <w:color w:val="000000"/>
                <w:sz w:val="22"/>
                <w:szCs w:val="22"/>
                <w:lang w:eastAsia="en-GB"/>
              </w:rPr>
              <w:t>Value</w:t>
            </w:r>
          </w:p>
        </w:tc>
        <w:tc>
          <w:tcPr>
            <w:tcW w:w="1842" w:type="dxa"/>
            <w:tcBorders>
              <w:top w:val="nil"/>
              <w:left w:val="nil"/>
              <w:bottom w:val="nil"/>
              <w:right w:val="single" w:sz="4" w:space="0" w:color="000000"/>
            </w:tcBorders>
            <w:shd w:val="clear" w:color="auto" w:fill="auto"/>
            <w:noWrap/>
            <w:vAlign w:val="bottom"/>
            <w:hideMark/>
          </w:tcPr>
          <w:p w14:paraId="3B0A84DE" w14:textId="77777777" w:rsidR="00AE75D2" w:rsidRPr="00861553" w:rsidRDefault="00AE75D2" w:rsidP="00AE75D2">
            <w:pPr>
              <w:rPr>
                <w:rFonts w:cs="Arial"/>
                <w:b/>
                <w:bCs/>
                <w:color w:val="000000"/>
                <w:sz w:val="22"/>
                <w:szCs w:val="22"/>
                <w:lang w:eastAsia="en-GB"/>
              </w:rPr>
            </w:pPr>
            <w:r w:rsidRPr="00861553">
              <w:rPr>
                <w:rFonts w:cs="Arial"/>
                <w:b/>
                <w:bCs/>
                <w:color w:val="000000"/>
                <w:sz w:val="22"/>
                <w:szCs w:val="22"/>
                <w:lang w:eastAsia="en-GB"/>
              </w:rPr>
              <w:t>Present Value</w:t>
            </w:r>
          </w:p>
        </w:tc>
        <w:tc>
          <w:tcPr>
            <w:tcW w:w="2410" w:type="dxa"/>
            <w:tcBorders>
              <w:top w:val="nil"/>
              <w:left w:val="nil"/>
              <w:bottom w:val="nil"/>
              <w:right w:val="single" w:sz="4" w:space="0" w:color="000000"/>
            </w:tcBorders>
            <w:shd w:val="clear" w:color="auto" w:fill="auto"/>
            <w:noWrap/>
            <w:vAlign w:val="bottom"/>
            <w:hideMark/>
          </w:tcPr>
          <w:p w14:paraId="1D9809F3" w14:textId="77777777" w:rsidR="00AE75D2" w:rsidRPr="00861553" w:rsidRDefault="00AE75D2" w:rsidP="00AE75D2">
            <w:pPr>
              <w:rPr>
                <w:rFonts w:cs="Arial"/>
                <w:b/>
                <w:bCs/>
                <w:color w:val="000000"/>
                <w:sz w:val="22"/>
                <w:szCs w:val="22"/>
                <w:lang w:eastAsia="en-GB"/>
              </w:rPr>
            </w:pPr>
            <w:r w:rsidRPr="00861553">
              <w:rPr>
                <w:rFonts w:cs="Arial"/>
                <w:b/>
                <w:bCs/>
                <w:color w:val="000000"/>
                <w:sz w:val="22"/>
                <w:szCs w:val="22"/>
                <w:lang w:eastAsia="en-GB"/>
              </w:rPr>
              <w:t>business per year</w:t>
            </w:r>
          </w:p>
        </w:tc>
      </w:tr>
      <w:tr w:rsidR="00E33839" w:rsidRPr="00B96818" w14:paraId="7748AAB8" w14:textId="77777777" w:rsidTr="00562F73">
        <w:trPr>
          <w:trHeight w:val="315"/>
        </w:trPr>
        <w:tc>
          <w:tcPr>
            <w:tcW w:w="2127" w:type="dxa"/>
            <w:tcBorders>
              <w:top w:val="nil"/>
              <w:left w:val="single" w:sz="4" w:space="0" w:color="000000"/>
              <w:bottom w:val="nil"/>
              <w:right w:val="single" w:sz="4" w:space="0" w:color="000000"/>
            </w:tcBorders>
            <w:shd w:val="clear" w:color="auto" w:fill="auto"/>
            <w:noWrap/>
            <w:vAlign w:val="bottom"/>
            <w:hideMark/>
          </w:tcPr>
          <w:p w14:paraId="7A80FEB1" w14:textId="77777777" w:rsidR="00AE75D2" w:rsidRPr="00861553" w:rsidRDefault="00AE75D2" w:rsidP="00AE75D2">
            <w:pPr>
              <w:rPr>
                <w:rFonts w:cs="Arial"/>
                <w:color w:val="000000"/>
                <w:sz w:val="22"/>
                <w:szCs w:val="22"/>
                <w:lang w:eastAsia="en-GB"/>
              </w:rPr>
            </w:pPr>
            <w:r w:rsidRPr="00861553">
              <w:rPr>
                <w:rFonts w:cs="Arial"/>
                <w:color w:val="000000"/>
                <w:sz w:val="22"/>
                <w:szCs w:val="22"/>
                <w:lang w:eastAsia="en-GB"/>
              </w:rPr>
              <w:t> </w:t>
            </w:r>
          </w:p>
        </w:tc>
        <w:tc>
          <w:tcPr>
            <w:tcW w:w="1842" w:type="dxa"/>
            <w:tcBorders>
              <w:top w:val="nil"/>
              <w:left w:val="nil"/>
              <w:bottom w:val="nil"/>
              <w:right w:val="single" w:sz="4" w:space="0" w:color="000000"/>
            </w:tcBorders>
            <w:shd w:val="clear" w:color="auto" w:fill="auto"/>
            <w:noWrap/>
            <w:vAlign w:val="bottom"/>
            <w:hideMark/>
          </w:tcPr>
          <w:p w14:paraId="41B7D233" w14:textId="77777777" w:rsidR="00AE75D2" w:rsidRPr="00861553" w:rsidRDefault="00AE75D2" w:rsidP="00AE75D2">
            <w:pPr>
              <w:rPr>
                <w:rFonts w:cs="Arial"/>
                <w:color w:val="000000"/>
                <w:sz w:val="22"/>
                <w:szCs w:val="22"/>
                <w:lang w:eastAsia="en-GB"/>
              </w:rPr>
            </w:pPr>
            <w:r w:rsidRPr="00861553">
              <w:rPr>
                <w:rFonts w:cs="Arial"/>
                <w:color w:val="000000"/>
                <w:sz w:val="22"/>
                <w:szCs w:val="22"/>
                <w:lang w:eastAsia="en-GB"/>
              </w:rPr>
              <w:t> </w:t>
            </w:r>
          </w:p>
        </w:tc>
        <w:tc>
          <w:tcPr>
            <w:tcW w:w="2410" w:type="dxa"/>
            <w:tcBorders>
              <w:top w:val="nil"/>
              <w:left w:val="nil"/>
              <w:bottom w:val="nil"/>
              <w:right w:val="single" w:sz="4" w:space="0" w:color="000000"/>
            </w:tcBorders>
            <w:shd w:val="clear" w:color="auto" w:fill="auto"/>
            <w:noWrap/>
            <w:vAlign w:val="bottom"/>
            <w:hideMark/>
          </w:tcPr>
          <w:p w14:paraId="4407B8C8" w14:textId="096C6B9C" w:rsidR="00AE75D2" w:rsidRPr="00861553" w:rsidRDefault="004B1D47" w:rsidP="00AE75D2">
            <w:pPr>
              <w:rPr>
                <w:rFonts w:cs="Arial"/>
                <w:color w:val="000000"/>
                <w:sz w:val="22"/>
                <w:szCs w:val="22"/>
                <w:lang w:eastAsia="en-GB"/>
              </w:rPr>
            </w:pPr>
            <w:r>
              <w:rPr>
                <w:rFonts w:cs="Arial"/>
                <w:color w:val="000000"/>
                <w:sz w:val="22"/>
                <w:szCs w:val="22"/>
                <w:lang w:eastAsia="en-GB"/>
              </w:rPr>
              <w:t>(EANCB on 2014</w:t>
            </w:r>
            <w:r w:rsidR="00AE75D2" w:rsidRPr="00861553">
              <w:rPr>
                <w:rFonts w:cs="Arial"/>
                <w:color w:val="000000"/>
                <w:sz w:val="22"/>
                <w:szCs w:val="22"/>
                <w:lang w:eastAsia="en-GB"/>
              </w:rPr>
              <w:t xml:space="preserve"> prices)</w:t>
            </w:r>
          </w:p>
        </w:tc>
      </w:tr>
      <w:tr w:rsidR="00AE75D2" w:rsidRPr="00B96818" w14:paraId="38C98961" w14:textId="77777777" w:rsidTr="00562F73">
        <w:trPr>
          <w:trHeight w:val="89"/>
        </w:trPr>
        <w:tc>
          <w:tcPr>
            <w:tcW w:w="2127" w:type="dxa"/>
            <w:tcBorders>
              <w:top w:val="nil"/>
              <w:left w:val="single" w:sz="4" w:space="0" w:color="000000"/>
              <w:bottom w:val="single" w:sz="4" w:space="0" w:color="000000"/>
              <w:right w:val="single" w:sz="4" w:space="0" w:color="000000"/>
            </w:tcBorders>
            <w:shd w:val="clear" w:color="auto" w:fill="auto"/>
            <w:noWrap/>
            <w:vAlign w:val="bottom"/>
            <w:hideMark/>
          </w:tcPr>
          <w:p w14:paraId="39CA3B6C" w14:textId="3010E276" w:rsidR="00AE75D2" w:rsidRPr="00861553" w:rsidRDefault="00987FB9" w:rsidP="00AE75D2">
            <w:pPr>
              <w:jc w:val="right"/>
              <w:rPr>
                <w:rFonts w:cs="Arial"/>
                <w:color w:val="000000"/>
                <w:sz w:val="22"/>
                <w:szCs w:val="22"/>
                <w:lang w:eastAsia="en-GB"/>
              </w:rPr>
            </w:pPr>
            <w:r>
              <w:rPr>
                <w:rFonts w:cs="Arial"/>
                <w:color w:val="000000"/>
                <w:sz w:val="22"/>
                <w:szCs w:val="22"/>
                <w:lang w:eastAsia="en-GB"/>
              </w:rPr>
              <w:t>4.84</w:t>
            </w:r>
          </w:p>
        </w:tc>
        <w:tc>
          <w:tcPr>
            <w:tcW w:w="1842" w:type="dxa"/>
            <w:tcBorders>
              <w:top w:val="nil"/>
              <w:left w:val="nil"/>
              <w:bottom w:val="single" w:sz="4" w:space="0" w:color="000000"/>
              <w:right w:val="single" w:sz="4" w:space="0" w:color="000000"/>
            </w:tcBorders>
            <w:shd w:val="clear" w:color="auto" w:fill="auto"/>
            <w:noWrap/>
            <w:vAlign w:val="bottom"/>
            <w:hideMark/>
          </w:tcPr>
          <w:p w14:paraId="1E566B57" w14:textId="4B0FDF07" w:rsidR="00AE75D2" w:rsidRPr="00861553" w:rsidRDefault="00987FB9" w:rsidP="00AE75D2">
            <w:pPr>
              <w:jc w:val="right"/>
              <w:rPr>
                <w:rFonts w:cs="Arial"/>
                <w:color w:val="000000"/>
                <w:sz w:val="22"/>
                <w:szCs w:val="22"/>
                <w:lang w:eastAsia="en-GB"/>
              </w:rPr>
            </w:pPr>
            <w:r>
              <w:rPr>
                <w:rFonts w:cs="Arial"/>
                <w:color w:val="000000"/>
                <w:sz w:val="22"/>
                <w:szCs w:val="22"/>
                <w:lang w:eastAsia="en-GB"/>
              </w:rPr>
              <w:t>4.84</w:t>
            </w:r>
          </w:p>
        </w:tc>
        <w:tc>
          <w:tcPr>
            <w:tcW w:w="2410" w:type="dxa"/>
            <w:tcBorders>
              <w:top w:val="nil"/>
              <w:left w:val="nil"/>
              <w:bottom w:val="single" w:sz="4" w:space="0" w:color="000000"/>
              <w:right w:val="single" w:sz="4" w:space="0" w:color="000000"/>
            </w:tcBorders>
            <w:shd w:val="clear" w:color="auto" w:fill="auto"/>
            <w:noWrap/>
            <w:vAlign w:val="bottom"/>
            <w:hideMark/>
          </w:tcPr>
          <w:p w14:paraId="7460988F" w14:textId="1705B8D6" w:rsidR="00AE75D2" w:rsidRPr="00861553" w:rsidRDefault="004B1D47" w:rsidP="00AE75D2">
            <w:pPr>
              <w:jc w:val="right"/>
              <w:rPr>
                <w:rFonts w:cs="Arial"/>
                <w:color w:val="000000"/>
                <w:sz w:val="22"/>
                <w:szCs w:val="22"/>
                <w:lang w:eastAsia="en-GB"/>
              </w:rPr>
            </w:pPr>
            <w:r>
              <w:rPr>
                <w:rFonts w:cs="Arial"/>
                <w:color w:val="000000"/>
                <w:sz w:val="22"/>
                <w:szCs w:val="22"/>
                <w:lang w:eastAsia="en-GB"/>
              </w:rPr>
              <w:t>-0.82</w:t>
            </w:r>
          </w:p>
        </w:tc>
      </w:tr>
    </w:tbl>
    <w:p w14:paraId="28C4692E" w14:textId="77777777" w:rsidR="003B0000" w:rsidRDefault="003B0000" w:rsidP="00861553">
      <w:pPr>
        <w:rPr>
          <w:rFonts w:cs="Arial"/>
          <w:b/>
          <w:sz w:val="28"/>
          <w:szCs w:val="28"/>
        </w:rPr>
      </w:pPr>
    </w:p>
    <w:p w14:paraId="1203C31C" w14:textId="77777777" w:rsidR="003B0000" w:rsidRDefault="003B0000" w:rsidP="00861553">
      <w:pPr>
        <w:rPr>
          <w:rFonts w:cs="Arial"/>
          <w:b/>
          <w:sz w:val="28"/>
          <w:szCs w:val="28"/>
        </w:rPr>
      </w:pPr>
    </w:p>
    <w:p w14:paraId="3560C1E5" w14:textId="77777777" w:rsidR="003B0000" w:rsidRDefault="003B0000" w:rsidP="00861553">
      <w:pPr>
        <w:rPr>
          <w:rFonts w:cs="Arial"/>
          <w:b/>
          <w:sz w:val="28"/>
          <w:szCs w:val="28"/>
        </w:rPr>
      </w:pPr>
    </w:p>
    <w:p w14:paraId="7338C101" w14:textId="749FBAA7" w:rsidR="00A60C02" w:rsidRPr="00861553" w:rsidRDefault="00A60C02" w:rsidP="00861553">
      <w:pPr>
        <w:rPr>
          <w:rFonts w:cs="Arial"/>
          <w:b/>
          <w:sz w:val="22"/>
          <w:szCs w:val="22"/>
        </w:rPr>
      </w:pPr>
      <w:r w:rsidRPr="00861553">
        <w:rPr>
          <w:rFonts w:cs="Arial"/>
          <w:b/>
          <w:sz w:val="28"/>
          <w:szCs w:val="28"/>
        </w:rPr>
        <w:t>Option 3</w:t>
      </w:r>
    </w:p>
    <w:p w14:paraId="49CD813F" w14:textId="77777777" w:rsidR="00FC143D" w:rsidRPr="00861553" w:rsidRDefault="00FC143D" w:rsidP="00B405DA">
      <w:pPr>
        <w:widowControl w:val="0"/>
        <w:tabs>
          <w:tab w:val="left" w:pos="9050"/>
        </w:tabs>
        <w:autoSpaceDE w:val="0"/>
        <w:autoSpaceDN w:val="0"/>
        <w:adjustRightInd w:val="0"/>
        <w:ind w:right="18"/>
        <w:jc w:val="both"/>
        <w:rPr>
          <w:rFonts w:cs="Arial"/>
          <w:b/>
          <w:sz w:val="22"/>
          <w:szCs w:val="22"/>
        </w:rPr>
      </w:pPr>
    </w:p>
    <w:p w14:paraId="377B5165" w14:textId="0B319BE1" w:rsidR="00B2747C" w:rsidRPr="00861553" w:rsidRDefault="00B2747C" w:rsidP="00B405DA">
      <w:pPr>
        <w:widowControl w:val="0"/>
        <w:tabs>
          <w:tab w:val="left" w:pos="9050"/>
        </w:tabs>
        <w:autoSpaceDE w:val="0"/>
        <w:autoSpaceDN w:val="0"/>
        <w:adjustRightInd w:val="0"/>
        <w:ind w:right="18"/>
        <w:jc w:val="both"/>
        <w:rPr>
          <w:rFonts w:cs="Arial"/>
          <w:sz w:val="22"/>
          <w:szCs w:val="22"/>
        </w:rPr>
      </w:pPr>
      <w:r w:rsidRPr="00861553">
        <w:rPr>
          <w:rFonts w:cs="Arial"/>
          <w:sz w:val="22"/>
          <w:szCs w:val="22"/>
        </w:rPr>
        <w:t xml:space="preserve">Option 3 would be to allow the renewal of the licences in question for an indefinite period, or until a digital radio switchover. </w:t>
      </w:r>
    </w:p>
    <w:p w14:paraId="1D71C11C" w14:textId="77777777" w:rsidR="00115388" w:rsidRPr="00861553" w:rsidRDefault="00115388" w:rsidP="00B405DA">
      <w:pPr>
        <w:widowControl w:val="0"/>
        <w:tabs>
          <w:tab w:val="left" w:pos="9050"/>
        </w:tabs>
        <w:autoSpaceDE w:val="0"/>
        <w:autoSpaceDN w:val="0"/>
        <w:adjustRightInd w:val="0"/>
        <w:ind w:right="18"/>
        <w:jc w:val="both"/>
        <w:rPr>
          <w:rFonts w:cs="Arial"/>
          <w:b/>
          <w:sz w:val="22"/>
          <w:szCs w:val="22"/>
        </w:rPr>
      </w:pPr>
    </w:p>
    <w:p w14:paraId="1508478D" w14:textId="2BA9B673" w:rsidR="00562F73" w:rsidRPr="00861553" w:rsidRDefault="00A60C02" w:rsidP="00B405DA">
      <w:pPr>
        <w:widowControl w:val="0"/>
        <w:tabs>
          <w:tab w:val="left" w:pos="9050"/>
        </w:tabs>
        <w:autoSpaceDE w:val="0"/>
        <w:autoSpaceDN w:val="0"/>
        <w:adjustRightInd w:val="0"/>
        <w:ind w:right="18"/>
        <w:jc w:val="both"/>
        <w:rPr>
          <w:rFonts w:eastAsiaTheme="minorHAnsi" w:cs="Arial"/>
          <w:b/>
        </w:rPr>
      </w:pPr>
      <w:r w:rsidRPr="00861553">
        <w:rPr>
          <w:rFonts w:eastAsiaTheme="minorHAnsi" w:cs="Arial"/>
          <w:b/>
        </w:rPr>
        <w:t>Costs</w:t>
      </w:r>
      <w:r w:rsidR="00562F73" w:rsidRPr="00861553">
        <w:rPr>
          <w:rFonts w:eastAsiaTheme="minorHAnsi" w:cs="Arial"/>
          <w:b/>
        </w:rPr>
        <w:t xml:space="preserve"> </w:t>
      </w:r>
    </w:p>
    <w:p w14:paraId="79AD9F52" w14:textId="77777777" w:rsidR="00562F73" w:rsidRPr="00861553" w:rsidRDefault="00562F73" w:rsidP="00B405DA">
      <w:pPr>
        <w:widowControl w:val="0"/>
        <w:tabs>
          <w:tab w:val="left" w:pos="9050"/>
        </w:tabs>
        <w:autoSpaceDE w:val="0"/>
        <w:autoSpaceDN w:val="0"/>
        <w:adjustRightInd w:val="0"/>
        <w:ind w:right="18"/>
        <w:jc w:val="both"/>
        <w:rPr>
          <w:rFonts w:eastAsiaTheme="minorHAnsi" w:cs="Arial"/>
          <w:b/>
          <w:sz w:val="22"/>
          <w:szCs w:val="22"/>
        </w:rPr>
      </w:pPr>
    </w:p>
    <w:p w14:paraId="7AFCE48E" w14:textId="77777777" w:rsidR="001E42C0" w:rsidRPr="00861553" w:rsidRDefault="00A60C02"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Option 3 is a restrictive policy option. This option </w:t>
      </w:r>
      <w:r w:rsidR="00784B67" w:rsidRPr="00861553">
        <w:rPr>
          <w:rFonts w:eastAsiaTheme="minorHAnsi" w:cs="Arial"/>
          <w:sz w:val="22"/>
          <w:szCs w:val="22"/>
        </w:rPr>
        <w:t xml:space="preserve">entirely </w:t>
      </w:r>
      <w:r w:rsidRPr="00861553">
        <w:rPr>
          <w:rFonts w:eastAsiaTheme="minorHAnsi" w:cs="Arial"/>
          <w:sz w:val="22"/>
          <w:szCs w:val="22"/>
        </w:rPr>
        <w:t>prevents any entry to the market in the future</w:t>
      </w:r>
      <w:r w:rsidR="003D2E27" w:rsidRPr="00861553">
        <w:rPr>
          <w:rFonts w:eastAsiaTheme="minorHAnsi" w:cs="Arial"/>
          <w:sz w:val="22"/>
          <w:szCs w:val="22"/>
        </w:rPr>
        <w:t>,</w:t>
      </w:r>
      <w:r w:rsidRPr="00861553">
        <w:rPr>
          <w:rFonts w:eastAsiaTheme="minorHAnsi" w:cs="Arial"/>
          <w:sz w:val="22"/>
          <w:szCs w:val="22"/>
        </w:rPr>
        <w:t xml:space="preserve"> creating </w:t>
      </w:r>
      <w:r w:rsidR="00784B67" w:rsidRPr="00861553">
        <w:rPr>
          <w:rFonts w:eastAsiaTheme="minorHAnsi" w:cs="Arial"/>
          <w:sz w:val="22"/>
          <w:szCs w:val="22"/>
        </w:rPr>
        <w:t xml:space="preserve">a permanent </w:t>
      </w:r>
      <w:r w:rsidRPr="00861553">
        <w:rPr>
          <w:rFonts w:eastAsiaTheme="minorHAnsi" w:cs="Arial"/>
          <w:sz w:val="22"/>
          <w:szCs w:val="22"/>
        </w:rPr>
        <w:t xml:space="preserve">barrier to entry </w:t>
      </w:r>
      <w:r w:rsidR="003D2E27" w:rsidRPr="00861553">
        <w:rPr>
          <w:rFonts w:eastAsiaTheme="minorHAnsi" w:cs="Arial"/>
          <w:sz w:val="22"/>
          <w:szCs w:val="22"/>
        </w:rPr>
        <w:t>for any new potential businesses wanting to start up a station or those which currently do not hold a licence. Extending the licences indefinitely will prevent any competition in the radio licence market and industry for an indefinite period of time</w:t>
      </w:r>
      <w:r w:rsidR="00784B67" w:rsidRPr="00861553">
        <w:rPr>
          <w:rFonts w:eastAsiaTheme="minorHAnsi" w:cs="Arial"/>
          <w:sz w:val="22"/>
          <w:szCs w:val="22"/>
        </w:rPr>
        <w:t xml:space="preserve"> or until switchover happens. With an indefinite licence,</w:t>
      </w:r>
      <w:r w:rsidR="001E42C0" w:rsidRPr="00861553">
        <w:rPr>
          <w:rFonts w:eastAsiaTheme="minorHAnsi" w:cs="Arial"/>
          <w:sz w:val="22"/>
          <w:szCs w:val="22"/>
        </w:rPr>
        <w:t xml:space="preserve"> current licence holders </w:t>
      </w:r>
      <w:r w:rsidR="00784B67" w:rsidRPr="00861553">
        <w:rPr>
          <w:rFonts w:eastAsiaTheme="minorHAnsi" w:cs="Arial"/>
          <w:sz w:val="22"/>
          <w:szCs w:val="22"/>
        </w:rPr>
        <w:t xml:space="preserve">may </w:t>
      </w:r>
      <w:r w:rsidR="00E73453" w:rsidRPr="00861553">
        <w:rPr>
          <w:rFonts w:eastAsiaTheme="minorHAnsi" w:cs="Arial"/>
          <w:sz w:val="22"/>
          <w:szCs w:val="22"/>
        </w:rPr>
        <w:t xml:space="preserve">also </w:t>
      </w:r>
      <w:r w:rsidR="00784B67" w:rsidRPr="00861553">
        <w:rPr>
          <w:rFonts w:eastAsiaTheme="minorHAnsi" w:cs="Arial"/>
          <w:sz w:val="22"/>
          <w:szCs w:val="22"/>
        </w:rPr>
        <w:t>have</w:t>
      </w:r>
      <w:r w:rsidR="001E42C0" w:rsidRPr="00861553">
        <w:rPr>
          <w:rFonts w:eastAsiaTheme="minorHAnsi" w:cs="Arial"/>
          <w:sz w:val="22"/>
          <w:szCs w:val="22"/>
        </w:rPr>
        <w:t xml:space="preserve"> </w:t>
      </w:r>
      <w:r w:rsidR="00784B67" w:rsidRPr="00861553">
        <w:rPr>
          <w:rFonts w:eastAsiaTheme="minorHAnsi" w:cs="Arial"/>
          <w:sz w:val="22"/>
          <w:szCs w:val="22"/>
        </w:rPr>
        <w:t xml:space="preserve">less </w:t>
      </w:r>
      <w:r w:rsidR="001E42C0" w:rsidRPr="00861553">
        <w:rPr>
          <w:rFonts w:eastAsiaTheme="minorHAnsi" w:cs="Arial"/>
          <w:sz w:val="22"/>
          <w:szCs w:val="22"/>
        </w:rPr>
        <w:t xml:space="preserve">incentive to switch over to DAB as they will be able to hold their original FM licences for an indefinite period of time. </w:t>
      </w:r>
      <w:r w:rsidR="00784B67" w:rsidRPr="00861553">
        <w:rPr>
          <w:rFonts w:eastAsiaTheme="minorHAnsi" w:cs="Arial"/>
          <w:sz w:val="22"/>
          <w:szCs w:val="22"/>
        </w:rPr>
        <w:t xml:space="preserve">Stations, with the guarantee of an indefinite licence until a switchover occurs, would perhaps not invest as concertedly in digital radio as they might otherwise and might instead choose to seek maximum financial value from their analogue licences. A shorter renewal period therefore strikes a </w:t>
      </w:r>
      <w:r w:rsidR="00E73453" w:rsidRPr="00861553">
        <w:rPr>
          <w:rFonts w:eastAsiaTheme="minorHAnsi" w:cs="Arial"/>
          <w:sz w:val="22"/>
          <w:szCs w:val="22"/>
        </w:rPr>
        <w:t xml:space="preserve">more effective </w:t>
      </w:r>
      <w:r w:rsidR="00784B67" w:rsidRPr="00861553">
        <w:rPr>
          <w:rFonts w:eastAsiaTheme="minorHAnsi" w:cs="Arial"/>
          <w:sz w:val="22"/>
          <w:szCs w:val="22"/>
        </w:rPr>
        <w:t>balance between providing certainty to industry and driving momentum towards a digital transition.</w:t>
      </w:r>
    </w:p>
    <w:p w14:paraId="52D91292" w14:textId="77777777" w:rsidR="001E42C0" w:rsidRPr="00861553" w:rsidRDefault="001E42C0"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 </w:t>
      </w:r>
    </w:p>
    <w:p w14:paraId="0C3B060B" w14:textId="4F6380F4" w:rsidR="00562F73" w:rsidRPr="00861553" w:rsidRDefault="00562F73" w:rsidP="00B405DA">
      <w:pPr>
        <w:widowControl w:val="0"/>
        <w:tabs>
          <w:tab w:val="left" w:pos="9050"/>
        </w:tabs>
        <w:autoSpaceDE w:val="0"/>
        <w:autoSpaceDN w:val="0"/>
        <w:adjustRightInd w:val="0"/>
        <w:ind w:right="18"/>
        <w:jc w:val="both"/>
        <w:rPr>
          <w:rFonts w:eastAsiaTheme="minorHAnsi" w:cs="Arial"/>
          <w:i/>
          <w:sz w:val="22"/>
          <w:szCs w:val="22"/>
        </w:rPr>
      </w:pPr>
      <w:r w:rsidRPr="00861553">
        <w:rPr>
          <w:rFonts w:eastAsiaTheme="minorHAnsi" w:cs="Arial"/>
          <w:i/>
          <w:sz w:val="22"/>
          <w:szCs w:val="22"/>
        </w:rPr>
        <w:t>Innovation</w:t>
      </w:r>
    </w:p>
    <w:p w14:paraId="3756E9E2" w14:textId="77777777" w:rsidR="00562F73" w:rsidRPr="00861553" w:rsidRDefault="00562F73" w:rsidP="00B405DA">
      <w:pPr>
        <w:widowControl w:val="0"/>
        <w:tabs>
          <w:tab w:val="left" w:pos="9050"/>
        </w:tabs>
        <w:autoSpaceDE w:val="0"/>
        <w:autoSpaceDN w:val="0"/>
        <w:adjustRightInd w:val="0"/>
        <w:ind w:right="18"/>
        <w:jc w:val="both"/>
        <w:rPr>
          <w:rFonts w:eastAsiaTheme="minorHAnsi" w:cs="Arial"/>
          <w:b/>
          <w:sz w:val="22"/>
          <w:szCs w:val="22"/>
          <w:u w:val="single"/>
        </w:rPr>
      </w:pPr>
    </w:p>
    <w:p w14:paraId="6CAA55F6" w14:textId="77777777" w:rsidR="00C06C9C" w:rsidRPr="00861553" w:rsidRDefault="00C141E8"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Additionally,</w:t>
      </w:r>
      <w:r w:rsidR="003D2E27" w:rsidRPr="00861553">
        <w:rPr>
          <w:rFonts w:eastAsiaTheme="minorHAnsi" w:cs="Arial"/>
          <w:sz w:val="22"/>
          <w:szCs w:val="22"/>
        </w:rPr>
        <w:t xml:space="preserve"> </w:t>
      </w:r>
      <w:r w:rsidR="001E42C0" w:rsidRPr="00861553">
        <w:rPr>
          <w:rFonts w:eastAsiaTheme="minorHAnsi" w:cs="Arial"/>
          <w:sz w:val="22"/>
          <w:szCs w:val="22"/>
        </w:rPr>
        <w:t xml:space="preserve">an indefinite licence will mean </w:t>
      </w:r>
      <w:r w:rsidR="00C06C9C" w:rsidRPr="00861553">
        <w:rPr>
          <w:rFonts w:eastAsiaTheme="minorHAnsi" w:cs="Arial"/>
          <w:sz w:val="22"/>
          <w:szCs w:val="22"/>
        </w:rPr>
        <w:t>businesses have no cost reduction incentives, no incentives to improve technology or innovate, and no incentive to improve their offer to consumers. These are all negative impacts which cannot be quantified but are based on strong economic theory</w:t>
      </w:r>
      <w:r w:rsidR="00A60C02" w:rsidRPr="00861553">
        <w:rPr>
          <w:rFonts w:eastAsiaTheme="minorHAnsi" w:cs="Arial"/>
          <w:sz w:val="22"/>
          <w:szCs w:val="22"/>
        </w:rPr>
        <w:t>.</w:t>
      </w:r>
    </w:p>
    <w:p w14:paraId="5DB09FEC" w14:textId="77777777" w:rsidR="00EF77A1" w:rsidRPr="00861553" w:rsidRDefault="00EF77A1" w:rsidP="00B405DA">
      <w:pPr>
        <w:widowControl w:val="0"/>
        <w:tabs>
          <w:tab w:val="left" w:pos="9050"/>
        </w:tabs>
        <w:autoSpaceDE w:val="0"/>
        <w:autoSpaceDN w:val="0"/>
        <w:adjustRightInd w:val="0"/>
        <w:ind w:right="18"/>
        <w:jc w:val="both"/>
        <w:rPr>
          <w:rFonts w:eastAsiaTheme="minorHAnsi" w:cs="Arial"/>
          <w:sz w:val="22"/>
          <w:szCs w:val="22"/>
        </w:rPr>
      </w:pPr>
    </w:p>
    <w:p w14:paraId="267A7F2A" w14:textId="446D45A0" w:rsidR="00562F73" w:rsidRPr="00861553" w:rsidRDefault="00562F73" w:rsidP="00B405DA">
      <w:pPr>
        <w:widowControl w:val="0"/>
        <w:tabs>
          <w:tab w:val="left" w:pos="9050"/>
        </w:tabs>
        <w:autoSpaceDE w:val="0"/>
        <w:autoSpaceDN w:val="0"/>
        <w:adjustRightInd w:val="0"/>
        <w:ind w:right="18"/>
        <w:jc w:val="both"/>
        <w:rPr>
          <w:rFonts w:eastAsiaTheme="minorHAnsi" w:cs="Arial"/>
          <w:i/>
          <w:sz w:val="22"/>
          <w:szCs w:val="22"/>
        </w:rPr>
      </w:pPr>
      <w:r w:rsidRPr="00861553">
        <w:rPr>
          <w:rFonts w:eastAsiaTheme="minorHAnsi" w:cs="Arial"/>
          <w:i/>
          <w:sz w:val="22"/>
          <w:szCs w:val="22"/>
        </w:rPr>
        <w:t>Restrictions</w:t>
      </w:r>
    </w:p>
    <w:p w14:paraId="2F14DD06" w14:textId="77777777" w:rsidR="00562F73" w:rsidRPr="00861553" w:rsidRDefault="00562F73" w:rsidP="00B405DA">
      <w:pPr>
        <w:widowControl w:val="0"/>
        <w:tabs>
          <w:tab w:val="left" w:pos="9050"/>
        </w:tabs>
        <w:autoSpaceDE w:val="0"/>
        <w:autoSpaceDN w:val="0"/>
        <w:adjustRightInd w:val="0"/>
        <w:ind w:right="18"/>
        <w:jc w:val="both"/>
        <w:rPr>
          <w:rFonts w:eastAsiaTheme="minorHAnsi" w:cs="Arial"/>
          <w:sz w:val="22"/>
          <w:szCs w:val="22"/>
        </w:rPr>
      </w:pPr>
    </w:p>
    <w:p w14:paraId="5BF40DC1" w14:textId="77777777" w:rsidR="00A60C02" w:rsidRPr="00861553" w:rsidRDefault="00C06C9C"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An additional cost of extending the licences indefinitely is that if </w:t>
      </w:r>
      <w:r w:rsidR="00784B67" w:rsidRPr="00861553">
        <w:rPr>
          <w:rFonts w:eastAsiaTheme="minorHAnsi" w:cs="Arial"/>
          <w:sz w:val="22"/>
          <w:szCs w:val="22"/>
        </w:rPr>
        <w:t>at any point in the future a formal switchover to digital radio was not considered to be an appropriate course of action</w:t>
      </w:r>
      <w:r w:rsidRPr="00861553">
        <w:rPr>
          <w:rFonts w:eastAsiaTheme="minorHAnsi" w:cs="Arial"/>
          <w:sz w:val="22"/>
          <w:szCs w:val="22"/>
        </w:rPr>
        <w:t>, t</w:t>
      </w:r>
      <w:r w:rsidR="00784B67" w:rsidRPr="00861553">
        <w:rPr>
          <w:rFonts w:eastAsiaTheme="minorHAnsi" w:cs="Arial"/>
          <w:sz w:val="22"/>
          <w:szCs w:val="22"/>
        </w:rPr>
        <w:t xml:space="preserve">here would be </w:t>
      </w:r>
      <w:r w:rsidR="00A60C02" w:rsidRPr="00861553">
        <w:rPr>
          <w:rFonts w:eastAsiaTheme="minorHAnsi" w:cs="Arial"/>
          <w:sz w:val="22"/>
          <w:szCs w:val="22"/>
        </w:rPr>
        <w:t xml:space="preserve">no room to re-advertise </w:t>
      </w:r>
      <w:r w:rsidRPr="00861553">
        <w:rPr>
          <w:rFonts w:eastAsiaTheme="minorHAnsi" w:cs="Arial"/>
          <w:sz w:val="22"/>
          <w:szCs w:val="22"/>
        </w:rPr>
        <w:t>the current licences held, he</w:t>
      </w:r>
      <w:r w:rsidR="00A60C02" w:rsidRPr="00861553">
        <w:rPr>
          <w:rFonts w:eastAsiaTheme="minorHAnsi" w:cs="Arial"/>
          <w:sz w:val="22"/>
          <w:szCs w:val="22"/>
        </w:rPr>
        <w:t>nce guaranteeing those busine</w:t>
      </w:r>
      <w:r w:rsidR="00784B67" w:rsidRPr="00861553">
        <w:rPr>
          <w:rFonts w:eastAsiaTheme="minorHAnsi" w:cs="Arial"/>
          <w:sz w:val="22"/>
          <w:szCs w:val="22"/>
        </w:rPr>
        <w:t>sses currently holding licences</w:t>
      </w:r>
      <w:r w:rsidR="003D2E27" w:rsidRPr="00861553">
        <w:rPr>
          <w:rFonts w:eastAsiaTheme="minorHAnsi" w:cs="Arial"/>
          <w:sz w:val="22"/>
          <w:szCs w:val="22"/>
        </w:rPr>
        <w:t xml:space="preserve"> security of those licences </w:t>
      </w:r>
      <w:r w:rsidR="00A60C02" w:rsidRPr="00861553">
        <w:rPr>
          <w:rFonts w:eastAsiaTheme="minorHAnsi" w:cs="Arial"/>
          <w:sz w:val="22"/>
          <w:szCs w:val="22"/>
        </w:rPr>
        <w:t>indefinitely</w:t>
      </w:r>
      <w:r w:rsidR="003D2E27" w:rsidRPr="00861553">
        <w:rPr>
          <w:rFonts w:eastAsiaTheme="minorHAnsi" w:cs="Arial"/>
          <w:sz w:val="22"/>
          <w:szCs w:val="22"/>
        </w:rPr>
        <w:t>.</w:t>
      </w:r>
    </w:p>
    <w:p w14:paraId="3CC089F8" w14:textId="77777777" w:rsidR="005664E6" w:rsidRPr="00861553" w:rsidRDefault="007212D6" w:rsidP="00B405DA">
      <w:pPr>
        <w:widowControl w:val="0"/>
        <w:tabs>
          <w:tab w:val="left" w:pos="9050"/>
        </w:tabs>
        <w:autoSpaceDE w:val="0"/>
        <w:autoSpaceDN w:val="0"/>
        <w:adjustRightInd w:val="0"/>
        <w:ind w:right="18"/>
        <w:jc w:val="both"/>
        <w:rPr>
          <w:rFonts w:eastAsiaTheme="minorHAnsi" w:cs="Arial"/>
          <w:sz w:val="22"/>
          <w:szCs w:val="22"/>
        </w:rPr>
      </w:pPr>
      <w:r w:rsidRPr="00861553">
        <w:rPr>
          <w:rFonts w:eastAsiaTheme="minorHAnsi" w:cs="Arial"/>
          <w:sz w:val="22"/>
          <w:szCs w:val="22"/>
        </w:rPr>
        <w:t xml:space="preserve"> </w:t>
      </w:r>
    </w:p>
    <w:p w14:paraId="4179B54D" w14:textId="77777777" w:rsidR="00A60C02" w:rsidRPr="00861553" w:rsidRDefault="00A60C02" w:rsidP="00B405DA">
      <w:pPr>
        <w:rPr>
          <w:rFonts w:cs="Arial"/>
          <w:b/>
        </w:rPr>
      </w:pPr>
      <w:r w:rsidRPr="00861553">
        <w:rPr>
          <w:rFonts w:cs="Arial"/>
          <w:b/>
        </w:rPr>
        <w:t>Benefits</w:t>
      </w:r>
    </w:p>
    <w:p w14:paraId="752D2C60" w14:textId="77777777" w:rsidR="00955187" w:rsidRPr="00861553" w:rsidRDefault="00955187" w:rsidP="00B405DA">
      <w:pPr>
        <w:rPr>
          <w:rFonts w:cs="Arial"/>
          <w:b/>
          <w:sz w:val="22"/>
          <w:szCs w:val="22"/>
        </w:rPr>
      </w:pPr>
    </w:p>
    <w:p w14:paraId="610C642C" w14:textId="70192F88" w:rsidR="00955187" w:rsidRPr="00861553" w:rsidRDefault="00955187" w:rsidP="00B405DA">
      <w:pPr>
        <w:rPr>
          <w:rFonts w:cs="Arial"/>
          <w:sz w:val="22"/>
          <w:szCs w:val="22"/>
        </w:rPr>
      </w:pPr>
      <w:r w:rsidRPr="00861553">
        <w:rPr>
          <w:rFonts w:cs="Arial"/>
          <w:sz w:val="22"/>
          <w:szCs w:val="22"/>
        </w:rPr>
        <w:t xml:space="preserve">The benefits of extending the licences indefinitely would be </w:t>
      </w:r>
      <w:r w:rsidR="00506EFC" w:rsidRPr="00861553">
        <w:rPr>
          <w:rFonts w:cs="Arial"/>
          <w:sz w:val="22"/>
          <w:szCs w:val="22"/>
        </w:rPr>
        <w:t>similar to those outlines in option 2, as</w:t>
      </w:r>
      <w:r w:rsidRPr="00861553">
        <w:rPr>
          <w:rFonts w:cs="Arial"/>
          <w:sz w:val="22"/>
          <w:szCs w:val="22"/>
        </w:rPr>
        <w:t xml:space="preserve"> the </w:t>
      </w:r>
      <w:r w:rsidR="00506EFC" w:rsidRPr="00861553">
        <w:rPr>
          <w:rFonts w:cs="Arial"/>
          <w:sz w:val="22"/>
          <w:szCs w:val="22"/>
        </w:rPr>
        <w:t>principle of an extension of the licences will have the same impacts. Th</w:t>
      </w:r>
      <w:r w:rsidR="00527901" w:rsidRPr="00861553">
        <w:rPr>
          <w:rFonts w:cs="Arial"/>
          <w:sz w:val="22"/>
          <w:szCs w:val="22"/>
        </w:rPr>
        <w:t>e</w:t>
      </w:r>
      <w:r w:rsidRPr="00861553">
        <w:rPr>
          <w:rFonts w:cs="Arial"/>
          <w:sz w:val="22"/>
          <w:szCs w:val="22"/>
        </w:rPr>
        <w:t xml:space="preserve"> incumbents currently holding licences would be guaranteed certainty and stabilit</w:t>
      </w:r>
      <w:r w:rsidR="006A00C0" w:rsidRPr="00861553">
        <w:rPr>
          <w:rFonts w:cs="Arial"/>
          <w:sz w:val="22"/>
          <w:szCs w:val="22"/>
        </w:rPr>
        <w:t xml:space="preserve">y to deliver their services </w:t>
      </w:r>
      <w:r w:rsidR="00784B67" w:rsidRPr="00861553">
        <w:rPr>
          <w:rFonts w:cs="Arial"/>
          <w:sz w:val="22"/>
          <w:szCs w:val="22"/>
        </w:rPr>
        <w:t xml:space="preserve">on analogue </w:t>
      </w:r>
      <w:r w:rsidR="006A00C0" w:rsidRPr="00861553">
        <w:rPr>
          <w:rFonts w:cs="Arial"/>
          <w:sz w:val="22"/>
          <w:szCs w:val="22"/>
        </w:rPr>
        <w:t>for an</w:t>
      </w:r>
      <w:r w:rsidR="00784B67" w:rsidRPr="00861553">
        <w:rPr>
          <w:rFonts w:cs="Arial"/>
          <w:sz w:val="22"/>
          <w:szCs w:val="22"/>
        </w:rPr>
        <w:t xml:space="preserve"> indefinite period of time. </w:t>
      </w:r>
    </w:p>
    <w:p w14:paraId="336BCB38" w14:textId="77777777" w:rsidR="00C345E5" w:rsidRPr="00861553" w:rsidRDefault="00C345E5" w:rsidP="00B405DA">
      <w:pPr>
        <w:rPr>
          <w:rFonts w:cs="Arial"/>
          <w:sz w:val="22"/>
          <w:szCs w:val="22"/>
        </w:rPr>
      </w:pPr>
    </w:p>
    <w:p w14:paraId="495FF803" w14:textId="77777777" w:rsidR="00C345E5" w:rsidRPr="00861553" w:rsidRDefault="00C345E5" w:rsidP="00B405DA">
      <w:pPr>
        <w:rPr>
          <w:rFonts w:cs="Arial"/>
          <w:sz w:val="22"/>
          <w:szCs w:val="22"/>
        </w:rPr>
      </w:pPr>
      <w:r w:rsidRPr="00861553">
        <w:rPr>
          <w:rFonts w:cs="Arial"/>
          <w:sz w:val="22"/>
          <w:szCs w:val="22"/>
        </w:rPr>
        <w:t>The other benefits are those which are discussed in option 2 in relation to the cost saving to industry as a result of not being required to re-bid for their licences.</w:t>
      </w:r>
      <w:r w:rsidR="00527901" w:rsidRPr="00861553">
        <w:rPr>
          <w:rFonts w:cs="Arial"/>
          <w:sz w:val="22"/>
          <w:szCs w:val="22"/>
        </w:rPr>
        <w:t xml:space="preserve"> This benefit would be at least £2,758,856 and £7,798,856. If the extension of the licences were to extend further, up to a point where other licences were going to expire and these were just renewed, the quantified cost saving benefit would arguably be even more. Nevertheless, the costs lost competition in the market would increase with time, hence by a certain point the cost of lack of competition in the market</w:t>
      </w:r>
      <w:r w:rsidR="00942A4A" w:rsidRPr="00861553">
        <w:rPr>
          <w:rFonts w:cs="Arial"/>
          <w:sz w:val="22"/>
          <w:szCs w:val="22"/>
        </w:rPr>
        <w:t xml:space="preserve"> and the impacts of the lack of competition</w:t>
      </w:r>
      <w:r w:rsidR="00527901" w:rsidRPr="00861553">
        <w:rPr>
          <w:rFonts w:cs="Arial"/>
          <w:sz w:val="22"/>
          <w:szCs w:val="22"/>
        </w:rPr>
        <w:t xml:space="preserve"> would significantly begin to outweigh any cost-saving benefit to the businesses.  </w:t>
      </w:r>
    </w:p>
    <w:p w14:paraId="01BA6EAC" w14:textId="77777777" w:rsidR="00955187" w:rsidRPr="00861553" w:rsidRDefault="00955187" w:rsidP="00B405DA">
      <w:pPr>
        <w:rPr>
          <w:rFonts w:cs="Arial"/>
          <w:b/>
          <w:sz w:val="22"/>
          <w:szCs w:val="22"/>
        </w:rPr>
      </w:pPr>
    </w:p>
    <w:p w14:paraId="7392AED4" w14:textId="77777777" w:rsidR="006F1D7C" w:rsidRPr="00D52397" w:rsidRDefault="006F1D7C" w:rsidP="00B405DA">
      <w:pPr>
        <w:rPr>
          <w:rFonts w:cs="Arial"/>
          <w:b/>
          <w:sz w:val="22"/>
          <w:szCs w:val="22"/>
        </w:rPr>
      </w:pPr>
    </w:p>
    <w:sectPr w:rsidR="006F1D7C" w:rsidRPr="00D52397" w:rsidSect="005A0390">
      <w:footerReference w:type="default" r:id="rId13"/>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4CACC" w14:textId="77777777" w:rsidR="005D3CBB" w:rsidRDefault="005D3CBB">
      <w:r>
        <w:separator/>
      </w:r>
    </w:p>
  </w:endnote>
  <w:endnote w:type="continuationSeparator" w:id="0">
    <w:p w14:paraId="36A09F39" w14:textId="77777777" w:rsidR="005D3CBB" w:rsidRDefault="005D3CBB">
      <w:r>
        <w:continuationSeparator/>
      </w:r>
    </w:p>
  </w:endnote>
  <w:endnote w:type="continuationNotice" w:id="1">
    <w:p w14:paraId="38E8BB69" w14:textId="77777777" w:rsidR="005D3CBB" w:rsidRDefault="005D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ì???"/>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D089" w14:textId="77777777" w:rsidR="008B4C8A" w:rsidRPr="00207D2A" w:rsidRDefault="008B4C8A" w:rsidP="000407D8">
    <w:pPr>
      <w:pStyle w:val="Footer"/>
    </w:pPr>
    <w:r>
      <w:tab/>
    </w:r>
    <w:r w:rsidRPr="000407D8">
      <w:fldChar w:fldCharType="begin"/>
    </w:r>
    <w:r w:rsidRPr="000407D8">
      <w:instrText xml:space="preserve"> PAGE </w:instrText>
    </w:r>
    <w:r w:rsidRPr="000407D8">
      <w:fldChar w:fldCharType="separate"/>
    </w:r>
    <w:r w:rsidR="00256377">
      <w:rPr>
        <w:noProof/>
      </w:rPr>
      <w:t>1</w:t>
    </w:r>
    <w:r w:rsidRPr="000407D8">
      <w:fldChar w:fldCharType="end"/>
    </w:r>
    <w:bookmarkStart w:id="20" w:name="Title"/>
    <w:bookmarkEnd w:id="20"/>
    <w:r>
      <w:tab/>
      <w:t xml:space="preserve">URN 11/1109 Ver. 3.0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24E8" w14:textId="77777777" w:rsidR="008B4C8A" w:rsidRDefault="008B4C8A">
    <w:pPr>
      <w:pStyle w:val="Footer"/>
    </w:pPr>
  </w:p>
  <w:p w14:paraId="6059A30F" w14:textId="77777777" w:rsidR="008B4C8A" w:rsidRPr="00EB43FD" w:rsidRDefault="008B4C8A" w:rsidP="000407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8B403" w14:textId="77777777" w:rsidR="005D3CBB" w:rsidRDefault="005D3CBB">
      <w:r>
        <w:separator/>
      </w:r>
    </w:p>
  </w:footnote>
  <w:footnote w:type="continuationSeparator" w:id="0">
    <w:p w14:paraId="48897343" w14:textId="77777777" w:rsidR="005D3CBB" w:rsidRDefault="005D3CBB">
      <w:r>
        <w:continuationSeparator/>
      </w:r>
    </w:p>
  </w:footnote>
  <w:footnote w:type="continuationNotice" w:id="1">
    <w:p w14:paraId="137650BB" w14:textId="77777777" w:rsidR="005D3CBB" w:rsidRDefault="005D3CBB"/>
  </w:footnote>
  <w:footnote w:id="2">
    <w:p w14:paraId="3E532D08" w14:textId="77777777" w:rsidR="008B4C8A" w:rsidRDefault="008B4C8A" w:rsidP="005230E8">
      <w:pPr>
        <w:pStyle w:val="FootnoteText"/>
      </w:pPr>
      <w:r>
        <w:rPr>
          <w:rStyle w:val="FootnoteReference"/>
        </w:rPr>
        <w:footnoteRef/>
      </w:r>
      <w:r>
        <w:t xml:space="preserve"> For the purposes of these definitions, stations that are part of radio groups are treated as separate entities from the parent company</w:t>
      </w:r>
    </w:p>
  </w:footnote>
  <w:footnote w:id="3">
    <w:p w14:paraId="34AE0ADE" w14:textId="71836E3D" w:rsidR="008B4C8A" w:rsidRDefault="008B4C8A">
      <w:pPr>
        <w:pStyle w:val="FootnoteText"/>
      </w:pPr>
      <w:r>
        <w:rPr>
          <w:rStyle w:val="FootnoteReference"/>
        </w:rPr>
        <w:footnoteRef/>
      </w:r>
      <w:r>
        <w:t xml:space="preserve"> </w:t>
      </w:r>
      <w:r w:rsidRPr="00633FDE">
        <w:t>Attitudes to Local Radio (a summary of the findings of a quantitative survey of local radio ​listeners), Ofcom, July 2013</w:t>
      </w:r>
    </w:p>
  </w:footnote>
  <w:footnote w:id="4">
    <w:p w14:paraId="657E62E6" w14:textId="540B7F42" w:rsidR="008B4C8A" w:rsidRDefault="008B4C8A">
      <w:pPr>
        <w:pStyle w:val="FootnoteText"/>
      </w:pPr>
      <w:r>
        <w:rPr>
          <w:rStyle w:val="FootnoteReference"/>
        </w:rPr>
        <w:footnoteRef/>
      </w:r>
      <w:r>
        <w:t xml:space="preserve"> </w:t>
      </w:r>
      <w:r>
        <w:rPr>
          <w:rFonts w:eastAsiaTheme="minorEastAsia"/>
          <w:sz w:val="22"/>
          <w:szCs w:val="22"/>
        </w:rPr>
        <w:t>In this w</w:t>
      </w:r>
      <w:r w:rsidRPr="00861553">
        <w:rPr>
          <w:rFonts w:eastAsiaTheme="minorEastAsia"/>
          <w:sz w:val="22"/>
          <w:szCs w:val="22"/>
        </w:rPr>
        <w:t xml:space="preserve">e also assume that the content pushed out by the extra 3 hours of local content has no value.  </w:t>
      </w:r>
    </w:p>
  </w:footnote>
  <w:footnote w:id="5">
    <w:p w14:paraId="0DE5BAEB" w14:textId="14C2540A" w:rsidR="008B4C8A" w:rsidRPr="00115388" w:rsidRDefault="008B4C8A">
      <w:pPr>
        <w:pStyle w:val="FootnoteText"/>
        <w:rPr>
          <w:i/>
        </w:rPr>
      </w:pPr>
      <w:r w:rsidRPr="00115388">
        <w:rPr>
          <w:rStyle w:val="FootnoteReference"/>
          <w:i/>
        </w:rPr>
        <w:footnoteRef/>
      </w:r>
      <w:r w:rsidRPr="00562F73">
        <w:rPr>
          <w:i/>
        </w:rPr>
        <w:t xml:space="preserve"> Ofcom internal information</w:t>
      </w:r>
      <w:r>
        <w:t xml:space="preserve"> </w:t>
      </w:r>
      <w:r w:rsidRPr="0043603C">
        <w:t>Attitudes to Local Radio (</w:t>
      </w:r>
      <w:r>
        <w:t>a</w:t>
      </w:r>
      <w:r w:rsidRPr="0043603C">
        <w:t xml:space="preserve"> summary of the findings of a quantit</w:t>
      </w:r>
      <w:r>
        <w:t>at</w:t>
      </w:r>
      <w:r w:rsidRPr="0043603C">
        <w:t>ive sur</w:t>
      </w:r>
      <w:r>
        <w:t xml:space="preserve">vey of local radio ​listeners), Ofcom, </w:t>
      </w:r>
      <w:r w:rsidRPr="0043603C">
        <w:t>July 2013</w:t>
      </w:r>
    </w:p>
  </w:footnote>
  <w:footnote w:id="6">
    <w:p w14:paraId="65C3C296" w14:textId="22B8FC4B" w:rsidR="008B4C8A" w:rsidRDefault="008B4C8A">
      <w:pPr>
        <w:pStyle w:val="FootnoteText"/>
      </w:pPr>
      <w:r>
        <w:rPr>
          <w:rStyle w:val="FootnoteReference"/>
        </w:rPr>
        <w:footnoteRef/>
      </w:r>
      <w:r>
        <w:t xml:space="preserve"> Internal information from Ofcom</w:t>
      </w:r>
    </w:p>
  </w:footnote>
  <w:footnote w:id="7">
    <w:p w14:paraId="4E916766" w14:textId="2FF196FC" w:rsidR="008B4C8A" w:rsidRPr="00562F73" w:rsidRDefault="008B4C8A">
      <w:pPr>
        <w:pStyle w:val="FootnoteText"/>
        <w:rPr>
          <w:i/>
        </w:rPr>
      </w:pPr>
      <w:r w:rsidRPr="00562F73">
        <w:rPr>
          <w:rStyle w:val="FootnoteReference"/>
          <w:i/>
        </w:rPr>
        <w:footnoteRef/>
      </w:r>
      <w:r w:rsidRPr="00562F73">
        <w:rPr>
          <w:i/>
        </w:rPr>
        <w:t xml:space="preserve"> Ofcom internal information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C10D" w14:textId="77777777" w:rsidR="008B4C8A" w:rsidRPr="002D3103" w:rsidRDefault="008B4C8A" w:rsidP="002D3103">
    <w:pPr>
      <w:pStyle w:val="Header"/>
    </w:pPr>
    <w:r>
      <w:fldChar w:fldCharType="begin"/>
    </w:r>
    <w:r>
      <w:instrText xml:space="preserve"> DOCPROPERTY  Classification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3AF7934"/>
    <w:multiLevelType w:val="hybridMultilevel"/>
    <w:tmpl w:val="F360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44123D"/>
    <w:multiLevelType w:val="hybridMultilevel"/>
    <w:tmpl w:val="BBE6E326"/>
    <w:lvl w:ilvl="0" w:tplc="3DFC5C5C">
      <w:start w:val="4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C61212"/>
    <w:multiLevelType w:val="hybridMultilevel"/>
    <w:tmpl w:val="CA1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B9D0299"/>
    <w:multiLevelType w:val="hybridMultilevel"/>
    <w:tmpl w:val="69F41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104EB7"/>
    <w:multiLevelType w:val="hybridMultilevel"/>
    <w:tmpl w:val="E2A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F39F8"/>
    <w:multiLevelType w:val="multilevel"/>
    <w:tmpl w:val="130ADDBA"/>
    <w:lvl w:ilvl="0">
      <w:start w:val="1"/>
      <w:numFmt w:val="bullet"/>
      <w:pStyle w:val="EBBullet"/>
      <w:lvlText w:val=""/>
      <w:lvlJc w:val="left"/>
      <w:pPr>
        <w:tabs>
          <w:tab w:val="num" w:pos="710"/>
        </w:tabs>
        <w:ind w:left="710" w:hanging="284"/>
      </w:pPr>
      <w:rPr>
        <w:rFonts w:ascii="Symbol" w:hAnsi="Symbol" w:hint="default"/>
      </w:rPr>
    </w:lvl>
    <w:lvl w:ilvl="1">
      <w:start w:val="1"/>
      <w:numFmt w:val="bullet"/>
      <w:lvlText w:val=""/>
      <w:lvlJc w:val="left"/>
      <w:pPr>
        <w:tabs>
          <w:tab w:val="num" w:pos="993"/>
        </w:tabs>
        <w:ind w:left="993" w:hanging="283"/>
      </w:pPr>
      <w:rPr>
        <w:rFonts w:ascii="Symbol" w:hAnsi="Symbol"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8">
    <w:nsid w:val="31A37212"/>
    <w:multiLevelType w:val="hybridMultilevel"/>
    <w:tmpl w:val="C39A7EF6"/>
    <w:lvl w:ilvl="0" w:tplc="9DCAF3C8">
      <w:start w:val="4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39467141"/>
    <w:multiLevelType w:val="hybridMultilevel"/>
    <w:tmpl w:val="8A70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1D31D5"/>
    <w:multiLevelType w:val="hybridMultilevel"/>
    <w:tmpl w:val="DF461C8E"/>
    <w:lvl w:ilvl="0" w:tplc="25ACBA8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nsid w:val="4A433018"/>
    <w:multiLevelType w:val="hybridMultilevel"/>
    <w:tmpl w:val="8B189C14"/>
    <w:lvl w:ilvl="0" w:tplc="4E6A94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B3A89"/>
    <w:multiLevelType w:val="hybridMultilevel"/>
    <w:tmpl w:val="992A6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6D0B1F"/>
    <w:multiLevelType w:val="hybridMultilevel"/>
    <w:tmpl w:val="8B4203E0"/>
    <w:lvl w:ilvl="0" w:tplc="458C666E">
      <w:start w:val="4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915E07"/>
    <w:multiLevelType w:val="hybridMultilevel"/>
    <w:tmpl w:val="120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1B665A"/>
    <w:multiLevelType w:val="hybridMultilevel"/>
    <w:tmpl w:val="ADECE468"/>
    <w:lvl w:ilvl="0" w:tplc="699E6232">
      <w:start w:val="4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DA7058"/>
    <w:multiLevelType w:val="hybridMultilevel"/>
    <w:tmpl w:val="F360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79465E"/>
    <w:multiLevelType w:val="hybridMultilevel"/>
    <w:tmpl w:val="8606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AB1B42"/>
    <w:multiLevelType w:val="hybridMultilevel"/>
    <w:tmpl w:val="06EAB784"/>
    <w:lvl w:ilvl="0" w:tplc="B2A4EDC4">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nsid w:val="773F103E"/>
    <w:multiLevelType w:val="hybridMultilevel"/>
    <w:tmpl w:val="D5583F14"/>
    <w:lvl w:ilvl="0" w:tplc="50483F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0"/>
  </w:num>
  <w:num w:numId="13">
    <w:abstractNumId w:val="10"/>
  </w:num>
  <w:num w:numId="14">
    <w:abstractNumId w:val="19"/>
  </w:num>
  <w:num w:numId="15">
    <w:abstractNumId w:val="17"/>
  </w:num>
  <w:num w:numId="16">
    <w:abstractNumId w:val="14"/>
  </w:num>
  <w:num w:numId="17">
    <w:abstractNumId w:val="17"/>
  </w:num>
  <w:num w:numId="18">
    <w:abstractNumId w:val="32"/>
  </w:num>
  <w:num w:numId="19">
    <w:abstractNumId w:val="32"/>
  </w:num>
  <w:num w:numId="20">
    <w:abstractNumId w:val="32"/>
  </w:num>
  <w:num w:numId="21">
    <w:abstractNumId w:val="17"/>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6"/>
  </w:num>
  <w:num w:numId="26">
    <w:abstractNumId w:val="18"/>
  </w:num>
  <w:num w:numId="27">
    <w:abstractNumId w:val="12"/>
  </w:num>
  <w:num w:numId="28">
    <w:abstractNumId w:val="24"/>
  </w:num>
  <w:num w:numId="29">
    <w:abstractNumId w:val="11"/>
  </w:num>
  <w:num w:numId="30">
    <w:abstractNumId w:val="27"/>
  </w:num>
  <w:num w:numId="31">
    <w:abstractNumId w:val="31"/>
  </w:num>
  <w:num w:numId="32">
    <w:abstractNumId w:val="29"/>
  </w:num>
  <w:num w:numId="33">
    <w:abstractNumId w:val="15"/>
  </w:num>
  <w:num w:numId="34">
    <w:abstractNumId w:val="16"/>
  </w:num>
  <w:num w:numId="35">
    <w:abstractNumId w:val="20"/>
  </w:num>
  <w:num w:numId="36">
    <w:abstractNumId w:val="13"/>
  </w:num>
  <w:num w:numId="37">
    <w:abstractNumId w:val="28"/>
  </w:num>
  <w:num w:numId="38">
    <w:abstractNumId w:val="23"/>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s>
  <w:rsids>
    <w:rsidRoot w:val="00F560FC"/>
    <w:rsid w:val="00000482"/>
    <w:rsid w:val="000009D4"/>
    <w:rsid w:val="00001282"/>
    <w:rsid w:val="000019B2"/>
    <w:rsid w:val="00001D68"/>
    <w:rsid w:val="00001E72"/>
    <w:rsid w:val="0000505F"/>
    <w:rsid w:val="00005F31"/>
    <w:rsid w:val="00006079"/>
    <w:rsid w:val="000071A5"/>
    <w:rsid w:val="000079C0"/>
    <w:rsid w:val="00010EE1"/>
    <w:rsid w:val="00012458"/>
    <w:rsid w:val="00013569"/>
    <w:rsid w:val="000142F1"/>
    <w:rsid w:val="0001460F"/>
    <w:rsid w:val="00014F70"/>
    <w:rsid w:val="00015D1E"/>
    <w:rsid w:val="00021306"/>
    <w:rsid w:val="000222F1"/>
    <w:rsid w:val="00022BE0"/>
    <w:rsid w:val="00022F52"/>
    <w:rsid w:val="0002370C"/>
    <w:rsid w:val="000239A7"/>
    <w:rsid w:val="00023E62"/>
    <w:rsid w:val="000251D0"/>
    <w:rsid w:val="00026555"/>
    <w:rsid w:val="00026AC0"/>
    <w:rsid w:val="00026C33"/>
    <w:rsid w:val="0003786D"/>
    <w:rsid w:val="0004016B"/>
    <w:rsid w:val="000407D8"/>
    <w:rsid w:val="0004094F"/>
    <w:rsid w:val="00042B83"/>
    <w:rsid w:val="00045828"/>
    <w:rsid w:val="00045BAD"/>
    <w:rsid w:val="00051114"/>
    <w:rsid w:val="0005127B"/>
    <w:rsid w:val="00051403"/>
    <w:rsid w:val="0005153F"/>
    <w:rsid w:val="00052F44"/>
    <w:rsid w:val="00053A5D"/>
    <w:rsid w:val="00056EE6"/>
    <w:rsid w:val="0006047F"/>
    <w:rsid w:val="0006053F"/>
    <w:rsid w:val="00063DB2"/>
    <w:rsid w:val="00066AF6"/>
    <w:rsid w:val="00067123"/>
    <w:rsid w:val="000671A2"/>
    <w:rsid w:val="00070EEB"/>
    <w:rsid w:val="00071299"/>
    <w:rsid w:val="00072272"/>
    <w:rsid w:val="000767AC"/>
    <w:rsid w:val="00076A78"/>
    <w:rsid w:val="00076C08"/>
    <w:rsid w:val="00080C0E"/>
    <w:rsid w:val="00082BAC"/>
    <w:rsid w:val="00083B8D"/>
    <w:rsid w:val="00086128"/>
    <w:rsid w:val="0008731F"/>
    <w:rsid w:val="0008744D"/>
    <w:rsid w:val="000910F4"/>
    <w:rsid w:val="0009381F"/>
    <w:rsid w:val="00094680"/>
    <w:rsid w:val="000956FD"/>
    <w:rsid w:val="00096D92"/>
    <w:rsid w:val="00097BBB"/>
    <w:rsid w:val="000A36EE"/>
    <w:rsid w:val="000A533C"/>
    <w:rsid w:val="000A79FC"/>
    <w:rsid w:val="000A7F32"/>
    <w:rsid w:val="000B07A1"/>
    <w:rsid w:val="000B1176"/>
    <w:rsid w:val="000B3E49"/>
    <w:rsid w:val="000B480A"/>
    <w:rsid w:val="000B6C74"/>
    <w:rsid w:val="000B7871"/>
    <w:rsid w:val="000C031E"/>
    <w:rsid w:val="000C0666"/>
    <w:rsid w:val="000C0ADE"/>
    <w:rsid w:val="000C165A"/>
    <w:rsid w:val="000C1D45"/>
    <w:rsid w:val="000C30D8"/>
    <w:rsid w:val="000C4589"/>
    <w:rsid w:val="000C5154"/>
    <w:rsid w:val="000C57D5"/>
    <w:rsid w:val="000C6440"/>
    <w:rsid w:val="000C66C3"/>
    <w:rsid w:val="000C6A87"/>
    <w:rsid w:val="000D1CB0"/>
    <w:rsid w:val="000D4B72"/>
    <w:rsid w:val="000D55B5"/>
    <w:rsid w:val="000D58BD"/>
    <w:rsid w:val="000D5ED5"/>
    <w:rsid w:val="000D7F7C"/>
    <w:rsid w:val="000E25AB"/>
    <w:rsid w:val="000E2B8A"/>
    <w:rsid w:val="000E327B"/>
    <w:rsid w:val="000E34EF"/>
    <w:rsid w:val="000E385F"/>
    <w:rsid w:val="000E3FD7"/>
    <w:rsid w:val="000E5777"/>
    <w:rsid w:val="000E5BE1"/>
    <w:rsid w:val="000F37BB"/>
    <w:rsid w:val="000F4481"/>
    <w:rsid w:val="000F57BB"/>
    <w:rsid w:val="00103535"/>
    <w:rsid w:val="001110DB"/>
    <w:rsid w:val="00115266"/>
    <w:rsid w:val="00115388"/>
    <w:rsid w:val="00115D70"/>
    <w:rsid w:val="00117971"/>
    <w:rsid w:val="00120113"/>
    <w:rsid w:val="00121FCE"/>
    <w:rsid w:val="00122544"/>
    <w:rsid w:val="001235DD"/>
    <w:rsid w:val="0012369A"/>
    <w:rsid w:val="001243CD"/>
    <w:rsid w:val="00126EA7"/>
    <w:rsid w:val="00127373"/>
    <w:rsid w:val="00127649"/>
    <w:rsid w:val="00133A17"/>
    <w:rsid w:val="00133C58"/>
    <w:rsid w:val="00133DBA"/>
    <w:rsid w:val="001365F4"/>
    <w:rsid w:val="00140CAA"/>
    <w:rsid w:val="0014140D"/>
    <w:rsid w:val="00141B6F"/>
    <w:rsid w:val="0014336D"/>
    <w:rsid w:val="00143967"/>
    <w:rsid w:val="001444DB"/>
    <w:rsid w:val="00144CF7"/>
    <w:rsid w:val="00144E44"/>
    <w:rsid w:val="00145739"/>
    <w:rsid w:val="00146C4F"/>
    <w:rsid w:val="001477D1"/>
    <w:rsid w:val="00147E55"/>
    <w:rsid w:val="00150DAE"/>
    <w:rsid w:val="0015254E"/>
    <w:rsid w:val="00152C60"/>
    <w:rsid w:val="001535F3"/>
    <w:rsid w:val="00155405"/>
    <w:rsid w:val="00156E0C"/>
    <w:rsid w:val="00157EB1"/>
    <w:rsid w:val="00160691"/>
    <w:rsid w:val="00165113"/>
    <w:rsid w:val="001664B7"/>
    <w:rsid w:val="001709E2"/>
    <w:rsid w:val="00174C10"/>
    <w:rsid w:val="00175447"/>
    <w:rsid w:val="00177F19"/>
    <w:rsid w:val="00183882"/>
    <w:rsid w:val="00184233"/>
    <w:rsid w:val="001844B6"/>
    <w:rsid w:val="001851A3"/>
    <w:rsid w:val="001851B9"/>
    <w:rsid w:val="001855B1"/>
    <w:rsid w:val="0019021E"/>
    <w:rsid w:val="00190F9A"/>
    <w:rsid w:val="001926E5"/>
    <w:rsid w:val="00194050"/>
    <w:rsid w:val="00194745"/>
    <w:rsid w:val="00194E96"/>
    <w:rsid w:val="00197977"/>
    <w:rsid w:val="001A0355"/>
    <w:rsid w:val="001A07F1"/>
    <w:rsid w:val="001A3B0B"/>
    <w:rsid w:val="001A4332"/>
    <w:rsid w:val="001A478E"/>
    <w:rsid w:val="001A509E"/>
    <w:rsid w:val="001A6FE6"/>
    <w:rsid w:val="001A7B61"/>
    <w:rsid w:val="001A7D6D"/>
    <w:rsid w:val="001B305C"/>
    <w:rsid w:val="001B34EB"/>
    <w:rsid w:val="001C0644"/>
    <w:rsid w:val="001C0B58"/>
    <w:rsid w:val="001C1A8E"/>
    <w:rsid w:val="001C31E1"/>
    <w:rsid w:val="001C3870"/>
    <w:rsid w:val="001C5F46"/>
    <w:rsid w:val="001C6D3D"/>
    <w:rsid w:val="001C7303"/>
    <w:rsid w:val="001D09CC"/>
    <w:rsid w:val="001D0AF4"/>
    <w:rsid w:val="001D12D6"/>
    <w:rsid w:val="001D2096"/>
    <w:rsid w:val="001D3771"/>
    <w:rsid w:val="001D3A43"/>
    <w:rsid w:val="001D3C11"/>
    <w:rsid w:val="001D4D42"/>
    <w:rsid w:val="001D5EC9"/>
    <w:rsid w:val="001D6B90"/>
    <w:rsid w:val="001D77CE"/>
    <w:rsid w:val="001E152A"/>
    <w:rsid w:val="001E1DA0"/>
    <w:rsid w:val="001E42C0"/>
    <w:rsid w:val="001E5267"/>
    <w:rsid w:val="001F0596"/>
    <w:rsid w:val="001F0FE8"/>
    <w:rsid w:val="001F123E"/>
    <w:rsid w:val="001F324C"/>
    <w:rsid w:val="001F430C"/>
    <w:rsid w:val="001F5423"/>
    <w:rsid w:val="001F69E9"/>
    <w:rsid w:val="001F71C9"/>
    <w:rsid w:val="0020104C"/>
    <w:rsid w:val="00201B79"/>
    <w:rsid w:val="00202E56"/>
    <w:rsid w:val="00202FEB"/>
    <w:rsid w:val="002033D6"/>
    <w:rsid w:val="00203758"/>
    <w:rsid w:val="00205E05"/>
    <w:rsid w:val="0020708B"/>
    <w:rsid w:val="00207B21"/>
    <w:rsid w:val="00207D2A"/>
    <w:rsid w:val="00211257"/>
    <w:rsid w:val="002144F0"/>
    <w:rsid w:val="00216F02"/>
    <w:rsid w:val="0021731F"/>
    <w:rsid w:val="00217CA1"/>
    <w:rsid w:val="00220B56"/>
    <w:rsid w:val="00220F29"/>
    <w:rsid w:val="00221FAD"/>
    <w:rsid w:val="00223970"/>
    <w:rsid w:val="0022490F"/>
    <w:rsid w:val="002274E5"/>
    <w:rsid w:val="0022767B"/>
    <w:rsid w:val="00227A38"/>
    <w:rsid w:val="002347A2"/>
    <w:rsid w:val="0023628B"/>
    <w:rsid w:val="00241738"/>
    <w:rsid w:val="002425C2"/>
    <w:rsid w:val="00242C41"/>
    <w:rsid w:val="002437A8"/>
    <w:rsid w:val="00247BBC"/>
    <w:rsid w:val="00250259"/>
    <w:rsid w:val="00251ED1"/>
    <w:rsid w:val="002530A8"/>
    <w:rsid w:val="00253F4D"/>
    <w:rsid w:val="00256377"/>
    <w:rsid w:val="002570EE"/>
    <w:rsid w:val="0026191F"/>
    <w:rsid w:val="00262AC7"/>
    <w:rsid w:val="00265153"/>
    <w:rsid w:val="0026681F"/>
    <w:rsid w:val="002674AA"/>
    <w:rsid w:val="00267759"/>
    <w:rsid w:val="002718D6"/>
    <w:rsid w:val="00272539"/>
    <w:rsid w:val="00272B62"/>
    <w:rsid w:val="00272F62"/>
    <w:rsid w:val="00273A3C"/>
    <w:rsid w:val="00277999"/>
    <w:rsid w:val="0028070A"/>
    <w:rsid w:val="00280A01"/>
    <w:rsid w:val="00281E7E"/>
    <w:rsid w:val="00282042"/>
    <w:rsid w:val="00282EFA"/>
    <w:rsid w:val="002837FC"/>
    <w:rsid w:val="00284C30"/>
    <w:rsid w:val="002855AF"/>
    <w:rsid w:val="00285FA9"/>
    <w:rsid w:val="00286282"/>
    <w:rsid w:val="002863C4"/>
    <w:rsid w:val="002866A8"/>
    <w:rsid w:val="002871B3"/>
    <w:rsid w:val="0028755A"/>
    <w:rsid w:val="00287BA8"/>
    <w:rsid w:val="00290335"/>
    <w:rsid w:val="0029158C"/>
    <w:rsid w:val="002918E9"/>
    <w:rsid w:val="00292ED0"/>
    <w:rsid w:val="00293834"/>
    <w:rsid w:val="00294BDE"/>
    <w:rsid w:val="002A06DA"/>
    <w:rsid w:val="002A456F"/>
    <w:rsid w:val="002A6A36"/>
    <w:rsid w:val="002A6E2B"/>
    <w:rsid w:val="002A7023"/>
    <w:rsid w:val="002B1167"/>
    <w:rsid w:val="002B4B3F"/>
    <w:rsid w:val="002B4D79"/>
    <w:rsid w:val="002B5C9A"/>
    <w:rsid w:val="002B6FB6"/>
    <w:rsid w:val="002B70C5"/>
    <w:rsid w:val="002B7335"/>
    <w:rsid w:val="002B77F5"/>
    <w:rsid w:val="002C1D0C"/>
    <w:rsid w:val="002C1EC2"/>
    <w:rsid w:val="002C20F9"/>
    <w:rsid w:val="002C288C"/>
    <w:rsid w:val="002C331D"/>
    <w:rsid w:val="002C3997"/>
    <w:rsid w:val="002C518E"/>
    <w:rsid w:val="002C62D2"/>
    <w:rsid w:val="002C6468"/>
    <w:rsid w:val="002D1AE9"/>
    <w:rsid w:val="002D3103"/>
    <w:rsid w:val="002D3FB3"/>
    <w:rsid w:val="002D4104"/>
    <w:rsid w:val="002D4177"/>
    <w:rsid w:val="002D548B"/>
    <w:rsid w:val="002D7ECF"/>
    <w:rsid w:val="002E46DE"/>
    <w:rsid w:val="002E5406"/>
    <w:rsid w:val="002E5FB5"/>
    <w:rsid w:val="002E6072"/>
    <w:rsid w:val="002F008F"/>
    <w:rsid w:val="002F056A"/>
    <w:rsid w:val="002F1CB1"/>
    <w:rsid w:val="002F3633"/>
    <w:rsid w:val="002F5B67"/>
    <w:rsid w:val="002F653C"/>
    <w:rsid w:val="002F7D4C"/>
    <w:rsid w:val="00300CED"/>
    <w:rsid w:val="00302B7C"/>
    <w:rsid w:val="003045EF"/>
    <w:rsid w:val="00304677"/>
    <w:rsid w:val="00304C1D"/>
    <w:rsid w:val="003060CD"/>
    <w:rsid w:val="003069E8"/>
    <w:rsid w:val="00307E85"/>
    <w:rsid w:val="00310269"/>
    <w:rsid w:val="00310E67"/>
    <w:rsid w:val="003111DB"/>
    <w:rsid w:val="00311373"/>
    <w:rsid w:val="00311CCB"/>
    <w:rsid w:val="003127F8"/>
    <w:rsid w:val="00313937"/>
    <w:rsid w:val="00314466"/>
    <w:rsid w:val="003149E9"/>
    <w:rsid w:val="0031634A"/>
    <w:rsid w:val="00316B83"/>
    <w:rsid w:val="00317DAD"/>
    <w:rsid w:val="003203C7"/>
    <w:rsid w:val="00320415"/>
    <w:rsid w:val="0032056A"/>
    <w:rsid w:val="003210C1"/>
    <w:rsid w:val="00322E0B"/>
    <w:rsid w:val="00323107"/>
    <w:rsid w:val="00324485"/>
    <w:rsid w:val="003255BC"/>
    <w:rsid w:val="00325E99"/>
    <w:rsid w:val="00326939"/>
    <w:rsid w:val="00331DCE"/>
    <w:rsid w:val="00332055"/>
    <w:rsid w:val="00332280"/>
    <w:rsid w:val="003323DB"/>
    <w:rsid w:val="00332B05"/>
    <w:rsid w:val="003330C7"/>
    <w:rsid w:val="00333E51"/>
    <w:rsid w:val="00335C9A"/>
    <w:rsid w:val="003364F2"/>
    <w:rsid w:val="00337135"/>
    <w:rsid w:val="00343CCE"/>
    <w:rsid w:val="00345525"/>
    <w:rsid w:val="0034648B"/>
    <w:rsid w:val="00355E73"/>
    <w:rsid w:val="00356841"/>
    <w:rsid w:val="00363376"/>
    <w:rsid w:val="00364715"/>
    <w:rsid w:val="00365687"/>
    <w:rsid w:val="003657AB"/>
    <w:rsid w:val="003702C4"/>
    <w:rsid w:val="00370A03"/>
    <w:rsid w:val="0037191D"/>
    <w:rsid w:val="00372A69"/>
    <w:rsid w:val="00376491"/>
    <w:rsid w:val="003800B3"/>
    <w:rsid w:val="00380189"/>
    <w:rsid w:val="00380A15"/>
    <w:rsid w:val="00381107"/>
    <w:rsid w:val="00381308"/>
    <w:rsid w:val="003818E8"/>
    <w:rsid w:val="00382ED0"/>
    <w:rsid w:val="00384017"/>
    <w:rsid w:val="003848EF"/>
    <w:rsid w:val="00384905"/>
    <w:rsid w:val="00384B2C"/>
    <w:rsid w:val="00385BF8"/>
    <w:rsid w:val="00386560"/>
    <w:rsid w:val="003872A2"/>
    <w:rsid w:val="00387913"/>
    <w:rsid w:val="00391F49"/>
    <w:rsid w:val="003932DD"/>
    <w:rsid w:val="00395DFD"/>
    <w:rsid w:val="00395F95"/>
    <w:rsid w:val="00396C1A"/>
    <w:rsid w:val="003A0212"/>
    <w:rsid w:val="003A151C"/>
    <w:rsid w:val="003A4CEE"/>
    <w:rsid w:val="003A53C5"/>
    <w:rsid w:val="003A5EEC"/>
    <w:rsid w:val="003A6079"/>
    <w:rsid w:val="003A68AB"/>
    <w:rsid w:val="003A7572"/>
    <w:rsid w:val="003B0000"/>
    <w:rsid w:val="003B04F0"/>
    <w:rsid w:val="003B11CA"/>
    <w:rsid w:val="003B1336"/>
    <w:rsid w:val="003B17EA"/>
    <w:rsid w:val="003B20FC"/>
    <w:rsid w:val="003B24F8"/>
    <w:rsid w:val="003B30DD"/>
    <w:rsid w:val="003B3E18"/>
    <w:rsid w:val="003B6F02"/>
    <w:rsid w:val="003B72CF"/>
    <w:rsid w:val="003B78AB"/>
    <w:rsid w:val="003C01C8"/>
    <w:rsid w:val="003C2DEE"/>
    <w:rsid w:val="003C3AC8"/>
    <w:rsid w:val="003C4286"/>
    <w:rsid w:val="003D11C0"/>
    <w:rsid w:val="003D13C4"/>
    <w:rsid w:val="003D2341"/>
    <w:rsid w:val="003D2BA9"/>
    <w:rsid w:val="003D2D82"/>
    <w:rsid w:val="003D2E27"/>
    <w:rsid w:val="003D33A3"/>
    <w:rsid w:val="003D53C2"/>
    <w:rsid w:val="003D57B2"/>
    <w:rsid w:val="003D6960"/>
    <w:rsid w:val="003D7184"/>
    <w:rsid w:val="003D77EE"/>
    <w:rsid w:val="003E0510"/>
    <w:rsid w:val="003E1BBB"/>
    <w:rsid w:val="003E2295"/>
    <w:rsid w:val="003E54B6"/>
    <w:rsid w:val="003E58BD"/>
    <w:rsid w:val="003E5A63"/>
    <w:rsid w:val="003E66BB"/>
    <w:rsid w:val="003E7A4D"/>
    <w:rsid w:val="003F1F49"/>
    <w:rsid w:val="003F2FA0"/>
    <w:rsid w:val="003F42A7"/>
    <w:rsid w:val="003F4522"/>
    <w:rsid w:val="003F6045"/>
    <w:rsid w:val="003F71C5"/>
    <w:rsid w:val="00400DD8"/>
    <w:rsid w:val="004016DE"/>
    <w:rsid w:val="00402551"/>
    <w:rsid w:val="004025DC"/>
    <w:rsid w:val="00402E80"/>
    <w:rsid w:val="00405ACA"/>
    <w:rsid w:val="00416050"/>
    <w:rsid w:val="00416BA2"/>
    <w:rsid w:val="00416BDF"/>
    <w:rsid w:val="004172AE"/>
    <w:rsid w:val="004175D4"/>
    <w:rsid w:val="004177C5"/>
    <w:rsid w:val="00421290"/>
    <w:rsid w:val="004240A9"/>
    <w:rsid w:val="0042494E"/>
    <w:rsid w:val="00426AB3"/>
    <w:rsid w:val="00432445"/>
    <w:rsid w:val="004326E7"/>
    <w:rsid w:val="0043446F"/>
    <w:rsid w:val="0043603C"/>
    <w:rsid w:val="0043683F"/>
    <w:rsid w:val="004406D1"/>
    <w:rsid w:val="00441E17"/>
    <w:rsid w:val="00442003"/>
    <w:rsid w:val="004422A6"/>
    <w:rsid w:val="0044334B"/>
    <w:rsid w:val="004442E2"/>
    <w:rsid w:val="00445634"/>
    <w:rsid w:val="00446B5F"/>
    <w:rsid w:val="00447BBE"/>
    <w:rsid w:val="004500EA"/>
    <w:rsid w:val="0045253C"/>
    <w:rsid w:val="00452B35"/>
    <w:rsid w:val="004547EA"/>
    <w:rsid w:val="004548D2"/>
    <w:rsid w:val="00455EAA"/>
    <w:rsid w:val="00456494"/>
    <w:rsid w:val="00457408"/>
    <w:rsid w:val="004577E1"/>
    <w:rsid w:val="0045799A"/>
    <w:rsid w:val="00463490"/>
    <w:rsid w:val="00464B4D"/>
    <w:rsid w:val="00466326"/>
    <w:rsid w:val="00470BEA"/>
    <w:rsid w:val="00471060"/>
    <w:rsid w:val="004716AC"/>
    <w:rsid w:val="00471E07"/>
    <w:rsid w:val="00472725"/>
    <w:rsid w:val="00474C92"/>
    <w:rsid w:val="0047565D"/>
    <w:rsid w:val="004763AF"/>
    <w:rsid w:val="00480820"/>
    <w:rsid w:val="0048196D"/>
    <w:rsid w:val="00481DBF"/>
    <w:rsid w:val="00483E1A"/>
    <w:rsid w:val="00483FB7"/>
    <w:rsid w:val="004841F7"/>
    <w:rsid w:val="004860C0"/>
    <w:rsid w:val="00487074"/>
    <w:rsid w:val="00487E0B"/>
    <w:rsid w:val="0049072A"/>
    <w:rsid w:val="00490FF7"/>
    <w:rsid w:val="004930F6"/>
    <w:rsid w:val="00493562"/>
    <w:rsid w:val="0049416F"/>
    <w:rsid w:val="004948C9"/>
    <w:rsid w:val="00495404"/>
    <w:rsid w:val="00497931"/>
    <w:rsid w:val="004A14BC"/>
    <w:rsid w:val="004A3D93"/>
    <w:rsid w:val="004A3EFD"/>
    <w:rsid w:val="004A3F27"/>
    <w:rsid w:val="004A7E39"/>
    <w:rsid w:val="004B1045"/>
    <w:rsid w:val="004B1D47"/>
    <w:rsid w:val="004B23DC"/>
    <w:rsid w:val="004B3B7B"/>
    <w:rsid w:val="004B5251"/>
    <w:rsid w:val="004B6C5D"/>
    <w:rsid w:val="004C1AF7"/>
    <w:rsid w:val="004C4C8F"/>
    <w:rsid w:val="004C7269"/>
    <w:rsid w:val="004D0010"/>
    <w:rsid w:val="004D0574"/>
    <w:rsid w:val="004D0C7C"/>
    <w:rsid w:val="004D118B"/>
    <w:rsid w:val="004D1922"/>
    <w:rsid w:val="004D3A71"/>
    <w:rsid w:val="004D63A6"/>
    <w:rsid w:val="004D6A72"/>
    <w:rsid w:val="004D73DF"/>
    <w:rsid w:val="004E1174"/>
    <w:rsid w:val="004E29C6"/>
    <w:rsid w:val="004E4095"/>
    <w:rsid w:val="004E45E3"/>
    <w:rsid w:val="004E5067"/>
    <w:rsid w:val="004E6683"/>
    <w:rsid w:val="004F2E3B"/>
    <w:rsid w:val="004F3514"/>
    <w:rsid w:val="004F5DBA"/>
    <w:rsid w:val="004F7BA3"/>
    <w:rsid w:val="00500698"/>
    <w:rsid w:val="00500C9D"/>
    <w:rsid w:val="005015B8"/>
    <w:rsid w:val="00503B9D"/>
    <w:rsid w:val="00503C39"/>
    <w:rsid w:val="00506528"/>
    <w:rsid w:val="00506E74"/>
    <w:rsid w:val="00506EFC"/>
    <w:rsid w:val="00507986"/>
    <w:rsid w:val="00510D35"/>
    <w:rsid w:val="005116B1"/>
    <w:rsid w:val="00511B63"/>
    <w:rsid w:val="00513994"/>
    <w:rsid w:val="00516DF9"/>
    <w:rsid w:val="00516ECE"/>
    <w:rsid w:val="00517351"/>
    <w:rsid w:val="00520444"/>
    <w:rsid w:val="005230E8"/>
    <w:rsid w:val="00523B46"/>
    <w:rsid w:val="0052463E"/>
    <w:rsid w:val="00525511"/>
    <w:rsid w:val="00526200"/>
    <w:rsid w:val="00526240"/>
    <w:rsid w:val="00526B28"/>
    <w:rsid w:val="00527387"/>
    <w:rsid w:val="00527901"/>
    <w:rsid w:val="00527A7D"/>
    <w:rsid w:val="00533D7B"/>
    <w:rsid w:val="005409C5"/>
    <w:rsid w:val="00540A7C"/>
    <w:rsid w:val="005410A7"/>
    <w:rsid w:val="00541136"/>
    <w:rsid w:val="00542ECC"/>
    <w:rsid w:val="00544292"/>
    <w:rsid w:val="005456EC"/>
    <w:rsid w:val="00547154"/>
    <w:rsid w:val="00547652"/>
    <w:rsid w:val="00550155"/>
    <w:rsid w:val="00551798"/>
    <w:rsid w:val="00553AF5"/>
    <w:rsid w:val="00554795"/>
    <w:rsid w:val="00556DEA"/>
    <w:rsid w:val="00560972"/>
    <w:rsid w:val="005619FF"/>
    <w:rsid w:val="00562B5D"/>
    <w:rsid w:val="00562F73"/>
    <w:rsid w:val="00563B21"/>
    <w:rsid w:val="00563F7B"/>
    <w:rsid w:val="005640A6"/>
    <w:rsid w:val="005664E6"/>
    <w:rsid w:val="0056664A"/>
    <w:rsid w:val="00570F8E"/>
    <w:rsid w:val="0057194F"/>
    <w:rsid w:val="00571B06"/>
    <w:rsid w:val="00572118"/>
    <w:rsid w:val="00573359"/>
    <w:rsid w:val="00574A89"/>
    <w:rsid w:val="00575FFA"/>
    <w:rsid w:val="00576F30"/>
    <w:rsid w:val="00586CE4"/>
    <w:rsid w:val="00586D82"/>
    <w:rsid w:val="005875FD"/>
    <w:rsid w:val="005879B8"/>
    <w:rsid w:val="00591130"/>
    <w:rsid w:val="005911FB"/>
    <w:rsid w:val="005935CC"/>
    <w:rsid w:val="00593648"/>
    <w:rsid w:val="00594AC6"/>
    <w:rsid w:val="00594F99"/>
    <w:rsid w:val="00596F19"/>
    <w:rsid w:val="005970B5"/>
    <w:rsid w:val="0059771F"/>
    <w:rsid w:val="005978D0"/>
    <w:rsid w:val="005A0026"/>
    <w:rsid w:val="005A0390"/>
    <w:rsid w:val="005A0B86"/>
    <w:rsid w:val="005A13D2"/>
    <w:rsid w:val="005A2FC0"/>
    <w:rsid w:val="005A3880"/>
    <w:rsid w:val="005A3FED"/>
    <w:rsid w:val="005A55FF"/>
    <w:rsid w:val="005A58B1"/>
    <w:rsid w:val="005A66F6"/>
    <w:rsid w:val="005A7A14"/>
    <w:rsid w:val="005B2824"/>
    <w:rsid w:val="005B341F"/>
    <w:rsid w:val="005B44D6"/>
    <w:rsid w:val="005B5651"/>
    <w:rsid w:val="005B5F27"/>
    <w:rsid w:val="005B613F"/>
    <w:rsid w:val="005C0E7F"/>
    <w:rsid w:val="005C3832"/>
    <w:rsid w:val="005D27B8"/>
    <w:rsid w:val="005D2E03"/>
    <w:rsid w:val="005D3CBB"/>
    <w:rsid w:val="005D4544"/>
    <w:rsid w:val="005D5178"/>
    <w:rsid w:val="005D6EA8"/>
    <w:rsid w:val="005D6F05"/>
    <w:rsid w:val="005E10E3"/>
    <w:rsid w:val="005E3FC7"/>
    <w:rsid w:val="005E4F25"/>
    <w:rsid w:val="005E6B76"/>
    <w:rsid w:val="005F503C"/>
    <w:rsid w:val="005F54D7"/>
    <w:rsid w:val="005F698B"/>
    <w:rsid w:val="005F7805"/>
    <w:rsid w:val="00600689"/>
    <w:rsid w:val="00600956"/>
    <w:rsid w:val="0060161B"/>
    <w:rsid w:val="00602401"/>
    <w:rsid w:val="006061FB"/>
    <w:rsid w:val="0060666C"/>
    <w:rsid w:val="00606C5F"/>
    <w:rsid w:val="00606F88"/>
    <w:rsid w:val="00615CA5"/>
    <w:rsid w:val="00615D43"/>
    <w:rsid w:val="00616BCC"/>
    <w:rsid w:val="0061761A"/>
    <w:rsid w:val="0061797E"/>
    <w:rsid w:val="00620E43"/>
    <w:rsid w:val="00622979"/>
    <w:rsid w:val="0062325D"/>
    <w:rsid w:val="00623DFF"/>
    <w:rsid w:val="00624299"/>
    <w:rsid w:val="006243EB"/>
    <w:rsid w:val="00625AC1"/>
    <w:rsid w:val="006267F8"/>
    <w:rsid w:val="006271D9"/>
    <w:rsid w:val="00630542"/>
    <w:rsid w:val="00630966"/>
    <w:rsid w:val="00630EC4"/>
    <w:rsid w:val="00630EC9"/>
    <w:rsid w:val="00631B4C"/>
    <w:rsid w:val="00632522"/>
    <w:rsid w:val="0063273F"/>
    <w:rsid w:val="00632CB9"/>
    <w:rsid w:val="00633168"/>
    <w:rsid w:val="00633FDE"/>
    <w:rsid w:val="00634299"/>
    <w:rsid w:val="00635C8A"/>
    <w:rsid w:val="00635F2F"/>
    <w:rsid w:val="006406A5"/>
    <w:rsid w:val="00641D5A"/>
    <w:rsid w:val="00643B89"/>
    <w:rsid w:val="0064547B"/>
    <w:rsid w:val="00645936"/>
    <w:rsid w:val="00646433"/>
    <w:rsid w:val="00646B92"/>
    <w:rsid w:val="00647402"/>
    <w:rsid w:val="00650282"/>
    <w:rsid w:val="00650A11"/>
    <w:rsid w:val="006511BB"/>
    <w:rsid w:val="006531EF"/>
    <w:rsid w:val="00656305"/>
    <w:rsid w:val="0065675B"/>
    <w:rsid w:val="00657DB4"/>
    <w:rsid w:val="0066034A"/>
    <w:rsid w:val="006606F9"/>
    <w:rsid w:val="006613AE"/>
    <w:rsid w:val="006628F7"/>
    <w:rsid w:val="0066302D"/>
    <w:rsid w:val="006631B8"/>
    <w:rsid w:val="00663279"/>
    <w:rsid w:val="006634AC"/>
    <w:rsid w:val="006639DF"/>
    <w:rsid w:val="006656EC"/>
    <w:rsid w:val="006662EE"/>
    <w:rsid w:val="006664B3"/>
    <w:rsid w:val="00667977"/>
    <w:rsid w:val="006725A4"/>
    <w:rsid w:val="00674043"/>
    <w:rsid w:val="00676A41"/>
    <w:rsid w:val="0067720E"/>
    <w:rsid w:val="00677476"/>
    <w:rsid w:val="006776C1"/>
    <w:rsid w:val="0068051F"/>
    <w:rsid w:val="006824EE"/>
    <w:rsid w:val="00682BBC"/>
    <w:rsid w:val="00683057"/>
    <w:rsid w:val="00684490"/>
    <w:rsid w:val="006867B7"/>
    <w:rsid w:val="00686F5E"/>
    <w:rsid w:val="006914EF"/>
    <w:rsid w:val="006920ED"/>
    <w:rsid w:val="00692DE8"/>
    <w:rsid w:val="006930B6"/>
    <w:rsid w:val="0069403E"/>
    <w:rsid w:val="006945C8"/>
    <w:rsid w:val="006A00C0"/>
    <w:rsid w:val="006A0557"/>
    <w:rsid w:val="006A1658"/>
    <w:rsid w:val="006A1B09"/>
    <w:rsid w:val="006A2A2C"/>
    <w:rsid w:val="006A2D92"/>
    <w:rsid w:val="006A491C"/>
    <w:rsid w:val="006A4BEC"/>
    <w:rsid w:val="006A56C1"/>
    <w:rsid w:val="006A5A2E"/>
    <w:rsid w:val="006B04D1"/>
    <w:rsid w:val="006B0A4C"/>
    <w:rsid w:val="006B2E0C"/>
    <w:rsid w:val="006B34DB"/>
    <w:rsid w:val="006B3C41"/>
    <w:rsid w:val="006B4257"/>
    <w:rsid w:val="006B4A22"/>
    <w:rsid w:val="006B7507"/>
    <w:rsid w:val="006C0521"/>
    <w:rsid w:val="006C1A6F"/>
    <w:rsid w:val="006C2BE1"/>
    <w:rsid w:val="006C44BC"/>
    <w:rsid w:val="006C5CE3"/>
    <w:rsid w:val="006C6F94"/>
    <w:rsid w:val="006C7426"/>
    <w:rsid w:val="006C78AC"/>
    <w:rsid w:val="006D1474"/>
    <w:rsid w:val="006D1F7D"/>
    <w:rsid w:val="006D29CD"/>
    <w:rsid w:val="006D2A36"/>
    <w:rsid w:val="006D2BE3"/>
    <w:rsid w:val="006D2BEB"/>
    <w:rsid w:val="006D2BF3"/>
    <w:rsid w:val="006D30EF"/>
    <w:rsid w:val="006D37CF"/>
    <w:rsid w:val="006D39FE"/>
    <w:rsid w:val="006D5239"/>
    <w:rsid w:val="006E0F2E"/>
    <w:rsid w:val="006E11EC"/>
    <w:rsid w:val="006E1463"/>
    <w:rsid w:val="006E17B6"/>
    <w:rsid w:val="006E1FE1"/>
    <w:rsid w:val="006E532B"/>
    <w:rsid w:val="006E7242"/>
    <w:rsid w:val="006F0945"/>
    <w:rsid w:val="006F1D7C"/>
    <w:rsid w:val="006F3BB8"/>
    <w:rsid w:val="007006DD"/>
    <w:rsid w:val="00703D2D"/>
    <w:rsid w:val="0070404B"/>
    <w:rsid w:val="00705D66"/>
    <w:rsid w:val="00706FE9"/>
    <w:rsid w:val="00710BF9"/>
    <w:rsid w:val="007113CD"/>
    <w:rsid w:val="0071193C"/>
    <w:rsid w:val="00712889"/>
    <w:rsid w:val="00712914"/>
    <w:rsid w:val="0071360C"/>
    <w:rsid w:val="0071367B"/>
    <w:rsid w:val="007139B6"/>
    <w:rsid w:val="0071686F"/>
    <w:rsid w:val="00716D5C"/>
    <w:rsid w:val="00716E66"/>
    <w:rsid w:val="00717760"/>
    <w:rsid w:val="00717800"/>
    <w:rsid w:val="00717D8D"/>
    <w:rsid w:val="007208D9"/>
    <w:rsid w:val="00720ACF"/>
    <w:rsid w:val="00720AF5"/>
    <w:rsid w:val="00720C9D"/>
    <w:rsid w:val="00720FFE"/>
    <w:rsid w:val="007212D6"/>
    <w:rsid w:val="007265CB"/>
    <w:rsid w:val="00726B48"/>
    <w:rsid w:val="00732185"/>
    <w:rsid w:val="0073258B"/>
    <w:rsid w:val="00732BA8"/>
    <w:rsid w:val="0073350E"/>
    <w:rsid w:val="00733F8C"/>
    <w:rsid w:val="00734E99"/>
    <w:rsid w:val="007359A7"/>
    <w:rsid w:val="00736031"/>
    <w:rsid w:val="00736A54"/>
    <w:rsid w:val="00740EAE"/>
    <w:rsid w:val="00743D95"/>
    <w:rsid w:val="00744ECC"/>
    <w:rsid w:val="0074677C"/>
    <w:rsid w:val="00746E21"/>
    <w:rsid w:val="0074740B"/>
    <w:rsid w:val="00747E73"/>
    <w:rsid w:val="00751DC7"/>
    <w:rsid w:val="0075393B"/>
    <w:rsid w:val="007544CE"/>
    <w:rsid w:val="0075471A"/>
    <w:rsid w:val="00754F67"/>
    <w:rsid w:val="00756A80"/>
    <w:rsid w:val="0075771C"/>
    <w:rsid w:val="007608D7"/>
    <w:rsid w:val="00763D76"/>
    <w:rsid w:val="00764272"/>
    <w:rsid w:val="00764FAA"/>
    <w:rsid w:val="0076714B"/>
    <w:rsid w:val="00767A04"/>
    <w:rsid w:val="00771E19"/>
    <w:rsid w:val="00773334"/>
    <w:rsid w:val="00773B58"/>
    <w:rsid w:val="00774343"/>
    <w:rsid w:val="007754E1"/>
    <w:rsid w:val="00777487"/>
    <w:rsid w:val="007777A1"/>
    <w:rsid w:val="0078003D"/>
    <w:rsid w:val="00780CFA"/>
    <w:rsid w:val="007814C6"/>
    <w:rsid w:val="0078273E"/>
    <w:rsid w:val="00782DCD"/>
    <w:rsid w:val="00782F88"/>
    <w:rsid w:val="00783CBE"/>
    <w:rsid w:val="0078471D"/>
    <w:rsid w:val="00784B67"/>
    <w:rsid w:val="00784EC0"/>
    <w:rsid w:val="007857F7"/>
    <w:rsid w:val="007865BE"/>
    <w:rsid w:val="007871C5"/>
    <w:rsid w:val="0078730F"/>
    <w:rsid w:val="0078760F"/>
    <w:rsid w:val="00787F72"/>
    <w:rsid w:val="007913FD"/>
    <w:rsid w:val="0079221B"/>
    <w:rsid w:val="00794463"/>
    <w:rsid w:val="00796A50"/>
    <w:rsid w:val="007A01E1"/>
    <w:rsid w:val="007A3327"/>
    <w:rsid w:val="007A49C2"/>
    <w:rsid w:val="007A4BDD"/>
    <w:rsid w:val="007A6072"/>
    <w:rsid w:val="007B05B3"/>
    <w:rsid w:val="007B14CE"/>
    <w:rsid w:val="007B477B"/>
    <w:rsid w:val="007B63FE"/>
    <w:rsid w:val="007B6484"/>
    <w:rsid w:val="007B6F19"/>
    <w:rsid w:val="007C0763"/>
    <w:rsid w:val="007C08F8"/>
    <w:rsid w:val="007C0D0C"/>
    <w:rsid w:val="007C1837"/>
    <w:rsid w:val="007C2377"/>
    <w:rsid w:val="007C293A"/>
    <w:rsid w:val="007C31A8"/>
    <w:rsid w:val="007C3DFC"/>
    <w:rsid w:val="007C7A8E"/>
    <w:rsid w:val="007D0CC0"/>
    <w:rsid w:val="007D2662"/>
    <w:rsid w:val="007D537B"/>
    <w:rsid w:val="007D6F3F"/>
    <w:rsid w:val="007D6F90"/>
    <w:rsid w:val="007E3443"/>
    <w:rsid w:val="007E44B2"/>
    <w:rsid w:val="007E5FBC"/>
    <w:rsid w:val="007E6CF8"/>
    <w:rsid w:val="007E6ECC"/>
    <w:rsid w:val="007F0ABE"/>
    <w:rsid w:val="007F0ED9"/>
    <w:rsid w:val="007F25A7"/>
    <w:rsid w:val="007F2645"/>
    <w:rsid w:val="007F2E0C"/>
    <w:rsid w:val="007F4668"/>
    <w:rsid w:val="007F571B"/>
    <w:rsid w:val="007F64C7"/>
    <w:rsid w:val="00802126"/>
    <w:rsid w:val="008031EC"/>
    <w:rsid w:val="008054F0"/>
    <w:rsid w:val="00805BD3"/>
    <w:rsid w:val="00806DC6"/>
    <w:rsid w:val="00807DB6"/>
    <w:rsid w:val="0081198E"/>
    <w:rsid w:val="00815425"/>
    <w:rsid w:val="008155BA"/>
    <w:rsid w:val="00817638"/>
    <w:rsid w:val="008222A4"/>
    <w:rsid w:val="008228A5"/>
    <w:rsid w:val="00822B3C"/>
    <w:rsid w:val="00830413"/>
    <w:rsid w:val="00830ABE"/>
    <w:rsid w:val="00830ED9"/>
    <w:rsid w:val="00834336"/>
    <w:rsid w:val="00834367"/>
    <w:rsid w:val="00835BDB"/>
    <w:rsid w:val="008369A3"/>
    <w:rsid w:val="00837300"/>
    <w:rsid w:val="00837F65"/>
    <w:rsid w:val="008410B6"/>
    <w:rsid w:val="008452D9"/>
    <w:rsid w:val="00845B33"/>
    <w:rsid w:val="00845B41"/>
    <w:rsid w:val="0084649F"/>
    <w:rsid w:val="008478CE"/>
    <w:rsid w:val="00847C2B"/>
    <w:rsid w:val="00847E7D"/>
    <w:rsid w:val="00847F14"/>
    <w:rsid w:val="00850CF7"/>
    <w:rsid w:val="0085433D"/>
    <w:rsid w:val="0085583B"/>
    <w:rsid w:val="00857E85"/>
    <w:rsid w:val="00860E75"/>
    <w:rsid w:val="0086103A"/>
    <w:rsid w:val="00861553"/>
    <w:rsid w:val="008617EA"/>
    <w:rsid w:val="00862109"/>
    <w:rsid w:val="008629E3"/>
    <w:rsid w:val="00870D58"/>
    <w:rsid w:val="008727AA"/>
    <w:rsid w:val="008729DD"/>
    <w:rsid w:val="00873250"/>
    <w:rsid w:val="00873825"/>
    <w:rsid w:val="008739EF"/>
    <w:rsid w:val="00873ADE"/>
    <w:rsid w:val="00874737"/>
    <w:rsid w:val="00875571"/>
    <w:rsid w:val="00876BBA"/>
    <w:rsid w:val="00876F9A"/>
    <w:rsid w:val="00877C17"/>
    <w:rsid w:val="00883486"/>
    <w:rsid w:val="008839E5"/>
    <w:rsid w:val="00887156"/>
    <w:rsid w:val="0088761A"/>
    <w:rsid w:val="00887632"/>
    <w:rsid w:val="00890172"/>
    <w:rsid w:val="00892576"/>
    <w:rsid w:val="00894601"/>
    <w:rsid w:val="00894CD3"/>
    <w:rsid w:val="00895D49"/>
    <w:rsid w:val="0089699B"/>
    <w:rsid w:val="008A0019"/>
    <w:rsid w:val="008A0E60"/>
    <w:rsid w:val="008A217B"/>
    <w:rsid w:val="008A3865"/>
    <w:rsid w:val="008A4654"/>
    <w:rsid w:val="008A4693"/>
    <w:rsid w:val="008A6491"/>
    <w:rsid w:val="008A6708"/>
    <w:rsid w:val="008A7CF1"/>
    <w:rsid w:val="008B0674"/>
    <w:rsid w:val="008B0CFF"/>
    <w:rsid w:val="008B20C2"/>
    <w:rsid w:val="008B2BFA"/>
    <w:rsid w:val="008B333C"/>
    <w:rsid w:val="008B3CD2"/>
    <w:rsid w:val="008B4C8A"/>
    <w:rsid w:val="008B5C6E"/>
    <w:rsid w:val="008B75E1"/>
    <w:rsid w:val="008C011F"/>
    <w:rsid w:val="008C0707"/>
    <w:rsid w:val="008C0805"/>
    <w:rsid w:val="008C096C"/>
    <w:rsid w:val="008C0B6E"/>
    <w:rsid w:val="008C1262"/>
    <w:rsid w:val="008C1CAA"/>
    <w:rsid w:val="008C26F4"/>
    <w:rsid w:val="008C4888"/>
    <w:rsid w:val="008C624A"/>
    <w:rsid w:val="008C7845"/>
    <w:rsid w:val="008D1DB1"/>
    <w:rsid w:val="008D1DF0"/>
    <w:rsid w:val="008D3892"/>
    <w:rsid w:val="008D39AA"/>
    <w:rsid w:val="008D5118"/>
    <w:rsid w:val="008D55F9"/>
    <w:rsid w:val="008D6A9C"/>
    <w:rsid w:val="008E0D0B"/>
    <w:rsid w:val="008E0D56"/>
    <w:rsid w:val="008E2B2F"/>
    <w:rsid w:val="008E32A7"/>
    <w:rsid w:val="008E348C"/>
    <w:rsid w:val="008E4DFF"/>
    <w:rsid w:val="008E549E"/>
    <w:rsid w:val="008E67C0"/>
    <w:rsid w:val="008E685F"/>
    <w:rsid w:val="008E7F9F"/>
    <w:rsid w:val="008F09FE"/>
    <w:rsid w:val="008F1046"/>
    <w:rsid w:val="008F11E8"/>
    <w:rsid w:val="008F18B3"/>
    <w:rsid w:val="008F1E40"/>
    <w:rsid w:val="008F281A"/>
    <w:rsid w:val="008F4E1B"/>
    <w:rsid w:val="008F5890"/>
    <w:rsid w:val="008F5B59"/>
    <w:rsid w:val="008F5E8E"/>
    <w:rsid w:val="008F6E9D"/>
    <w:rsid w:val="008F7AD9"/>
    <w:rsid w:val="00900C12"/>
    <w:rsid w:val="00901875"/>
    <w:rsid w:val="00901EDF"/>
    <w:rsid w:val="00903CAE"/>
    <w:rsid w:val="00904B02"/>
    <w:rsid w:val="00904BBF"/>
    <w:rsid w:val="009050B9"/>
    <w:rsid w:val="00905752"/>
    <w:rsid w:val="00906288"/>
    <w:rsid w:val="00906E14"/>
    <w:rsid w:val="009076FD"/>
    <w:rsid w:val="00907BD3"/>
    <w:rsid w:val="009128E8"/>
    <w:rsid w:val="009135EF"/>
    <w:rsid w:val="00916074"/>
    <w:rsid w:val="0091674B"/>
    <w:rsid w:val="00916B0B"/>
    <w:rsid w:val="00920962"/>
    <w:rsid w:val="00920A27"/>
    <w:rsid w:val="0092264F"/>
    <w:rsid w:val="00925581"/>
    <w:rsid w:val="009266FD"/>
    <w:rsid w:val="0092726F"/>
    <w:rsid w:val="009272E7"/>
    <w:rsid w:val="009308F0"/>
    <w:rsid w:val="00933DAD"/>
    <w:rsid w:val="0093522C"/>
    <w:rsid w:val="00936C94"/>
    <w:rsid w:val="00937CD8"/>
    <w:rsid w:val="00937DFB"/>
    <w:rsid w:val="00941D69"/>
    <w:rsid w:val="00942A4A"/>
    <w:rsid w:val="0094376D"/>
    <w:rsid w:val="00943B07"/>
    <w:rsid w:val="00943E30"/>
    <w:rsid w:val="00944597"/>
    <w:rsid w:val="00944936"/>
    <w:rsid w:val="00944AA7"/>
    <w:rsid w:val="00944C97"/>
    <w:rsid w:val="00945A34"/>
    <w:rsid w:val="00946AD7"/>
    <w:rsid w:val="00947C30"/>
    <w:rsid w:val="00947F91"/>
    <w:rsid w:val="00950ECD"/>
    <w:rsid w:val="00952D7C"/>
    <w:rsid w:val="009540D9"/>
    <w:rsid w:val="0095425D"/>
    <w:rsid w:val="009546F6"/>
    <w:rsid w:val="00955187"/>
    <w:rsid w:val="00955588"/>
    <w:rsid w:val="009569C9"/>
    <w:rsid w:val="00956BA1"/>
    <w:rsid w:val="00961356"/>
    <w:rsid w:val="00962C9F"/>
    <w:rsid w:val="00963906"/>
    <w:rsid w:val="0096455D"/>
    <w:rsid w:val="00965CBF"/>
    <w:rsid w:val="00966271"/>
    <w:rsid w:val="00972783"/>
    <w:rsid w:val="0097372C"/>
    <w:rsid w:val="009769C6"/>
    <w:rsid w:val="00977F47"/>
    <w:rsid w:val="00980FD2"/>
    <w:rsid w:val="009837EF"/>
    <w:rsid w:val="009838AD"/>
    <w:rsid w:val="00983E05"/>
    <w:rsid w:val="00984BDC"/>
    <w:rsid w:val="009857E0"/>
    <w:rsid w:val="00985B8B"/>
    <w:rsid w:val="00987A1D"/>
    <w:rsid w:val="00987FB9"/>
    <w:rsid w:val="009918FB"/>
    <w:rsid w:val="00991CE2"/>
    <w:rsid w:val="009A0497"/>
    <w:rsid w:val="009A117C"/>
    <w:rsid w:val="009A1A9A"/>
    <w:rsid w:val="009A699A"/>
    <w:rsid w:val="009B36BF"/>
    <w:rsid w:val="009B41C9"/>
    <w:rsid w:val="009B52E8"/>
    <w:rsid w:val="009B5872"/>
    <w:rsid w:val="009B5A80"/>
    <w:rsid w:val="009B66AB"/>
    <w:rsid w:val="009B671B"/>
    <w:rsid w:val="009B6ACF"/>
    <w:rsid w:val="009B6B48"/>
    <w:rsid w:val="009B7123"/>
    <w:rsid w:val="009C0772"/>
    <w:rsid w:val="009C3E19"/>
    <w:rsid w:val="009C74B5"/>
    <w:rsid w:val="009C7BD2"/>
    <w:rsid w:val="009C7E71"/>
    <w:rsid w:val="009D0E47"/>
    <w:rsid w:val="009D19B4"/>
    <w:rsid w:val="009D1F1C"/>
    <w:rsid w:val="009D2898"/>
    <w:rsid w:val="009D2902"/>
    <w:rsid w:val="009D3AEC"/>
    <w:rsid w:val="009D6974"/>
    <w:rsid w:val="009D7957"/>
    <w:rsid w:val="009D7CE6"/>
    <w:rsid w:val="009E008F"/>
    <w:rsid w:val="009E0870"/>
    <w:rsid w:val="009E262C"/>
    <w:rsid w:val="009E720C"/>
    <w:rsid w:val="009E771F"/>
    <w:rsid w:val="009F050E"/>
    <w:rsid w:val="009F0CAB"/>
    <w:rsid w:val="009F1111"/>
    <w:rsid w:val="009F41B2"/>
    <w:rsid w:val="009F48BD"/>
    <w:rsid w:val="009F6072"/>
    <w:rsid w:val="009F74CE"/>
    <w:rsid w:val="00A00F82"/>
    <w:rsid w:val="00A02AB8"/>
    <w:rsid w:val="00A035CD"/>
    <w:rsid w:val="00A05393"/>
    <w:rsid w:val="00A05924"/>
    <w:rsid w:val="00A06549"/>
    <w:rsid w:val="00A12337"/>
    <w:rsid w:val="00A123FC"/>
    <w:rsid w:val="00A212FC"/>
    <w:rsid w:val="00A21C3A"/>
    <w:rsid w:val="00A22274"/>
    <w:rsid w:val="00A223AF"/>
    <w:rsid w:val="00A22437"/>
    <w:rsid w:val="00A2267C"/>
    <w:rsid w:val="00A23419"/>
    <w:rsid w:val="00A264FD"/>
    <w:rsid w:val="00A312CD"/>
    <w:rsid w:val="00A32793"/>
    <w:rsid w:val="00A34166"/>
    <w:rsid w:val="00A376D1"/>
    <w:rsid w:val="00A37FBC"/>
    <w:rsid w:val="00A4041B"/>
    <w:rsid w:val="00A412A4"/>
    <w:rsid w:val="00A44E29"/>
    <w:rsid w:val="00A45C6B"/>
    <w:rsid w:val="00A46BA8"/>
    <w:rsid w:val="00A47E69"/>
    <w:rsid w:val="00A54368"/>
    <w:rsid w:val="00A54607"/>
    <w:rsid w:val="00A546E3"/>
    <w:rsid w:val="00A54E37"/>
    <w:rsid w:val="00A566F7"/>
    <w:rsid w:val="00A56E2E"/>
    <w:rsid w:val="00A60B96"/>
    <w:rsid w:val="00A60C02"/>
    <w:rsid w:val="00A624D4"/>
    <w:rsid w:val="00A63795"/>
    <w:rsid w:val="00A63817"/>
    <w:rsid w:val="00A6381C"/>
    <w:rsid w:val="00A64DFC"/>
    <w:rsid w:val="00A64E3A"/>
    <w:rsid w:val="00A64E67"/>
    <w:rsid w:val="00A74FE2"/>
    <w:rsid w:val="00A75DAF"/>
    <w:rsid w:val="00A777B0"/>
    <w:rsid w:val="00A802C3"/>
    <w:rsid w:val="00A80316"/>
    <w:rsid w:val="00A80DCD"/>
    <w:rsid w:val="00A82240"/>
    <w:rsid w:val="00A8360B"/>
    <w:rsid w:val="00A83B1A"/>
    <w:rsid w:val="00A857D9"/>
    <w:rsid w:val="00A90A64"/>
    <w:rsid w:val="00A90F36"/>
    <w:rsid w:val="00A91448"/>
    <w:rsid w:val="00A92245"/>
    <w:rsid w:val="00A93A78"/>
    <w:rsid w:val="00AA25A1"/>
    <w:rsid w:val="00AA2B6A"/>
    <w:rsid w:val="00AA4B70"/>
    <w:rsid w:val="00AA6F60"/>
    <w:rsid w:val="00AA750C"/>
    <w:rsid w:val="00AA7756"/>
    <w:rsid w:val="00AB1C8D"/>
    <w:rsid w:val="00AB2681"/>
    <w:rsid w:val="00AB283C"/>
    <w:rsid w:val="00AB574B"/>
    <w:rsid w:val="00AB6BE7"/>
    <w:rsid w:val="00AB6DF3"/>
    <w:rsid w:val="00AB79EC"/>
    <w:rsid w:val="00AC06AD"/>
    <w:rsid w:val="00AC1849"/>
    <w:rsid w:val="00AC1DB2"/>
    <w:rsid w:val="00AC2099"/>
    <w:rsid w:val="00AC23DD"/>
    <w:rsid w:val="00AC249B"/>
    <w:rsid w:val="00AC32F7"/>
    <w:rsid w:val="00AC6779"/>
    <w:rsid w:val="00AC6859"/>
    <w:rsid w:val="00AC6D7C"/>
    <w:rsid w:val="00AC758F"/>
    <w:rsid w:val="00AD01BB"/>
    <w:rsid w:val="00AD02B4"/>
    <w:rsid w:val="00AD3522"/>
    <w:rsid w:val="00AD4CDC"/>
    <w:rsid w:val="00AD5C7A"/>
    <w:rsid w:val="00AD6308"/>
    <w:rsid w:val="00AD640D"/>
    <w:rsid w:val="00AD6B21"/>
    <w:rsid w:val="00AD6D7F"/>
    <w:rsid w:val="00AD6EE7"/>
    <w:rsid w:val="00AE0DAF"/>
    <w:rsid w:val="00AE1E77"/>
    <w:rsid w:val="00AE311C"/>
    <w:rsid w:val="00AE315D"/>
    <w:rsid w:val="00AE32FC"/>
    <w:rsid w:val="00AE3926"/>
    <w:rsid w:val="00AE46AA"/>
    <w:rsid w:val="00AE6061"/>
    <w:rsid w:val="00AE75D2"/>
    <w:rsid w:val="00AF0388"/>
    <w:rsid w:val="00AF05EF"/>
    <w:rsid w:val="00AF06BB"/>
    <w:rsid w:val="00AF07BF"/>
    <w:rsid w:val="00AF0863"/>
    <w:rsid w:val="00AF29BB"/>
    <w:rsid w:val="00AF2B88"/>
    <w:rsid w:val="00AF36C4"/>
    <w:rsid w:val="00AF63A9"/>
    <w:rsid w:val="00AF653A"/>
    <w:rsid w:val="00AF739D"/>
    <w:rsid w:val="00B006A9"/>
    <w:rsid w:val="00B01ECE"/>
    <w:rsid w:val="00B036BA"/>
    <w:rsid w:val="00B06148"/>
    <w:rsid w:val="00B068F2"/>
    <w:rsid w:val="00B111F5"/>
    <w:rsid w:val="00B12922"/>
    <w:rsid w:val="00B154EA"/>
    <w:rsid w:val="00B16383"/>
    <w:rsid w:val="00B16720"/>
    <w:rsid w:val="00B20969"/>
    <w:rsid w:val="00B20AE0"/>
    <w:rsid w:val="00B2109F"/>
    <w:rsid w:val="00B22390"/>
    <w:rsid w:val="00B22B27"/>
    <w:rsid w:val="00B251DA"/>
    <w:rsid w:val="00B26E0D"/>
    <w:rsid w:val="00B2747C"/>
    <w:rsid w:val="00B30FB4"/>
    <w:rsid w:val="00B318B0"/>
    <w:rsid w:val="00B31E83"/>
    <w:rsid w:val="00B3230A"/>
    <w:rsid w:val="00B325B0"/>
    <w:rsid w:val="00B328FC"/>
    <w:rsid w:val="00B3411C"/>
    <w:rsid w:val="00B36AB8"/>
    <w:rsid w:val="00B36ED0"/>
    <w:rsid w:val="00B405DA"/>
    <w:rsid w:val="00B4136C"/>
    <w:rsid w:val="00B42538"/>
    <w:rsid w:val="00B4271C"/>
    <w:rsid w:val="00B42A04"/>
    <w:rsid w:val="00B43453"/>
    <w:rsid w:val="00B450F8"/>
    <w:rsid w:val="00B46E8A"/>
    <w:rsid w:val="00B47A0F"/>
    <w:rsid w:val="00B47CFD"/>
    <w:rsid w:val="00B50649"/>
    <w:rsid w:val="00B50785"/>
    <w:rsid w:val="00B51DCA"/>
    <w:rsid w:val="00B51EDA"/>
    <w:rsid w:val="00B5400D"/>
    <w:rsid w:val="00B549E8"/>
    <w:rsid w:val="00B54A79"/>
    <w:rsid w:val="00B557B6"/>
    <w:rsid w:val="00B55B74"/>
    <w:rsid w:val="00B55E3F"/>
    <w:rsid w:val="00B5632D"/>
    <w:rsid w:val="00B60A1E"/>
    <w:rsid w:val="00B61595"/>
    <w:rsid w:val="00B621BB"/>
    <w:rsid w:val="00B62C82"/>
    <w:rsid w:val="00B660D2"/>
    <w:rsid w:val="00B66384"/>
    <w:rsid w:val="00B664D8"/>
    <w:rsid w:val="00B7014D"/>
    <w:rsid w:val="00B7017B"/>
    <w:rsid w:val="00B722B5"/>
    <w:rsid w:val="00B73857"/>
    <w:rsid w:val="00B73F07"/>
    <w:rsid w:val="00B73F2E"/>
    <w:rsid w:val="00B74113"/>
    <w:rsid w:val="00B74AF4"/>
    <w:rsid w:val="00B76ABB"/>
    <w:rsid w:val="00B77D33"/>
    <w:rsid w:val="00B816BD"/>
    <w:rsid w:val="00B827C5"/>
    <w:rsid w:val="00B82E33"/>
    <w:rsid w:val="00B83D1F"/>
    <w:rsid w:val="00B84190"/>
    <w:rsid w:val="00B84617"/>
    <w:rsid w:val="00B8472F"/>
    <w:rsid w:val="00B85A8F"/>
    <w:rsid w:val="00B86B6B"/>
    <w:rsid w:val="00B876D2"/>
    <w:rsid w:val="00B9057D"/>
    <w:rsid w:val="00B91546"/>
    <w:rsid w:val="00B91D3B"/>
    <w:rsid w:val="00B92D87"/>
    <w:rsid w:val="00B93466"/>
    <w:rsid w:val="00B94293"/>
    <w:rsid w:val="00B94B1E"/>
    <w:rsid w:val="00B94EE0"/>
    <w:rsid w:val="00B96818"/>
    <w:rsid w:val="00B9718C"/>
    <w:rsid w:val="00B977A5"/>
    <w:rsid w:val="00B97DFF"/>
    <w:rsid w:val="00BA1691"/>
    <w:rsid w:val="00BA31E2"/>
    <w:rsid w:val="00BA326C"/>
    <w:rsid w:val="00BA5BD9"/>
    <w:rsid w:val="00BB249D"/>
    <w:rsid w:val="00BB2CF8"/>
    <w:rsid w:val="00BB372A"/>
    <w:rsid w:val="00BB76DF"/>
    <w:rsid w:val="00BB771F"/>
    <w:rsid w:val="00BB7EA0"/>
    <w:rsid w:val="00BC2FBA"/>
    <w:rsid w:val="00BC2FCC"/>
    <w:rsid w:val="00BC468A"/>
    <w:rsid w:val="00BC4DDD"/>
    <w:rsid w:val="00BC7D24"/>
    <w:rsid w:val="00BD0413"/>
    <w:rsid w:val="00BD0C96"/>
    <w:rsid w:val="00BD0E94"/>
    <w:rsid w:val="00BD17E8"/>
    <w:rsid w:val="00BD2576"/>
    <w:rsid w:val="00BD2E17"/>
    <w:rsid w:val="00BD483E"/>
    <w:rsid w:val="00BD6A58"/>
    <w:rsid w:val="00BD6E3E"/>
    <w:rsid w:val="00BD7B1A"/>
    <w:rsid w:val="00BE04E3"/>
    <w:rsid w:val="00BE2726"/>
    <w:rsid w:val="00BE2ED0"/>
    <w:rsid w:val="00BE37B4"/>
    <w:rsid w:val="00BE4286"/>
    <w:rsid w:val="00BE4622"/>
    <w:rsid w:val="00BE5FB9"/>
    <w:rsid w:val="00BE647C"/>
    <w:rsid w:val="00BE650A"/>
    <w:rsid w:val="00BE7CC4"/>
    <w:rsid w:val="00BF268F"/>
    <w:rsid w:val="00BF6B96"/>
    <w:rsid w:val="00BF7186"/>
    <w:rsid w:val="00BF7917"/>
    <w:rsid w:val="00C026B1"/>
    <w:rsid w:val="00C02EEC"/>
    <w:rsid w:val="00C0349A"/>
    <w:rsid w:val="00C06A01"/>
    <w:rsid w:val="00C06C9C"/>
    <w:rsid w:val="00C079DC"/>
    <w:rsid w:val="00C120C0"/>
    <w:rsid w:val="00C13270"/>
    <w:rsid w:val="00C13EF0"/>
    <w:rsid w:val="00C141E8"/>
    <w:rsid w:val="00C15A21"/>
    <w:rsid w:val="00C174A6"/>
    <w:rsid w:val="00C17AAA"/>
    <w:rsid w:val="00C202C8"/>
    <w:rsid w:val="00C22EBB"/>
    <w:rsid w:val="00C2505D"/>
    <w:rsid w:val="00C2545A"/>
    <w:rsid w:val="00C27B5E"/>
    <w:rsid w:val="00C31CC0"/>
    <w:rsid w:val="00C3203A"/>
    <w:rsid w:val="00C328FE"/>
    <w:rsid w:val="00C33045"/>
    <w:rsid w:val="00C345E5"/>
    <w:rsid w:val="00C364F8"/>
    <w:rsid w:val="00C36FEA"/>
    <w:rsid w:val="00C41A41"/>
    <w:rsid w:val="00C4306B"/>
    <w:rsid w:val="00C433C2"/>
    <w:rsid w:val="00C438F7"/>
    <w:rsid w:val="00C45162"/>
    <w:rsid w:val="00C509D3"/>
    <w:rsid w:val="00C5274B"/>
    <w:rsid w:val="00C54C5D"/>
    <w:rsid w:val="00C55010"/>
    <w:rsid w:val="00C60BBD"/>
    <w:rsid w:val="00C63CA5"/>
    <w:rsid w:val="00C64899"/>
    <w:rsid w:val="00C6576C"/>
    <w:rsid w:val="00C67CDD"/>
    <w:rsid w:val="00C734E1"/>
    <w:rsid w:val="00C74661"/>
    <w:rsid w:val="00C75C12"/>
    <w:rsid w:val="00C762D1"/>
    <w:rsid w:val="00C76CB2"/>
    <w:rsid w:val="00C8325C"/>
    <w:rsid w:val="00C850F4"/>
    <w:rsid w:val="00C8797D"/>
    <w:rsid w:val="00C87CC4"/>
    <w:rsid w:val="00C902D7"/>
    <w:rsid w:val="00C9232A"/>
    <w:rsid w:val="00C94463"/>
    <w:rsid w:val="00C94A04"/>
    <w:rsid w:val="00C94CD6"/>
    <w:rsid w:val="00C95C26"/>
    <w:rsid w:val="00C9661C"/>
    <w:rsid w:val="00C971CD"/>
    <w:rsid w:val="00CA10EB"/>
    <w:rsid w:val="00CA31D5"/>
    <w:rsid w:val="00CA55B8"/>
    <w:rsid w:val="00CA6695"/>
    <w:rsid w:val="00CB3C2F"/>
    <w:rsid w:val="00CB511B"/>
    <w:rsid w:val="00CB6569"/>
    <w:rsid w:val="00CB6BD3"/>
    <w:rsid w:val="00CB6D2A"/>
    <w:rsid w:val="00CB78CF"/>
    <w:rsid w:val="00CC3809"/>
    <w:rsid w:val="00CC5620"/>
    <w:rsid w:val="00CC73D5"/>
    <w:rsid w:val="00CC7744"/>
    <w:rsid w:val="00CD058E"/>
    <w:rsid w:val="00CD0CCF"/>
    <w:rsid w:val="00CD2C94"/>
    <w:rsid w:val="00CD3F58"/>
    <w:rsid w:val="00CD44C8"/>
    <w:rsid w:val="00CD6A74"/>
    <w:rsid w:val="00CE24EB"/>
    <w:rsid w:val="00CE2A6B"/>
    <w:rsid w:val="00CE30A6"/>
    <w:rsid w:val="00CE42A1"/>
    <w:rsid w:val="00CE43DE"/>
    <w:rsid w:val="00CE5E4B"/>
    <w:rsid w:val="00CE6B8A"/>
    <w:rsid w:val="00CE7C01"/>
    <w:rsid w:val="00CF140C"/>
    <w:rsid w:val="00CF2024"/>
    <w:rsid w:val="00CF226B"/>
    <w:rsid w:val="00CF3FBF"/>
    <w:rsid w:val="00CF4AD8"/>
    <w:rsid w:val="00CF61B6"/>
    <w:rsid w:val="00CF671F"/>
    <w:rsid w:val="00CF768E"/>
    <w:rsid w:val="00CF77D4"/>
    <w:rsid w:val="00D00503"/>
    <w:rsid w:val="00D00846"/>
    <w:rsid w:val="00D014C7"/>
    <w:rsid w:val="00D01950"/>
    <w:rsid w:val="00D01A1D"/>
    <w:rsid w:val="00D0373C"/>
    <w:rsid w:val="00D04919"/>
    <w:rsid w:val="00D052B4"/>
    <w:rsid w:val="00D05E21"/>
    <w:rsid w:val="00D06912"/>
    <w:rsid w:val="00D10076"/>
    <w:rsid w:val="00D12778"/>
    <w:rsid w:val="00D133E0"/>
    <w:rsid w:val="00D13B5A"/>
    <w:rsid w:val="00D1488F"/>
    <w:rsid w:val="00D15690"/>
    <w:rsid w:val="00D16690"/>
    <w:rsid w:val="00D16C00"/>
    <w:rsid w:val="00D20645"/>
    <w:rsid w:val="00D20D4C"/>
    <w:rsid w:val="00D22AD5"/>
    <w:rsid w:val="00D22C27"/>
    <w:rsid w:val="00D22DD0"/>
    <w:rsid w:val="00D23A87"/>
    <w:rsid w:val="00D2449C"/>
    <w:rsid w:val="00D24AAD"/>
    <w:rsid w:val="00D252D1"/>
    <w:rsid w:val="00D2758D"/>
    <w:rsid w:val="00D337D1"/>
    <w:rsid w:val="00D33EFF"/>
    <w:rsid w:val="00D34A5C"/>
    <w:rsid w:val="00D357D2"/>
    <w:rsid w:val="00D35E5E"/>
    <w:rsid w:val="00D4028C"/>
    <w:rsid w:val="00D406B9"/>
    <w:rsid w:val="00D40BD1"/>
    <w:rsid w:val="00D420DA"/>
    <w:rsid w:val="00D43E31"/>
    <w:rsid w:val="00D4502C"/>
    <w:rsid w:val="00D47430"/>
    <w:rsid w:val="00D478C9"/>
    <w:rsid w:val="00D50283"/>
    <w:rsid w:val="00D5127D"/>
    <w:rsid w:val="00D520EE"/>
    <w:rsid w:val="00D52397"/>
    <w:rsid w:val="00D624B8"/>
    <w:rsid w:val="00D675F9"/>
    <w:rsid w:val="00D717C1"/>
    <w:rsid w:val="00D71F97"/>
    <w:rsid w:val="00D7239D"/>
    <w:rsid w:val="00D73421"/>
    <w:rsid w:val="00D742D8"/>
    <w:rsid w:val="00D7450E"/>
    <w:rsid w:val="00D74A41"/>
    <w:rsid w:val="00D76907"/>
    <w:rsid w:val="00D81644"/>
    <w:rsid w:val="00D81B02"/>
    <w:rsid w:val="00D833EA"/>
    <w:rsid w:val="00D85D6C"/>
    <w:rsid w:val="00D901CA"/>
    <w:rsid w:val="00D914D2"/>
    <w:rsid w:val="00D920FD"/>
    <w:rsid w:val="00D93723"/>
    <w:rsid w:val="00D9441D"/>
    <w:rsid w:val="00DA04ED"/>
    <w:rsid w:val="00DA166D"/>
    <w:rsid w:val="00DA2B60"/>
    <w:rsid w:val="00DA35CD"/>
    <w:rsid w:val="00DA791C"/>
    <w:rsid w:val="00DB0628"/>
    <w:rsid w:val="00DB17A2"/>
    <w:rsid w:val="00DB17C6"/>
    <w:rsid w:val="00DB1B33"/>
    <w:rsid w:val="00DB1D74"/>
    <w:rsid w:val="00DB25E4"/>
    <w:rsid w:val="00DB36C2"/>
    <w:rsid w:val="00DB5F07"/>
    <w:rsid w:val="00DB6524"/>
    <w:rsid w:val="00DB6D0F"/>
    <w:rsid w:val="00DC14F0"/>
    <w:rsid w:val="00DC1945"/>
    <w:rsid w:val="00DC68C9"/>
    <w:rsid w:val="00DD16A8"/>
    <w:rsid w:val="00DD1B1B"/>
    <w:rsid w:val="00DD32DC"/>
    <w:rsid w:val="00DD3AEB"/>
    <w:rsid w:val="00DD3E4C"/>
    <w:rsid w:val="00DD617D"/>
    <w:rsid w:val="00DD630D"/>
    <w:rsid w:val="00DD75BE"/>
    <w:rsid w:val="00DE04E0"/>
    <w:rsid w:val="00DE06E0"/>
    <w:rsid w:val="00DE16C1"/>
    <w:rsid w:val="00DE55FF"/>
    <w:rsid w:val="00DE5F6F"/>
    <w:rsid w:val="00DE7928"/>
    <w:rsid w:val="00DE7F03"/>
    <w:rsid w:val="00DF2879"/>
    <w:rsid w:val="00DF2F4B"/>
    <w:rsid w:val="00DF436F"/>
    <w:rsid w:val="00DF71A3"/>
    <w:rsid w:val="00E00448"/>
    <w:rsid w:val="00E00B23"/>
    <w:rsid w:val="00E0117D"/>
    <w:rsid w:val="00E0310F"/>
    <w:rsid w:val="00E03125"/>
    <w:rsid w:val="00E03904"/>
    <w:rsid w:val="00E04D95"/>
    <w:rsid w:val="00E0769B"/>
    <w:rsid w:val="00E10968"/>
    <w:rsid w:val="00E10B5C"/>
    <w:rsid w:val="00E119E8"/>
    <w:rsid w:val="00E12973"/>
    <w:rsid w:val="00E140CE"/>
    <w:rsid w:val="00E14100"/>
    <w:rsid w:val="00E141EC"/>
    <w:rsid w:val="00E14792"/>
    <w:rsid w:val="00E14DAE"/>
    <w:rsid w:val="00E155FA"/>
    <w:rsid w:val="00E16064"/>
    <w:rsid w:val="00E168AE"/>
    <w:rsid w:val="00E169CD"/>
    <w:rsid w:val="00E16F8D"/>
    <w:rsid w:val="00E205A2"/>
    <w:rsid w:val="00E217A2"/>
    <w:rsid w:val="00E23208"/>
    <w:rsid w:val="00E24758"/>
    <w:rsid w:val="00E2763D"/>
    <w:rsid w:val="00E30685"/>
    <w:rsid w:val="00E326F4"/>
    <w:rsid w:val="00E33839"/>
    <w:rsid w:val="00E345DB"/>
    <w:rsid w:val="00E34EE9"/>
    <w:rsid w:val="00E3545D"/>
    <w:rsid w:val="00E3574A"/>
    <w:rsid w:val="00E35A46"/>
    <w:rsid w:val="00E37CB5"/>
    <w:rsid w:val="00E40533"/>
    <w:rsid w:val="00E405B8"/>
    <w:rsid w:val="00E41845"/>
    <w:rsid w:val="00E425EB"/>
    <w:rsid w:val="00E4306F"/>
    <w:rsid w:val="00E43245"/>
    <w:rsid w:val="00E435D8"/>
    <w:rsid w:val="00E50D28"/>
    <w:rsid w:val="00E51807"/>
    <w:rsid w:val="00E53896"/>
    <w:rsid w:val="00E5597A"/>
    <w:rsid w:val="00E55ABB"/>
    <w:rsid w:val="00E5686D"/>
    <w:rsid w:val="00E577F3"/>
    <w:rsid w:val="00E57FC3"/>
    <w:rsid w:val="00E6038C"/>
    <w:rsid w:val="00E60BCA"/>
    <w:rsid w:val="00E628FB"/>
    <w:rsid w:val="00E62FEA"/>
    <w:rsid w:val="00E637D6"/>
    <w:rsid w:val="00E642F8"/>
    <w:rsid w:val="00E64602"/>
    <w:rsid w:val="00E662E2"/>
    <w:rsid w:val="00E67B60"/>
    <w:rsid w:val="00E67D90"/>
    <w:rsid w:val="00E70B82"/>
    <w:rsid w:val="00E72931"/>
    <w:rsid w:val="00E73453"/>
    <w:rsid w:val="00E74DC5"/>
    <w:rsid w:val="00E75380"/>
    <w:rsid w:val="00E7665D"/>
    <w:rsid w:val="00E766DF"/>
    <w:rsid w:val="00E77818"/>
    <w:rsid w:val="00E779FD"/>
    <w:rsid w:val="00E8172C"/>
    <w:rsid w:val="00E82A56"/>
    <w:rsid w:val="00E82B1A"/>
    <w:rsid w:val="00E83D8A"/>
    <w:rsid w:val="00E9020A"/>
    <w:rsid w:val="00E90731"/>
    <w:rsid w:val="00E95A84"/>
    <w:rsid w:val="00E96CB5"/>
    <w:rsid w:val="00E9789E"/>
    <w:rsid w:val="00E97BF4"/>
    <w:rsid w:val="00EA0B74"/>
    <w:rsid w:val="00EA1444"/>
    <w:rsid w:val="00EA1C60"/>
    <w:rsid w:val="00EA2A88"/>
    <w:rsid w:val="00EA78FF"/>
    <w:rsid w:val="00EA7A81"/>
    <w:rsid w:val="00EB002B"/>
    <w:rsid w:val="00EB094A"/>
    <w:rsid w:val="00EB1706"/>
    <w:rsid w:val="00EB1937"/>
    <w:rsid w:val="00EB43FD"/>
    <w:rsid w:val="00EB44BE"/>
    <w:rsid w:val="00EB4682"/>
    <w:rsid w:val="00EB477D"/>
    <w:rsid w:val="00EB54E0"/>
    <w:rsid w:val="00EB69B0"/>
    <w:rsid w:val="00EB6CD9"/>
    <w:rsid w:val="00EB7FCF"/>
    <w:rsid w:val="00EC1A08"/>
    <w:rsid w:val="00EC28E5"/>
    <w:rsid w:val="00EC6142"/>
    <w:rsid w:val="00EC6350"/>
    <w:rsid w:val="00EE0868"/>
    <w:rsid w:val="00EE1372"/>
    <w:rsid w:val="00EE1921"/>
    <w:rsid w:val="00EE1BFF"/>
    <w:rsid w:val="00EE1F4E"/>
    <w:rsid w:val="00EE2100"/>
    <w:rsid w:val="00EE2B07"/>
    <w:rsid w:val="00EE3EC8"/>
    <w:rsid w:val="00EF0B62"/>
    <w:rsid w:val="00EF1989"/>
    <w:rsid w:val="00EF3A40"/>
    <w:rsid w:val="00EF3AFB"/>
    <w:rsid w:val="00EF468B"/>
    <w:rsid w:val="00EF5429"/>
    <w:rsid w:val="00EF77A1"/>
    <w:rsid w:val="00F01787"/>
    <w:rsid w:val="00F02857"/>
    <w:rsid w:val="00F03424"/>
    <w:rsid w:val="00F038C2"/>
    <w:rsid w:val="00F04CDD"/>
    <w:rsid w:val="00F0606D"/>
    <w:rsid w:val="00F071A7"/>
    <w:rsid w:val="00F0778D"/>
    <w:rsid w:val="00F077D3"/>
    <w:rsid w:val="00F07E0C"/>
    <w:rsid w:val="00F1344A"/>
    <w:rsid w:val="00F13939"/>
    <w:rsid w:val="00F13B21"/>
    <w:rsid w:val="00F14463"/>
    <w:rsid w:val="00F1653E"/>
    <w:rsid w:val="00F17FE9"/>
    <w:rsid w:val="00F22C3F"/>
    <w:rsid w:val="00F23291"/>
    <w:rsid w:val="00F25284"/>
    <w:rsid w:val="00F26CA1"/>
    <w:rsid w:val="00F31416"/>
    <w:rsid w:val="00F33190"/>
    <w:rsid w:val="00F332A2"/>
    <w:rsid w:val="00F337B2"/>
    <w:rsid w:val="00F33D36"/>
    <w:rsid w:val="00F33D59"/>
    <w:rsid w:val="00F3570B"/>
    <w:rsid w:val="00F426AC"/>
    <w:rsid w:val="00F45799"/>
    <w:rsid w:val="00F45C3C"/>
    <w:rsid w:val="00F46DE8"/>
    <w:rsid w:val="00F4755A"/>
    <w:rsid w:val="00F47AA7"/>
    <w:rsid w:val="00F52A61"/>
    <w:rsid w:val="00F547A2"/>
    <w:rsid w:val="00F555C6"/>
    <w:rsid w:val="00F560FC"/>
    <w:rsid w:val="00F60CC6"/>
    <w:rsid w:val="00F622E8"/>
    <w:rsid w:val="00F63895"/>
    <w:rsid w:val="00F63F4E"/>
    <w:rsid w:val="00F64822"/>
    <w:rsid w:val="00F6484B"/>
    <w:rsid w:val="00F65CB3"/>
    <w:rsid w:val="00F66105"/>
    <w:rsid w:val="00F66B4C"/>
    <w:rsid w:val="00F67A45"/>
    <w:rsid w:val="00F707E3"/>
    <w:rsid w:val="00F70A77"/>
    <w:rsid w:val="00F71FC5"/>
    <w:rsid w:val="00F73049"/>
    <w:rsid w:val="00F7378F"/>
    <w:rsid w:val="00F77609"/>
    <w:rsid w:val="00F776F5"/>
    <w:rsid w:val="00F77B60"/>
    <w:rsid w:val="00F87922"/>
    <w:rsid w:val="00F9065F"/>
    <w:rsid w:val="00F91F5A"/>
    <w:rsid w:val="00F9223A"/>
    <w:rsid w:val="00F92F01"/>
    <w:rsid w:val="00F941C2"/>
    <w:rsid w:val="00F95B2C"/>
    <w:rsid w:val="00F9608B"/>
    <w:rsid w:val="00F971E5"/>
    <w:rsid w:val="00FA0021"/>
    <w:rsid w:val="00FA1A36"/>
    <w:rsid w:val="00FA509B"/>
    <w:rsid w:val="00FA6792"/>
    <w:rsid w:val="00FB0D9E"/>
    <w:rsid w:val="00FB0F81"/>
    <w:rsid w:val="00FB17F6"/>
    <w:rsid w:val="00FB28AC"/>
    <w:rsid w:val="00FB2F72"/>
    <w:rsid w:val="00FB3263"/>
    <w:rsid w:val="00FB4851"/>
    <w:rsid w:val="00FB5196"/>
    <w:rsid w:val="00FB5CFE"/>
    <w:rsid w:val="00FB623A"/>
    <w:rsid w:val="00FB6ED3"/>
    <w:rsid w:val="00FB79D5"/>
    <w:rsid w:val="00FB7C12"/>
    <w:rsid w:val="00FC07D5"/>
    <w:rsid w:val="00FC0D50"/>
    <w:rsid w:val="00FC143D"/>
    <w:rsid w:val="00FC1661"/>
    <w:rsid w:val="00FC3832"/>
    <w:rsid w:val="00FC4754"/>
    <w:rsid w:val="00FC68BE"/>
    <w:rsid w:val="00FC6BFA"/>
    <w:rsid w:val="00FD1F2A"/>
    <w:rsid w:val="00FD41FC"/>
    <w:rsid w:val="00FD5D4C"/>
    <w:rsid w:val="00FD5F3A"/>
    <w:rsid w:val="00FD5FBF"/>
    <w:rsid w:val="00FE15E7"/>
    <w:rsid w:val="00FE2ED1"/>
    <w:rsid w:val="00FE41CB"/>
    <w:rsid w:val="00FE574F"/>
    <w:rsid w:val="00FE6410"/>
    <w:rsid w:val="00FE6BCB"/>
    <w:rsid w:val="00FE6C61"/>
    <w:rsid w:val="00FF029E"/>
    <w:rsid w:val="00FF0918"/>
    <w:rsid w:val="00FF0A78"/>
    <w:rsid w:val="00FF2332"/>
    <w:rsid w:val="00FF5CC0"/>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24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IAHeadTitle"/>
    <w:rsid w:val="008031EC"/>
    <w:pPr>
      <w:ind w:left="113"/>
    </w:pPr>
    <w:rPr>
      <w:noProof/>
      <w:sz w:val="22"/>
      <w:szCs w:val="22"/>
    </w:rPr>
  </w:style>
  <w:style w:type="paragraph" w:customStyle="1" w:styleId="IANo">
    <w:name w:val="IANo"/>
    <w:basedOn w:val="IAHeadTitle"/>
    <w:link w:val="IANoChar"/>
    <w:rsid w:val="00086128"/>
    <w:pPr>
      <w:ind w:left="113"/>
    </w:pPr>
    <w:rPr>
      <w:b w:val="0"/>
      <w:sz w:val="22"/>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086128"/>
    <w:rPr>
      <w:rFonts w:ascii="Arial" w:eastAsia="SimSun" w:hAnsi="Arial"/>
      <w:b/>
      <w:color w:val="000000"/>
      <w:spacing w:val="-6"/>
      <w:sz w:val="22"/>
      <w:szCs w:val="22"/>
      <w:lang w:val="en-GB" w:eastAsia="zh-CN" w:bidi="ar-SA"/>
    </w:rPr>
  </w:style>
  <w:style w:type="paragraph" w:customStyle="1" w:styleId="IALeadDept">
    <w:name w:val="IALeadDept"/>
    <w:basedOn w:val="IAHeadText"/>
    <w:rsid w:val="008031EC"/>
    <w:pPr>
      <w:ind w:left="113"/>
    </w:pPr>
    <w:rPr>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IATableLines"/>
    <w:link w:val="IACOEChar"/>
    <w:rsid w:val="008031EC"/>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TableLabel"/>
    <w:link w:val="IAIOCO2NonTradedChar"/>
    <w:rsid w:val="00F91F5A"/>
    <w:rPr>
      <w:b w:val="0"/>
      <w:sz w:val="22"/>
      <w:szCs w:val="22"/>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174C10"/>
    <w:rPr>
      <w:rFonts w:ascii="Arial" w:eastAsia="SimSun" w:hAnsi="Arial"/>
      <w:b/>
      <w:color w:val="000000"/>
      <w:spacing w:val="-5"/>
      <w:sz w:val="22"/>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IAIOCO2NonTradedChar">
    <w:name w:val="IAIOCO2NonTraded Char"/>
    <w:link w:val="IAIOCO2NonTraded"/>
    <w:rsid w:val="00D478C9"/>
    <w:rPr>
      <w:rFonts w:ascii="Arial" w:eastAsia="SimSun" w:hAnsi="Arial"/>
      <w:b/>
      <w:color w:val="000000"/>
      <w:spacing w:val="-5"/>
      <w:sz w:val="22"/>
      <w:szCs w:val="22"/>
      <w:lang w:val="en-GB" w:eastAsia="zh-CN" w:bidi="ar-SA"/>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147E55"/>
    <w:pPr>
      <w:ind w:left="720"/>
    </w:pPr>
  </w:style>
  <w:style w:type="character" w:styleId="CommentReference">
    <w:name w:val="annotation reference"/>
    <w:uiPriority w:val="99"/>
    <w:rsid w:val="007C0763"/>
    <w:rPr>
      <w:sz w:val="16"/>
      <w:szCs w:val="16"/>
    </w:rPr>
  </w:style>
  <w:style w:type="paragraph" w:styleId="CommentText">
    <w:name w:val="annotation text"/>
    <w:basedOn w:val="Normal"/>
    <w:link w:val="CommentTextChar"/>
    <w:uiPriority w:val="99"/>
    <w:rsid w:val="007C0763"/>
    <w:rPr>
      <w:sz w:val="20"/>
      <w:szCs w:val="20"/>
    </w:rPr>
  </w:style>
  <w:style w:type="character" w:customStyle="1" w:styleId="CommentTextChar">
    <w:name w:val="Comment Text Char"/>
    <w:link w:val="CommentText"/>
    <w:uiPriority w:val="99"/>
    <w:rsid w:val="007C0763"/>
    <w:rPr>
      <w:rFonts w:ascii="Arial" w:hAnsi="Arial"/>
      <w:lang w:eastAsia="en-US"/>
    </w:rPr>
  </w:style>
  <w:style w:type="paragraph" w:styleId="CommentSubject">
    <w:name w:val="annotation subject"/>
    <w:basedOn w:val="CommentText"/>
    <w:next w:val="CommentText"/>
    <w:link w:val="CommentSubjectChar"/>
    <w:rsid w:val="007C0763"/>
    <w:rPr>
      <w:b/>
      <w:bCs/>
    </w:rPr>
  </w:style>
  <w:style w:type="character" w:customStyle="1" w:styleId="CommentSubjectChar">
    <w:name w:val="Comment Subject Char"/>
    <w:link w:val="CommentSubject"/>
    <w:rsid w:val="007C0763"/>
    <w:rPr>
      <w:rFonts w:ascii="Arial" w:hAnsi="Arial"/>
      <w:b/>
      <w:bCs/>
      <w:lang w:eastAsia="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link w:val="ListParagraph"/>
    <w:uiPriority w:val="34"/>
    <w:locked/>
    <w:rsid w:val="0094376D"/>
    <w:rPr>
      <w:rFonts w:ascii="Arial" w:hAnsi="Arial"/>
      <w:sz w:val="24"/>
      <w:szCs w:val="24"/>
      <w:lang w:eastAsia="en-US"/>
    </w:rPr>
  </w:style>
  <w:style w:type="paragraph" w:customStyle="1" w:styleId="Default">
    <w:name w:val="Default"/>
    <w:rsid w:val="00771E19"/>
    <w:pPr>
      <w:autoSpaceDE w:val="0"/>
      <w:autoSpaceDN w:val="0"/>
      <w:adjustRightInd w:val="0"/>
    </w:pPr>
    <w:rPr>
      <w:rFonts w:ascii="Arial" w:hAnsi="Arial" w:cs="Arial"/>
      <w:color w:val="000000"/>
      <w:sz w:val="24"/>
      <w:szCs w:val="24"/>
    </w:rPr>
  </w:style>
  <w:style w:type="table" w:styleId="TableColumns2">
    <w:name w:val="Table Columns 2"/>
    <w:basedOn w:val="TableNormal"/>
    <w:rsid w:val="003D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9F6072"/>
    <w:rPr>
      <w:rFonts w:ascii="Arial" w:hAnsi="Arial"/>
      <w:sz w:val="24"/>
      <w:szCs w:val="24"/>
      <w:lang w:eastAsia="en-US"/>
    </w:rPr>
  </w:style>
  <w:style w:type="table" w:styleId="LightShading-Accent1">
    <w:name w:val="Light Shading Accent 1"/>
    <w:basedOn w:val="TableNormal"/>
    <w:uiPriority w:val="60"/>
    <w:rsid w:val="005410A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8A0019"/>
    <w:rPr>
      <w:rFonts w:ascii="Arial" w:hAnsi="Arial"/>
      <w:b/>
      <w:sz w:val="18"/>
      <w:szCs w:val="24"/>
      <w:lang w:eastAsia="en-US"/>
    </w:rPr>
  </w:style>
  <w:style w:type="paragraph" w:customStyle="1" w:styleId="qowt-stl-normal">
    <w:name w:val="qowt-stl-normal"/>
    <w:basedOn w:val="Normal"/>
    <w:rsid w:val="006F1D7C"/>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semiHidden/>
    <w:unhideWhenUsed/>
    <w:rsid w:val="00DB17C6"/>
    <w:rPr>
      <w:sz w:val="20"/>
      <w:szCs w:val="20"/>
    </w:rPr>
  </w:style>
  <w:style w:type="character" w:customStyle="1" w:styleId="EndnoteTextChar">
    <w:name w:val="Endnote Text Char"/>
    <w:basedOn w:val="DefaultParagraphFont"/>
    <w:link w:val="EndnoteText"/>
    <w:semiHidden/>
    <w:rsid w:val="00DB17C6"/>
    <w:rPr>
      <w:rFonts w:ascii="Arial" w:hAnsi="Arial"/>
      <w:lang w:eastAsia="en-US"/>
    </w:rPr>
  </w:style>
  <w:style w:type="character" w:styleId="EndnoteReference">
    <w:name w:val="endnote reference"/>
    <w:basedOn w:val="DefaultParagraphFont"/>
    <w:semiHidden/>
    <w:unhideWhenUsed/>
    <w:rsid w:val="00DB17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IAHeadTitle"/>
    <w:rsid w:val="008031EC"/>
    <w:pPr>
      <w:ind w:left="113"/>
    </w:pPr>
    <w:rPr>
      <w:noProof/>
      <w:sz w:val="22"/>
      <w:szCs w:val="22"/>
    </w:rPr>
  </w:style>
  <w:style w:type="paragraph" w:customStyle="1" w:styleId="IANo">
    <w:name w:val="IANo"/>
    <w:basedOn w:val="IAHeadTitle"/>
    <w:link w:val="IANoChar"/>
    <w:rsid w:val="00086128"/>
    <w:pPr>
      <w:ind w:left="113"/>
    </w:pPr>
    <w:rPr>
      <w:b w:val="0"/>
      <w:sz w:val="22"/>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086128"/>
    <w:rPr>
      <w:rFonts w:ascii="Arial" w:eastAsia="SimSun" w:hAnsi="Arial"/>
      <w:b/>
      <w:color w:val="000000"/>
      <w:spacing w:val="-6"/>
      <w:sz w:val="22"/>
      <w:szCs w:val="22"/>
      <w:lang w:val="en-GB" w:eastAsia="zh-CN" w:bidi="ar-SA"/>
    </w:rPr>
  </w:style>
  <w:style w:type="paragraph" w:customStyle="1" w:styleId="IALeadDept">
    <w:name w:val="IALeadDept"/>
    <w:basedOn w:val="IAHeadText"/>
    <w:rsid w:val="008031EC"/>
    <w:pPr>
      <w:ind w:left="113"/>
    </w:pPr>
    <w:rPr>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IATableLines"/>
    <w:link w:val="IACOEChar"/>
    <w:rsid w:val="008031EC"/>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TableLabel"/>
    <w:link w:val="IAIOCO2NonTradedChar"/>
    <w:rsid w:val="00F91F5A"/>
    <w:rPr>
      <w:b w:val="0"/>
      <w:sz w:val="22"/>
      <w:szCs w:val="22"/>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174C10"/>
    <w:rPr>
      <w:rFonts w:ascii="Arial" w:eastAsia="SimSun" w:hAnsi="Arial"/>
      <w:b/>
      <w:color w:val="000000"/>
      <w:spacing w:val="-5"/>
      <w:sz w:val="22"/>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IAIOCO2NonTradedChar">
    <w:name w:val="IAIOCO2NonTraded Char"/>
    <w:link w:val="IAIOCO2NonTraded"/>
    <w:rsid w:val="00D478C9"/>
    <w:rPr>
      <w:rFonts w:ascii="Arial" w:eastAsia="SimSun" w:hAnsi="Arial"/>
      <w:b/>
      <w:color w:val="000000"/>
      <w:spacing w:val="-5"/>
      <w:sz w:val="22"/>
      <w:szCs w:val="22"/>
      <w:lang w:val="en-GB" w:eastAsia="zh-CN" w:bidi="ar-SA"/>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147E55"/>
    <w:pPr>
      <w:ind w:left="720"/>
    </w:pPr>
  </w:style>
  <w:style w:type="character" w:styleId="CommentReference">
    <w:name w:val="annotation reference"/>
    <w:uiPriority w:val="99"/>
    <w:rsid w:val="007C0763"/>
    <w:rPr>
      <w:sz w:val="16"/>
      <w:szCs w:val="16"/>
    </w:rPr>
  </w:style>
  <w:style w:type="paragraph" w:styleId="CommentText">
    <w:name w:val="annotation text"/>
    <w:basedOn w:val="Normal"/>
    <w:link w:val="CommentTextChar"/>
    <w:uiPriority w:val="99"/>
    <w:rsid w:val="007C0763"/>
    <w:rPr>
      <w:sz w:val="20"/>
      <w:szCs w:val="20"/>
    </w:rPr>
  </w:style>
  <w:style w:type="character" w:customStyle="1" w:styleId="CommentTextChar">
    <w:name w:val="Comment Text Char"/>
    <w:link w:val="CommentText"/>
    <w:uiPriority w:val="99"/>
    <w:rsid w:val="007C0763"/>
    <w:rPr>
      <w:rFonts w:ascii="Arial" w:hAnsi="Arial"/>
      <w:lang w:eastAsia="en-US"/>
    </w:rPr>
  </w:style>
  <w:style w:type="paragraph" w:styleId="CommentSubject">
    <w:name w:val="annotation subject"/>
    <w:basedOn w:val="CommentText"/>
    <w:next w:val="CommentText"/>
    <w:link w:val="CommentSubjectChar"/>
    <w:rsid w:val="007C0763"/>
    <w:rPr>
      <w:b/>
      <w:bCs/>
    </w:rPr>
  </w:style>
  <w:style w:type="character" w:customStyle="1" w:styleId="CommentSubjectChar">
    <w:name w:val="Comment Subject Char"/>
    <w:link w:val="CommentSubject"/>
    <w:rsid w:val="007C0763"/>
    <w:rPr>
      <w:rFonts w:ascii="Arial" w:hAnsi="Arial"/>
      <w:b/>
      <w:bCs/>
      <w:lang w:eastAsia="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link w:val="ListParagraph"/>
    <w:uiPriority w:val="34"/>
    <w:locked/>
    <w:rsid w:val="0094376D"/>
    <w:rPr>
      <w:rFonts w:ascii="Arial" w:hAnsi="Arial"/>
      <w:sz w:val="24"/>
      <w:szCs w:val="24"/>
      <w:lang w:eastAsia="en-US"/>
    </w:rPr>
  </w:style>
  <w:style w:type="paragraph" w:customStyle="1" w:styleId="Default">
    <w:name w:val="Default"/>
    <w:rsid w:val="00771E19"/>
    <w:pPr>
      <w:autoSpaceDE w:val="0"/>
      <w:autoSpaceDN w:val="0"/>
      <w:adjustRightInd w:val="0"/>
    </w:pPr>
    <w:rPr>
      <w:rFonts w:ascii="Arial" w:hAnsi="Arial" w:cs="Arial"/>
      <w:color w:val="000000"/>
      <w:sz w:val="24"/>
      <w:szCs w:val="24"/>
    </w:rPr>
  </w:style>
  <w:style w:type="table" w:styleId="TableColumns2">
    <w:name w:val="Table Columns 2"/>
    <w:basedOn w:val="TableNormal"/>
    <w:rsid w:val="003D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9F6072"/>
    <w:rPr>
      <w:rFonts w:ascii="Arial" w:hAnsi="Arial"/>
      <w:sz w:val="24"/>
      <w:szCs w:val="24"/>
      <w:lang w:eastAsia="en-US"/>
    </w:rPr>
  </w:style>
  <w:style w:type="table" w:styleId="LightShading-Accent1">
    <w:name w:val="Light Shading Accent 1"/>
    <w:basedOn w:val="TableNormal"/>
    <w:uiPriority w:val="60"/>
    <w:rsid w:val="005410A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8A0019"/>
    <w:rPr>
      <w:rFonts w:ascii="Arial" w:hAnsi="Arial"/>
      <w:b/>
      <w:sz w:val="18"/>
      <w:szCs w:val="24"/>
      <w:lang w:eastAsia="en-US"/>
    </w:rPr>
  </w:style>
  <w:style w:type="paragraph" w:customStyle="1" w:styleId="qowt-stl-normal">
    <w:name w:val="qowt-stl-normal"/>
    <w:basedOn w:val="Normal"/>
    <w:rsid w:val="006F1D7C"/>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semiHidden/>
    <w:unhideWhenUsed/>
    <w:rsid w:val="00DB17C6"/>
    <w:rPr>
      <w:sz w:val="20"/>
      <w:szCs w:val="20"/>
    </w:rPr>
  </w:style>
  <w:style w:type="character" w:customStyle="1" w:styleId="EndnoteTextChar">
    <w:name w:val="Endnote Text Char"/>
    <w:basedOn w:val="DefaultParagraphFont"/>
    <w:link w:val="EndnoteText"/>
    <w:semiHidden/>
    <w:rsid w:val="00DB17C6"/>
    <w:rPr>
      <w:rFonts w:ascii="Arial" w:hAnsi="Arial"/>
      <w:lang w:eastAsia="en-US"/>
    </w:rPr>
  </w:style>
  <w:style w:type="character" w:styleId="EndnoteReference">
    <w:name w:val="endnote reference"/>
    <w:basedOn w:val="DefaultParagraphFont"/>
    <w:semiHidden/>
    <w:unhideWhenUsed/>
    <w:rsid w:val="00DB1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00">
      <w:bodyDiv w:val="1"/>
      <w:marLeft w:val="0"/>
      <w:marRight w:val="0"/>
      <w:marTop w:val="0"/>
      <w:marBottom w:val="0"/>
      <w:divBdr>
        <w:top w:val="none" w:sz="0" w:space="0" w:color="auto"/>
        <w:left w:val="none" w:sz="0" w:space="0" w:color="auto"/>
        <w:bottom w:val="none" w:sz="0" w:space="0" w:color="auto"/>
        <w:right w:val="none" w:sz="0" w:space="0" w:color="auto"/>
      </w:divBdr>
    </w:div>
    <w:div w:id="124394345">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sChild>
        <w:div w:id="1707945377">
          <w:marLeft w:val="0"/>
          <w:marRight w:val="0"/>
          <w:marTop w:val="0"/>
          <w:marBottom w:val="0"/>
          <w:divBdr>
            <w:top w:val="none" w:sz="0" w:space="0" w:color="auto"/>
            <w:left w:val="none" w:sz="0" w:space="0" w:color="auto"/>
            <w:bottom w:val="none" w:sz="0" w:space="0" w:color="auto"/>
            <w:right w:val="none" w:sz="0" w:space="0" w:color="auto"/>
          </w:divBdr>
          <w:divsChild>
            <w:div w:id="1276987486">
              <w:marLeft w:val="0"/>
              <w:marRight w:val="0"/>
              <w:marTop w:val="0"/>
              <w:marBottom w:val="0"/>
              <w:divBdr>
                <w:top w:val="none" w:sz="0" w:space="0" w:color="auto"/>
                <w:left w:val="none" w:sz="0" w:space="0" w:color="auto"/>
                <w:bottom w:val="none" w:sz="0" w:space="0" w:color="auto"/>
                <w:right w:val="none" w:sz="0" w:space="0" w:color="auto"/>
              </w:divBdr>
            </w:div>
            <w:div w:id="446701633">
              <w:marLeft w:val="0"/>
              <w:marRight w:val="0"/>
              <w:marTop w:val="0"/>
              <w:marBottom w:val="0"/>
              <w:divBdr>
                <w:top w:val="none" w:sz="0" w:space="0" w:color="auto"/>
                <w:left w:val="none" w:sz="0" w:space="0" w:color="auto"/>
                <w:bottom w:val="none" w:sz="0" w:space="0" w:color="auto"/>
                <w:right w:val="none" w:sz="0" w:space="0" w:color="auto"/>
              </w:divBdr>
              <w:divsChild>
                <w:div w:id="13702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53">
      <w:bodyDiv w:val="1"/>
      <w:marLeft w:val="0"/>
      <w:marRight w:val="0"/>
      <w:marTop w:val="0"/>
      <w:marBottom w:val="0"/>
      <w:divBdr>
        <w:top w:val="none" w:sz="0" w:space="0" w:color="auto"/>
        <w:left w:val="none" w:sz="0" w:space="0" w:color="auto"/>
        <w:bottom w:val="none" w:sz="0" w:space="0" w:color="auto"/>
        <w:right w:val="none" w:sz="0" w:space="0" w:color="auto"/>
      </w:divBdr>
    </w:div>
    <w:div w:id="255091514">
      <w:bodyDiv w:val="1"/>
      <w:marLeft w:val="0"/>
      <w:marRight w:val="0"/>
      <w:marTop w:val="0"/>
      <w:marBottom w:val="0"/>
      <w:divBdr>
        <w:top w:val="none" w:sz="0" w:space="0" w:color="auto"/>
        <w:left w:val="none" w:sz="0" w:space="0" w:color="auto"/>
        <w:bottom w:val="none" w:sz="0" w:space="0" w:color="auto"/>
        <w:right w:val="none" w:sz="0" w:space="0" w:color="auto"/>
      </w:divBdr>
    </w:div>
    <w:div w:id="270673556">
      <w:bodyDiv w:val="1"/>
      <w:marLeft w:val="0"/>
      <w:marRight w:val="0"/>
      <w:marTop w:val="0"/>
      <w:marBottom w:val="0"/>
      <w:divBdr>
        <w:top w:val="none" w:sz="0" w:space="0" w:color="auto"/>
        <w:left w:val="none" w:sz="0" w:space="0" w:color="auto"/>
        <w:bottom w:val="none" w:sz="0" w:space="0" w:color="auto"/>
        <w:right w:val="none" w:sz="0" w:space="0" w:color="auto"/>
      </w:divBdr>
    </w:div>
    <w:div w:id="343627571">
      <w:bodyDiv w:val="1"/>
      <w:marLeft w:val="0"/>
      <w:marRight w:val="0"/>
      <w:marTop w:val="0"/>
      <w:marBottom w:val="0"/>
      <w:divBdr>
        <w:top w:val="none" w:sz="0" w:space="0" w:color="auto"/>
        <w:left w:val="none" w:sz="0" w:space="0" w:color="auto"/>
        <w:bottom w:val="none" w:sz="0" w:space="0" w:color="auto"/>
        <w:right w:val="none" w:sz="0" w:space="0" w:color="auto"/>
      </w:divBdr>
      <w:divsChild>
        <w:div w:id="520777019">
          <w:marLeft w:val="0"/>
          <w:marRight w:val="0"/>
          <w:marTop w:val="0"/>
          <w:marBottom w:val="0"/>
          <w:divBdr>
            <w:top w:val="none" w:sz="0" w:space="0" w:color="auto"/>
            <w:left w:val="none" w:sz="0" w:space="0" w:color="auto"/>
            <w:bottom w:val="none" w:sz="0" w:space="0" w:color="auto"/>
            <w:right w:val="none" w:sz="0" w:space="0" w:color="auto"/>
          </w:divBdr>
          <w:divsChild>
            <w:div w:id="552470514">
              <w:marLeft w:val="0"/>
              <w:marRight w:val="0"/>
              <w:marTop w:val="0"/>
              <w:marBottom w:val="0"/>
              <w:divBdr>
                <w:top w:val="none" w:sz="0" w:space="0" w:color="auto"/>
                <w:left w:val="none" w:sz="0" w:space="0" w:color="auto"/>
                <w:bottom w:val="none" w:sz="0" w:space="0" w:color="auto"/>
                <w:right w:val="none" w:sz="0" w:space="0" w:color="auto"/>
              </w:divBdr>
            </w:div>
            <w:div w:id="1072241393">
              <w:marLeft w:val="0"/>
              <w:marRight w:val="0"/>
              <w:marTop w:val="0"/>
              <w:marBottom w:val="0"/>
              <w:divBdr>
                <w:top w:val="none" w:sz="0" w:space="0" w:color="auto"/>
                <w:left w:val="none" w:sz="0" w:space="0" w:color="auto"/>
                <w:bottom w:val="none" w:sz="0" w:space="0" w:color="auto"/>
                <w:right w:val="none" w:sz="0" w:space="0" w:color="auto"/>
              </w:divBdr>
              <w:divsChild>
                <w:div w:id="15284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1168">
      <w:bodyDiv w:val="1"/>
      <w:marLeft w:val="0"/>
      <w:marRight w:val="0"/>
      <w:marTop w:val="0"/>
      <w:marBottom w:val="0"/>
      <w:divBdr>
        <w:top w:val="none" w:sz="0" w:space="0" w:color="auto"/>
        <w:left w:val="none" w:sz="0" w:space="0" w:color="auto"/>
        <w:bottom w:val="none" w:sz="0" w:space="0" w:color="auto"/>
        <w:right w:val="none" w:sz="0" w:space="0" w:color="auto"/>
      </w:divBdr>
      <w:divsChild>
        <w:div w:id="2092266311">
          <w:marLeft w:val="0"/>
          <w:marRight w:val="0"/>
          <w:marTop w:val="0"/>
          <w:marBottom w:val="0"/>
          <w:divBdr>
            <w:top w:val="none" w:sz="0" w:space="0" w:color="auto"/>
            <w:left w:val="none" w:sz="0" w:space="0" w:color="auto"/>
            <w:bottom w:val="none" w:sz="0" w:space="0" w:color="auto"/>
            <w:right w:val="none" w:sz="0" w:space="0" w:color="auto"/>
          </w:divBdr>
        </w:div>
      </w:divsChild>
    </w:div>
    <w:div w:id="535310006">
      <w:bodyDiv w:val="1"/>
      <w:marLeft w:val="0"/>
      <w:marRight w:val="0"/>
      <w:marTop w:val="0"/>
      <w:marBottom w:val="0"/>
      <w:divBdr>
        <w:top w:val="none" w:sz="0" w:space="0" w:color="auto"/>
        <w:left w:val="none" w:sz="0" w:space="0" w:color="auto"/>
        <w:bottom w:val="none" w:sz="0" w:space="0" w:color="auto"/>
        <w:right w:val="none" w:sz="0" w:space="0" w:color="auto"/>
      </w:divBdr>
      <w:divsChild>
        <w:div w:id="1977175331">
          <w:marLeft w:val="0"/>
          <w:marRight w:val="0"/>
          <w:marTop w:val="0"/>
          <w:marBottom w:val="0"/>
          <w:divBdr>
            <w:top w:val="none" w:sz="0" w:space="0" w:color="auto"/>
            <w:left w:val="none" w:sz="0" w:space="0" w:color="auto"/>
            <w:bottom w:val="none" w:sz="0" w:space="0" w:color="auto"/>
            <w:right w:val="none" w:sz="0" w:space="0" w:color="auto"/>
          </w:divBdr>
        </w:div>
        <w:div w:id="1285188403">
          <w:marLeft w:val="0"/>
          <w:marRight w:val="0"/>
          <w:marTop w:val="0"/>
          <w:marBottom w:val="0"/>
          <w:divBdr>
            <w:top w:val="none" w:sz="0" w:space="0" w:color="auto"/>
            <w:left w:val="none" w:sz="0" w:space="0" w:color="auto"/>
            <w:bottom w:val="none" w:sz="0" w:space="0" w:color="auto"/>
            <w:right w:val="none" w:sz="0" w:space="0" w:color="auto"/>
          </w:divBdr>
        </w:div>
      </w:divsChild>
    </w:div>
    <w:div w:id="741298257">
      <w:bodyDiv w:val="1"/>
      <w:marLeft w:val="0"/>
      <w:marRight w:val="0"/>
      <w:marTop w:val="0"/>
      <w:marBottom w:val="0"/>
      <w:divBdr>
        <w:top w:val="none" w:sz="0" w:space="0" w:color="auto"/>
        <w:left w:val="none" w:sz="0" w:space="0" w:color="auto"/>
        <w:bottom w:val="none" w:sz="0" w:space="0" w:color="auto"/>
        <w:right w:val="none" w:sz="0" w:space="0" w:color="auto"/>
      </w:divBdr>
    </w:div>
    <w:div w:id="745110364">
      <w:bodyDiv w:val="1"/>
      <w:marLeft w:val="0"/>
      <w:marRight w:val="0"/>
      <w:marTop w:val="0"/>
      <w:marBottom w:val="0"/>
      <w:divBdr>
        <w:top w:val="none" w:sz="0" w:space="0" w:color="auto"/>
        <w:left w:val="none" w:sz="0" w:space="0" w:color="auto"/>
        <w:bottom w:val="none" w:sz="0" w:space="0" w:color="auto"/>
        <w:right w:val="none" w:sz="0" w:space="0" w:color="auto"/>
      </w:divBdr>
    </w:div>
    <w:div w:id="779639730">
      <w:bodyDiv w:val="1"/>
      <w:marLeft w:val="0"/>
      <w:marRight w:val="0"/>
      <w:marTop w:val="0"/>
      <w:marBottom w:val="0"/>
      <w:divBdr>
        <w:top w:val="none" w:sz="0" w:space="0" w:color="auto"/>
        <w:left w:val="none" w:sz="0" w:space="0" w:color="auto"/>
        <w:bottom w:val="none" w:sz="0" w:space="0" w:color="auto"/>
        <w:right w:val="none" w:sz="0" w:space="0" w:color="auto"/>
      </w:divBdr>
    </w:div>
    <w:div w:id="804740342">
      <w:bodyDiv w:val="1"/>
      <w:marLeft w:val="0"/>
      <w:marRight w:val="0"/>
      <w:marTop w:val="0"/>
      <w:marBottom w:val="0"/>
      <w:divBdr>
        <w:top w:val="none" w:sz="0" w:space="0" w:color="auto"/>
        <w:left w:val="none" w:sz="0" w:space="0" w:color="auto"/>
        <w:bottom w:val="none" w:sz="0" w:space="0" w:color="auto"/>
        <w:right w:val="none" w:sz="0" w:space="0" w:color="auto"/>
      </w:divBdr>
    </w:div>
    <w:div w:id="823277517">
      <w:bodyDiv w:val="1"/>
      <w:marLeft w:val="0"/>
      <w:marRight w:val="0"/>
      <w:marTop w:val="0"/>
      <w:marBottom w:val="0"/>
      <w:divBdr>
        <w:top w:val="none" w:sz="0" w:space="0" w:color="auto"/>
        <w:left w:val="none" w:sz="0" w:space="0" w:color="auto"/>
        <w:bottom w:val="none" w:sz="0" w:space="0" w:color="auto"/>
        <w:right w:val="none" w:sz="0" w:space="0" w:color="auto"/>
      </w:divBdr>
    </w:div>
    <w:div w:id="862210218">
      <w:bodyDiv w:val="1"/>
      <w:marLeft w:val="0"/>
      <w:marRight w:val="0"/>
      <w:marTop w:val="0"/>
      <w:marBottom w:val="0"/>
      <w:divBdr>
        <w:top w:val="none" w:sz="0" w:space="0" w:color="auto"/>
        <w:left w:val="none" w:sz="0" w:space="0" w:color="auto"/>
        <w:bottom w:val="none" w:sz="0" w:space="0" w:color="auto"/>
        <w:right w:val="none" w:sz="0" w:space="0" w:color="auto"/>
      </w:divBdr>
      <w:divsChild>
        <w:div w:id="1132600505">
          <w:marLeft w:val="0"/>
          <w:marRight w:val="0"/>
          <w:marTop w:val="0"/>
          <w:marBottom w:val="0"/>
          <w:divBdr>
            <w:top w:val="none" w:sz="0" w:space="0" w:color="auto"/>
            <w:left w:val="none" w:sz="0" w:space="0" w:color="auto"/>
            <w:bottom w:val="none" w:sz="0" w:space="0" w:color="auto"/>
            <w:right w:val="none" w:sz="0" w:space="0" w:color="auto"/>
          </w:divBdr>
          <w:divsChild>
            <w:div w:id="1221944048">
              <w:marLeft w:val="0"/>
              <w:marRight w:val="0"/>
              <w:marTop w:val="0"/>
              <w:marBottom w:val="0"/>
              <w:divBdr>
                <w:top w:val="none" w:sz="0" w:space="0" w:color="auto"/>
                <w:left w:val="none" w:sz="0" w:space="0" w:color="auto"/>
                <w:bottom w:val="none" w:sz="0" w:space="0" w:color="auto"/>
                <w:right w:val="none" w:sz="0" w:space="0" w:color="auto"/>
              </w:divBdr>
            </w:div>
          </w:divsChild>
        </w:div>
        <w:div w:id="2054690322">
          <w:marLeft w:val="0"/>
          <w:marRight w:val="0"/>
          <w:marTop w:val="0"/>
          <w:marBottom w:val="0"/>
          <w:divBdr>
            <w:top w:val="none" w:sz="0" w:space="0" w:color="auto"/>
            <w:left w:val="none" w:sz="0" w:space="0" w:color="auto"/>
            <w:bottom w:val="none" w:sz="0" w:space="0" w:color="auto"/>
            <w:right w:val="none" w:sz="0" w:space="0" w:color="auto"/>
          </w:divBdr>
        </w:div>
      </w:divsChild>
    </w:div>
    <w:div w:id="934366066">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38625292">
      <w:bodyDiv w:val="1"/>
      <w:marLeft w:val="0"/>
      <w:marRight w:val="0"/>
      <w:marTop w:val="0"/>
      <w:marBottom w:val="0"/>
      <w:divBdr>
        <w:top w:val="none" w:sz="0" w:space="0" w:color="auto"/>
        <w:left w:val="none" w:sz="0" w:space="0" w:color="auto"/>
        <w:bottom w:val="none" w:sz="0" w:space="0" w:color="auto"/>
        <w:right w:val="none" w:sz="0" w:space="0" w:color="auto"/>
      </w:divBdr>
      <w:divsChild>
        <w:div w:id="1915505210">
          <w:marLeft w:val="0"/>
          <w:marRight w:val="0"/>
          <w:marTop w:val="0"/>
          <w:marBottom w:val="0"/>
          <w:divBdr>
            <w:top w:val="none" w:sz="0" w:space="0" w:color="auto"/>
            <w:left w:val="none" w:sz="0" w:space="0" w:color="auto"/>
            <w:bottom w:val="none" w:sz="0" w:space="0" w:color="auto"/>
            <w:right w:val="none" w:sz="0" w:space="0" w:color="auto"/>
          </w:divBdr>
          <w:divsChild>
            <w:div w:id="1520511664">
              <w:marLeft w:val="0"/>
              <w:marRight w:val="0"/>
              <w:marTop w:val="0"/>
              <w:marBottom w:val="0"/>
              <w:divBdr>
                <w:top w:val="none" w:sz="0" w:space="0" w:color="auto"/>
                <w:left w:val="none" w:sz="0" w:space="0" w:color="auto"/>
                <w:bottom w:val="none" w:sz="0" w:space="0" w:color="auto"/>
                <w:right w:val="none" w:sz="0" w:space="0" w:color="auto"/>
              </w:divBdr>
            </w:div>
            <w:div w:id="45419026">
              <w:marLeft w:val="0"/>
              <w:marRight w:val="0"/>
              <w:marTop w:val="0"/>
              <w:marBottom w:val="0"/>
              <w:divBdr>
                <w:top w:val="none" w:sz="0" w:space="0" w:color="auto"/>
                <w:left w:val="none" w:sz="0" w:space="0" w:color="auto"/>
                <w:bottom w:val="none" w:sz="0" w:space="0" w:color="auto"/>
                <w:right w:val="none" w:sz="0" w:space="0" w:color="auto"/>
              </w:divBdr>
              <w:divsChild>
                <w:div w:id="6737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6396">
      <w:bodyDiv w:val="1"/>
      <w:marLeft w:val="0"/>
      <w:marRight w:val="0"/>
      <w:marTop w:val="0"/>
      <w:marBottom w:val="0"/>
      <w:divBdr>
        <w:top w:val="none" w:sz="0" w:space="0" w:color="auto"/>
        <w:left w:val="none" w:sz="0" w:space="0" w:color="auto"/>
        <w:bottom w:val="none" w:sz="0" w:space="0" w:color="auto"/>
        <w:right w:val="none" w:sz="0" w:space="0" w:color="auto"/>
      </w:divBdr>
    </w:div>
    <w:div w:id="1047290681">
      <w:bodyDiv w:val="1"/>
      <w:marLeft w:val="0"/>
      <w:marRight w:val="0"/>
      <w:marTop w:val="0"/>
      <w:marBottom w:val="0"/>
      <w:divBdr>
        <w:top w:val="none" w:sz="0" w:space="0" w:color="auto"/>
        <w:left w:val="none" w:sz="0" w:space="0" w:color="auto"/>
        <w:bottom w:val="none" w:sz="0" w:space="0" w:color="auto"/>
        <w:right w:val="none" w:sz="0" w:space="0" w:color="auto"/>
      </w:divBdr>
    </w:div>
    <w:div w:id="1092625297">
      <w:bodyDiv w:val="1"/>
      <w:marLeft w:val="0"/>
      <w:marRight w:val="0"/>
      <w:marTop w:val="0"/>
      <w:marBottom w:val="0"/>
      <w:divBdr>
        <w:top w:val="none" w:sz="0" w:space="0" w:color="auto"/>
        <w:left w:val="none" w:sz="0" w:space="0" w:color="auto"/>
        <w:bottom w:val="none" w:sz="0" w:space="0" w:color="auto"/>
        <w:right w:val="none" w:sz="0" w:space="0" w:color="auto"/>
      </w:divBdr>
    </w:div>
    <w:div w:id="1114597241">
      <w:bodyDiv w:val="1"/>
      <w:marLeft w:val="0"/>
      <w:marRight w:val="0"/>
      <w:marTop w:val="0"/>
      <w:marBottom w:val="0"/>
      <w:divBdr>
        <w:top w:val="none" w:sz="0" w:space="0" w:color="auto"/>
        <w:left w:val="none" w:sz="0" w:space="0" w:color="auto"/>
        <w:bottom w:val="none" w:sz="0" w:space="0" w:color="auto"/>
        <w:right w:val="none" w:sz="0" w:space="0" w:color="auto"/>
      </w:divBdr>
    </w:div>
    <w:div w:id="1163353688">
      <w:bodyDiv w:val="1"/>
      <w:marLeft w:val="0"/>
      <w:marRight w:val="0"/>
      <w:marTop w:val="0"/>
      <w:marBottom w:val="0"/>
      <w:divBdr>
        <w:top w:val="none" w:sz="0" w:space="0" w:color="auto"/>
        <w:left w:val="none" w:sz="0" w:space="0" w:color="auto"/>
        <w:bottom w:val="none" w:sz="0" w:space="0" w:color="auto"/>
        <w:right w:val="none" w:sz="0" w:space="0" w:color="auto"/>
      </w:divBdr>
    </w:div>
    <w:div w:id="1206722581">
      <w:bodyDiv w:val="1"/>
      <w:marLeft w:val="0"/>
      <w:marRight w:val="0"/>
      <w:marTop w:val="0"/>
      <w:marBottom w:val="0"/>
      <w:divBdr>
        <w:top w:val="none" w:sz="0" w:space="0" w:color="auto"/>
        <w:left w:val="none" w:sz="0" w:space="0" w:color="auto"/>
        <w:bottom w:val="none" w:sz="0" w:space="0" w:color="auto"/>
        <w:right w:val="none" w:sz="0" w:space="0" w:color="auto"/>
      </w:divBdr>
    </w:div>
    <w:div w:id="123667224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291016021">
      <w:bodyDiv w:val="1"/>
      <w:marLeft w:val="0"/>
      <w:marRight w:val="0"/>
      <w:marTop w:val="0"/>
      <w:marBottom w:val="0"/>
      <w:divBdr>
        <w:top w:val="none" w:sz="0" w:space="0" w:color="auto"/>
        <w:left w:val="none" w:sz="0" w:space="0" w:color="auto"/>
        <w:bottom w:val="none" w:sz="0" w:space="0" w:color="auto"/>
        <w:right w:val="none" w:sz="0" w:space="0" w:color="auto"/>
      </w:divBdr>
    </w:div>
    <w:div w:id="1327322110">
      <w:bodyDiv w:val="1"/>
      <w:marLeft w:val="0"/>
      <w:marRight w:val="0"/>
      <w:marTop w:val="0"/>
      <w:marBottom w:val="0"/>
      <w:divBdr>
        <w:top w:val="none" w:sz="0" w:space="0" w:color="auto"/>
        <w:left w:val="none" w:sz="0" w:space="0" w:color="auto"/>
        <w:bottom w:val="none" w:sz="0" w:space="0" w:color="auto"/>
        <w:right w:val="none" w:sz="0" w:space="0" w:color="auto"/>
      </w:divBdr>
    </w:div>
    <w:div w:id="1424302293">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454398048">
      <w:bodyDiv w:val="1"/>
      <w:marLeft w:val="0"/>
      <w:marRight w:val="0"/>
      <w:marTop w:val="0"/>
      <w:marBottom w:val="0"/>
      <w:divBdr>
        <w:top w:val="none" w:sz="0" w:space="0" w:color="auto"/>
        <w:left w:val="none" w:sz="0" w:space="0" w:color="auto"/>
        <w:bottom w:val="none" w:sz="0" w:space="0" w:color="auto"/>
        <w:right w:val="none" w:sz="0" w:space="0" w:color="auto"/>
      </w:divBdr>
    </w:div>
    <w:div w:id="1455715997">
      <w:bodyDiv w:val="1"/>
      <w:marLeft w:val="0"/>
      <w:marRight w:val="0"/>
      <w:marTop w:val="0"/>
      <w:marBottom w:val="0"/>
      <w:divBdr>
        <w:top w:val="none" w:sz="0" w:space="0" w:color="auto"/>
        <w:left w:val="none" w:sz="0" w:space="0" w:color="auto"/>
        <w:bottom w:val="none" w:sz="0" w:space="0" w:color="auto"/>
        <w:right w:val="none" w:sz="0" w:space="0" w:color="auto"/>
      </w:divBdr>
    </w:div>
    <w:div w:id="1506942530">
      <w:bodyDiv w:val="1"/>
      <w:marLeft w:val="0"/>
      <w:marRight w:val="0"/>
      <w:marTop w:val="0"/>
      <w:marBottom w:val="0"/>
      <w:divBdr>
        <w:top w:val="none" w:sz="0" w:space="0" w:color="auto"/>
        <w:left w:val="none" w:sz="0" w:space="0" w:color="auto"/>
        <w:bottom w:val="none" w:sz="0" w:space="0" w:color="auto"/>
        <w:right w:val="none" w:sz="0" w:space="0" w:color="auto"/>
      </w:divBdr>
    </w:div>
    <w:div w:id="1531604258">
      <w:bodyDiv w:val="1"/>
      <w:marLeft w:val="0"/>
      <w:marRight w:val="0"/>
      <w:marTop w:val="0"/>
      <w:marBottom w:val="0"/>
      <w:divBdr>
        <w:top w:val="none" w:sz="0" w:space="0" w:color="auto"/>
        <w:left w:val="none" w:sz="0" w:space="0" w:color="auto"/>
        <w:bottom w:val="none" w:sz="0" w:space="0" w:color="auto"/>
        <w:right w:val="none" w:sz="0" w:space="0" w:color="auto"/>
      </w:divBdr>
    </w:div>
    <w:div w:id="1575777150">
      <w:bodyDiv w:val="1"/>
      <w:marLeft w:val="0"/>
      <w:marRight w:val="0"/>
      <w:marTop w:val="0"/>
      <w:marBottom w:val="0"/>
      <w:divBdr>
        <w:top w:val="none" w:sz="0" w:space="0" w:color="auto"/>
        <w:left w:val="none" w:sz="0" w:space="0" w:color="auto"/>
        <w:bottom w:val="none" w:sz="0" w:space="0" w:color="auto"/>
        <w:right w:val="none" w:sz="0" w:space="0" w:color="auto"/>
      </w:divBdr>
    </w:div>
    <w:div w:id="1651907537">
      <w:bodyDiv w:val="1"/>
      <w:marLeft w:val="0"/>
      <w:marRight w:val="0"/>
      <w:marTop w:val="0"/>
      <w:marBottom w:val="0"/>
      <w:divBdr>
        <w:top w:val="none" w:sz="0" w:space="0" w:color="auto"/>
        <w:left w:val="none" w:sz="0" w:space="0" w:color="auto"/>
        <w:bottom w:val="none" w:sz="0" w:space="0" w:color="auto"/>
        <w:right w:val="none" w:sz="0" w:space="0" w:color="auto"/>
      </w:divBdr>
    </w:div>
    <w:div w:id="1664818257">
      <w:bodyDiv w:val="1"/>
      <w:marLeft w:val="0"/>
      <w:marRight w:val="0"/>
      <w:marTop w:val="0"/>
      <w:marBottom w:val="0"/>
      <w:divBdr>
        <w:top w:val="none" w:sz="0" w:space="0" w:color="auto"/>
        <w:left w:val="none" w:sz="0" w:space="0" w:color="auto"/>
        <w:bottom w:val="none" w:sz="0" w:space="0" w:color="auto"/>
        <w:right w:val="none" w:sz="0" w:space="0" w:color="auto"/>
      </w:divBdr>
    </w:div>
    <w:div w:id="1784693512">
      <w:bodyDiv w:val="1"/>
      <w:marLeft w:val="0"/>
      <w:marRight w:val="0"/>
      <w:marTop w:val="0"/>
      <w:marBottom w:val="0"/>
      <w:divBdr>
        <w:top w:val="none" w:sz="0" w:space="0" w:color="auto"/>
        <w:left w:val="none" w:sz="0" w:space="0" w:color="auto"/>
        <w:bottom w:val="none" w:sz="0" w:space="0" w:color="auto"/>
        <w:right w:val="none" w:sz="0" w:space="0" w:color="auto"/>
      </w:divBdr>
    </w:div>
    <w:div w:id="1813450065">
      <w:bodyDiv w:val="1"/>
      <w:marLeft w:val="0"/>
      <w:marRight w:val="0"/>
      <w:marTop w:val="0"/>
      <w:marBottom w:val="0"/>
      <w:divBdr>
        <w:top w:val="none" w:sz="0" w:space="0" w:color="auto"/>
        <w:left w:val="none" w:sz="0" w:space="0" w:color="auto"/>
        <w:bottom w:val="none" w:sz="0" w:space="0" w:color="auto"/>
        <w:right w:val="none" w:sz="0" w:space="0" w:color="auto"/>
      </w:divBdr>
    </w:div>
    <w:div w:id="1854956422">
      <w:bodyDiv w:val="1"/>
      <w:marLeft w:val="0"/>
      <w:marRight w:val="0"/>
      <w:marTop w:val="0"/>
      <w:marBottom w:val="0"/>
      <w:divBdr>
        <w:top w:val="none" w:sz="0" w:space="0" w:color="auto"/>
        <w:left w:val="none" w:sz="0" w:space="0" w:color="auto"/>
        <w:bottom w:val="none" w:sz="0" w:space="0" w:color="auto"/>
        <w:right w:val="none" w:sz="0" w:space="0" w:color="auto"/>
      </w:divBdr>
      <w:divsChild>
        <w:div w:id="132527237">
          <w:marLeft w:val="0"/>
          <w:marRight w:val="0"/>
          <w:marTop w:val="0"/>
          <w:marBottom w:val="0"/>
          <w:divBdr>
            <w:top w:val="none" w:sz="0" w:space="0" w:color="auto"/>
            <w:left w:val="none" w:sz="0" w:space="0" w:color="auto"/>
            <w:bottom w:val="none" w:sz="0" w:space="0" w:color="auto"/>
            <w:right w:val="none" w:sz="0" w:space="0" w:color="auto"/>
          </w:divBdr>
          <w:divsChild>
            <w:div w:id="10497080">
              <w:marLeft w:val="0"/>
              <w:marRight w:val="0"/>
              <w:marTop w:val="0"/>
              <w:marBottom w:val="0"/>
              <w:divBdr>
                <w:top w:val="none" w:sz="0" w:space="0" w:color="auto"/>
                <w:left w:val="none" w:sz="0" w:space="0" w:color="auto"/>
                <w:bottom w:val="none" w:sz="0" w:space="0" w:color="auto"/>
                <w:right w:val="none" w:sz="0" w:space="0" w:color="auto"/>
              </w:divBdr>
            </w:div>
            <w:div w:id="16796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556">
      <w:bodyDiv w:val="1"/>
      <w:marLeft w:val="0"/>
      <w:marRight w:val="0"/>
      <w:marTop w:val="0"/>
      <w:marBottom w:val="0"/>
      <w:divBdr>
        <w:top w:val="none" w:sz="0" w:space="0" w:color="auto"/>
        <w:left w:val="none" w:sz="0" w:space="0" w:color="auto"/>
        <w:bottom w:val="none" w:sz="0" w:space="0" w:color="auto"/>
        <w:right w:val="none" w:sz="0" w:space="0" w:color="auto"/>
      </w:divBdr>
    </w:div>
    <w:div w:id="2012415728">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licensing.ofcom.org.uk/radio-broadcast-licensing/analogue-radio/apply-for-licence/re-advertisement/notes/"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4903\Desktop\11-1109-impact-assess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A0CB-B1B0-3A4C-A3D1-AF58F085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\Users\224903\Desktop\11-1109-impact-assessment-template.DOT</Template>
  <TotalTime>1</TotalTime>
  <Pages>11</Pages>
  <Words>8064</Words>
  <Characters>45965</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Impact Assessment</vt:lpstr>
    </vt:vector>
  </TitlesOfParts>
  <Company>DCMS</Company>
  <LinksUpToDate>false</LinksUpToDate>
  <CharactersWithSpaces>53922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BOON ALISTAIR</dc:creator>
  <cp:lastModifiedBy>OFFICE</cp:lastModifiedBy>
  <cp:revision>2</cp:revision>
  <cp:lastPrinted>2015-02-26T16:32:00Z</cp:lastPrinted>
  <dcterms:created xsi:type="dcterms:W3CDTF">2015-03-24T14:53:00Z</dcterms:created>
  <dcterms:modified xsi:type="dcterms:W3CDTF">2015-03-24T14:53:00Z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