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E2" w:rsidRDefault="00747AE2" w:rsidP="00A32968">
      <w:pPr>
        <w:spacing w:after="0" w:line="240" w:lineRule="auto"/>
        <w:jc w:val="center"/>
        <w:rPr>
          <w:b/>
          <w:sz w:val="24"/>
          <w:szCs w:val="26"/>
        </w:rPr>
      </w:pPr>
    </w:p>
    <w:p w:rsidR="004B38A1" w:rsidRDefault="009276B9" w:rsidP="00A32968">
      <w:pPr>
        <w:spacing w:after="0" w:line="240" w:lineRule="auto"/>
        <w:jc w:val="center"/>
        <w:rPr>
          <w:b/>
          <w:sz w:val="24"/>
          <w:szCs w:val="26"/>
        </w:rPr>
      </w:pPr>
      <w:r w:rsidRPr="009276B9">
        <w:rPr>
          <w:b/>
          <w:sz w:val="24"/>
          <w:szCs w:val="26"/>
        </w:rPr>
        <w:t xml:space="preserve">EECAD </w:t>
      </w:r>
      <w:r w:rsidR="004B38A1">
        <w:rPr>
          <w:b/>
          <w:sz w:val="24"/>
          <w:szCs w:val="26"/>
        </w:rPr>
        <w:t xml:space="preserve">Open Futures </w:t>
      </w:r>
      <w:r w:rsidR="00834005">
        <w:rPr>
          <w:b/>
          <w:sz w:val="24"/>
          <w:szCs w:val="26"/>
        </w:rPr>
        <w:t>Fund</w:t>
      </w:r>
    </w:p>
    <w:p w:rsidR="00CF0B8F" w:rsidRDefault="00043AF8" w:rsidP="00A32968">
      <w:pPr>
        <w:spacing w:after="0" w:line="240" w:lineRule="auto"/>
        <w:jc w:val="center"/>
        <w:rPr>
          <w:b/>
          <w:sz w:val="24"/>
          <w:szCs w:val="26"/>
        </w:rPr>
      </w:pPr>
      <w:bookmarkStart w:id="0" w:name="_GoBack"/>
      <w:r w:rsidRPr="009276B9">
        <w:rPr>
          <w:b/>
          <w:sz w:val="24"/>
          <w:szCs w:val="26"/>
        </w:rPr>
        <w:t xml:space="preserve">Programme </w:t>
      </w:r>
      <w:r w:rsidR="00291AB1">
        <w:rPr>
          <w:b/>
          <w:sz w:val="24"/>
          <w:szCs w:val="26"/>
        </w:rPr>
        <w:t>Document for Year One</w:t>
      </w:r>
      <w:r w:rsidR="004B38A1">
        <w:rPr>
          <w:b/>
          <w:sz w:val="24"/>
          <w:szCs w:val="26"/>
        </w:rPr>
        <w:t xml:space="preserve"> (FY</w:t>
      </w:r>
      <w:r w:rsidR="00BA56CA">
        <w:rPr>
          <w:b/>
          <w:sz w:val="24"/>
          <w:szCs w:val="26"/>
        </w:rPr>
        <w:t>2016-17)</w:t>
      </w:r>
    </w:p>
    <w:bookmarkEnd w:id="0"/>
    <w:p w:rsidR="004E6C73" w:rsidRDefault="004E6C73" w:rsidP="00A32968">
      <w:pPr>
        <w:spacing w:after="0" w:line="240" w:lineRule="auto"/>
        <w:jc w:val="center"/>
        <w:rPr>
          <w:b/>
          <w:sz w:val="24"/>
          <w:szCs w:val="26"/>
        </w:rPr>
      </w:pPr>
    </w:p>
    <w:p w:rsidR="009276B9" w:rsidRPr="009276B9" w:rsidRDefault="009276B9" w:rsidP="00A32968">
      <w:pPr>
        <w:spacing w:after="0" w:line="240" w:lineRule="auto"/>
        <w:jc w:val="center"/>
        <w:rPr>
          <w:b/>
          <w:sz w:val="24"/>
          <w:szCs w:val="26"/>
        </w:rPr>
      </w:pPr>
    </w:p>
    <w:tbl>
      <w:tblPr>
        <w:tblStyle w:val="TableGrid"/>
        <w:tblW w:w="0" w:type="auto"/>
        <w:tblInd w:w="250" w:type="dxa"/>
        <w:tblLook w:val="04A0" w:firstRow="1" w:lastRow="0" w:firstColumn="1" w:lastColumn="0" w:noHBand="0" w:noVBand="1"/>
      </w:tblPr>
      <w:tblGrid>
        <w:gridCol w:w="10064"/>
      </w:tblGrid>
      <w:tr w:rsidR="001F208F" w:rsidRPr="00CF0B8F" w:rsidTr="00CF0B8F">
        <w:tc>
          <w:tcPr>
            <w:tcW w:w="10064" w:type="dxa"/>
            <w:shd w:val="clear" w:color="auto" w:fill="B8CCE4" w:themeFill="accent1" w:themeFillTint="66"/>
          </w:tcPr>
          <w:p w:rsidR="001F208F" w:rsidRPr="00CF0B8F" w:rsidRDefault="001B244F" w:rsidP="001B244F">
            <w:pPr>
              <w:rPr>
                <w:b/>
                <w:sz w:val="24"/>
                <w:szCs w:val="24"/>
              </w:rPr>
            </w:pPr>
            <w:r>
              <w:rPr>
                <w:b/>
                <w:sz w:val="24"/>
                <w:szCs w:val="24"/>
              </w:rPr>
              <w:t>Summary</w:t>
            </w:r>
          </w:p>
        </w:tc>
      </w:tr>
      <w:tr w:rsidR="001F208F" w:rsidRPr="00CF0B8F" w:rsidTr="001F208F">
        <w:tc>
          <w:tcPr>
            <w:tcW w:w="10064" w:type="dxa"/>
            <w:shd w:val="clear" w:color="auto" w:fill="auto"/>
          </w:tcPr>
          <w:p w:rsidR="001F208F" w:rsidRDefault="001F208F" w:rsidP="001F208F">
            <w:pPr>
              <w:spacing w:line="276" w:lineRule="auto"/>
            </w:pPr>
          </w:p>
          <w:p w:rsidR="001B244F" w:rsidRDefault="001F208F" w:rsidP="001F208F">
            <w:pPr>
              <w:spacing w:line="276" w:lineRule="auto"/>
            </w:pPr>
            <w:r w:rsidRPr="00E607A4">
              <w:t xml:space="preserve">The </w:t>
            </w:r>
            <w:r w:rsidR="001B244F">
              <w:t xml:space="preserve">policy aim of the </w:t>
            </w:r>
            <w:r w:rsidRPr="00E607A4">
              <w:t xml:space="preserve">EECAD </w:t>
            </w:r>
            <w:r w:rsidR="004B38A1">
              <w:t xml:space="preserve">Open Futures </w:t>
            </w:r>
            <w:r w:rsidR="00834005">
              <w:t>Fund</w:t>
            </w:r>
            <w:r w:rsidR="006311A1">
              <w:t xml:space="preserve"> </w:t>
            </w:r>
            <w:r w:rsidR="001B244F">
              <w:t>is</w:t>
            </w:r>
            <w:r>
              <w:t xml:space="preserve"> </w:t>
            </w:r>
            <w:r w:rsidRPr="004B38A1">
              <w:t xml:space="preserve">to </w:t>
            </w:r>
            <w:r w:rsidR="004B38A1" w:rsidRPr="004B38A1">
              <w:t>support development of stable, open and prosperous countries in the EECA region.</w:t>
            </w:r>
            <w:r w:rsidR="004B38A1">
              <w:rPr>
                <w:b/>
              </w:rPr>
              <w:t xml:space="preserve">  </w:t>
            </w:r>
          </w:p>
          <w:p w:rsidR="001B244F" w:rsidRDefault="001B244F" w:rsidP="001F208F">
            <w:pPr>
              <w:spacing w:line="276" w:lineRule="auto"/>
            </w:pPr>
          </w:p>
          <w:p w:rsidR="001B244F" w:rsidRDefault="001F208F" w:rsidP="001F208F">
            <w:pPr>
              <w:spacing w:line="276" w:lineRule="auto"/>
            </w:pPr>
            <w:r>
              <w:t>It will do this by</w:t>
            </w:r>
            <w:r w:rsidR="001B244F">
              <w:t>:</w:t>
            </w:r>
          </w:p>
          <w:p w:rsidR="004B38A1" w:rsidRDefault="004B38A1" w:rsidP="004B38A1">
            <w:pPr>
              <w:pStyle w:val="ListParagraph"/>
              <w:numPr>
                <w:ilvl w:val="0"/>
                <w:numId w:val="31"/>
              </w:numPr>
            </w:pPr>
            <w:r>
              <w:t>Investing in future EECA leaders</w:t>
            </w:r>
            <w:r w:rsidR="008751FB">
              <w:t xml:space="preserve"> in the expectation that they will assume positions of influence in their countries, and help improve the quality of governance and civil society</w:t>
            </w:r>
          </w:p>
          <w:p w:rsidR="004B38A1" w:rsidRDefault="004B38A1" w:rsidP="004B38A1">
            <w:pPr>
              <w:pStyle w:val="ListParagraph"/>
              <w:numPr>
                <w:ilvl w:val="0"/>
                <w:numId w:val="31"/>
              </w:numPr>
            </w:pPr>
            <w:r>
              <w:t xml:space="preserve">Helping to maintain the space for civil society to contribute constructively to the creation of open </w:t>
            </w:r>
            <w:r w:rsidR="006311A1">
              <w:t xml:space="preserve">and successful </w:t>
            </w:r>
            <w:r>
              <w:t>societies</w:t>
            </w:r>
          </w:p>
          <w:p w:rsidR="004B38A1" w:rsidRDefault="004B38A1" w:rsidP="004B38A1">
            <w:pPr>
              <w:pStyle w:val="ListParagraph"/>
              <w:numPr>
                <w:ilvl w:val="0"/>
                <w:numId w:val="31"/>
              </w:numPr>
            </w:pPr>
            <w:r>
              <w:t xml:space="preserve">Building </w:t>
            </w:r>
            <w:r w:rsidR="00157AC3">
              <w:t>capacity in civil services and</w:t>
            </w:r>
            <w:r w:rsidR="006F5D45">
              <w:t xml:space="preserve"> government</w:t>
            </w:r>
            <w:r w:rsidR="00224C89">
              <w:t xml:space="preserve"> bodies</w:t>
            </w:r>
            <w:r w:rsidR="006F5D45">
              <w:t xml:space="preserve">, </w:t>
            </w:r>
            <w:r>
              <w:t xml:space="preserve">in order to </w:t>
            </w:r>
            <w:r w:rsidR="006F5D45">
              <w:t>build institutional resilience and enable</w:t>
            </w:r>
            <w:r>
              <w:t xml:space="preserve"> develop</w:t>
            </w:r>
            <w:r w:rsidR="006F5D45">
              <w:t>ment of effective governance</w:t>
            </w:r>
            <w:r>
              <w:t xml:space="preserve"> </w:t>
            </w:r>
          </w:p>
          <w:p w:rsidR="00273E75" w:rsidRDefault="00273E75">
            <w:pPr>
              <w:ind w:left="720"/>
            </w:pPr>
          </w:p>
          <w:p w:rsidR="00273E75" w:rsidRDefault="00273E75"/>
          <w:p w:rsidR="00291427" w:rsidRDefault="00291427" w:rsidP="00BD6C81">
            <w:r>
              <w:t xml:space="preserve">The Fund’s ODA funding for financial year 16/17 is £3.5m.  </w:t>
            </w:r>
          </w:p>
          <w:p w:rsidR="00291427" w:rsidRDefault="00291427" w:rsidP="00BD6C81"/>
          <w:p w:rsidR="00BD6C81" w:rsidRPr="00CF0B8F" w:rsidRDefault="00BD6C81" w:rsidP="00BD6C81">
            <w:pPr>
              <w:rPr>
                <w:b/>
                <w:sz w:val="24"/>
                <w:szCs w:val="24"/>
              </w:rPr>
            </w:pPr>
          </w:p>
        </w:tc>
      </w:tr>
      <w:tr w:rsidR="008F431C" w:rsidRPr="00CF0B8F" w:rsidTr="00CF0B8F">
        <w:tc>
          <w:tcPr>
            <w:tcW w:w="10064" w:type="dxa"/>
            <w:shd w:val="clear" w:color="auto" w:fill="B8CCE4" w:themeFill="accent1" w:themeFillTint="66"/>
          </w:tcPr>
          <w:p w:rsidR="008F431C" w:rsidRDefault="001B244F" w:rsidP="00C257FA">
            <w:pPr>
              <w:rPr>
                <w:b/>
                <w:sz w:val="24"/>
                <w:szCs w:val="24"/>
              </w:rPr>
            </w:pPr>
            <w:r w:rsidRPr="00CF0B8F">
              <w:rPr>
                <w:b/>
                <w:sz w:val="24"/>
                <w:szCs w:val="24"/>
              </w:rPr>
              <w:t xml:space="preserve">Strategic Case </w:t>
            </w:r>
          </w:p>
          <w:p w:rsidR="00BB3268" w:rsidRPr="00BB3268" w:rsidRDefault="00BB3268" w:rsidP="00B14F88">
            <w:pPr>
              <w:rPr>
                <w:i/>
                <w:sz w:val="20"/>
                <w:szCs w:val="24"/>
              </w:rPr>
            </w:pPr>
          </w:p>
        </w:tc>
      </w:tr>
      <w:tr w:rsidR="008F431C" w:rsidRPr="00CF0B8F" w:rsidTr="00097554">
        <w:trPr>
          <w:trHeight w:val="118"/>
        </w:trPr>
        <w:tc>
          <w:tcPr>
            <w:tcW w:w="10064" w:type="dxa"/>
          </w:tcPr>
          <w:p w:rsidR="00097554" w:rsidRPr="00B14F88" w:rsidRDefault="00097554" w:rsidP="00097554">
            <w:pPr>
              <w:spacing w:line="276" w:lineRule="auto"/>
              <w:rPr>
                <w:b/>
                <w:color w:val="FF0000"/>
              </w:rPr>
            </w:pPr>
          </w:p>
          <w:p w:rsidR="00021A1A" w:rsidRPr="0008596F" w:rsidRDefault="00021A1A" w:rsidP="00097554">
            <w:pPr>
              <w:spacing w:line="276" w:lineRule="auto"/>
            </w:pPr>
          </w:p>
          <w:p w:rsidR="008334D9" w:rsidRPr="008334D9" w:rsidRDefault="008334D9" w:rsidP="008334D9">
            <w:pPr>
              <w:spacing w:line="276" w:lineRule="auto"/>
              <w:rPr>
                <w:b/>
                <w:bCs/>
              </w:rPr>
            </w:pPr>
            <w:r w:rsidRPr="0008596F">
              <w:rPr>
                <w:bCs/>
              </w:rPr>
              <w:t>According to the 2016 Freedom House rankings</w:t>
            </w:r>
            <w:r w:rsidRPr="0008596F">
              <w:t xml:space="preserve">, the non-Baltic post-Soviet space continues to regress in terms of political freedoms and civil liberties.  </w:t>
            </w:r>
            <w:r w:rsidRPr="0008596F">
              <w:rPr>
                <w:bCs/>
              </w:rPr>
              <w:t>The latest average annual score for the region is the worst in the post-Soviet period</w:t>
            </w:r>
            <w:r w:rsidRPr="0008596F">
              <w:t xml:space="preserve">. </w:t>
            </w:r>
            <w:r w:rsidRPr="0008596F">
              <w:rPr>
                <w:bCs/>
              </w:rPr>
              <w:t>Seven countries in the EECAD region are rated ‘not free.’</w:t>
            </w:r>
            <w:r w:rsidRPr="0008596F">
              <w:t>  The political systems of five (</w:t>
            </w:r>
            <w:r w:rsidRPr="0008596F">
              <w:rPr>
                <w:bCs/>
              </w:rPr>
              <w:t>Azerbaijan, Belarus, Tajikistan, Turkmenistan and Uzbekistan</w:t>
            </w:r>
            <w:r w:rsidRPr="0008596F">
              <w:t>) are, according to Freedom House, among the 21 most repressive in the world. Of</w:t>
            </w:r>
            <w:r w:rsidRPr="0008596F">
              <w:rPr>
                <w:bCs/>
              </w:rPr>
              <w:t xml:space="preserve"> </w:t>
            </w:r>
            <w:r w:rsidRPr="0008596F">
              <w:t>the F</w:t>
            </w:r>
            <w:r w:rsidR="00291427">
              <w:t xml:space="preserve">ormer </w:t>
            </w:r>
            <w:r w:rsidRPr="0008596F">
              <w:t>S</w:t>
            </w:r>
            <w:r w:rsidR="00291427">
              <w:t xml:space="preserve">oviet </w:t>
            </w:r>
            <w:r w:rsidRPr="0008596F">
              <w:t>U</w:t>
            </w:r>
            <w:r w:rsidR="00291427">
              <w:t>nion (FSU)</w:t>
            </w:r>
            <w:r w:rsidRPr="0008596F">
              <w:t xml:space="preserve">-12, only </w:t>
            </w:r>
            <w:r w:rsidRPr="0008596F">
              <w:rPr>
                <w:bCs/>
              </w:rPr>
              <w:t>Armenia, Georgia and Moldova</w:t>
            </w:r>
            <w:r w:rsidRPr="0008596F">
              <w:t xml:space="preserve"> have higher scores in the Freedom House series than in 1992.</w:t>
            </w:r>
            <w:r w:rsidR="00921EB0">
              <w:t>S</w:t>
            </w:r>
            <w:r w:rsidRPr="0008596F">
              <w:t>ince 1992 the decline of Russia’s rating is worse than that of any other FSU-12 country</w:t>
            </w:r>
          </w:p>
          <w:p w:rsidR="00021A1A" w:rsidRDefault="00021A1A" w:rsidP="00097554">
            <w:pPr>
              <w:spacing w:line="276" w:lineRule="auto"/>
            </w:pPr>
          </w:p>
          <w:p w:rsidR="00097554" w:rsidRPr="009276B9" w:rsidRDefault="00F96DC9" w:rsidP="00291427">
            <w:pPr>
              <w:spacing w:line="276" w:lineRule="auto"/>
            </w:pPr>
            <w:r>
              <w:t>T</w:t>
            </w:r>
            <w:r w:rsidR="00021A1A">
              <w:t xml:space="preserve">he </w:t>
            </w:r>
            <w:r w:rsidR="005B70C0">
              <w:t xml:space="preserve">UK strategies for the EECA </w:t>
            </w:r>
            <w:r w:rsidR="00D27BCA">
              <w:t>region collectively</w:t>
            </w:r>
            <w:r w:rsidR="00021A1A">
              <w:t xml:space="preserve"> </w:t>
            </w:r>
            <w:r w:rsidR="00291427">
              <w:t>set</w:t>
            </w:r>
            <w:r w:rsidR="00021A1A">
              <w:t xml:space="preserve"> ambitious </w:t>
            </w:r>
            <w:r w:rsidR="008334D9">
              <w:t xml:space="preserve">objectives for </w:t>
            </w:r>
            <w:r w:rsidR="00021A1A">
              <w:t xml:space="preserve">supporting the development of stable, open and prosperous countries.   </w:t>
            </w:r>
            <w:r w:rsidR="0008596F">
              <w:t xml:space="preserve">The Open Futures </w:t>
            </w:r>
            <w:r w:rsidR="00C01A76">
              <w:t>F</w:t>
            </w:r>
            <w:r w:rsidR="00834005">
              <w:t>und</w:t>
            </w:r>
            <w:r w:rsidR="0008596F">
              <w:t xml:space="preserve"> </w:t>
            </w:r>
            <w:r>
              <w:t>is designed to support HMG’s</w:t>
            </w:r>
            <w:r w:rsidR="0008596F">
              <w:t xml:space="preserve"> capacity building activity in </w:t>
            </w:r>
            <w:r w:rsidR="006F5D45">
              <w:t>pursuit of</w:t>
            </w:r>
            <w:r w:rsidR="0008596F">
              <w:t xml:space="preserve"> those objectives, with</w:t>
            </w:r>
            <w:r w:rsidR="008334D9">
              <w:t xml:space="preserve"> specific focus on </w:t>
            </w:r>
            <w:r w:rsidR="00EB4398">
              <w:t xml:space="preserve">the role of civil society and civil services in </w:t>
            </w:r>
            <w:r w:rsidR="0008596F">
              <w:t>that future development.</w:t>
            </w:r>
          </w:p>
        </w:tc>
      </w:tr>
      <w:tr w:rsidR="008F431C" w:rsidRPr="00CF0B8F" w:rsidTr="00CF0B8F">
        <w:trPr>
          <w:trHeight w:val="70"/>
        </w:trPr>
        <w:tc>
          <w:tcPr>
            <w:tcW w:w="10064" w:type="dxa"/>
            <w:shd w:val="clear" w:color="auto" w:fill="B8CCE4" w:themeFill="accent1" w:themeFillTint="66"/>
          </w:tcPr>
          <w:p w:rsidR="004C75E0" w:rsidRDefault="00D147F7" w:rsidP="004C75E0">
            <w:pPr>
              <w:rPr>
                <w:b/>
                <w:sz w:val="24"/>
                <w:szCs w:val="24"/>
              </w:rPr>
            </w:pPr>
            <w:r>
              <w:rPr>
                <w:b/>
                <w:sz w:val="24"/>
                <w:szCs w:val="24"/>
              </w:rPr>
              <w:t>Programme Approach</w:t>
            </w:r>
          </w:p>
          <w:p w:rsidR="008F431C" w:rsidRPr="00CF0B8F" w:rsidRDefault="008F431C" w:rsidP="0008596F">
            <w:pPr>
              <w:rPr>
                <w:b/>
                <w:sz w:val="24"/>
                <w:szCs w:val="24"/>
              </w:rPr>
            </w:pPr>
          </w:p>
        </w:tc>
      </w:tr>
      <w:tr w:rsidR="00BA56CA" w:rsidRPr="00CF0B8F" w:rsidTr="006311A1">
        <w:trPr>
          <w:trHeight w:val="1111"/>
        </w:trPr>
        <w:tc>
          <w:tcPr>
            <w:tcW w:w="10064" w:type="dxa"/>
          </w:tcPr>
          <w:p w:rsidR="00097554" w:rsidRDefault="00097554" w:rsidP="00BA56CA"/>
          <w:p w:rsidR="00BA56CA" w:rsidRPr="00CF0B8F" w:rsidRDefault="00BD6C81" w:rsidP="006577D7">
            <w:pPr>
              <w:spacing w:line="276" w:lineRule="auto"/>
              <w:rPr>
                <w:sz w:val="8"/>
              </w:rPr>
            </w:pPr>
            <w:r>
              <w:t>In year one, a</w:t>
            </w:r>
            <w:r w:rsidR="00BA56CA">
              <w:t xml:space="preserve">ctivity in the region will be </w:t>
            </w:r>
            <w:r w:rsidR="001B244F">
              <w:t>organised as three strands:</w:t>
            </w:r>
          </w:p>
          <w:p w:rsidR="00BA56CA" w:rsidRPr="00BB2F78" w:rsidRDefault="00BA56CA" w:rsidP="006577D7">
            <w:pPr>
              <w:spacing w:after="40" w:line="276" w:lineRule="auto"/>
              <w:jc w:val="both"/>
              <w:rPr>
                <w:sz w:val="12"/>
              </w:rPr>
            </w:pPr>
          </w:p>
          <w:p w:rsidR="00BA56CA" w:rsidRPr="001B244F" w:rsidRDefault="00BA56CA" w:rsidP="006577D7">
            <w:pPr>
              <w:pStyle w:val="ListParagraph"/>
              <w:numPr>
                <w:ilvl w:val="0"/>
                <w:numId w:val="26"/>
              </w:numPr>
              <w:spacing w:line="276" w:lineRule="auto"/>
              <w:ind w:left="1080"/>
              <w:rPr>
                <w:b/>
                <w:bCs/>
              </w:rPr>
            </w:pPr>
            <w:r w:rsidRPr="001B244F">
              <w:rPr>
                <w:b/>
                <w:bCs/>
              </w:rPr>
              <w:t>Future leaders</w:t>
            </w:r>
          </w:p>
          <w:p w:rsidR="00BA56CA" w:rsidRDefault="00A90CE1" w:rsidP="006577D7">
            <w:pPr>
              <w:spacing w:line="276" w:lineRule="auto"/>
              <w:ind w:left="720"/>
              <w:rPr>
                <w:bCs/>
              </w:rPr>
            </w:pPr>
            <w:r>
              <w:t>T</w:t>
            </w:r>
            <w:r w:rsidR="004B38A1">
              <w:t xml:space="preserve">o </w:t>
            </w:r>
            <w:r w:rsidR="00F96DC9">
              <w:t xml:space="preserve">help build resilience and stability </w:t>
            </w:r>
            <w:r w:rsidR="005B70C0">
              <w:t>across the EECA</w:t>
            </w:r>
            <w:r w:rsidR="00F96DC9">
              <w:t xml:space="preserve"> region</w:t>
            </w:r>
            <w:r w:rsidR="004B38A1">
              <w:t xml:space="preserve">, we </w:t>
            </w:r>
            <w:r w:rsidR="00921EB0">
              <w:t>aim to support</w:t>
            </w:r>
            <w:r>
              <w:t xml:space="preserve"> networks of </w:t>
            </w:r>
            <w:r w:rsidR="005B70C0">
              <w:t xml:space="preserve">capable and </w:t>
            </w:r>
            <w:r w:rsidR="00D27BCA">
              <w:t>inspiring potential</w:t>
            </w:r>
            <w:r w:rsidR="00291427">
              <w:t xml:space="preserve"> </w:t>
            </w:r>
            <w:r w:rsidR="005B70C0">
              <w:t xml:space="preserve">future leaders.  </w:t>
            </w:r>
            <w:r w:rsidR="00BA56CA">
              <w:t xml:space="preserve">Through </w:t>
            </w:r>
            <w:r w:rsidR="00EB4398">
              <w:t xml:space="preserve">scholarship- and fellowship-type </w:t>
            </w:r>
            <w:r w:rsidR="00BA56CA">
              <w:t xml:space="preserve">programmes, the UK will invest in </w:t>
            </w:r>
            <w:r w:rsidR="00D27BCA">
              <w:t>individuals who</w:t>
            </w:r>
            <w:r w:rsidR="00BA56CA">
              <w:t xml:space="preserve"> </w:t>
            </w:r>
            <w:r w:rsidR="005B70C0">
              <w:t xml:space="preserve">have the </w:t>
            </w:r>
            <w:r w:rsidR="00D27BCA">
              <w:t>potential to</w:t>
            </w:r>
            <w:r w:rsidR="00BA56CA">
              <w:t xml:space="preserve"> </w:t>
            </w:r>
            <w:r w:rsidR="00291427">
              <w:t xml:space="preserve">help </w:t>
            </w:r>
            <w:r w:rsidR="00D27BCA">
              <w:t>develop government</w:t>
            </w:r>
            <w:r w:rsidR="00BA56CA">
              <w:t xml:space="preserve"> and civil society in the near future.   The</w:t>
            </w:r>
            <w:r w:rsidR="00BD6C81">
              <w:t xml:space="preserve">y </w:t>
            </w:r>
            <w:r w:rsidR="00BA56CA">
              <w:t xml:space="preserve">will </w:t>
            </w:r>
            <w:r w:rsidR="00BD6C81">
              <w:t xml:space="preserve">be brought </w:t>
            </w:r>
            <w:r w:rsidR="00BA56CA">
              <w:t>t</w:t>
            </w:r>
            <w:r w:rsidR="00A9434B">
              <w:t xml:space="preserve">o the UK to build professional knowledge and </w:t>
            </w:r>
            <w:r w:rsidR="00BA56CA">
              <w:t>skills</w:t>
            </w:r>
            <w:r w:rsidR="00D27BCA">
              <w:t>, expose</w:t>
            </w:r>
            <w:r w:rsidR="00291427">
              <w:t xml:space="preserve"> them to UK </w:t>
            </w:r>
            <w:r w:rsidR="005B70C0">
              <w:t xml:space="preserve">democratic values and </w:t>
            </w:r>
            <w:r w:rsidR="00291427">
              <w:t xml:space="preserve">help develop </w:t>
            </w:r>
            <w:r w:rsidR="005B70C0">
              <w:t xml:space="preserve">a </w:t>
            </w:r>
            <w:r w:rsidR="00A9434B">
              <w:t xml:space="preserve">support network </w:t>
            </w:r>
            <w:r w:rsidR="005B70C0">
              <w:t>to assist in their future careers</w:t>
            </w:r>
            <w:r w:rsidR="00224C89">
              <w:t xml:space="preserve">.  </w:t>
            </w:r>
            <w:r>
              <w:t>Joining an active alumn</w:t>
            </w:r>
            <w:r w:rsidR="00F96DC9">
              <w:t>i</w:t>
            </w:r>
            <w:r>
              <w:t xml:space="preserve"> </w:t>
            </w:r>
            <w:r w:rsidR="00B565D5">
              <w:t xml:space="preserve">network </w:t>
            </w:r>
            <w:r>
              <w:t>after the scholarship or fellowship will enable positive relationships to be maintained well in to the future.</w:t>
            </w:r>
          </w:p>
          <w:p w:rsidR="00715226" w:rsidRPr="00021A1A" w:rsidRDefault="004B38A1" w:rsidP="00715226">
            <w:pPr>
              <w:pStyle w:val="ListParagraph"/>
              <w:numPr>
                <w:ilvl w:val="0"/>
                <w:numId w:val="24"/>
              </w:numPr>
              <w:spacing w:before="100" w:beforeAutospacing="1" w:line="276" w:lineRule="auto"/>
              <w:ind w:left="1080"/>
            </w:pPr>
            <w:r>
              <w:rPr>
                <w:b/>
                <w:bCs/>
              </w:rPr>
              <w:t xml:space="preserve">Future </w:t>
            </w:r>
            <w:r w:rsidR="00715226" w:rsidRPr="001B244F">
              <w:rPr>
                <w:b/>
                <w:bCs/>
              </w:rPr>
              <w:t>Civil Society</w:t>
            </w:r>
          </w:p>
          <w:p w:rsidR="00A90CE1" w:rsidRDefault="00715226" w:rsidP="0067454E">
            <w:pPr>
              <w:spacing w:line="276" w:lineRule="auto"/>
              <w:ind w:left="720"/>
              <w:rPr>
                <w:rFonts w:cs="Arial"/>
              </w:rPr>
            </w:pPr>
            <w:r w:rsidRPr="00021A1A">
              <w:rPr>
                <w:rFonts w:cs="Arial"/>
              </w:rPr>
              <w:lastRenderedPageBreak/>
              <w:t xml:space="preserve">The environment for </w:t>
            </w:r>
            <w:r w:rsidRPr="00021A1A">
              <w:rPr>
                <w:bCs/>
              </w:rPr>
              <w:t>d</w:t>
            </w:r>
            <w:r w:rsidRPr="00021A1A">
              <w:rPr>
                <w:rFonts w:cs="Arial"/>
              </w:rPr>
              <w:t xml:space="preserve">efending and promoting democratic rules and values </w:t>
            </w:r>
            <w:r w:rsidR="006F5D45">
              <w:rPr>
                <w:rFonts w:cs="Arial"/>
              </w:rPr>
              <w:t xml:space="preserve">has </w:t>
            </w:r>
            <w:r w:rsidR="006F5D45" w:rsidRPr="00021A1A">
              <w:rPr>
                <w:rFonts w:cs="Arial"/>
              </w:rPr>
              <w:t>become restrictive</w:t>
            </w:r>
            <w:r w:rsidRPr="00021A1A">
              <w:rPr>
                <w:rFonts w:cs="Arial"/>
              </w:rPr>
              <w:t xml:space="preserve"> in parts of the region</w:t>
            </w:r>
            <w:r w:rsidR="00F96DC9">
              <w:rPr>
                <w:rFonts w:cs="Arial"/>
              </w:rPr>
              <w:t>, and continues to shrink</w:t>
            </w:r>
            <w:r w:rsidRPr="00021A1A">
              <w:rPr>
                <w:rFonts w:cs="Arial"/>
              </w:rPr>
              <w:t xml:space="preserve">.  Civil society organisations </w:t>
            </w:r>
            <w:r w:rsidR="00291427">
              <w:rPr>
                <w:rFonts w:cs="Arial"/>
              </w:rPr>
              <w:t xml:space="preserve">have </w:t>
            </w:r>
            <w:r w:rsidR="00D27BCA">
              <w:rPr>
                <w:rFonts w:cs="Arial"/>
              </w:rPr>
              <w:t xml:space="preserve">seen </w:t>
            </w:r>
            <w:r w:rsidR="00D27BCA" w:rsidRPr="00021A1A">
              <w:rPr>
                <w:rFonts w:cs="Arial"/>
              </w:rPr>
              <w:t>increasing</w:t>
            </w:r>
            <w:r w:rsidR="00291427">
              <w:rPr>
                <w:rFonts w:cs="Arial"/>
              </w:rPr>
              <w:t xml:space="preserve"> difficulties </w:t>
            </w:r>
            <w:r w:rsidR="00D27BCA">
              <w:rPr>
                <w:rFonts w:cs="Arial"/>
              </w:rPr>
              <w:t xml:space="preserve">in </w:t>
            </w:r>
            <w:r w:rsidR="00D27BCA" w:rsidRPr="00021A1A">
              <w:rPr>
                <w:rFonts w:cs="Arial"/>
              </w:rPr>
              <w:t>their</w:t>
            </w:r>
            <w:r w:rsidRPr="00021A1A">
              <w:rPr>
                <w:rFonts w:cs="Arial"/>
              </w:rPr>
              <w:t xml:space="preserve"> </w:t>
            </w:r>
            <w:r w:rsidR="00291427">
              <w:rPr>
                <w:rFonts w:cs="Arial"/>
              </w:rPr>
              <w:t xml:space="preserve">ability to </w:t>
            </w:r>
            <w:r w:rsidR="00D27BCA" w:rsidRPr="00021A1A">
              <w:rPr>
                <w:rFonts w:cs="Arial"/>
              </w:rPr>
              <w:t>access funding</w:t>
            </w:r>
            <w:r w:rsidRPr="00021A1A">
              <w:rPr>
                <w:rFonts w:cs="Arial"/>
              </w:rPr>
              <w:t xml:space="preserve"> and curtail</w:t>
            </w:r>
            <w:r w:rsidR="00291427">
              <w:rPr>
                <w:rFonts w:cs="Arial"/>
              </w:rPr>
              <w:t>ment of</w:t>
            </w:r>
            <w:r w:rsidRPr="00021A1A">
              <w:rPr>
                <w:rFonts w:cs="Arial"/>
              </w:rPr>
              <w:t xml:space="preserve"> their activit</w:t>
            </w:r>
            <w:r w:rsidR="00291427">
              <w:rPr>
                <w:rFonts w:cs="Arial"/>
              </w:rPr>
              <w:t>ies</w:t>
            </w:r>
            <w:r w:rsidRPr="00021A1A">
              <w:rPr>
                <w:rFonts w:cs="Arial"/>
              </w:rPr>
              <w:t xml:space="preserve">. By supporting their work </w:t>
            </w:r>
            <w:r w:rsidR="006F5D45">
              <w:rPr>
                <w:rFonts w:cs="Arial"/>
              </w:rPr>
              <w:t xml:space="preserve">through </w:t>
            </w:r>
            <w:r w:rsidR="006F5D45" w:rsidRPr="00021A1A">
              <w:rPr>
                <w:rFonts w:cs="Arial"/>
              </w:rPr>
              <w:t>grant</w:t>
            </w:r>
            <w:r w:rsidRPr="00021A1A">
              <w:rPr>
                <w:rFonts w:cs="Arial"/>
              </w:rPr>
              <w:t xml:space="preserve"> funding</w:t>
            </w:r>
            <w:r w:rsidR="00F96DC9">
              <w:rPr>
                <w:rFonts w:cs="Arial"/>
              </w:rPr>
              <w:t>,</w:t>
            </w:r>
            <w:r w:rsidRPr="00021A1A">
              <w:rPr>
                <w:rFonts w:cs="Arial"/>
              </w:rPr>
              <w:t xml:space="preserve"> the UK will help to </w:t>
            </w:r>
            <w:r w:rsidR="00291427">
              <w:rPr>
                <w:rFonts w:cs="Arial"/>
              </w:rPr>
              <w:t>support</w:t>
            </w:r>
            <w:r w:rsidRPr="00021A1A">
              <w:rPr>
                <w:rFonts w:cs="Arial"/>
              </w:rPr>
              <w:t xml:space="preserve"> the </w:t>
            </w:r>
            <w:r w:rsidR="0067454E">
              <w:rPr>
                <w:rFonts w:cs="Arial"/>
              </w:rPr>
              <w:t xml:space="preserve">role of civil society in decision-making and democratic processes, which is </w:t>
            </w:r>
            <w:r w:rsidR="006F5D45">
              <w:rPr>
                <w:rFonts w:cs="Arial"/>
              </w:rPr>
              <w:t>central to</w:t>
            </w:r>
            <w:r w:rsidR="0067454E">
              <w:rPr>
                <w:rFonts w:cs="Arial"/>
              </w:rPr>
              <w:t xml:space="preserve"> the development of successful societies. </w:t>
            </w:r>
            <w:r w:rsidRPr="00021A1A">
              <w:rPr>
                <w:rFonts w:cs="Arial"/>
              </w:rPr>
              <w:t xml:space="preserve"> </w:t>
            </w:r>
          </w:p>
          <w:p w:rsidR="0067454E" w:rsidRPr="0067454E" w:rsidRDefault="0067454E" w:rsidP="0067454E">
            <w:pPr>
              <w:pStyle w:val="ListParagraph"/>
              <w:numPr>
                <w:ilvl w:val="0"/>
                <w:numId w:val="24"/>
              </w:numPr>
              <w:spacing w:before="100" w:beforeAutospacing="1" w:line="276" w:lineRule="auto"/>
              <w:ind w:left="1080"/>
              <w:rPr>
                <w:b/>
                <w:bCs/>
              </w:rPr>
            </w:pPr>
            <w:r w:rsidRPr="0067454E">
              <w:rPr>
                <w:b/>
                <w:bCs/>
              </w:rPr>
              <w:t xml:space="preserve">Civil Service </w:t>
            </w:r>
            <w:r w:rsidR="006F5D45">
              <w:rPr>
                <w:b/>
                <w:bCs/>
              </w:rPr>
              <w:t>&amp; Government</w:t>
            </w:r>
            <w:r w:rsidR="00800A85">
              <w:rPr>
                <w:b/>
                <w:bCs/>
              </w:rPr>
              <w:t xml:space="preserve"> Bodies</w:t>
            </w:r>
          </w:p>
          <w:p w:rsidR="00BA56CA" w:rsidRPr="0067454E" w:rsidRDefault="00E14A20" w:rsidP="0067454E">
            <w:pPr>
              <w:pStyle w:val="ListParagraph"/>
              <w:spacing w:line="276" w:lineRule="auto"/>
              <w:rPr>
                <w:bCs/>
              </w:rPr>
            </w:pPr>
            <w:r w:rsidRPr="0067454E">
              <w:rPr>
                <w:bCs/>
              </w:rPr>
              <w:t xml:space="preserve">Increasing resilience to threats to stability and economic growth </w:t>
            </w:r>
            <w:r w:rsidR="005B70C0">
              <w:rPr>
                <w:bCs/>
              </w:rPr>
              <w:t>is vital to future prosperity</w:t>
            </w:r>
            <w:r w:rsidR="0067454E">
              <w:rPr>
                <w:bCs/>
              </w:rPr>
              <w:t xml:space="preserve">. </w:t>
            </w:r>
            <w:r w:rsidR="00BC0C92">
              <w:rPr>
                <w:bCs/>
              </w:rPr>
              <w:t xml:space="preserve"> </w:t>
            </w:r>
            <w:r w:rsidR="0067454E" w:rsidRPr="0067454E">
              <w:rPr>
                <w:bCs/>
              </w:rPr>
              <w:t>Issues such as</w:t>
            </w:r>
            <w:r w:rsidR="005B70C0">
              <w:rPr>
                <w:bCs/>
              </w:rPr>
              <w:t xml:space="preserve"> corruption and</w:t>
            </w:r>
            <w:r w:rsidR="0067454E" w:rsidRPr="0067454E">
              <w:rPr>
                <w:bCs/>
              </w:rPr>
              <w:t xml:space="preserve"> the </w:t>
            </w:r>
            <w:r w:rsidR="005B70C0">
              <w:rPr>
                <w:bCs/>
              </w:rPr>
              <w:t>lack of a</w:t>
            </w:r>
            <w:r w:rsidR="00291427">
              <w:rPr>
                <w:bCs/>
              </w:rPr>
              <w:t xml:space="preserve"> fully </w:t>
            </w:r>
            <w:r w:rsidR="0067454E" w:rsidRPr="0067454E">
              <w:rPr>
                <w:bCs/>
              </w:rPr>
              <w:t>independen</w:t>
            </w:r>
            <w:r w:rsidR="005B70C0">
              <w:rPr>
                <w:bCs/>
              </w:rPr>
              <w:t>t</w:t>
            </w:r>
            <w:r w:rsidR="0067454E" w:rsidRPr="0067454E">
              <w:rPr>
                <w:bCs/>
              </w:rPr>
              <w:t xml:space="preserve"> </w:t>
            </w:r>
            <w:r w:rsidR="00D27BCA" w:rsidRPr="0067454E">
              <w:rPr>
                <w:bCs/>
              </w:rPr>
              <w:t>judiciary undermine</w:t>
            </w:r>
            <w:r w:rsidR="0067454E" w:rsidRPr="0067454E">
              <w:rPr>
                <w:bCs/>
              </w:rPr>
              <w:t xml:space="preserve"> the establishment of effective governance and frequently contribute to </w:t>
            </w:r>
            <w:r w:rsidR="006F5D45">
              <w:rPr>
                <w:bCs/>
              </w:rPr>
              <w:t xml:space="preserve">undermining </w:t>
            </w:r>
            <w:r w:rsidR="006F5D45" w:rsidRPr="0067454E">
              <w:rPr>
                <w:bCs/>
              </w:rPr>
              <w:t>civil</w:t>
            </w:r>
            <w:r w:rsidR="0067454E" w:rsidRPr="0067454E">
              <w:rPr>
                <w:bCs/>
              </w:rPr>
              <w:t xml:space="preserve"> society. </w:t>
            </w:r>
            <w:r w:rsidR="0067454E">
              <w:rPr>
                <w:bCs/>
              </w:rPr>
              <w:t xml:space="preserve">  </w:t>
            </w:r>
            <w:r w:rsidR="005B70C0">
              <w:rPr>
                <w:bCs/>
              </w:rPr>
              <w:t xml:space="preserve">It is therefore important to have a civil service with capacity to tackle these issues and implement reforms where needed.  </w:t>
            </w:r>
            <w:r w:rsidR="00C2599E">
              <w:rPr>
                <w:bCs/>
              </w:rPr>
              <w:t>W</w:t>
            </w:r>
            <w:r w:rsidR="00803715" w:rsidRPr="0067454E">
              <w:rPr>
                <w:bCs/>
              </w:rPr>
              <w:t xml:space="preserve">ith </w:t>
            </w:r>
            <w:r w:rsidR="00291427">
              <w:rPr>
                <w:bCs/>
              </w:rPr>
              <w:t xml:space="preserve">the </w:t>
            </w:r>
            <w:r w:rsidR="00D27BCA">
              <w:rPr>
                <w:bCs/>
              </w:rPr>
              <w:t>UK’s strong</w:t>
            </w:r>
            <w:r w:rsidR="00803715" w:rsidRPr="0067454E">
              <w:rPr>
                <w:bCs/>
              </w:rPr>
              <w:t xml:space="preserve"> tradition of public service founded on impartiality, transparency and accountability, the UK is well placed to support </w:t>
            </w:r>
            <w:r w:rsidR="00C2599E">
              <w:rPr>
                <w:bCs/>
              </w:rPr>
              <w:t xml:space="preserve">activity, which will be </w:t>
            </w:r>
            <w:r w:rsidR="00F96DC9">
              <w:rPr>
                <w:bCs/>
              </w:rPr>
              <w:t xml:space="preserve">geographically tailored to suit the different </w:t>
            </w:r>
            <w:r w:rsidR="005B70C0">
              <w:rPr>
                <w:bCs/>
              </w:rPr>
              <w:t xml:space="preserve">environments in countries across the region.  </w:t>
            </w:r>
          </w:p>
          <w:p w:rsidR="00BC0C92" w:rsidRDefault="00BC0C92" w:rsidP="00BC0C92">
            <w:pPr>
              <w:spacing w:before="100" w:beforeAutospacing="1" w:line="276" w:lineRule="auto"/>
            </w:pPr>
            <w:r>
              <w:t xml:space="preserve">This </w:t>
            </w:r>
            <w:r w:rsidR="00C2599E">
              <w:t xml:space="preserve">above three-pronged </w:t>
            </w:r>
            <w:r>
              <w:t xml:space="preserve">approach will </w:t>
            </w:r>
            <w:r w:rsidR="00C2599E">
              <w:t xml:space="preserve">aim to </w:t>
            </w:r>
            <w:r>
              <w:t>deliver a blend of country-specific and regional interventions and allow the piloting of new approaches and partnerships in the region.  In parallel, further work will be undertaken to expand the research base and develop the design of the programme for the</w:t>
            </w:r>
            <w:r w:rsidRPr="00021A1A">
              <w:t xml:space="preserve"> expected</w:t>
            </w:r>
            <w:r>
              <w:t xml:space="preserve"> increased funding in years two, three and four</w:t>
            </w:r>
            <w:r w:rsidR="00291427">
              <w:t xml:space="preserve"> (not yet approved)</w:t>
            </w:r>
            <w:r>
              <w:t xml:space="preserve">. </w:t>
            </w:r>
          </w:p>
          <w:p w:rsidR="00BB2F78" w:rsidRDefault="00021A1A" w:rsidP="00224C89">
            <w:pPr>
              <w:spacing w:before="100" w:beforeAutospacing="1" w:line="276" w:lineRule="auto"/>
            </w:pPr>
            <w:r>
              <w:t xml:space="preserve">Geographically, the programme will cover </w:t>
            </w:r>
            <w:r w:rsidRPr="00021A1A">
              <w:t>Armeni</w:t>
            </w:r>
            <w:r>
              <w:t xml:space="preserve">a, Azerbaijan, Belarus, Georgia, </w:t>
            </w:r>
            <w:r w:rsidRPr="00021A1A">
              <w:t>Kazakhstan, Kyrgyzst</w:t>
            </w:r>
            <w:r>
              <w:t>an, Moldova, Russia, Tajikistan, Turkmenistan,</w:t>
            </w:r>
            <w:r w:rsidRPr="00021A1A">
              <w:t xml:space="preserve"> </w:t>
            </w:r>
            <w:r>
              <w:t xml:space="preserve">Ukraine and </w:t>
            </w:r>
            <w:r w:rsidRPr="00021A1A">
              <w:t>Uzbekistan</w:t>
            </w:r>
            <w:r>
              <w:t xml:space="preserve">.  </w:t>
            </w:r>
            <w:r w:rsidR="0008596F">
              <w:t>With its</w:t>
            </w:r>
            <w:r w:rsidR="00BC0C92">
              <w:t xml:space="preserve"> </w:t>
            </w:r>
            <w:r w:rsidR="008334D9">
              <w:t>discrete</w:t>
            </w:r>
            <w:r w:rsidR="00BC0C92">
              <w:t xml:space="preserve"> focus on </w:t>
            </w:r>
            <w:r w:rsidR="00224C89">
              <w:t xml:space="preserve">preparing for </w:t>
            </w:r>
            <w:r w:rsidR="00BC0C92">
              <w:t>the future, a</w:t>
            </w:r>
            <w:r>
              <w:t xml:space="preserve">ctivity will be programmed to complement existing work </w:t>
            </w:r>
            <w:r w:rsidR="00BC0C92">
              <w:t>funded through</w:t>
            </w:r>
            <w:r>
              <w:t xml:space="preserve"> other programmes, for example</w:t>
            </w:r>
            <w:r w:rsidR="00C2599E">
              <w:t xml:space="preserve"> on-going</w:t>
            </w:r>
            <w:r>
              <w:t xml:space="preserve"> </w:t>
            </w:r>
            <w:r w:rsidR="00224C89">
              <w:t>Good Governance Fund</w:t>
            </w:r>
            <w:r>
              <w:t xml:space="preserve"> work </w:t>
            </w:r>
            <w:r w:rsidR="00C2599E">
              <w:t xml:space="preserve">in the region.  </w:t>
            </w:r>
            <w:r w:rsidR="00EB4398">
              <w:t xml:space="preserve">A dedicated programme </w:t>
            </w:r>
            <w:r w:rsidR="00D27BCA">
              <w:t>board will</w:t>
            </w:r>
            <w:r w:rsidR="00EB4398">
              <w:t xml:space="preserve"> oversee development of the programme strategy and have responsibility for allocating funds, approving projects and monitoring risk.   </w:t>
            </w: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8751FB" w:rsidRDefault="008751FB" w:rsidP="00224C89">
            <w:pPr>
              <w:spacing w:before="100" w:beforeAutospacing="1" w:line="276" w:lineRule="auto"/>
            </w:pPr>
          </w:p>
          <w:p w:rsidR="00BB2F78" w:rsidRPr="00BB2F78" w:rsidRDefault="00BB2F78" w:rsidP="00224C89">
            <w:pPr>
              <w:spacing w:before="100" w:beforeAutospacing="1" w:line="276" w:lineRule="auto"/>
              <w:rPr>
                <w:sz w:val="2"/>
              </w:rPr>
            </w:pPr>
          </w:p>
        </w:tc>
      </w:tr>
      <w:tr w:rsidR="006577D7" w:rsidRPr="00CF0B8F" w:rsidTr="00CF0B8F">
        <w:tc>
          <w:tcPr>
            <w:tcW w:w="10064" w:type="dxa"/>
            <w:shd w:val="clear" w:color="auto" w:fill="B8CCE4" w:themeFill="accent1" w:themeFillTint="66"/>
          </w:tcPr>
          <w:p w:rsidR="006577D7" w:rsidRDefault="006F213F" w:rsidP="00CF0B8F">
            <w:pPr>
              <w:spacing w:line="216" w:lineRule="auto"/>
              <w:rPr>
                <w:b/>
                <w:sz w:val="24"/>
                <w:szCs w:val="24"/>
              </w:rPr>
            </w:pPr>
            <w:r>
              <w:rPr>
                <w:b/>
                <w:sz w:val="24"/>
                <w:szCs w:val="24"/>
              </w:rPr>
              <w:lastRenderedPageBreak/>
              <w:t xml:space="preserve">Theory of Change and </w:t>
            </w:r>
            <w:r w:rsidR="006577D7">
              <w:rPr>
                <w:b/>
                <w:sz w:val="24"/>
                <w:szCs w:val="24"/>
              </w:rPr>
              <w:t>Results</w:t>
            </w:r>
          </w:p>
          <w:p w:rsidR="006577D7" w:rsidRPr="006577D7" w:rsidRDefault="006577D7" w:rsidP="006577D7">
            <w:pPr>
              <w:spacing w:line="216" w:lineRule="auto"/>
              <w:rPr>
                <w:i/>
                <w:sz w:val="18"/>
              </w:rPr>
            </w:pPr>
          </w:p>
        </w:tc>
      </w:tr>
      <w:tr w:rsidR="006577D7" w:rsidRPr="00CF0B8F" w:rsidTr="006577D7">
        <w:tc>
          <w:tcPr>
            <w:tcW w:w="10064" w:type="dxa"/>
            <w:shd w:val="clear" w:color="auto" w:fill="auto"/>
          </w:tcPr>
          <w:p w:rsidR="006577D7" w:rsidRDefault="006577D7" w:rsidP="00CF0B8F">
            <w:pPr>
              <w:spacing w:line="216" w:lineRule="auto"/>
              <w:rPr>
                <w:b/>
                <w:sz w:val="24"/>
                <w:szCs w:val="24"/>
              </w:rPr>
            </w:pPr>
          </w:p>
          <w:p w:rsidR="00E47E17" w:rsidRDefault="006F213F" w:rsidP="00351348">
            <w:pPr>
              <w:spacing w:line="216" w:lineRule="auto"/>
              <w:rPr>
                <w:i/>
                <w:sz w:val="24"/>
                <w:szCs w:val="24"/>
                <w:highlight w:val="yellow"/>
              </w:rPr>
            </w:pPr>
            <w:r w:rsidRPr="006F213F">
              <w:rPr>
                <w:sz w:val="24"/>
                <w:szCs w:val="24"/>
              </w:rPr>
              <w:t>The theory of change is as follows:</w:t>
            </w:r>
          </w:p>
          <w:p w:rsidR="00E47E17" w:rsidRDefault="00E47E17" w:rsidP="00351348">
            <w:pPr>
              <w:spacing w:line="216" w:lineRule="auto"/>
              <w:rPr>
                <w:i/>
                <w:sz w:val="24"/>
                <w:szCs w:val="24"/>
                <w:highlight w:val="yellow"/>
              </w:rPr>
            </w:pPr>
          </w:p>
          <w:p w:rsidR="00E47E17" w:rsidRDefault="00747AE2" w:rsidP="00351348">
            <w:pPr>
              <w:spacing w:line="216" w:lineRule="auto"/>
              <w:rPr>
                <w:i/>
                <w:sz w:val="24"/>
                <w:szCs w:val="24"/>
                <w:highlight w:val="yellow"/>
              </w:rPr>
            </w:pPr>
            <w:r>
              <w:rPr>
                <w:i/>
                <w:noProof/>
                <w:sz w:val="24"/>
                <w:szCs w:val="24"/>
              </w:rPr>
              <w:lastRenderedPageBreak/>
              <w:pict>
                <v:group id="_x0000_s1041" style="position:absolute;margin-left:4pt;margin-top:1.9pt;width:477.85pt;height:353.5pt;z-index:251674624" coordorigin="1050,5409" coordsize="9613,6729">
                  <v:roundrect id="_x0000_s1027" style="position:absolute;left:1185;top:5409;width:9450;height:979" arcsize="10923f">
                    <v:textbox style="mso-next-textbox:#_x0000_s1027">
                      <w:txbxContent>
                        <w:p w:rsidR="00036AC9" w:rsidRPr="006F213F" w:rsidRDefault="00036AC9" w:rsidP="00E47E17">
                          <w:pPr>
                            <w:spacing w:line="216" w:lineRule="auto"/>
                            <w:jc w:val="center"/>
                            <w:rPr>
                              <w:u w:val="single"/>
                            </w:rPr>
                          </w:pPr>
                          <w:r>
                            <w:rPr>
                              <w:u w:val="single"/>
                            </w:rPr>
                            <w:t>Impact</w:t>
                          </w:r>
                        </w:p>
                        <w:p w:rsidR="00036AC9" w:rsidRDefault="00C2599E" w:rsidP="00E47E17">
                          <w:pPr>
                            <w:spacing w:line="216" w:lineRule="auto"/>
                            <w:jc w:val="center"/>
                            <w:rPr>
                              <w:i/>
                              <w:sz w:val="24"/>
                              <w:szCs w:val="24"/>
                              <w:highlight w:val="yellow"/>
                            </w:rPr>
                          </w:pPr>
                          <w:r>
                            <w:t xml:space="preserve">More </w:t>
                          </w:r>
                          <w:r w:rsidR="00036AC9">
                            <w:t xml:space="preserve">open, stable and prosperous </w:t>
                          </w:r>
                          <w:r>
                            <w:t xml:space="preserve">FSU </w:t>
                          </w:r>
                          <w:r w:rsidR="00036AC9">
                            <w:t>countries</w:t>
                          </w:r>
                        </w:p>
                        <w:p w:rsidR="00036AC9" w:rsidRDefault="00036AC9"/>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5145;top:6442;width:1587;height:397" adj="13384,5512">
                    <v:textbox style="layout-flow:vertical-ideographic"/>
                  </v:shape>
                  <v:shape id="_x0000_s1035" type="#_x0000_t68" style="position:absolute;left:5145;top:8681;width:1587;height:397" adj="13384,5512">
                    <v:textbox style="layout-flow:vertical-ideographic"/>
                  </v:shape>
                  <v:roundrect id="_x0000_s1030" style="position:absolute;left:1050;top:9190;width:3118;height:2948" arcsize="5856f" o:regroupid="1">
                    <v:textbox style="mso-next-textbox:#_x0000_s1030">
                      <w:txbxContent>
                        <w:p w:rsidR="00036AC9" w:rsidRDefault="00036AC9" w:rsidP="006311A1">
                          <w:pPr>
                            <w:spacing w:line="216" w:lineRule="auto"/>
                            <w:rPr>
                              <w:szCs w:val="24"/>
                            </w:rPr>
                          </w:pPr>
                          <w:r>
                            <w:rPr>
                              <w:szCs w:val="24"/>
                            </w:rPr>
                            <w:t>Types of i</w:t>
                          </w:r>
                          <w:r w:rsidRPr="00C006C5">
                            <w:rPr>
                              <w:szCs w:val="24"/>
                            </w:rPr>
                            <w:t>nterventions:</w:t>
                          </w:r>
                        </w:p>
                        <w:p w:rsidR="00036AC9" w:rsidRDefault="00036AC9" w:rsidP="006311A1">
                          <w:pPr>
                            <w:pStyle w:val="ListParagraph"/>
                            <w:numPr>
                              <w:ilvl w:val="0"/>
                              <w:numId w:val="27"/>
                            </w:numPr>
                            <w:spacing w:line="216" w:lineRule="auto"/>
                            <w:ind w:left="170" w:hanging="170"/>
                            <w:rPr>
                              <w:szCs w:val="24"/>
                            </w:rPr>
                          </w:pPr>
                          <w:r>
                            <w:rPr>
                              <w:szCs w:val="24"/>
                            </w:rPr>
                            <w:t xml:space="preserve">Scholarships and fellowships </w:t>
                          </w:r>
                        </w:p>
                        <w:p w:rsidR="00036AC9" w:rsidRPr="00E47E17" w:rsidRDefault="00036AC9" w:rsidP="006311A1">
                          <w:pPr>
                            <w:pStyle w:val="ListParagraph"/>
                            <w:numPr>
                              <w:ilvl w:val="0"/>
                              <w:numId w:val="27"/>
                            </w:numPr>
                            <w:spacing w:line="216" w:lineRule="auto"/>
                            <w:ind w:left="170" w:hanging="170"/>
                          </w:pPr>
                          <w:r w:rsidRPr="00E47E17">
                            <w:rPr>
                              <w:szCs w:val="24"/>
                            </w:rPr>
                            <w:t>Building links between democratic institutions e.g. parliamentarians</w:t>
                          </w:r>
                        </w:p>
                      </w:txbxContent>
                    </v:textbox>
                  </v:roundrect>
                  <v:roundrect id="_x0000_s1031" style="position:absolute;left:4304;top:9190;width:3118;height:2948" arcsize="4053f" o:regroupid="1">
                    <v:textbox style="mso-next-textbox:#_x0000_s1031">
                      <w:txbxContent>
                        <w:p w:rsidR="00036AC9" w:rsidRDefault="00036AC9" w:rsidP="00E47E17">
                          <w:pPr>
                            <w:spacing w:line="216" w:lineRule="auto"/>
                            <w:rPr>
                              <w:szCs w:val="24"/>
                            </w:rPr>
                          </w:pPr>
                          <w:r>
                            <w:rPr>
                              <w:szCs w:val="24"/>
                            </w:rPr>
                            <w:t>Types of i</w:t>
                          </w:r>
                          <w:r w:rsidRPr="00C006C5">
                            <w:rPr>
                              <w:szCs w:val="24"/>
                            </w:rPr>
                            <w:t>nterventions:</w:t>
                          </w:r>
                        </w:p>
                        <w:p w:rsidR="00036AC9" w:rsidRPr="00B5512C" w:rsidRDefault="00036AC9" w:rsidP="006311A1">
                          <w:pPr>
                            <w:pStyle w:val="ListParagraph"/>
                            <w:numPr>
                              <w:ilvl w:val="0"/>
                              <w:numId w:val="27"/>
                            </w:numPr>
                            <w:spacing w:line="216" w:lineRule="auto"/>
                            <w:ind w:hanging="170"/>
                            <w:rPr>
                              <w:szCs w:val="24"/>
                            </w:rPr>
                          </w:pPr>
                          <w:r>
                            <w:rPr>
                              <w:szCs w:val="24"/>
                            </w:rPr>
                            <w:t xml:space="preserve">Scholarships and fellowships </w:t>
                          </w:r>
                        </w:p>
                        <w:p w:rsidR="00036AC9" w:rsidRDefault="00036AC9" w:rsidP="006311A1">
                          <w:pPr>
                            <w:pStyle w:val="ListParagraph"/>
                            <w:numPr>
                              <w:ilvl w:val="0"/>
                              <w:numId w:val="28"/>
                            </w:numPr>
                            <w:spacing w:line="216" w:lineRule="auto"/>
                            <w:ind w:hanging="170"/>
                            <w:rPr>
                              <w:szCs w:val="24"/>
                            </w:rPr>
                          </w:pPr>
                          <w:r>
                            <w:rPr>
                              <w:szCs w:val="24"/>
                            </w:rPr>
                            <w:t>Grant funding for NGOs</w:t>
                          </w:r>
                        </w:p>
                        <w:p w:rsidR="00036AC9" w:rsidRDefault="00036AC9" w:rsidP="006311A1">
                          <w:pPr>
                            <w:pStyle w:val="ListParagraph"/>
                            <w:numPr>
                              <w:ilvl w:val="0"/>
                              <w:numId w:val="28"/>
                            </w:numPr>
                            <w:spacing w:line="216" w:lineRule="auto"/>
                            <w:ind w:hanging="170"/>
                            <w:rPr>
                              <w:szCs w:val="24"/>
                            </w:rPr>
                          </w:pPr>
                          <w:r>
                            <w:rPr>
                              <w:szCs w:val="24"/>
                            </w:rPr>
                            <w:t>Legal awareness training</w:t>
                          </w:r>
                        </w:p>
                        <w:p w:rsidR="00036AC9" w:rsidRDefault="00036AC9" w:rsidP="006311A1">
                          <w:pPr>
                            <w:pStyle w:val="ListParagraph"/>
                            <w:numPr>
                              <w:ilvl w:val="0"/>
                              <w:numId w:val="28"/>
                            </w:numPr>
                            <w:spacing w:line="216" w:lineRule="auto"/>
                            <w:ind w:hanging="170"/>
                            <w:rPr>
                              <w:szCs w:val="24"/>
                            </w:rPr>
                          </w:pPr>
                          <w:r>
                            <w:rPr>
                              <w:szCs w:val="24"/>
                            </w:rPr>
                            <w:t>NGO networking and support events</w:t>
                          </w:r>
                        </w:p>
                        <w:p w:rsidR="00036AC9" w:rsidRPr="00C006C5" w:rsidRDefault="00036AC9" w:rsidP="006311A1">
                          <w:pPr>
                            <w:pStyle w:val="ListParagraph"/>
                            <w:numPr>
                              <w:ilvl w:val="0"/>
                              <w:numId w:val="28"/>
                            </w:numPr>
                            <w:spacing w:line="216" w:lineRule="auto"/>
                            <w:ind w:hanging="170"/>
                            <w:rPr>
                              <w:szCs w:val="24"/>
                            </w:rPr>
                          </w:pPr>
                          <w:r>
                            <w:rPr>
                              <w:szCs w:val="24"/>
                            </w:rPr>
                            <w:t xml:space="preserve">Civil society capacity building activity </w:t>
                          </w:r>
                        </w:p>
                        <w:p w:rsidR="00036AC9" w:rsidRPr="00E47E17" w:rsidRDefault="00036AC9" w:rsidP="00E47E17"/>
                      </w:txbxContent>
                    </v:textbox>
                  </v:roundrect>
                  <v:roundrect id="_x0000_s1028" style="position:absolute;left:1072;top:6953;width:3118;height:1644" arcsize="10923f" o:regroupid="2">
                    <v:textbox style="mso-next-textbox:#_x0000_s1028" inset="1.5mm,,.5mm">
                      <w:txbxContent>
                        <w:p w:rsidR="00036AC9" w:rsidRPr="006F213F" w:rsidRDefault="00036AC9" w:rsidP="006311A1">
                          <w:pPr>
                            <w:jc w:val="center"/>
                            <w:rPr>
                              <w:u w:val="single"/>
                            </w:rPr>
                          </w:pPr>
                          <w:r>
                            <w:rPr>
                              <w:u w:val="single"/>
                            </w:rPr>
                            <w:t>Outcome 1</w:t>
                          </w:r>
                        </w:p>
                        <w:p w:rsidR="00036AC9" w:rsidRDefault="00036AC9" w:rsidP="006311A1">
                          <w:pPr>
                            <w:jc w:val="center"/>
                          </w:pPr>
                          <w:r>
                            <w:t xml:space="preserve">Better equipped future leaders in touch with the UK and its values </w:t>
                          </w:r>
                        </w:p>
                      </w:txbxContent>
                    </v:textbox>
                  </v:roundrect>
                  <v:roundrect id="_x0000_s1029" style="position:absolute;left:4304;top:6918;width:3118;height:1644" arcsize="10923f" o:regroupid="2">
                    <v:textbox style="mso-next-textbox:#_x0000_s1029" inset="1.5mm,,1.5mm">
                      <w:txbxContent>
                        <w:p w:rsidR="00036AC9" w:rsidRPr="006311A1" w:rsidRDefault="00036AC9" w:rsidP="006311A1">
                          <w:pPr>
                            <w:jc w:val="center"/>
                            <w:rPr>
                              <w:u w:val="single"/>
                            </w:rPr>
                          </w:pPr>
                          <w:r w:rsidRPr="006311A1">
                            <w:rPr>
                              <w:u w:val="single"/>
                            </w:rPr>
                            <w:t>Outcome 2</w:t>
                          </w:r>
                        </w:p>
                        <w:p w:rsidR="00036AC9" w:rsidRDefault="00036AC9" w:rsidP="006311A1">
                          <w:pPr>
                            <w:jc w:val="center"/>
                          </w:pPr>
                          <w:r>
                            <w:t>Present, resilient, constructive</w:t>
                          </w:r>
                          <w:r w:rsidRPr="00C006C5">
                            <w:t xml:space="preserve"> civil society</w:t>
                          </w:r>
                        </w:p>
                      </w:txbxContent>
                    </v:textbox>
                  </v:roundrect>
                  <v:roundrect id="_x0000_s1037" style="position:absolute;left:7545;top:6918;width:3118;height:2023" arcsize="10923f">
                    <v:textbox style="mso-next-textbox:#_x0000_s1037" inset="1.5mm,,.5mm">
                      <w:txbxContent>
                        <w:p w:rsidR="00921EB0" w:rsidRDefault="00036AC9" w:rsidP="00921EB0">
                          <w:pPr>
                            <w:jc w:val="center"/>
                            <w:rPr>
                              <w:u w:val="single"/>
                            </w:rPr>
                          </w:pPr>
                          <w:r w:rsidRPr="00EC4A20">
                            <w:rPr>
                              <w:u w:val="single"/>
                            </w:rPr>
                            <w:t>Outcome 3</w:t>
                          </w:r>
                        </w:p>
                        <w:p w:rsidR="00036AC9" w:rsidRPr="0054221B" w:rsidRDefault="00036AC9" w:rsidP="00921EB0">
                          <w:pPr>
                            <w:jc w:val="center"/>
                            <w:rPr>
                              <w:sz w:val="20"/>
                              <w:szCs w:val="20"/>
                            </w:rPr>
                          </w:pPr>
                          <w:r w:rsidRPr="0054221B">
                            <w:rPr>
                              <w:sz w:val="20"/>
                              <w:szCs w:val="20"/>
                            </w:rPr>
                            <w:t>Civil services and governmental bodies with the capability, capacity and culture to help</w:t>
                          </w:r>
                          <w:r w:rsidR="0054221B" w:rsidRPr="0054221B">
                            <w:rPr>
                              <w:sz w:val="20"/>
                              <w:szCs w:val="20"/>
                            </w:rPr>
                            <w:t xml:space="preserve"> </w:t>
                          </w:r>
                          <w:r w:rsidRPr="0054221B">
                            <w:rPr>
                              <w:sz w:val="20"/>
                              <w:szCs w:val="20"/>
                            </w:rPr>
                            <w:t>build an open and prosperous future</w:t>
                          </w:r>
                        </w:p>
                      </w:txbxContent>
                    </v:textbox>
                  </v:roundrect>
                  <v:roundrect id="_x0000_s1039" style="position:absolute;left:7517;top:9190;width:3118;height:2948" arcsize="4053f">
                    <v:textbox style="mso-next-textbox:#_x0000_s1039">
                      <w:txbxContent>
                        <w:p w:rsidR="00036AC9" w:rsidRDefault="00036AC9" w:rsidP="00157AC3">
                          <w:pPr>
                            <w:spacing w:line="216" w:lineRule="auto"/>
                            <w:rPr>
                              <w:szCs w:val="24"/>
                            </w:rPr>
                          </w:pPr>
                          <w:r>
                            <w:rPr>
                              <w:szCs w:val="24"/>
                            </w:rPr>
                            <w:t>Types of i</w:t>
                          </w:r>
                          <w:r w:rsidRPr="00C006C5">
                            <w:rPr>
                              <w:szCs w:val="24"/>
                            </w:rPr>
                            <w:t>nterventions:</w:t>
                          </w:r>
                        </w:p>
                        <w:p w:rsidR="00036AC9" w:rsidRDefault="00036AC9" w:rsidP="00157AC3">
                          <w:pPr>
                            <w:pStyle w:val="ListParagraph"/>
                            <w:numPr>
                              <w:ilvl w:val="0"/>
                              <w:numId w:val="27"/>
                            </w:numPr>
                            <w:spacing w:line="216" w:lineRule="auto"/>
                            <w:ind w:left="170" w:hanging="170"/>
                            <w:rPr>
                              <w:szCs w:val="24"/>
                            </w:rPr>
                          </w:pPr>
                          <w:r>
                            <w:rPr>
                              <w:szCs w:val="24"/>
                            </w:rPr>
                            <w:t xml:space="preserve">Scholarships and fellowships </w:t>
                          </w:r>
                        </w:p>
                        <w:p w:rsidR="00036AC9" w:rsidRDefault="00036AC9" w:rsidP="00157AC3">
                          <w:pPr>
                            <w:pStyle w:val="ListParagraph"/>
                            <w:numPr>
                              <w:ilvl w:val="0"/>
                              <w:numId w:val="27"/>
                            </w:numPr>
                            <w:spacing w:line="216" w:lineRule="auto"/>
                            <w:ind w:left="170" w:hanging="170"/>
                            <w:rPr>
                              <w:szCs w:val="24"/>
                            </w:rPr>
                          </w:pPr>
                          <w:r w:rsidRPr="00C006C5">
                            <w:rPr>
                              <w:szCs w:val="24"/>
                            </w:rPr>
                            <w:t>Technical assistance for public administration reform</w:t>
                          </w:r>
                        </w:p>
                        <w:p w:rsidR="00036AC9" w:rsidRDefault="00036AC9" w:rsidP="00157AC3">
                          <w:pPr>
                            <w:pStyle w:val="ListParagraph"/>
                            <w:numPr>
                              <w:ilvl w:val="0"/>
                              <w:numId w:val="27"/>
                            </w:numPr>
                            <w:spacing w:line="216" w:lineRule="auto"/>
                            <w:ind w:left="170" w:hanging="170"/>
                            <w:rPr>
                              <w:szCs w:val="24"/>
                            </w:rPr>
                          </w:pPr>
                          <w:r>
                            <w:rPr>
                              <w:szCs w:val="24"/>
                            </w:rPr>
                            <w:t>Technical assistance for judicial reform</w:t>
                          </w:r>
                        </w:p>
                        <w:p w:rsidR="00036AC9" w:rsidRPr="00157AC3" w:rsidRDefault="00036AC9" w:rsidP="00157AC3">
                          <w:pPr>
                            <w:pStyle w:val="ListParagraph"/>
                            <w:numPr>
                              <w:ilvl w:val="0"/>
                              <w:numId w:val="27"/>
                            </w:numPr>
                            <w:spacing w:line="216" w:lineRule="auto"/>
                            <w:ind w:left="170" w:hanging="170"/>
                          </w:pPr>
                          <w:r w:rsidRPr="00E47E17">
                            <w:rPr>
                              <w:szCs w:val="24"/>
                            </w:rPr>
                            <w:t>Anti-corruption initiative</w:t>
                          </w:r>
                          <w:r>
                            <w:rPr>
                              <w:szCs w:val="24"/>
                            </w:rPr>
                            <w:t>s</w:t>
                          </w:r>
                        </w:p>
                        <w:p w:rsidR="00036AC9" w:rsidRPr="00E47E17" w:rsidRDefault="00036AC9" w:rsidP="00157AC3"/>
                      </w:txbxContent>
                    </v:textbox>
                  </v:roundrect>
                </v:group>
              </w:pict>
            </w:r>
          </w:p>
          <w:p w:rsidR="00E47E17" w:rsidRPr="00351348" w:rsidRDefault="00E47E17" w:rsidP="00351348">
            <w:pPr>
              <w:spacing w:line="216" w:lineRule="auto"/>
              <w:rPr>
                <w:i/>
                <w:sz w:val="24"/>
                <w:szCs w:val="24"/>
                <w:highlight w:val="yellow"/>
              </w:rPr>
            </w:pPr>
          </w:p>
          <w:p w:rsidR="006F213F" w:rsidRDefault="006F213F" w:rsidP="00CF0B8F">
            <w:pPr>
              <w:spacing w:line="216" w:lineRule="auto"/>
              <w:rPr>
                <w:sz w:val="24"/>
                <w:szCs w:val="24"/>
              </w:rPr>
            </w:pPr>
          </w:p>
          <w:p w:rsidR="006F213F" w:rsidRPr="00665012" w:rsidRDefault="006F213F" w:rsidP="00665012">
            <w:pPr>
              <w:spacing w:line="216" w:lineRule="auto"/>
              <w:rPr>
                <w:b/>
                <w:sz w:val="24"/>
                <w:szCs w:val="24"/>
              </w:rPr>
            </w:pPr>
          </w:p>
          <w:p w:rsidR="006577D7" w:rsidRDefault="006577D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E47E17">
            <w:pPr>
              <w:tabs>
                <w:tab w:val="left" w:pos="2460"/>
              </w:tabs>
              <w:spacing w:line="216" w:lineRule="auto"/>
              <w:rPr>
                <w:b/>
                <w:sz w:val="24"/>
                <w:szCs w:val="24"/>
              </w:rPr>
            </w:pPr>
            <w:r>
              <w:rPr>
                <w:b/>
                <w:sz w:val="24"/>
                <w:szCs w:val="24"/>
              </w:rPr>
              <w:tab/>
            </w: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6577D7" w:rsidRDefault="006577D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b/>
                <w:sz w:val="24"/>
                <w:szCs w:val="24"/>
              </w:rPr>
            </w:pPr>
          </w:p>
          <w:p w:rsidR="00E47E17" w:rsidRDefault="00E47E17" w:rsidP="00CF0B8F">
            <w:pPr>
              <w:spacing w:line="216" w:lineRule="auto"/>
              <w:rPr>
                <w:i/>
                <w:sz w:val="24"/>
                <w:szCs w:val="24"/>
              </w:rPr>
            </w:pPr>
          </w:p>
          <w:p w:rsidR="00E47E17" w:rsidRDefault="00E47E17" w:rsidP="00CF0B8F">
            <w:pPr>
              <w:spacing w:line="216" w:lineRule="auto"/>
              <w:rPr>
                <w:i/>
                <w:sz w:val="24"/>
                <w:szCs w:val="24"/>
              </w:rPr>
            </w:pPr>
          </w:p>
          <w:p w:rsidR="006577D7" w:rsidRDefault="006577D7" w:rsidP="00CF0B8F">
            <w:pPr>
              <w:spacing w:line="216" w:lineRule="auto"/>
              <w:rPr>
                <w:b/>
                <w:sz w:val="24"/>
                <w:szCs w:val="24"/>
              </w:rPr>
            </w:pPr>
          </w:p>
          <w:p w:rsidR="006577D7" w:rsidRDefault="006577D7" w:rsidP="00CF0B8F">
            <w:pPr>
              <w:spacing w:line="216" w:lineRule="auto"/>
              <w:rPr>
                <w:b/>
                <w:sz w:val="24"/>
                <w:szCs w:val="24"/>
              </w:rPr>
            </w:pPr>
          </w:p>
          <w:p w:rsidR="006311A1" w:rsidRDefault="006311A1" w:rsidP="00CF0B8F">
            <w:pPr>
              <w:spacing w:line="216" w:lineRule="auto"/>
              <w:rPr>
                <w:b/>
                <w:sz w:val="24"/>
                <w:szCs w:val="24"/>
              </w:rPr>
            </w:pPr>
          </w:p>
          <w:p w:rsidR="00490F2B" w:rsidRDefault="00490F2B" w:rsidP="00490F2B">
            <w:pPr>
              <w:rPr>
                <w:b/>
                <w:sz w:val="24"/>
                <w:szCs w:val="24"/>
              </w:rPr>
            </w:pPr>
          </w:p>
        </w:tc>
      </w:tr>
    </w:tbl>
    <w:p w:rsidR="003D68BD" w:rsidRDefault="003D68BD" w:rsidP="00261D40"/>
    <w:sectPr w:rsidR="003D68BD" w:rsidSect="00BB2F78">
      <w:headerReference w:type="even" r:id="rId9"/>
      <w:footerReference w:type="even" r:id="rId10"/>
      <w:footerReference w:type="default" r:id="rId11"/>
      <w:headerReference w:type="first" r:id="rId12"/>
      <w:footerReference w:type="first" r:id="rId13"/>
      <w:pgSz w:w="11906" w:h="16838"/>
      <w:pgMar w:top="187" w:right="720" w:bottom="426" w:left="720" w:header="567"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52" w:rsidRDefault="006E7052" w:rsidP="008F431C">
      <w:pPr>
        <w:spacing w:after="0" w:line="240" w:lineRule="auto"/>
      </w:pPr>
      <w:r>
        <w:separator/>
      </w:r>
    </w:p>
  </w:endnote>
  <w:endnote w:type="continuationSeparator" w:id="0">
    <w:p w:rsidR="006E7052" w:rsidRDefault="006E7052" w:rsidP="008F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C9" w:rsidRDefault="00036AC9">
    <w:pPr>
      <w:pStyle w:val="Footer"/>
    </w:pPr>
  </w:p>
  <w:p w:rsidR="00036AC9" w:rsidRDefault="00747AE2" w:rsidP="008F431C">
    <w:pPr>
      <w:pStyle w:val="Footer"/>
      <w:jc w:val="center"/>
      <w:rPr>
        <w:rFonts w:ascii="Arial" w:hAnsi="Arial" w:cs="Arial"/>
        <w:b/>
        <w:sz w:val="20"/>
      </w:rPr>
    </w:pPr>
    <w:r>
      <w:fldChar w:fldCharType="begin"/>
    </w:r>
    <w:r>
      <w:instrText xml:space="preserve"> DOCPROPERTY CLASSIFICATION \* MERGEFORMAT </w:instrText>
    </w:r>
    <w:r>
      <w:fldChar w:fldCharType="separate"/>
    </w:r>
    <w:r w:rsidR="00490F2B" w:rsidRPr="00490F2B">
      <w:rPr>
        <w:rFonts w:ascii="Arial" w:hAnsi="Arial" w:cs="Arial"/>
        <w:b/>
        <w:sz w:val="20"/>
      </w:rPr>
      <w:t>UNCLASSIFIED</w:t>
    </w:r>
    <w:r>
      <w:rPr>
        <w:rFonts w:ascii="Arial" w:hAnsi="Arial" w:cs="Arial"/>
        <w:b/>
        <w:sz w:val="20"/>
      </w:rPr>
      <w:fldChar w:fldCharType="end"/>
    </w:r>
    <w:r w:rsidR="00036AC9" w:rsidRPr="008F431C">
      <w:rPr>
        <w:rFonts w:ascii="Arial" w:hAnsi="Arial" w:cs="Arial"/>
        <w:b/>
        <w:sz w:val="20"/>
      </w:rPr>
      <w:t xml:space="preserve"> </w:t>
    </w:r>
  </w:p>
  <w:p w:rsidR="00036AC9" w:rsidRPr="008F431C" w:rsidRDefault="00747AE2" w:rsidP="008F431C">
    <w:pPr>
      <w:pStyle w:val="Footer"/>
      <w:spacing w:before="120"/>
      <w:jc w:val="right"/>
      <w:rPr>
        <w:rFonts w:ascii="Arial" w:hAnsi="Arial" w:cs="Arial"/>
        <w:sz w:val="12"/>
      </w:rPr>
    </w:pPr>
    <w:r>
      <w:fldChar w:fldCharType="begin"/>
    </w:r>
    <w:r>
      <w:instrText xml:space="preserve"> FILENAME \p \* MERGEFORMAT </w:instrText>
    </w:r>
    <w:r>
      <w:fldChar w:fldCharType="separate"/>
    </w:r>
    <w:r w:rsidR="00490F2B" w:rsidRPr="00490F2B">
      <w:rPr>
        <w:rFonts w:ascii="Arial" w:hAnsi="Arial" w:cs="Arial"/>
        <w:noProof/>
        <w:sz w:val="12"/>
      </w:rPr>
      <w:t>C</w:t>
    </w:r>
    <w:r w:rsidR="00291427">
      <w:rPr>
        <w:noProof/>
      </w:rPr>
      <w:t>:\Users\cfulton\AppData\Local\Microsoft\Windows\Temporary Internet Files\Outlook Temp\DRAFT - SPF Programme document - redacted for OFFICIAL 10 Aug.docx</w:t>
    </w:r>
    <w:r>
      <w:rPr>
        <w:noProof/>
      </w:rPr>
      <w:fldChar w:fldCharType="end"/>
    </w:r>
    <w:r>
      <w:fldChar w:fldCharType="begin"/>
    </w:r>
    <w:r>
      <w:instrText xml:space="preserve"> DOCPROPERTY PRIVACY  \* MERGEFORMAT </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5623"/>
      <w:docPartObj>
        <w:docPartGallery w:val="Page Numbers (Bottom of Page)"/>
        <w:docPartUnique/>
      </w:docPartObj>
    </w:sdtPr>
    <w:sdtEndPr/>
    <w:sdtContent>
      <w:p w:rsidR="00036AC9" w:rsidRDefault="00747A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6AC9" w:rsidRDefault="00036AC9" w:rsidP="008F431C">
    <w:pPr>
      <w:pStyle w:val="Footer"/>
      <w:jc w:val="center"/>
      <w:rPr>
        <w:rFonts w:ascii="Arial" w:hAnsi="Arial"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C9" w:rsidRDefault="00036AC9">
    <w:pPr>
      <w:pStyle w:val="Footer"/>
    </w:pPr>
  </w:p>
  <w:p w:rsidR="00036AC9" w:rsidRDefault="00747AE2" w:rsidP="008F431C">
    <w:pPr>
      <w:pStyle w:val="Footer"/>
      <w:jc w:val="center"/>
      <w:rPr>
        <w:rFonts w:ascii="Arial" w:hAnsi="Arial" w:cs="Arial"/>
        <w:b/>
        <w:sz w:val="20"/>
      </w:rPr>
    </w:pPr>
    <w:r>
      <w:fldChar w:fldCharType="begin"/>
    </w:r>
    <w:r>
      <w:instrText xml:space="preserve"> DOCPROPERTY CLASSIFICATION \* MERGEFORMAT </w:instrText>
    </w:r>
    <w:r>
      <w:fldChar w:fldCharType="separate"/>
    </w:r>
    <w:r w:rsidR="00490F2B" w:rsidRPr="00490F2B">
      <w:rPr>
        <w:rFonts w:ascii="Arial" w:hAnsi="Arial" w:cs="Arial"/>
        <w:b/>
        <w:sz w:val="20"/>
      </w:rPr>
      <w:t>UNCLASSIFIED</w:t>
    </w:r>
    <w:r>
      <w:rPr>
        <w:rFonts w:ascii="Arial" w:hAnsi="Arial" w:cs="Arial"/>
        <w:b/>
        <w:sz w:val="20"/>
      </w:rPr>
      <w:fldChar w:fldCharType="end"/>
    </w:r>
    <w:r w:rsidR="00036AC9" w:rsidRPr="008F431C">
      <w:rPr>
        <w:rFonts w:ascii="Arial" w:hAnsi="Arial" w:cs="Arial"/>
        <w:b/>
        <w:sz w:val="20"/>
      </w:rPr>
      <w:t xml:space="preserve"> </w:t>
    </w:r>
  </w:p>
  <w:p w:rsidR="00036AC9" w:rsidRPr="008F431C" w:rsidRDefault="00747AE2" w:rsidP="008F431C">
    <w:pPr>
      <w:pStyle w:val="Footer"/>
      <w:spacing w:before="120"/>
      <w:jc w:val="right"/>
      <w:rPr>
        <w:rFonts w:ascii="Arial" w:hAnsi="Arial" w:cs="Arial"/>
        <w:sz w:val="12"/>
      </w:rPr>
    </w:pPr>
    <w:r>
      <w:fldChar w:fldCharType="begin"/>
    </w:r>
    <w:r>
      <w:instrText xml:space="preserve"> FILENAME \p \* MERGEFORMAT </w:instrText>
    </w:r>
    <w:r>
      <w:fldChar w:fldCharType="separate"/>
    </w:r>
    <w:r w:rsidR="00490F2B" w:rsidRPr="00490F2B">
      <w:rPr>
        <w:rFonts w:ascii="Arial" w:hAnsi="Arial" w:cs="Arial"/>
        <w:noProof/>
        <w:sz w:val="12"/>
      </w:rPr>
      <w:t>C</w:t>
    </w:r>
    <w:r w:rsidR="00291427">
      <w:rPr>
        <w:noProof/>
      </w:rPr>
      <w:t>:\Users\cfulton\AppData\Local\Microsoft\Windows\Temporary Internet Files\Outlook Temp\DRAFT - SPF Programme document - redacted for OFFICIAL 10 Aug.docx</w:t>
    </w:r>
    <w:r>
      <w:rPr>
        <w:noProof/>
      </w:rPr>
      <w:fldChar w:fldCharType="end"/>
    </w:r>
    <w:r>
      <w:fldChar w:fldCharType="begin"/>
    </w:r>
    <w:r>
      <w:instrText xml:space="preserve"> DOCPROPERTY PRIVACY  \* MERGEFORMAT </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52" w:rsidRDefault="006E7052" w:rsidP="008F431C">
      <w:pPr>
        <w:spacing w:after="0" w:line="240" w:lineRule="auto"/>
      </w:pPr>
      <w:r>
        <w:separator/>
      </w:r>
    </w:p>
  </w:footnote>
  <w:footnote w:type="continuationSeparator" w:id="0">
    <w:p w:rsidR="006E7052" w:rsidRDefault="006E7052" w:rsidP="008F4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C9" w:rsidRPr="008F431C" w:rsidRDefault="00747AE2" w:rsidP="008F431C">
    <w:pPr>
      <w:pStyle w:val="Header"/>
      <w:jc w:val="center"/>
      <w:rPr>
        <w:rFonts w:ascii="Arial" w:hAnsi="Arial" w:cs="Arial"/>
        <w:b/>
        <w:sz w:val="20"/>
      </w:rPr>
    </w:pPr>
    <w:r>
      <w:fldChar w:fldCharType="begin"/>
    </w:r>
    <w:r>
      <w:instrText xml:space="preserve"> DOCPROPERTY CLASSIFICATION \* MERGEFORMAT </w:instrText>
    </w:r>
    <w:r>
      <w:fldChar w:fldCharType="separate"/>
    </w:r>
    <w:r w:rsidR="00490F2B" w:rsidRPr="00490F2B">
      <w:rPr>
        <w:rFonts w:ascii="Arial" w:hAnsi="Arial" w:cs="Arial"/>
        <w:b/>
        <w:sz w:val="20"/>
      </w:rPr>
      <w:t>UNCLASSIFIED</w:t>
    </w:r>
    <w:r>
      <w:rPr>
        <w:rFonts w:ascii="Arial" w:hAnsi="Arial" w:cs="Arial"/>
        <w:b/>
        <w:sz w:val="20"/>
      </w:rPr>
      <w:fldChar w:fldCharType="end"/>
    </w:r>
    <w:r w:rsidR="00036AC9" w:rsidRPr="008F431C">
      <w:rPr>
        <w:rFonts w:ascii="Arial" w:hAnsi="Arial" w:cs="Arial"/>
        <w:b/>
        <w:sz w:val="20"/>
      </w:rPr>
      <w:t xml:space="preserve"> </w:t>
    </w:r>
    <w:r>
      <w:fldChar w:fldCharType="begin"/>
    </w:r>
    <w:r>
      <w:instrText xml:space="preserve"> DOCPROPERTY PRIVACY  \* MERGEFORMAT </w:instrText>
    </w:r>
    <w:r>
      <w:fldChar w:fldCharType="separate"/>
    </w:r>
    <w:r>
      <w:fldChar w:fldCharType="end"/>
    </w:r>
  </w:p>
  <w:p w:rsidR="00036AC9" w:rsidRDefault="00036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C9" w:rsidRPr="008F431C" w:rsidRDefault="00747AE2" w:rsidP="008F431C">
    <w:pPr>
      <w:pStyle w:val="Header"/>
      <w:jc w:val="center"/>
      <w:rPr>
        <w:rFonts w:ascii="Arial" w:hAnsi="Arial" w:cs="Arial"/>
        <w:b/>
        <w:sz w:val="20"/>
      </w:rPr>
    </w:pPr>
    <w:r>
      <w:fldChar w:fldCharType="begin"/>
    </w:r>
    <w:r>
      <w:instrText xml:space="preserve"> DOCPROPERTY CLASSIFICATION \* MERGEFORMAT </w:instrText>
    </w:r>
    <w:r>
      <w:fldChar w:fldCharType="separate"/>
    </w:r>
    <w:r w:rsidR="00490F2B" w:rsidRPr="00490F2B">
      <w:rPr>
        <w:rFonts w:ascii="Arial" w:hAnsi="Arial" w:cs="Arial"/>
        <w:b/>
        <w:sz w:val="20"/>
      </w:rPr>
      <w:t>UNCLASSIFIED</w:t>
    </w:r>
    <w:r>
      <w:rPr>
        <w:rFonts w:ascii="Arial" w:hAnsi="Arial" w:cs="Arial"/>
        <w:b/>
        <w:sz w:val="20"/>
      </w:rPr>
      <w:fldChar w:fldCharType="end"/>
    </w:r>
    <w:r w:rsidR="00036AC9" w:rsidRPr="008F431C">
      <w:rPr>
        <w:rFonts w:ascii="Arial" w:hAnsi="Arial" w:cs="Arial"/>
        <w:b/>
        <w:sz w:val="20"/>
      </w:rPr>
      <w:t xml:space="preserve"> </w:t>
    </w:r>
    <w:r>
      <w:fldChar w:fldCharType="begin"/>
    </w:r>
    <w:r>
      <w:instrText xml:space="preserve"> DOCPROPERTY PRIVACY  \* MERGEFORMAT </w:instrText>
    </w:r>
    <w:r>
      <w:fldChar w:fldCharType="separate"/>
    </w:r>
    <w:r>
      <w:fldChar w:fldCharType="end"/>
    </w:r>
  </w:p>
  <w:p w:rsidR="00036AC9" w:rsidRDefault="00036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D08"/>
    <w:multiLevelType w:val="hybridMultilevel"/>
    <w:tmpl w:val="B3C04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A6893"/>
    <w:multiLevelType w:val="hybridMultilevel"/>
    <w:tmpl w:val="BE18503E"/>
    <w:lvl w:ilvl="0" w:tplc="08090001">
      <w:start w:val="1"/>
      <w:numFmt w:val="bullet"/>
      <w:lvlText w:val=""/>
      <w:lvlJc w:val="left"/>
      <w:pPr>
        <w:ind w:left="360" w:hanging="360"/>
      </w:pPr>
      <w:rPr>
        <w:rFonts w:ascii="Symbol" w:hAnsi="Symbol" w:hint="default"/>
        <w:b w:val="0"/>
        <w:bCs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F3B0140"/>
    <w:multiLevelType w:val="hybridMultilevel"/>
    <w:tmpl w:val="55A0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11D94"/>
    <w:multiLevelType w:val="hybridMultilevel"/>
    <w:tmpl w:val="CB4CB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C61F7D"/>
    <w:multiLevelType w:val="hybridMultilevel"/>
    <w:tmpl w:val="6DA85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31D35"/>
    <w:multiLevelType w:val="hybridMultilevel"/>
    <w:tmpl w:val="71089B56"/>
    <w:lvl w:ilvl="0" w:tplc="619CFCDE">
      <w:start w:val="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444C0"/>
    <w:multiLevelType w:val="hybridMultilevel"/>
    <w:tmpl w:val="B7BC3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53AAD"/>
    <w:multiLevelType w:val="hybridMultilevel"/>
    <w:tmpl w:val="5810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41C10"/>
    <w:multiLevelType w:val="hybridMultilevel"/>
    <w:tmpl w:val="F9A0F76C"/>
    <w:lvl w:ilvl="0" w:tplc="0809000F">
      <w:start w:val="1"/>
      <w:numFmt w:val="decimal"/>
      <w:lvlText w:val="%1."/>
      <w:lvlJc w:val="left"/>
      <w:pPr>
        <w:ind w:left="-1639" w:hanging="360"/>
      </w:pPr>
    </w:lvl>
    <w:lvl w:ilvl="1" w:tplc="08090019" w:tentative="1">
      <w:start w:val="1"/>
      <w:numFmt w:val="lowerLetter"/>
      <w:lvlText w:val="%2."/>
      <w:lvlJc w:val="left"/>
      <w:pPr>
        <w:ind w:left="-919" w:hanging="360"/>
      </w:pPr>
    </w:lvl>
    <w:lvl w:ilvl="2" w:tplc="0809001B" w:tentative="1">
      <w:start w:val="1"/>
      <w:numFmt w:val="lowerRoman"/>
      <w:lvlText w:val="%3."/>
      <w:lvlJc w:val="right"/>
      <w:pPr>
        <w:ind w:left="-199" w:hanging="180"/>
      </w:pPr>
    </w:lvl>
    <w:lvl w:ilvl="3" w:tplc="0809000F" w:tentative="1">
      <w:start w:val="1"/>
      <w:numFmt w:val="decimal"/>
      <w:lvlText w:val="%4."/>
      <w:lvlJc w:val="left"/>
      <w:pPr>
        <w:ind w:left="521" w:hanging="360"/>
      </w:pPr>
    </w:lvl>
    <w:lvl w:ilvl="4" w:tplc="08090019" w:tentative="1">
      <w:start w:val="1"/>
      <w:numFmt w:val="lowerLetter"/>
      <w:lvlText w:val="%5."/>
      <w:lvlJc w:val="left"/>
      <w:pPr>
        <w:ind w:left="1241" w:hanging="360"/>
      </w:pPr>
    </w:lvl>
    <w:lvl w:ilvl="5" w:tplc="0809001B" w:tentative="1">
      <w:start w:val="1"/>
      <w:numFmt w:val="lowerRoman"/>
      <w:lvlText w:val="%6."/>
      <w:lvlJc w:val="right"/>
      <w:pPr>
        <w:ind w:left="1961" w:hanging="180"/>
      </w:pPr>
    </w:lvl>
    <w:lvl w:ilvl="6" w:tplc="0809000F" w:tentative="1">
      <w:start w:val="1"/>
      <w:numFmt w:val="decimal"/>
      <w:lvlText w:val="%7."/>
      <w:lvlJc w:val="left"/>
      <w:pPr>
        <w:ind w:left="2681" w:hanging="360"/>
      </w:pPr>
    </w:lvl>
    <w:lvl w:ilvl="7" w:tplc="08090019" w:tentative="1">
      <w:start w:val="1"/>
      <w:numFmt w:val="lowerLetter"/>
      <w:lvlText w:val="%8."/>
      <w:lvlJc w:val="left"/>
      <w:pPr>
        <w:ind w:left="3401" w:hanging="360"/>
      </w:pPr>
    </w:lvl>
    <w:lvl w:ilvl="8" w:tplc="0809001B" w:tentative="1">
      <w:start w:val="1"/>
      <w:numFmt w:val="lowerRoman"/>
      <w:lvlText w:val="%9."/>
      <w:lvlJc w:val="right"/>
      <w:pPr>
        <w:ind w:left="4121" w:hanging="180"/>
      </w:pPr>
    </w:lvl>
  </w:abstractNum>
  <w:abstractNum w:abstractNumId="9">
    <w:nsid w:val="23D737AB"/>
    <w:multiLevelType w:val="hybridMultilevel"/>
    <w:tmpl w:val="BF3A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936F7"/>
    <w:multiLevelType w:val="hybridMultilevel"/>
    <w:tmpl w:val="5B5406AE"/>
    <w:lvl w:ilvl="0" w:tplc="9C6A21F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418CA"/>
    <w:multiLevelType w:val="hybridMultilevel"/>
    <w:tmpl w:val="F2E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243B5"/>
    <w:multiLevelType w:val="hybridMultilevel"/>
    <w:tmpl w:val="AB8A4C5C"/>
    <w:lvl w:ilvl="0" w:tplc="8A2AD2F2">
      <w:start w:val="1"/>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CA5044"/>
    <w:multiLevelType w:val="hybridMultilevel"/>
    <w:tmpl w:val="AF7CD2A6"/>
    <w:lvl w:ilvl="0" w:tplc="EA4AAC7E">
      <w:start w:val="1"/>
      <w:numFmt w:val="decimal"/>
      <w:lvlText w:val="%1."/>
      <w:lvlJc w:val="left"/>
      <w:pPr>
        <w:ind w:left="720" w:hanging="360"/>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212760"/>
    <w:multiLevelType w:val="hybridMultilevel"/>
    <w:tmpl w:val="4B3E1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82382D"/>
    <w:multiLevelType w:val="hybridMultilevel"/>
    <w:tmpl w:val="A304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6D76EB"/>
    <w:multiLevelType w:val="hybridMultilevel"/>
    <w:tmpl w:val="AAF4FF2A"/>
    <w:lvl w:ilvl="0" w:tplc="4354638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3C62FD"/>
    <w:multiLevelType w:val="hybridMultilevel"/>
    <w:tmpl w:val="7992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4003BA"/>
    <w:multiLevelType w:val="hybridMultilevel"/>
    <w:tmpl w:val="5B04F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5D1D7C"/>
    <w:multiLevelType w:val="hybridMultilevel"/>
    <w:tmpl w:val="8C1EF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C64AF8"/>
    <w:multiLevelType w:val="hybridMultilevel"/>
    <w:tmpl w:val="91C6D098"/>
    <w:lvl w:ilvl="0" w:tplc="435463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5D31BC"/>
    <w:multiLevelType w:val="hybridMultilevel"/>
    <w:tmpl w:val="927ABC44"/>
    <w:lvl w:ilvl="0" w:tplc="8A2AD2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EE0EF4"/>
    <w:multiLevelType w:val="hybridMultilevel"/>
    <w:tmpl w:val="ADFE68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194EFB"/>
    <w:multiLevelType w:val="hybridMultilevel"/>
    <w:tmpl w:val="81066A4E"/>
    <w:lvl w:ilvl="0" w:tplc="18585A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8177F59"/>
    <w:multiLevelType w:val="hybridMultilevel"/>
    <w:tmpl w:val="62F277D6"/>
    <w:lvl w:ilvl="0" w:tplc="B49C5CA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D678B"/>
    <w:multiLevelType w:val="hybridMultilevel"/>
    <w:tmpl w:val="015EB874"/>
    <w:lvl w:ilvl="0" w:tplc="8A2AD2F2">
      <w:start w:val="1"/>
      <w:numFmt w:val="bullet"/>
      <w:lvlText w:val="-"/>
      <w:lvlJc w:val="left"/>
      <w:pPr>
        <w:ind w:left="750" w:hanging="360"/>
      </w:pPr>
      <w:rPr>
        <w:rFonts w:ascii="Arial" w:eastAsia="Times New Roman" w:hAnsi="Arial"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6A6446A9"/>
    <w:multiLevelType w:val="hybridMultilevel"/>
    <w:tmpl w:val="2B62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B766028"/>
    <w:multiLevelType w:val="hybridMultilevel"/>
    <w:tmpl w:val="65E0C17E"/>
    <w:lvl w:ilvl="0" w:tplc="F6F80ACA">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D114C2"/>
    <w:multiLevelType w:val="hybridMultilevel"/>
    <w:tmpl w:val="139E1BF2"/>
    <w:lvl w:ilvl="0" w:tplc="8A2AD2F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273FEB"/>
    <w:multiLevelType w:val="hybridMultilevel"/>
    <w:tmpl w:val="BFB89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4"/>
  </w:num>
  <w:num w:numId="4">
    <w:abstractNumId w:val="5"/>
  </w:num>
  <w:num w:numId="5">
    <w:abstractNumId w:val="2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8"/>
  </w:num>
  <w:num w:numId="10">
    <w:abstractNumId w:val="10"/>
  </w:num>
  <w:num w:numId="11">
    <w:abstractNumId w:val="13"/>
  </w:num>
  <w:num w:numId="12">
    <w:abstractNumId w:val="1"/>
  </w:num>
  <w:num w:numId="13">
    <w:abstractNumId w:val="3"/>
  </w:num>
  <w:num w:numId="14">
    <w:abstractNumId w:val="26"/>
  </w:num>
  <w:num w:numId="15">
    <w:abstractNumId w:val="23"/>
  </w:num>
  <w:num w:numId="16">
    <w:abstractNumId w:val="24"/>
  </w:num>
  <w:num w:numId="17">
    <w:abstractNumId w:val="18"/>
  </w:num>
  <w:num w:numId="18">
    <w:abstractNumId w:val="6"/>
  </w:num>
  <w:num w:numId="19">
    <w:abstractNumId w:val="12"/>
  </w:num>
  <w:num w:numId="20">
    <w:abstractNumId w:val="15"/>
  </w:num>
  <w:num w:numId="21">
    <w:abstractNumId w:val="7"/>
  </w:num>
  <w:num w:numId="22">
    <w:abstractNumId w:val="25"/>
  </w:num>
  <w:num w:numId="23">
    <w:abstractNumId w:val="28"/>
  </w:num>
  <w:num w:numId="24">
    <w:abstractNumId w:val="19"/>
  </w:num>
  <w:num w:numId="25">
    <w:abstractNumId w:val="2"/>
  </w:num>
  <w:num w:numId="26">
    <w:abstractNumId w:val="29"/>
  </w:num>
  <w:num w:numId="27">
    <w:abstractNumId w:val="16"/>
  </w:num>
  <w:num w:numId="28">
    <w:abstractNumId w:val="20"/>
  </w:num>
  <w:num w:numId="29">
    <w:abstractNumId w:val="21"/>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F431C"/>
    <w:rsid w:val="00004718"/>
    <w:rsid w:val="00021A1A"/>
    <w:rsid w:val="00021DCC"/>
    <w:rsid w:val="00031F8A"/>
    <w:rsid w:val="00036AC9"/>
    <w:rsid w:val="00043AF8"/>
    <w:rsid w:val="0004502F"/>
    <w:rsid w:val="00047160"/>
    <w:rsid w:val="00056E2F"/>
    <w:rsid w:val="00063292"/>
    <w:rsid w:val="00066A9E"/>
    <w:rsid w:val="0008596F"/>
    <w:rsid w:val="00097554"/>
    <w:rsid w:val="00097DD6"/>
    <w:rsid w:val="000A0FE0"/>
    <w:rsid w:val="000A69CD"/>
    <w:rsid w:val="000D02E0"/>
    <w:rsid w:val="000F664E"/>
    <w:rsid w:val="001002AD"/>
    <w:rsid w:val="00123A37"/>
    <w:rsid w:val="001446AE"/>
    <w:rsid w:val="00150BCA"/>
    <w:rsid w:val="00157AC3"/>
    <w:rsid w:val="0017062A"/>
    <w:rsid w:val="001B244F"/>
    <w:rsid w:val="001C172A"/>
    <w:rsid w:val="001C56E0"/>
    <w:rsid w:val="001D5572"/>
    <w:rsid w:val="001E4F45"/>
    <w:rsid w:val="001F208F"/>
    <w:rsid w:val="00224C89"/>
    <w:rsid w:val="00235251"/>
    <w:rsid w:val="002461E6"/>
    <w:rsid w:val="002478CD"/>
    <w:rsid w:val="002527FF"/>
    <w:rsid w:val="00261D40"/>
    <w:rsid w:val="0026460D"/>
    <w:rsid w:val="00273E75"/>
    <w:rsid w:val="002907E7"/>
    <w:rsid w:val="00291427"/>
    <w:rsid w:val="00291AB1"/>
    <w:rsid w:val="002963FC"/>
    <w:rsid w:val="002A5B20"/>
    <w:rsid w:val="002B4D0B"/>
    <w:rsid w:val="002C312D"/>
    <w:rsid w:val="002C576F"/>
    <w:rsid w:val="002E68C4"/>
    <w:rsid w:val="00316281"/>
    <w:rsid w:val="00340CD3"/>
    <w:rsid w:val="00340E71"/>
    <w:rsid w:val="00341EB3"/>
    <w:rsid w:val="00351348"/>
    <w:rsid w:val="003816DE"/>
    <w:rsid w:val="00387FF5"/>
    <w:rsid w:val="00394D6A"/>
    <w:rsid w:val="003A1A1F"/>
    <w:rsid w:val="003D4750"/>
    <w:rsid w:val="003D68BD"/>
    <w:rsid w:val="004032E1"/>
    <w:rsid w:val="0040573F"/>
    <w:rsid w:val="00427983"/>
    <w:rsid w:val="00435CB3"/>
    <w:rsid w:val="00436D7A"/>
    <w:rsid w:val="0045208E"/>
    <w:rsid w:val="0045694F"/>
    <w:rsid w:val="00466588"/>
    <w:rsid w:val="00481F96"/>
    <w:rsid w:val="00490F2B"/>
    <w:rsid w:val="0049678E"/>
    <w:rsid w:val="004B38A1"/>
    <w:rsid w:val="004B672F"/>
    <w:rsid w:val="004C75E0"/>
    <w:rsid w:val="004E6C73"/>
    <w:rsid w:val="005027AA"/>
    <w:rsid w:val="005200BC"/>
    <w:rsid w:val="00532170"/>
    <w:rsid w:val="005405C6"/>
    <w:rsid w:val="00541C81"/>
    <w:rsid w:val="0054221B"/>
    <w:rsid w:val="00562A48"/>
    <w:rsid w:val="005A0F97"/>
    <w:rsid w:val="005A11DF"/>
    <w:rsid w:val="005B70C0"/>
    <w:rsid w:val="005C41A0"/>
    <w:rsid w:val="005C6704"/>
    <w:rsid w:val="005D03AA"/>
    <w:rsid w:val="005F62BA"/>
    <w:rsid w:val="00602D86"/>
    <w:rsid w:val="00602EE9"/>
    <w:rsid w:val="006179D8"/>
    <w:rsid w:val="0062613A"/>
    <w:rsid w:val="006311A1"/>
    <w:rsid w:val="006577D7"/>
    <w:rsid w:val="00665012"/>
    <w:rsid w:val="0067454E"/>
    <w:rsid w:val="00682EC0"/>
    <w:rsid w:val="00685419"/>
    <w:rsid w:val="006B06E5"/>
    <w:rsid w:val="006B5B16"/>
    <w:rsid w:val="006B7088"/>
    <w:rsid w:val="006E7052"/>
    <w:rsid w:val="006F213F"/>
    <w:rsid w:val="006F2F1A"/>
    <w:rsid w:val="006F499C"/>
    <w:rsid w:val="006F5D45"/>
    <w:rsid w:val="00715226"/>
    <w:rsid w:val="007164C7"/>
    <w:rsid w:val="007249DF"/>
    <w:rsid w:val="00747AE2"/>
    <w:rsid w:val="00770CBA"/>
    <w:rsid w:val="007A7AFD"/>
    <w:rsid w:val="007C04E2"/>
    <w:rsid w:val="007C313F"/>
    <w:rsid w:val="007F203F"/>
    <w:rsid w:val="007F2556"/>
    <w:rsid w:val="007F2BDC"/>
    <w:rsid w:val="00800A85"/>
    <w:rsid w:val="00803715"/>
    <w:rsid w:val="00814225"/>
    <w:rsid w:val="008334D9"/>
    <w:rsid w:val="00834005"/>
    <w:rsid w:val="00836E2E"/>
    <w:rsid w:val="00856CB7"/>
    <w:rsid w:val="008751FB"/>
    <w:rsid w:val="008815E9"/>
    <w:rsid w:val="00885EC4"/>
    <w:rsid w:val="008C4CAA"/>
    <w:rsid w:val="008D603E"/>
    <w:rsid w:val="008D67E7"/>
    <w:rsid w:val="008E525D"/>
    <w:rsid w:val="008F3E0E"/>
    <w:rsid w:val="008F431C"/>
    <w:rsid w:val="008F4B2E"/>
    <w:rsid w:val="0091638D"/>
    <w:rsid w:val="00921EB0"/>
    <w:rsid w:val="009276B9"/>
    <w:rsid w:val="00970CE1"/>
    <w:rsid w:val="00970EF9"/>
    <w:rsid w:val="009775AA"/>
    <w:rsid w:val="00990B6A"/>
    <w:rsid w:val="009B7689"/>
    <w:rsid w:val="009C426E"/>
    <w:rsid w:val="009C72AB"/>
    <w:rsid w:val="009D7362"/>
    <w:rsid w:val="00A041FF"/>
    <w:rsid w:val="00A32968"/>
    <w:rsid w:val="00A60620"/>
    <w:rsid w:val="00A8407D"/>
    <w:rsid w:val="00A86453"/>
    <w:rsid w:val="00A90CE1"/>
    <w:rsid w:val="00A9434B"/>
    <w:rsid w:val="00AA0A0E"/>
    <w:rsid w:val="00AA749F"/>
    <w:rsid w:val="00AB4DF1"/>
    <w:rsid w:val="00AB5237"/>
    <w:rsid w:val="00AE20C2"/>
    <w:rsid w:val="00AE7FD3"/>
    <w:rsid w:val="00AF3933"/>
    <w:rsid w:val="00B009A7"/>
    <w:rsid w:val="00B00DD8"/>
    <w:rsid w:val="00B1230B"/>
    <w:rsid w:val="00B14F88"/>
    <w:rsid w:val="00B156AF"/>
    <w:rsid w:val="00B23D8A"/>
    <w:rsid w:val="00B5512C"/>
    <w:rsid w:val="00B565D5"/>
    <w:rsid w:val="00B578D6"/>
    <w:rsid w:val="00B64FFF"/>
    <w:rsid w:val="00B8477B"/>
    <w:rsid w:val="00BA1F86"/>
    <w:rsid w:val="00BA56CA"/>
    <w:rsid w:val="00BA776B"/>
    <w:rsid w:val="00BB2F78"/>
    <w:rsid w:val="00BB3268"/>
    <w:rsid w:val="00BC07A9"/>
    <w:rsid w:val="00BC0C92"/>
    <w:rsid w:val="00BC64F4"/>
    <w:rsid w:val="00BD2458"/>
    <w:rsid w:val="00BD5ED4"/>
    <w:rsid w:val="00BD6C81"/>
    <w:rsid w:val="00BE21AF"/>
    <w:rsid w:val="00BF199F"/>
    <w:rsid w:val="00BF384E"/>
    <w:rsid w:val="00BF3B03"/>
    <w:rsid w:val="00C006C5"/>
    <w:rsid w:val="00C01A76"/>
    <w:rsid w:val="00C10611"/>
    <w:rsid w:val="00C149CE"/>
    <w:rsid w:val="00C257FA"/>
    <w:rsid w:val="00C2599E"/>
    <w:rsid w:val="00C26CA8"/>
    <w:rsid w:val="00C754F3"/>
    <w:rsid w:val="00CA0875"/>
    <w:rsid w:val="00CB60E1"/>
    <w:rsid w:val="00CD3622"/>
    <w:rsid w:val="00CD4341"/>
    <w:rsid w:val="00CF0B8F"/>
    <w:rsid w:val="00D021CA"/>
    <w:rsid w:val="00D069C4"/>
    <w:rsid w:val="00D147F7"/>
    <w:rsid w:val="00D27BCA"/>
    <w:rsid w:val="00D410C2"/>
    <w:rsid w:val="00D449DD"/>
    <w:rsid w:val="00D51068"/>
    <w:rsid w:val="00D63A6A"/>
    <w:rsid w:val="00D67391"/>
    <w:rsid w:val="00D858C1"/>
    <w:rsid w:val="00D863B4"/>
    <w:rsid w:val="00DA1C27"/>
    <w:rsid w:val="00DA5059"/>
    <w:rsid w:val="00DB23A7"/>
    <w:rsid w:val="00DB5165"/>
    <w:rsid w:val="00DB611F"/>
    <w:rsid w:val="00DC048D"/>
    <w:rsid w:val="00DC19A4"/>
    <w:rsid w:val="00DC690F"/>
    <w:rsid w:val="00DE5614"/>
    <w:rsid w:val="00E14A20"/>
    <w:rsid w:val="00E2464E"/>
    <w:rsid w:val="00E47E17"/>
    <w:rsid w:val="00E607A4"/>
    <w:rsid w:val="00E93DED"/>
    <w:rsid w:val="00EA03B4"/>
    <w:rsid w:val="00EA7407"/>
    <w:rsid w:val="00EB4398"/>
    <w:rsid w:val="00EC4A20"/>
    <w:rsid w:val="00ED35CB"/>
    <w:rsid w:val="00EF3512"/>
    <w:rsid w:val="00F04B39"/>
    <w:rsid w:val="00F054D6"/>
    <w:rsid w:val="00F0560C"/>
    <w:rsid w:val="00F23050"/>
    <w:rsid w:val="00F323CD"/>
    <w:rsid w:val="00F34182"/>
    <w:rsid w:val="00F41FDE"/>
    <w:rsid w:val="00F5125E"/>
    <w:rsid w:val="00F52470"/>
    <w:rsid w:val="00F60253"/>
    <w:rsid w:val="00F609A3"/>
    <w:rsid w:val="00F709E7"/>
    <w:rsid w:val="00F92F5C"/>
    <w:rsid w:val="00F96DC9"/>
    <w:rsid w:val="00FA7EF7"/>
    <w:rsid w:val="00FE3DF3"/>
    <w:rsid w:val="00FF2F90"/>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8F431C"/>
    <w:pPr>
      <w:ind w:left="720"/>
      <w:contextualSpacing/>
    </w:pPr>
  </w:style>
  <w:style w:type="table" w:styleId="TableGrid">
    <w:name w:val="Table Grid"/>
    <w:basedOn w:val="TableNormal"/>
    <w:uiPriority w:val="59"/>
    <w:rsid w:val="008F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3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31C"/>
    <w:rPr>
      <w:rFonts w:eastAsiaTheme="minorEastAsia"/>
      <w:lang w:eastAsia="en-GB"/>
    </w:rPr>
  </w:style>
  <w:style w:type="paragraph" w:styleId="Footer">
    <w:name w:val="footer"/>
    <w:basedOn w:val="Normal"/>
    <w:link w:val="FooterChar"/>
    <w:uiPriority w:val="99"/>
    <w:unhideWhenUsed/>
    <w:rsid w:val="008F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1C"/>
    <w:rPr>
      <w:rFonts w:eastAsiaTheme="minorEastAsia"/>
      <w:lang w:eastAsia="en-GB"/>
    </w:rPr>
  </w:style>
  <w:style w:type="paragraph" w:styleId="PlainText">
    <w:name w:val="Plain Text"/>
    <w:basedOn w:val="Normal"/>
    <w:link w:val="PlainTextChar"/>
    <w:uiPriority w:val="99"/>
    <w:unhideWhenUsed/>
    <w:rsid w:val="00EF3512"/>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F3512"/>
    <w:rPr>
      <w:rFonts w:ascii="Consolas" w:hAnsi="Consolas"/>
      <w:sz w:val="21"/>
      <w:szCs w:val="21"/>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B00DD8"/>
    <w:rPr>
      <w:rFonts w:eastAsiaTheme="minorEastAsia"/>
      <w:lang w:eastAsia="en-GB"/>
    </w:rPr>
  </w:style>
  <w:style w:type="paragraph" w:styleId="FootnoteText">
    <w:name w:val="footnote text"/>
    <w:basedOn w:val="Normal"/>
    <w:link w:val="FootnoteTextChar"/>
    <w:uiPriority w:val="99"/>
    <w:semiHidden/>
    <w:unhideWhenUsed/>
    <w:rsid w:val="00B00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DD8"/>
    <w:rPr>
      <w:rFonts w:eastAsiaTheme="minorEastAsia"/>
      <w:sz w:val="20"/>
      <w:szCs w:val="20"/>
      <w:lang w:eastAsia="en-GB"/>
    </w:rPr>
  </w:style>
  <w:style w:type="character" w:styleId="FootnoteReference">
    <w:name w:val="footnote reference"/>
    <w:basedOn w:val="DefaultParagraphFont"/>
    <w:uiPriority w:val="99"/>
    <w:semiHidden/>
    <w:unhideWhenUsed/>
    <w:rsid w:val="00B00DD8"/>
    <w:rPr>
      <w:vertAlign w:val="superscript"/>
    </w:rPr>
  </w:style>
  <w:style w:type="paragraph" w:styleId="BalloonText">
    <w:name w:val="Balloon Text"/>
    <w:basedOn w:val="Normal"/>
    <w:link w:val="BalloonTextChar"/>
    <w:uiPriority w:val="99"/>
    <w:semiHidden/>
    <w:unhideWhenUsed/>
    <w:rsid w:val="008F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0E"/>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DB611F"/>
    <w:rPr>
      <w:sz w:val="16"/>
      <w:szCs w:val="16"/>
    </w:rPr>
  </w:style>
  <w:style w:type="paragraph" w:styleId="CommentText">
    <w:name w:val="annotation text"/>
    <w:basedOn w:val="Normal"/>
    <w:link w:val="CommentTextChar"/>
    <w:uiPriority w:val="99"/>
    <w:semiHidden/>
    <w:unhideWhenUsed/>
    <w:rsid w:val="00DB611F"/>
    <w:pPr>
      <w:spacing w:line="240" w:lineRule="auto"/>
    </w:pPr>
    <w:rPr>
      <w:sz w:val="20"/>
      <w:szCs w:val="20"/>
    </w:rPr>
  </w:style>
  <w:style w:type="character" w:customStyle="1" w:styleId="CommentTextChar">
    <w:name w:val="Comment Text Char"/>
    <w:basedOn w:val="DefaultParagraphFont"/>
    <w:link w:val="CommentText"/>
    <w:uiPriority w:val="99"/>
    <w:semiHidden/>
    <w:rsid w:val="00DB611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B611F"/>
    <w:rPr>
      <w:b/>
      <w:bCs/>
    </w:rPr>
  </w:style>
  <w:style w:type="character" w:customStyle="1" w:styleId="CommentSubjectChar">
    <w:name w:val="Comment Subject Char"/>
    <w:basedOn w:val="CommentTextChar"/>
    <w:link w:val="CommentSubject"/>
    <w:uiPriority w:val="99"/>
    <w:semiHidden/>
    <w:rsid w:val="00DB611F"/>
    <w:rPr>
      <w:rFonts w:eastAsiaTheme="minorEastAsia"/>
      <w:b/>
      <w:bCs/>
      <w:sz w:val="20"/>
      <w:szCs w:val="20"/>
      <w:lang w:eastAsia="en-GB"/>
    </w:rPr>
  </w:style>
  <w:style w:type="paragraph" w:styleId="NoSpacing">
    <w:name w:val="No Spacing"/>
    <w:uiPriority w:val="1"/>
    <w:qFormat/>
    <w:rsid w:val="00435CB3"/>
    <w:pPr>
      <w:spacing w:after="0" w:line="240" w:lineRule="auto"/>
    </w:pPr>
  </w:style>
  <w:style w:type="table" w:customStyle="1" w:styleId="MediumShading1-Accent11">
    <w:name w:val="Medium Shading 1 - Accent 11"/>
    <w:basedOn w:val="TableNormal"/>
    <w:uiPriority w:val="63"/>
    <w:rsid w:val="006577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8F431C"/>
    <w:pPr>
      <w:ind w:left="720"/>
      <w:contextualSpacing/>
    </w:pPr>
  </w:style>
  <w:style w:type="table" w:styleId="TableGrid">
    <w:name w:val="Table Grid"/>
    <w:basedOn w:val="TableNormal"/>
    <w:uiPriority w:val="59"/>
    <w:rsid w:val="008F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3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31C"/>
    <w:rPr>
      <w:rFonts w:eastAsiaTheme="minorEastAsia"/>
      <w:lang w:eastAsia="en-GB"/>
    </w:rPr>
  </w:style>
  <w:style w:type="paragraph" w:styleId="Footer">
    <w:name w:val="footer"/>
    <w:basedOn w:val="Normal"/>
    <w:link w:val="FooterChar"/>
    <w:uiPriority w:val="99"/>
    <w:unhideWhenUsed/>
    <w:rsid w:val="008F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1C"/>
    <w:rPr>
      <w:rFonts w:eastAsiaTheme="minorEastAsia"/>
      <w:lang w:eastAsia="en-GB"/>
    </w:rPr>
  </w:style>
  <w:style w:type="paragraph" w:styleId="PlainText">
    <w:name w:val="Plain Text"/>
    <w:basedOn w:val="Normal"/>
    <w:link w:val="PlainTextChar"/>
    <w:uiPriority w:val="99"/>
    <w:unhideWhenUsed/>
    <w:rsid w:val="00EF3512"/>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F3512"/>
    <w:rPr>
      <w:rFonts w:ascii="Consolas" w:hAnsi="Consolas"/>
      <w:sz w:val="21"/>
      <w:szCs w:val="21"/>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B00DD8"/>
    <w:rPr>
      <w:rFonts w:eastAsiaTheme="minorEastAsia"/>
      <w:lang w:eastAsia="en-GB"/>
    </w:rPr>
  </w:style>
  <w:style w:type="paragraph" w:styleId="FootnoteText">
    <w:name w:val="footnote text"/>
    <w:basedOn w:val="Normal"/>
    <w:link w:val="FootnoteTextChar"/>
    <w:uiPriority w:val="99"/>
    <w:semiHidden/>
    <w:unhideWhenUsed/>
    <w:rsid w:val="00B00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DD8"/>
    <w:rPr>
      <w:rFonts w:eastAsiaTheme="minorEastAsia"/>
      <w:sz w:val="20"/>
      <w:szCs w:val="20"/>
      <w:lang w:eastAsia="en-GB"/>
    </w:rPr>
  </w:style>
  <w:style w:type="character" w:styleId="FootnoteReference">
    <w:name w:val="footnote reference"/>
    <w:basedOn w:val="DefaultParagraphFont"/>
    <w:uiPriority w:val="99"/>
    <w:semiHidden/>
    <w:unhideWhenUsed/>
    <w:rsid w:val="00B00DD8"/>
    <w:rPr>
      <w:vertAlign w:val="superscript"/>
    </w:rPr>
  </w:style>
  <w:style w:type="paragraph" w:styleId="BalloonText">
    <w:name w:val="Balloon Text"/>
    <w:basedOn w:val="Normal"/>
    <w:link w:val="BalloonTextChar"/>
    <w:uiPriority w:val="99"/>
    <w:semiHidden/>
    <w:unhideWhenUsed/>
    <w:rsid w:val="008F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0E"/>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DB611F"/>
    <w:rPr>
      <w:sz w:val="16"/>
      <w:szCs w:val="16"/>
    </w:rPr>
  </w:style>
  <w:style w:type="paragraph" w:styleId="CommentText">
    <w:name w:val="annotation text"/>
    <w:basedOn w:val="Normal"/>
    <w:link w:val="CommentTextChar"/>
    <w:uiPriority w:val="99"/>
    <w:semiHidden/>
    <w:unhideWhenUsed/>
    <w:rsid w:val="00DB611F"/>
    <w:pPr>
      <w:spacing w:line="240" w:lineRule="auto"/>
    </w:pPr>
    <w:rPr>
      <w:sz w:val="20"/>
      <w:szCs w:val="20"/>
    </w:rPr>
  </w:style>
  <w:style w:type="character" w:customStyle="1" w:styleId="CommentTextChar">
    <w:name w:val="Comment Text Char"/>
    <w:basedOn w:val="DefaultParagraphFont"/>
    <w:link w:val="CommentText"/>
    <w:uiPriority w:val="99"/>
    <w:semiHidden/>
    <w:rsid w:val="00DB611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B611F"/>
    <w:rPr>
      <w:b/>
      <w:bCs/>
    </w:rPr>
  </w:style>
  <w:style w:type="character" w:customStyle="1" w:styleId="CommentSubjectChar">
    <w:name w:val="Comment Subject Char"/>
    <w:basedOn w:val="CommentTextChar"/>
    <w:link w:val="CommentSubject"/>
    <w:uiPriority w:val="99"/>
    <w:semiHidden/>
    <w:rsid w:val="00DB611F"/>
    <w:rPr>
      <w:rFonts w:eastAsiaTheme="minorEastAsia"/>
      <w:b/>
      <w:bCs/>
      <w:sz w:val="20"/>
      <w:szCs w:val="20"/>
      <w:lang w:eastAsia="en-GB"/>
    </w:rPr>
  </w:style>
  <w:style w:type="paragraph" w:styleId="NoSpacing">
    <w:name w:val="No Spacing"/>
    <w:uiPriority w:val="1"/>
    <w:qFormat/>
    <w:rsid w:val="00435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23914">
      <w:bodyDiv w:val="1"/>
      <w:marLeft w:val="0"/>
      <w:marRight w:val="0"/>
      <w:marTop w:val="0"/>
      <w:marBottom w:val="0"/>
      <w:divBdr>
        <w:top w:val="none" w:sz="0" w:space="0" w:color="auto"/>
        <w:left w:val="none" w:sz="0" w:space="0" w:color="auto"/>
        <w:bottom w:val="none" w:sz="0" w:space="0" w:color="auto"/>
        <w:right w:val="none" w:sz="0" w:space="0" w:color="auto"/>
      </w:divBdr>
    </w:div>
    <w:div w:id="1171064056">
      <w:bodyDiv w:val="1"/>
      <w:marLeft w:val="0"/>
      <w:marRight w:val="0"/>
      <w:marTop w:val="0"/>
      <w:marBottom w:val="0"/>
      <w:divBdr>
        <w:top w:val="none" w:sz="0" w:space="0" w:color="auto"/>
        <w:left w:val="none" w:sz="0" w:space="0" w:color="auto"/>
        <w:bottom w:val="none" w:sz="0" w:space="0" w:color="auto"/>
        <w:right w:val="none" w:sz="0" w:space="0" w:color="auto"/>
      </w:divBdr>
    </w:div>
    <w:div w:id="1182664245">
      <w:bodyDiv w:val="1"/>
      <w:marLeft w:val="0"/>
      <w:marRight w:val="0"/>
      <w:marTop w:val="0"/>
      <w:marBottom w:val="0"/>
      <w:divBdr>
        <w:top w:val="none" w:sz="0" w:space="0" w:color="auto"/>
        <w:left w:val="none" w:sz="0" w:space="0" w:color="auto"/>
        <w:bottom w:val="none" w:sz="0" w:space="0" w:color="auto"/>
        <w:right w:val="none" w:sz="0" w:space="0" w:color="auto"/>
      </w:divBdr>
    </w:div>
    <w:div w:id="1297101933">
      <w:bodyDiv w:val="1"/>
      <w:marLeft w:val="0"/>
      <w:marRight w:val="0"/>
      <w:marTop w:val="0"/>
      <w:marBottom w:val="0"/>
      <w:divBdr>
        <w:top w:val="none" w:sz="0" w:space="0" w:color="auto"/>
        <w:left w:val="none" w:sz="0" w:space="0" w:color="auto"/>
        <w:bottom w:val="none" w:sz="0" w:space="0" w:color="auto"/>
        <w:right w:val="none" w:sz="0" w:space="0" w:color="auto"/>
      </w:divBdr>
    </w:div>
    <w:div w:id="1361012935">
      <w:bodyDiv w:val="1"/>
      <w:marLeft w:val="0"/>
      <w:marRight w:val="0"/>
      <w:marTop w:val="0"/>
      <w:marBottom w:val="0"/>
      <w:divBdr>
        <w:top w:val="none" w:sz="0" w:space="0" w:color="auto"/>
        <w:left w:val="none" w:sz="0" w:space="0" w:color="auto"/>
        <w:bottom w:val="none" w:sz="0" w:space="0" w:color="auto"/>
        <w:right w:val="none" w:sz="0" w:space="0" w:color="auto"/>
      </w:divBdr>
    </w:div>
    <w:div w:id="1464275283">
      <w:bodyDiv w:val="1"/>
      <w:marLeft w:val="0"/>
      <w:marRight w:val="0"/>
      <w:marTop w:val="0"/>
      <w:marBottom w:val="0"/>
      <w:divBdr>
        <w:top w:val="none" w:sz="0" w:space="0" w:color="auto"/>
        <w:left w:val="none" w:sz="0" w:space="0" w:color="auto"/>
        <w:bottom w:val="none" w:sz="0" w:space="0" w:color="auto"/>
        <w:right w:val="none" w:sz="0" w:space="0" w:color="auto"/>
      </w:divBdr>
    </w:div>
    <w:div w:id="1536120144">
      <w:bodyDiv w:val="1"/>
      <w:marLeft w:val="0"/>
      <w:marRight w:val="0"/>
      <w:marTop w:val="0"/>
      <w:marBottom w:val="0"/>
      <w:divBdr>
        <w:top w:val="none" w:sz="0" w:space="0" w:color="auto"/>
        <w:left w:val="none" w:sz="0" w:space="0" w:color="auto"/>
        <w:bottom w:val="none" w:sz="0" w:space="0" w:color="auto"/>
        <w:right w:val="none" w:sz="0" w:space="0" w:color="auto"/>
      </w:divBdr>
    </w:div>
    <w:div w:id="1789280848">
      <w:bodyDiv w:val="1"/>
      <w:marLeft w:val="0"/>
      <w:marRight w:val="0"/>
      <w:marTop w:val="0"/>
      <w:marBottom w:val="0"/>
      <w:divBdr>
        <w:top w:val="none" w:sz="0" w:space="0" w:color="auto"/>
        <w:left w:val="none" w:sz="0" w:space="0" w:color="auto"/>
        <w:bottom w:val="none" w:sz="0" w:space="0" w:color="auto"/>
        <w:right w:val="none" w:sz="0" w:space="0" w:color="auto"/>
      </w:divBdr>
    </w:div>
    <w:div w:id="1816994912">
      <w:bodyDiv w:val="1"/>
      <w:marLeft w:val="0"/>
      <w:marRight w:val="0"/>
      <w:marTop w:val="0"/>
      <w:marBottom w:val="0"/>
      <w:divBdr>
        <w:top w:val="none" w:sz="0" w:space="0" w:color="auto"/>
        <w:left w:val="none" w:sz="0" w:space="0" w:color="auto"/>
        <w:bottom w:val="none" w:sz="0" w:space="0" w:color="auto"/>
        <w:right w:val="none" w:sz="0" w:space="0" w:color="auto"/>
      </w:divBdr>
    </w:div>
    <w:div w:id="2133279550">
      <w:bodyDiv w:val="1"/>
      <w:marLeft w:val="30"/>
      <w:marRight w:val="30"/>
      <w:marTop w:val="0"/>
      <w:marBottom w:val="0"/>
      <w:divBdr>
        <w:top w:val="none" w:sz="0" w:space="0" w:color="auto"/>
        <w:left w:val="none" w:sz="0" w:space="0" w:color="auto"/>
        <w:bottom w:val="none" w:sz="0" w:space="0" w:color="auto"/>
        <w:right w:val="none" w:sz="0" w:space="0" w:color="auto"/>
      </w:divBdr>
      <w:divsChild>
        <w:div w:id="1566529255">
          <w:marLeft w:val="0"/>
          <w:marRight w:val="0"/>
          <w:marTop w:val="0"/>
          <w:marBottom w:val="0"/>
          <w:divBdr>
            <w:top w:val="none" w:sz="0" w:space="0" w:color="auto"/>
            <w:left w:val="none" w:sz="0" w:space="0" w:color="auto"/>
            <w:bottom w:val="none" w:sz="0" w:space="0" w:color="auto"/>
            <w:right w:val="none" w:sz="0" w:space="0" w:color="auto"/>
          </w:divBdr>
          <w:divsChild>
            <w:div w:id="543061206">
              <w:marLeft w:val="0"/>
              <w:marRight w:val="0"/>
              <w:marTop w:val="0"/>
              <w:marBottom w:val="0"/>
              <w:divBdr>
                <w:top w:val="none" w:sz="0" w:space="0" w:color="auto"/>
                <w:left w:val="none" w:sz="0" w:space="0" w:color="auto"/>
                <w:bottom w:val="none" w:sz="0" w:space="0" w:color="auto"/>
                <w:right w:val="none" w:sz="0" w:space="0" w:color="auto"/>
              </w:divBdr>
              <w:divsChild>
                <w:div w:id="393702051">
                  <w:marLeft w:val="180"/>
                  <w:marRight w:val="0"/>
                  <w:marTop w:val="0"/>
                  <w:marBottom w:val="0"/>
                  <w:divBdr>
                    <w:top w:val="none" w:sz="0" w:space="0" w:color="auto"/>
                    <w:left w:val="none" w:sz="0" w:space="0" w:color="auto"/>
                    <w:bottom w:val="none" w:sz="0" w:space="0" w:color="auto"/>
                    <w:right w:val="none" w:sz="0" w:space="0" w:color="auto"/>
                  </w:divBdr>
                  <w:divsChild>
                    <w:div w:id="12833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FE2D-45FE-4B06-9F1F-AD0A26D9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A5F40F73</Template>
  <TotalTime>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CSSFProgrammeDocument</vt:lpstr>
    </vt:vector>
  </TitlesOfParts>
  <Company>FCO</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CSSFProgrammeDocument</dc:title>
  <dc:subject/>
  <dc:creator>wguest</dc:creator>
  <cp:keywords/>
  <cp:lastModifiedBy>Roy Ireland</cp:lastModifiedBy>
  <cp:revision>5</cp:revision>
  <cp:lastPrinted>2016-08-24T13:23:00Z</cp:lastPrinted>
  <dcterms:created xsi:type="dcterms:W3CDTF">2016-08-30T13:07:00Z</dcterms:created>
  <dcterms:modified xsi:type="dcterms:W3CDTF">2016-08-30T15:13:00Z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2015-01-15T00:00:00Z</vt:filetime>
  </property>
</Properties>
</file>