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220"/>
        <w:gridCol w:w="309"/>
        <w:gridCol w:w="3916"/>
      </w:tblGrid>
      <w:tr w:rsidR="00AF6F11" w:rsidTr="001B0A63">
        <w:trPr>
          <w:cantSplit/>
          <w:trHeight w:val="1361"/>
        </w:trPr>
        <w:tc>
          <w:tcPr>
            <w:tcW w:w="6434" w:type="dxa"/>
            <w:gridSpan w:val="2"/>
            <w:tcBorders>
              <w:top w:val="nil"/>
            </w:tcBorders>
          </w:tcPr>
          <w:p w:rsidR="00AF6F11" w:rsidRPr="008014C8" w:rsidRDefault="00AF6F11" w:rsidP="00E0278A">
            <w:pPr>
              <w:jc w:val="both"/>
              <w:rPr>
                <w:rFonts w:ascii="Arial" w:hAnsi="Arial"/>
                <w:color w:val="000000"/>
                <w:sz w:val="22"/>
                <w:szCs w:val="22"/>
              </w:rPr>
            </w:pPr>
            <w:r w:rsidRPr="008014C8">
              <w:rPr>
                <w:rFonts w:ascii="Arial" w:hAnsi="Arial"/>
                <w:color w:val="000000"/>
                <w:sz w:val="22"/>
                <w:szCs w:val="22"/>
              </w:rPr>
              <w:t xml:space="preserve">   </w:t>
            </w:r>
            <w:r w:rsidR="00FE5AB3" w:rsidRPr="008014C8">
              <w:rPr>
                <w:rFonts w:ascii="Arial" w:hAnsi="Arial"/>
                <w:noProof/>
                <w:sz w:val="22"/>
                <w:szCs w:val="22"/>
              </w:rPr>
              <w:drawing>
                <wp:inline distT="0" distB="0" distL="0" distR="0">
                  <wp:extent cx="1971040" cy="605790"/>
                  <wp:effectExtent l="0" t="0" r="0" b="381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040" cy="605790"/>
                          </a:xfrm>
                          <a:prstGeom prst="rect">
                            <a:avLst/>
                          </a:prstGeom>
                          <a:noFill/>
                          <a:ln>
                            <a:noFill/>
                          </a:ln>
                        </pic:spPr>
                      </pic:pic>
                    </a:graphicData>
                  </a:graphic>
                </wp:inline>
              </w:drawing>
            </w:r>
          </w:p>
        </w:tc>
        <w:tc>
          <w:tcPr>
            <w:tcW w:w="309" w:type="dxa"/>
          </w:tcPr>
          <w:p w:rsidR="00AF6F11" w:rsidRPr="008014C8" w:rsidRDefault="00AF6F11" w:rsidP="00E0278A">
            <w:pPr>
              <w:pStyle w:val="MOJnormal"/>
              <w:jc w:val="both"/>
              <w:rPr>
                <w:color w:val="000000"/>
                <w:sz w:val="22"/>
                <w:szCs w:val="22"/>
              </w:rPr>
            </w:pPr>
          </w:p>
        </w:tc>
        <w:tc>
          <w:tcPr>
            <w:tcW w:w="3916" w:type="dxa"/>
            <w:vMerge w:val="restart"/>
            <w:tcBorders>
              <w:top w:val="nil"/>
            </w:tcBorders>
          </w:tcPr>
          <w:p w:rsidR="00420637" w:rsidRPr="008014C8" w:rsidRDefault="00420637" w:rsidP="000D2C25">
            <w:pPr>
              <w:tabs>
                <w:tab w:val="left" w:pos="170"/>
              </w:tabs>
              <w:rPr>
                <w:rFonts w:ascii="Arial" w:hAnsi="Arial"/>
                <w:b/>
                <w:sz w:val="22"/>
                <w:szCs w:val="22"/>
              </w:rPr>
            </w:pPr>
          </w:p>
        </w:tc>
      </w:tr>
      <w:tr w:rsidR="00AF6F11" w:rsidTr="001B0A63">
        <w:trPr>
          <w:cantSplit/>
          <w:trHeight w:val="1259"/>
        </w:trPr>
        <w:tc>
          <w:tcPr>
            <w:tcW w:w="1214" w:type="dxa"/>
          </w:tcPr>
          <w:p w:rsidR="00AF6F11" w:rsidRPr="008014C8" w:rsidRDefault="00AF6F11" w:rsidP="00E0278A">
            <w:pPr>
              <w:pStyle w:val="MOJtext-otheraddress"/>
              <w:jc w:val="both"/>
              <w:rPr>
                <w:color w:val="000000"/>
                <w:sz w:val="22"/>
                <w:szCs w:val="22"/>
              </w:rPr>
            </w:pPr>
          </w:p>
        </w:tc>
        <w:tc>
          <w:tcPr>
            <w:tcW w:w="5220" w:type="dxa"/>
          </w:tcPr>
          <w:p w:rsidR="00E51F19" w:rsidRPr="00FE7555" w:rsidRDefault="00E51F19" w:rsidP="000D2C25">
            <w:pPr>
              <w:rPr>
                <w:rFonts w:ascii="Arial" w:hAnsi="Arial" w:cs="Arial"/>
                <w:sz w:val="22"/>
                <w:szCs w:val="22"/>
              </w:rPr>
            </w:pPr>
          </w:p>
        </w:tc>
        <w:tc>
          <w:tcPr>
            <w:tcW w:w="309" w:type="dxa"/>
          </w:tcPr>
          <w:p w:rsidR="00AF6F11" w:rsidRPr="008014C8" w:rsidRDefault="00AF6F11" w:rsidP="00E0278A">
            <w:pPr>
              <w:pStyle w:val="MOJnormal"/>
              <w:jc w:val="both"/>
              <w:rPr>
                <w:color w:val="000000"/>
                <w:sz w:val="22"/>
                <w:szCs w:val="22"/>
              </w:rPr>
            </w:pPr>
          </w:p>
        </w:tc>
        <w:tc>
          <w:tcPr>
            <w:tcW w:w="3916" w:type="dxa"/>
            <w:vMerge/>
          </w:tcPr>
          <w:p w:rsidR="00AF6F11" w:rsidRPr="008014C8" w:rsidRDefault="00AF6F11" w:rsidP="00E0278A">
            <w:pPr>
              <w:pStyle w:val="MOJtext-otheraddress"/>
              <w:jc w:val="both"/>
              <w:rPr>
                <w:color w:val="000000"/>
                <w:sz w:val="22"/>
                <w:szCs w:val="22"/>
              </w:rPr>
            </w:pPr>
          </w:p>
        </w:tc>
      </w:tr>
      <w:tr w:rsidR="00AF6F11" w:rsidTr="001B0A63">
        <w:trPr>
          <w:cantSplit/>
          <w:trHeight w:val="73"/>
        </w:trPr>
        <w:tc>
          <w:tcPr>
            <w:tcW w:w="1214" w:type="dxa"/>
          </w:tcPr>
          <w:p w:rsidR="00AF6F11" w:rsidRPr="008014C8" w:rsidRDefault="00AF6F11" w:rsidP="00E0278A">
            <w:pPr>
              <w:pStyle w:val="MOJnormal"/>
              <w:jc w:val="both"/>
              <w:rPr>
                <w:color w:val="000000"/>
                <w:sz w:val="22"/>
                <w:szCs w:val="22"/>
              </w:rPr>
            </w:pPr>
          </w:p>
        </w:tc>
        <w:tc>
          <w:tcPr>
            <w:tcW w:w="5220" w:type="dxa"/>
          </w:tcPr>
          <w:p w:rsidR="00AF6F11" w:rsidRPr="008014C8" w:rsidRDefault="00396422" w:rsidP="00CA2247">
            <w:pPr>
              <w:spacing w:line="280" w:lineRule="atLeast"/>
              <w:jc w:val="both"/>
              <w:rPr>
                <w:rFonts w:ascii="Arial" w:hAnsi="Arial"/>
                <w:i/>
                <w:color w:val="000000"/>
                <w:sz w:val="22"/>
                <w:szCs w:val="22"/>
              </w:rPr>
            </w:pPr>
            <w:r w:rsidRPr="008014C8">
              <w:rPr>
                <w:rFonts w:ascii="Arial" w:hAnsi="Arial"/>
                <w:b/>
                <w:color w:val="000000"/>
                <w:sz w:val="22"/>
                <w:szCs w:val="22"/>
              </w:rPr>
              <w:t>Our Reference:</w:t>
            </w:r>
            <w:r w:rsidRPr="008014C8">
              <w:rPr>
                <w:rFonts w:ascii="Arial" w:hAnsi="Arial"/>
                <w:color w:val="000000"/>
                <w:sz w:val="22"/>
                <w:szCs w:val="22"/>
              </w:rPr>
              <w:t xml:space="preserve"> </w:t>
            </w:r>
            <w:r w:rsidR="00CA2247">
              <w:rPr>
                <w:rFonts w:ascii="Arial" w:hAnsi="Arial"/>
                <w:color w:val="000000"/>
                <w:sz w:val="22"/>
                <w:szCs w:val="22"/>
              </w:rPr>
              <w:t>5</w:t>
            </w:r>
            <w:r w:rsidR="00E51F19">
              <w:rPr>
                <w:rFonts w:ascii="Arial" w:hAnsi="Arial"/>
                <w:color w:val="000000"/>
                <w:sz w:val="22"/>
                <w:szCs w:val="22"/>
              </w:rPr>
              <w:t>4</w:t>
            </w:r>
            <w:r w:rsidR="00B56A4A">
              <w:rPr>
                <w:rFonts w:ascii="Arial" w:hAnsi="Arial"/>
                <w:color w:val="000000"/>
                <w:sz w:val="22"/>
                <w:szCs w:val="22"/>
              </w:rPr>
              <w:t>8</w:t>
            </w:r>
            <w:r w:rsidR="00D92576">
              <w:rPr>
                <w:rFonts w:ascii="Arial" w:hAnsi="Arial"/>
                <w:color w:val="000000"/>
                <w:sz w:val="22"/>
                <w:szCs w:val="22"/>
              </w:rPr>
              <w:t>-16</w:t>
            </w:r>
            <w:r w:rsidR="003D5FCE" w:rsidRPr="008014C8">
              <w:rPr>
                <w:rFonts w:ascii="Arial" w:hAnsi="Arial"/>
                <w:color w:val="000000"/>
                <w:sz w:val="22"/>
                <w:szCs w:val="22"/>
              </w:rPr>
              <w:t xml:space="preserve"> FOI </w:t>
            </w:r>
            <w:r w:rsidR="00B56A4A">
              <w:rPr>
                <w:rFonts w:ascii="Arial" w:hAnsi="Arial"/>
                <w:color w:val="000000"/>
                <w:sz w:val="22"/>
                <w:szCs w:val="22"/>
              </w:rPr>
              <w:t>10</w:t>
            </w:r>
            <w:r w:rsidR="00CA2247">
              <w:rPr>
                <w:rFonts w:ascii="Arial" w:hAnsi="Arial"/>
                <w:color w:val="000000"/>
                <w:sz w:val="22"/>
                <w:szCs w:val="22"/>
              </w:rPr>
              <w:t>8006</w:t>
            </w:r>
          </w:p>
        </w:tc>
        <w:tc>
          <w:tcPr>
            <w:tcW w:w="309" w:type="dxa"/>
          </w:tcPr>
          <w:p w:rsidR="00AF6F11" w:rsidRPr="008014C8" w:rsidRDefault="00AF6F11" w:rsidP="00E0278A">
            <w:pPr>
              <w:spacing w:line="280" w:lineRule="atLeast"/>
              <w:jc w:val="both"/>
              <w:rPr>
                <w:rFonts w:ascii="Arial" w:hAnsi="Arial"/>
                <w:sz w:val="22"/>
                <w:szCs w:val="22"/>
              </w:rPr>
            </w:pPr>
            <w:r w:rsidRPr="008014C8">
              <w:rPr>
                <w:rFonts w:ascii="Arial" w:hAnsi="Arial"/>
                <w:sz w:val="22"/>
                <w:szCs w:val="22"/>
              </w:rPr>
              <w:tab/>
            </w:r>
          </w:p>
        </w:tc>
        <w:tc>
          <w:tcPr>
            <w:tcW w:w="3916" w:type="dxa"/>
          </w:tcPr>
          <w:p w:rsidR="00AF6F11" w:rsidRPr="008014C8" w:rsidRDefault="004B71F6" w:rsidP="004B71F6">
            <w:pPr>
              <w:pStyle w:val="MOJnormal"/>
              <w:jc w:val="both"/>
              <w:rPr>
                <w:sz w:val="22"/>
                <w:szCs w:val="22"/>
              </w:rPr>
            </w:pPr>
            <w:r w:rsidRPr="004B71F6">
              <w:rPr>
                <w:sz w:val="22"/>
                <w:szCs w:val="22"/>
              </w:rPr>
              <w:t>November</w:t>
            </w:r>
            <w:r>
              <w:rPr>
                <w:sz w:val="22"/>
                <w:szCs w:val="22"/>
              </w:rPr>
              <w:t xml:space="preserve"> </w:t>
            </w:r>
            <w:r w:rsidR="00D92576">
              <w:rPr>
                <w:sz w:val="22"/>
                <w:szCs w:val="22"/>
              </w:rPr>
              <w:t>2016</w:t>
            </w:r>
          </w:p>
        </w:tc>
      </w:tr>
    </w:tbl>
    <w:p w:rsidR="00E36BAC" w:rsidRDefault="00E36BAC" w:rsidP="00E0278A">
      <w:pPr>
        <w:jc w:val="both"/>
      </w:pPr>
    </w:p>
    <w:p w:rsidR="00837883" w:rsidRDefault="00837883" w:rsidP="00E0278A">
      <w:pPr>
        <w:jc w:val="both"/>
      </w:pPr>
    </w:p>
    <w:p w:rsidR="00837883" w:rsidRDefault="00837883" w:rsidP="00056836">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Request</w:t>
      </w:r>
    </w:p>
    <w:p w:rsidR="005D0A14" w:rsidRDefault="005D0A14" w:rsidP="00E0278A">
      <w:pPr>
        <w:jc w:val="both"/>
        <w:rPr>
          <w:rFonts w:ascii="Arial" w:hAnsi="Arial" w:cs="Arial"/>
          <w:sz w:val="22"/>
          <w:szCs w:val="22"/>
        </w:rPr>
      </w:pPr>
    </w:p>
    <w:p w:rsidR="00396422" w:rsidRPr="00396422" w:rsidRDefault="00396422" w:rsidP="00E0278A">
      <w:pPr>
        <w:spacing w:line="280" w:lineRule="atLeast"/>
        <w:jc w:val="both"/>
        <w:rPr>
          <w:rFonts w:ascii="Arial" w:hAnsi="Arial" w:cs="Arial"/>
          <w:sz w:val="22"/>
          <w:szCs w:val="22"/>
        </w:rPr>
      </w:pPr>
    </w:p>
    <w:p w:rsidR="00396422" w:rsidRDefault="000D2C25" w:rsidP="00754847">
      <w:pPr>
        <w:rPr>
          <w:rFonts w:ascii="Arial" w:hAnsi="Arial" w:cs="Arial"/>
          <w:sz w:val="22"/>
          <w:szCs w:val="22"/>
        </w:rPr>
      </w:pPr>
      <w:r>
        <w:rPr>
          <w:rFonts w:ascii="Arial" w:hAnsi="Arial" w:cs="Arial"/>
          <w:sz w:val="22"/>
          <w:szCs w:val="22"/>
        </w:rPr>
        <w:t>Y</w:t>
      </w:r>
      <w:r w:rsidR="00396422" w:rsidRPr="00396422">
        <w:rPr>
          <w:rFonts w:ascii="Arial" w:hAnsi="Arial" w:cs="Arial"/>
          <w:sz w:val="22"/>
          <w:szCs w:val="22"/>
        </w:rPr>
        <w:t>ou ask</w:t>
      </w:r>
      <w:r>
        <w:rPr>
          <w:rFonts w:ascii="Arial" w:hAnsi="Arial" w:cs="Arial"/>
          <w:sz w:val="22"/>
          <w:szCs w:val="22"/>
        </w:rPr>
        <w:t>ed</w:t>
      </w:r>
      <w:r w:rsidR="00396422" w:rsidRPr="00396422">
        <w:rPr>
          <w:rFonts w:ascii="Arial" w:hAnsi="Arial" w:cs="Arial"/>
          <w:sz w:val="22"/>
          <w:szCs w:val="22"/>
        </w:rPr>
        <w:t xml:space="preserve"> for the following information from the Ministry of Justice</w:t>
      </w:r>
      <w:r w:rsidR="00330EDA">
        <w:rPr>
          <w:rFonts w:ascii="Arial" w:hAnsi="Arial" w:cs="Arial"/>
          <w:sz w:val="22"/>
          <w:szCs w:val="22"/>
        </w:rPr>
        <w:t xml:space="preserve"> (MoJ)</w:t>
      </w:r>
      <w:r w:rsidR="00396422" w:rsidRPr="00396422">
        <w:rPr>
          <w:rFonts w:ascii="Arial" w:hAnsi="Arial" w:cs="Arial"/>
          <w:sz w:val="22"/>
          <w:szCs w:val="22"/>
        </w:rPr>
        <w:t>:</w:t>
      </w:r>
    </w:p>
    <w:p w:rsidR="00742E49" w:rsidRDefault="00742E49" w:rsidP="00754847">
      <w:pPr>
        <w:rPr>
          <w:rFonts w:ascii="Arial" w:hAnsi="Arial" w:cs="Arial"/>
          <w:sz w:val="22"/>
          <w:szCs w:val="22"/>
        </w:rPr>
      </w:pPr>
    </w:p>
    <w:p w:rsidR="00CA2247" w:rsidRPr="00326D83" w:rsidRDefault="00326D83" w:rsidP="00CA2247">
      <w:pPr>
        <w:rPr>
          <w:rFonts w:ascii="Arial" w:hAnsi="Arial" w:cs="Arial"/>
          <w:b/>
          <w:i/>
          <w:sz w:val="22"/>
          <w:szCs w:val="22"/>
        </w:rPr>
      </w:pPr>
      <w:r>
        <w:rPr>
          <w:rFonts w:ascii="Arial" w:hAnsi="Arial" w:cs="Arial"/>
          <w:b/>
          <w:bCs/>
          <w:i/>
          <w:sz w:val="22"/>
          <w:szCs w:val="22"/>
        </w:rPr>
        <w:t>“</w:t>
      </w:r>
      <w:r w:rsidR="00CA2247" w:rsidRPr="00326D83">
        <w:rPr>
          <w:rFonts w:ascii="Arial" w:hAnsi="Arial" w:cs="Arial"/>
          <w:b/>
          <w:bCs/>
          <w:i/>
          <w:sz w:val="22"/>
          <w:szCs w:val="22"/>
        </w:rPr>
        <w:t>The average length of time it takes (in days) for sexual offenders in sex offence cases including rape, to appear in Crown Court on the first day of their trial, from the time they are arrested. </w:t>
      </w:r>
    </w:p>
    <w:p w:rsidR="00CA2247" w:rsidRPr="00326D83" w:rsidRDefault="00CA2247" w:rsidP="00CA2247">
      <w:pPr>
        <w:pStyle w:val="NormalWeb"/>
        <w:spacing w:before="0" w:beforeAutospacing="0" w:after="0" w:afterAutospacing="0"/>
        <w:rPr>
          <w:rFonts w:ascii="Arial" w:hAnsi="Arial" w:cs="Arial"/>
          <w:b/>
          <w:i/>
          <w:sz w:val="22"/>
          <w:szCs w:val="22"/>
        </w:rPr>
      </w:pPr>
    </w:p>
    <w:p w:rsidR="00CA2247" w:rsidRPr="00326D83" w:rsidRDefault="00CA2247" w:rsidP="00CA2247">
      <w:pPr>
        <w:pStyle w:val="NormalWeb"/>
        <w:spacing w:before="0" w:beforeAutospacing="0" w:after="0" w:afterAutospacing="0"/>
        <w:rPr>
          <w:rFonts w:ascii="Arial" w:hAnsi="Arial" w:cs="Arial"/>
          <w:b/>
          <w:i/>
          <w:sz w:val="22"/>
          <w:szCs w:val="22"/>
        </w:rPr>
      </w:pPr>
      <w:r w:rsidRPr="00326D83">
        <w:rPr>
          <w:rFonts w:ascii="Arial" w:hAnsi="Arial" w:cs="Arial"/>
          <w:b/>
          <w:bCs/>
          <w:i/>
          <w:sz w:val="22"/>
          <w:szCs w:val="22"/>
        </w:rPr>
        <w:t xml:space="preserve">Please can this information be broken down by region into Carlisle, Eden, </w:t>
      </w:r>
      <w:proofErr w:type="spellStart"/>
      <w:r w:rsidRPr="00326D83">
        <w:rPr>
          <w:rFonts w:ascii="Arial" w:hAnsi="Arial" w:cs="Arial"/>
          <w:b/>
          <w:bCs/>
          <w:i/>
          <w:sz w:val="22"/>
          <w:szCs w:val="22"/>
        </w:rPr>
        <w:t>Allerdale</w:t>
      </w:r>
      <w:proofErr w:type="spellEnd"/>
      <w:r w:rsidRPr="00326D83">
        <w:rPr>
          <w:rFonts w:ascii="Arial" w:hAnsi="Arial" w:cs="Arial"/>
          <w:b/>
          <w:bCs/>
          <w:i/>
          <w:sz w:val="22"/>
          <w:szCs w:val="22"/>
        </w:rPr>
        <w:t>, Copeland, South Lakeland and Barrow in Furness</w:t>
      </w:r>
    </w:p>
    <w:p w:rsidR="00CA2247" w:rsidRPr="00326D83" w:rsidRDefault="00CA2247" w:rsidP="00CA2247">
      <w:pPr>
        <w:pStyle w:val="NormalWeb"/>
        <w:spacing w:before="0" w:beforeAutospacing="0" w:after="0" w:afterAutospacing="0"/>
        <w:rPr>
          <w:rFonts w:ascii="Arial" w:hAnsi="Arial" w:cs="Arial"/>
          <w:b/>
          <w:i/>
          <w:sz w:val="22"/>
          <w:szCs w:val="22"/>
        </w:rPr>
      </w:pPr>
    </w:p>
    <w:p w:rsidR="00CA2247" w:rsidRPr="00326D83" w:rsidRDefault="00CA2247" w:rsidP="00CA2247">
      <w:pPr>
        <w:pStyle w:val="NormalWeb"/>
        <w:spacing w:before="0" w:beforeAutospacing="0" w:after="0" w:afterAutospacing="0"/>
        <w:rPr>
          <w:rFonts w:ascii="Arial" w:hAnsi="Arial" w:cs="Arial"/>
          <w:b/>
          <w:i/>
          <w:sz w:val="22"/>
          <w:szCs w:val="22"/>
        </w:rPr>
      </w:pPr>
      <w:r w:rsidRPr="00326D83">
        <w:rPr>
          <w:rFonts w:ascii="Arial" w:hAnsi="Arial" w:cs="Arial"/>
          <w:b/>
          <w:bCs/>
          <w:i/>
          <w:sz w:val="22"/>
          <w:szCs w:val="22"/>
        </w:rPr>
        <w:t>Can you provide this data for the time period starting from 2013 to present. </w:t>
      </w:r>
    </w:p>
    <w:p w:rsidR="00CA2247" w:rsidRPr="00326D83" w:rsidRDefault="00CA2247" w:rsidP="00CA2247">
      <w:pPr>
        <w:pStyle w:val="NormalWeb"/>
        <w:spacing w:before="0" w:beforeAutospacing="0" w:after="0" w:afterAutospacing="0"/>
        <w:rPr>
          <w:rFonts w:ascii="Arial" w:hAnsi="Arial" w:cs="Arial"/>
          <w:b/>
          <w:i/>
          <w:sz w:val="22"/>
          <w:szCs w:val="22"/>
        </w:rPr>
      </w:pPr>
    </w:p>
    <w:p w:rsidR="00CA2247" w:rsidRPr="00326D83" w:rsidRDefault="00CA2247" w:rsidP="00CA2247">
      <w:pPr>
        <w:pStyle w:val="NormalWeb"/>
        <w:numPr>
          <w:ilvl w:val="2"/>
          <w:numId w:val="21"/>
        </w:numPr>
        <w:spacing w:before="0" w:beforeAutospacing="0" w:after="0" w:afterAutospacing="0"/>
        <w:rPr>
          <w:rFonts w:ascii="Arial" w:hAnsi="Arial" w:cs="Arial"/>
          <w:b/>
          <w:i/>
          <w:sz w:val="22"/>
          <w:szCs w:val="22"/>
        </w:rPr>
      </w:pPr>
      <w:r w:rsidRPr="00326D83">
        <w:rPr>
          <w:rFonts w:ascii="Arial" w:hAnsi="Arial" w:cs="Arial"/>
          <w:b/>
          <w:i/>
          <w:sz w:val="22"/>
          <w:szCs w:val="22"/>
        </w:rPr>
        <w:t>Crown Court information regarding the requested regions is only held for the overall Cumbria region at LCJB level, with Carlisle Combined Court Centre being the only Crown Court. Would information at this level suffice for your request? </w:t>
      </w:r>
    </w:p>
    <w:p w:rsidR="00CA2247" w:rsidRPr="00326D83" w:rsidRDefault="00CA2247" w:rsidP="00CA2247">
      <w:pPr>
        <w:rPr>
          <w:rFonts w:ascii="Arial" w:hAnsi="Arial" w:cs="Arial"/>
          <w:b/>
          <w:i/>
          <w:sz w:val="22"/>
          <w:szCs w:val="22"/>
        </w:rPr>
      </w:pPr>
    </w:p>
    <w:p w:rsidR="00CA2247" w:rsidRPr="00326D83" w:rsidRDefault="00CA2247" w:rsidP="00CA2247">
      <w:pPr>
        <w:rPr>
          <w:rFonts w:ascii="Arial" w:hAnsi="Arial" w:cs="Arial"/>
          <w:b/>
          <w:i/>
          <w:sz w:val="22"/>
          <w:szCs w:val="22"/>
        </w:rPr>
      </w:pPr>
      <w:r w:rsidRPr="00326D83">
        <w:rPr>
          <w:rFonts w:ascii="Arial" w:hAnsi="Arial" w:cs="Arial"/>
          <w:b/>
          <w:i/>
          <w:sz w:val="22"/>
          <w:szCs w:val="22"/>
        </w:rPr>
        <w:t xml:space="preserve">Regarding the above matter- </w:t>
      </w:r>
      <w:r w:rsidRPr="00326D83">
        <w:rPr>
          <w:rFonts w:ascii="Arial" w:hAnsi="Arial" w:cs="Arial"/>
          <w:b/>
          <w:bCs/>
          <w:i/>
          <w:sz w:val="22"/>
          <w:szCs w:val="22"/>
        </w:rPr>
        <w:t>Could you supply the information in relation to Carlisle Crown Court and Preston Crown Court (I am now informed that this court sits in Barrow intermittently)</w:t>
      </w:r>
      <w:r w:rsidR="00326D83">
        <w:rPr>
          <w:rFonts w:ascii="Arial" w:hAnsi="Arial" w:cs="Arial"/>
          <w:b/>
          <w:bCs/>
          <w:i/>
          <w:sz w:val="22"/>
          <w:szCs w:val="22"/>
        </w:rPr>
        <w:t>”</w:t>
      </w:r>
    </w:p>
    <w:p w:rsidR="00CA2247" w:rsidRDefault="00CA2247" w:rsidP="001B0A63">
      <w:pPr>
        <w:rPr>
          <w:rFonts w:ascii="Arial" w:hAnsi="Arial" w:cs="Arial"/>
          <w:b/>
          <w:sz w:val="22"/>
          <w:szCs w:val="22"/>
        </w:rPr>
      </w:pPr>
    </w:p>
    <w:p w:rsidR="00CA2247" w:rsidRDefault="00CA2247" w:rsidP="001B0A63">
      <w:pPr>
        <w:rPr>
          <w:rFonts w:ascii="Arial" w:hAnsi="Arial" w:cs="Arial"/>
          <w:b/>
          <w:sz w:val="22"/>
          <w:szCs w:val="22"/>
        </w:rPr>
      </w:pPr>
    </w:p>
    <w:p w:rsidR="00CA2247" w:rsidRDefault="00CA2247" w:rsidP="00CA2247">
      <w:pPr>
        <w:rPr>
          <w:rFonts w:ascii="Arial" w:hAnsi="Arial" w:cs="Arial"/>
          <w:sz w:val="22"/>
          <w:szCs w:val="22"/>
        </w:rPr>
      </w:pPr>
      <w:r>
        <w:rPr>
          <w:rFonts w:ascii="Arial" w:hAnsi="Arial" w:cs="Arial"/>
          <w:sz w:val="22"/>
          <w:szCs w:val="22"/>
        </w:rPr>
        <w:t>Your request has been handled under the Freedom of Information Act 2000 (FOIA).</w:t>
      </w:r>
    </w:p>
    <w:p w:rsidR="00CA2247" w:rsidRDefault="00CA2247" w:rsidP="00CA2247">
      <w:pPr>
        <w:rPr>
          <w:rFonts w:ascii="Arial" w:hAnsi="Arial" w:cs="Arial"/>
          <w:sz w:val="22"/>
          <w:szCs w:val="22"/>
        </w:rPr>
      </w:pPr>
      <w:r w:rsidRPr="00B70C24">
        <w:rPr>
          <w:rFonts w:ascii="Arial" w:hAnsi="Arial" w:cs="Arial"/>
          <w:sz w:val="22"/>
          <w:szCs w:val="22"/>
        </w:rPr>
        <w:t xml:space="preserve">I can confirm that the </w:t>
      </w:r>
      <w:r w:rsidRPr="009D636D">
        <w:rPr>
          <w:rFonts w:ascii="Arial" w:hAnsi="Arial" w:cs="Arial"/>
          <w:sz w:val="22"/>
          <w:szCs w:val="22"/>
        </w:rPr>
        <w:t>department holds</w:t>
      </w:r>
      <w:r>
        <w:rPr>
          <w:rFonts w:ascii="Arial" w:hAnsi="Arial" w:cs="Arial"/>
          <w:sz w:val="22"/>
          <w:szCs w:val="22"/>
        </w:rPr>
        <w:t xml:space="preserve"> the</w:t>
      </w:r>
      <w:r w:rsidRPr="009D636D">
        <w:rPr>
          <w:rFonts w:ascii="Arial" w:hAnsi="Arial" w:cs="Arial"/>
          <w:sz w:val="22"/>
          <w:szCs w:val="22"/>
        </w:rPr>
        <w:t xml:space="preserve"> information</w:t>
      </w:r>
      <w:r w:rsidRPr="00B70C24">
        <w:rPr>
          <w:rFonts w:ascii="Arial" w:hAnsi="Arial" w:cs="Arial"/>
          <w:sz w:val="22"/>
          <w:szCs w:val="22"/>
        </w:rPr>
        <w:t xml:space="preserve"> that you have asked for, and I am</w:t>
      </w:r>
      <w:r w:rsidR="00DB7A41">
        <w:rPr>
          <w:rFonts w:ascii="Arial" w:hAnsi="Arial" w:cs="Arial"/>
          <w:sz w:val="22"/>
          <w:szCs w:val="22"/>
        </w:rPr>
        <w:t xml:space="preserve"> able</w:t>
      </w:r>
      <w:r w:rsidRPr="00B70C24">
        <w:rPr>
          <w:rFonts w:ascii="Arial" w:hAnsi="Arial" w:cs="Arial"/>
          <w:sz w:val="22"/>
          <w:szCs w:val="22"/>
        </w:rPr>
        <w:t xml:space="preserve"> to provide</w:t>
      </w:r>
      <w:r>
        <w:rPr>
          <w:rFonts w:ascii="Arial" w:hAnsi="Arial" w:cs="Arial"/>
          <w:sz w:val="22"/>
          <w:szCs w:val="22"/>
        </w:rPr>
        <w:t xml:space="preserve"> this to you.</w:t>
      </w:r>
    </w:p>
    <w:p w:rsidR="00CA2247" w:rsidRDefault="00CA2247" w:rsidP="001B0A63">
      <w:pPr>
        <w:rPr>
          <w:rFonts w:ascii="Arial" w:hAnsi="Arial" w:cs="Arial"/>
          <w:b/>
          <w:sz w:val="22"/>
          <w:szCs w:val="22"/>
        </w:rPr>
      </w:pPr>
    </w:p>
    <w:p w:rsidR="00A6225A" w:rsidRDefault="000F702C" w:rsidP="00CA2247">
      <w:pPr>
        <w:rPr>
          <w:rFonts w:ascii="Arial" w:hAnsi="Arial" w:cs="Arial"/>
          <w:sz w:val="22"/>
          <w:szCs w:val="22"/>
        </w:rPr>
      </w:pPr>
      <w:r>
        <w:rPr>
          <w:rFonts w:ascii="Arial" w:hAnsi="Arial" w:cs="Arial"/>
          <w:sz w:val="22"/>
          <w:szCs w:val="22"/>
        </w:rPr>
        <w:t>Statistics on</w:t>
      </w:r>
      <w:r w:rsidR="00A6225A" w:rsidRPr="00FA32F6">
        <w:rPr>
          <w:rFonts w:ascii="Arial" w:hAnsi="Arial" w:cs="Arial"/>
          <w:sz w:val="22"/>
          <w:szCs w:val="22"/>
        </w:rPr>
        <w:t xml:space="preserve"> the </w:t>
      </w:r>
      <w:r>
        <w:rPr>
          <w:rFonts w:ascii="Arial" w:hAnsi="Arial" w:cs="Arial"/>
          <w:sz w:val="22"/>
          <w:szCs w:val="22"/>
        </w:rPr>
        <w:t xml:space="preserve">mean </w:t>
      </w:r>
      <w:r w:rsidR="00A6225A" w:rsidRPr="00FA32F6">
        <w:rPr>
          <w:rFonts w:ascii="Arial" w:hAnsi="Arial" w:cs="Arial"/>
          <w:sz w:val="22"/>
          <w:szCs w:val="22"/>
        </w:rPr>
        <w:t>average duration of sexual offences cases</w:t>
      </w:r>
      <w:r w:rsidR="00FA32F6" w:rsidRPr="00FA32F6">
        <w:rPr>
          <w:rFonts w:ascii="Arial" w:hAnsi="Arial" w:cs="Arial"/>
          <w:sz w:val="22"/>
          <w:szCs w:val="22"/>
        </w:rPr>
        <w:t>, from date of arrest to date of first listing</w:t>
      </w:r>
      <w:r w:rsidR="0016690B">
        <w:rPr>
          <w:rFonts w:ascii="Arial" w:hAnsi="Arial" w:cs="Arial"/>
          <w:sz w:val="22"/>
          <w:szCs w:val="22"/>
        </w:rPr>
        <w:t xml:space="preserve"> in the magistrates’ courts, and from date of arrest to date of main hearing in the Crown Court</w:t>
      </w:r>
      <w:r w:rsidR="00FA32F6" w:rsidRPr="00FA32F6">
        <w:rPr>
          <w:rFonts w:ascii="Arial" w:hAnsi="Arial" w:cs="Arial"/>
          <w:sz w:val="22"/>
          <w:szCs w:val="22"/>
        </w:rPr>
        <w:t xml:space="preserve">, can be found in </w:t>
      </w:r>
      <w:r>
        <w:rPr>
          <w:rFonts w:ascii="Arial" w:hAnsi="Arial" w:cs="Arial"/>
          <w:sz w:val="22"/>
          <w:szCs w:val="22"/>
        </w:rPr>
        <w:t xml:space="preserve">the </w:t>
      </w:r>
      <w:r w:rsidR="00FA32F6" w:rsidRPr="00FA32F6">
        <w:rPr>
          <w:rFonts w:ascii="Arial" w:hAnsi="Arial" w:cs="Arial"/>
          <w:sz w:val="22"/>
          <w:szCs w:val="22"/>
        </w:rPr>
        <w:t>attached</w:t>
      </w:r>
      <w:r>
        <w:rPr>
          <w:rFonts w:ascii="Arial" w:hAnsi="Arial" w:cs="Arial"/>
          <w:sz w:val="22"/>
          <w:szCs w:val="22"/>
        </w:rPr>
        <w:t xml:space="preserve"> table</w:t>
      </w:r>
      <w:r w:rsidR="00FA32F6" w:rsidRPr="00FA32F6">
        <w:rPr>
          <w:rFonts w:ascii="Arial" w:hAnsi="Arial" w:cs="Arial"/>
          <w:sz w:val="22"/>
          <w:szCs w:val="22"/>
        </w:rPr>
        <w:t xml:space="preserve">. The </w:t>
      </w:r>
      <w:r>
        <w:rPr>
          <w:rFonts w:ascii="Arial" w:hAnsi="Arial" w:cs="Arial"/>
          <w:sz w:val="22"/>
          <w:szCs w:val="22"/>
        </w:rPr>
        <w:t>statistics cover</w:t>
      </w:r>
      <w:r w:rsidR="00FA32F6" w:rsidRPr="00FA32F6">
        <w:rPr>
          <w:rFonts w:ascii="Arial" w:hAnsi="Arial" w:cs="Arial"/>
          <w:sz w:val="22"/>
          <w:szCs w:val="22"/>
        </w:rPr>
        <w:t xml:space="preserve"> cases </w:t>
      </w:r>
      <w:r>
        <w:rPr>
          <w:rFonts w:ascii="Arial" w:hAnsi="Arial" w:cs="Arial"/>
          <w:sz w:val="22"/>
          <w:szCs w:val="22"/>
        </w:rPr>
        <w:t xml:space="preserve">completing </w:t>
      </w:r>
      <w:r w:rsidR="00FA32F6" w:rsidRPr="00FA32F6">
        <w:rPr>
          <w:rFonts w:ascii="Arial" w:hAnsi="Arial" w:cs="Arial"/>
          <w:sz w:val="22"/>
          <w:szCs w:val="22"/>
        </w:rPr>
        <w:t>in Carlisle</w:t>
      </w:r>
      <w:r>
        <w:rPr>
          <w:rFonts w:ascii="Arial" w:hAnsi="Arial" w:cs="Arial"/>
          <w:sz w:val="22"/>
          <w:szCs w:val="22"/>
        </w:rPr>
        <w:t xml:space="preserve"> </w:t>
      </w:r>
      <w:r w:rsidR="00FA32F6" w:rsidRPr="00FA32F6">
        <w:rPr>
          <w:rFonts w:ascii="Arial" w:hAnsi="Arial" w:cs="Arial"/>
          <w:sz w:val="22"/>
          <w:szCs w:val="22"/>
        </w:rPr>
        <w:t xml:space="preserve">and Preston </w:t>
      </w:r>
      <w:r w:rsidRPr="000F702C">
        <w:rPr>
          <w:rFonts w:ascii="Arial" w:hAnsi="Arial" w:cs="Arial"/>
          <w:sz w:val="22"/>
          <w:szCs w:val="22"/>
        </w:rPr>
        <w:t>Combined Court Centre</w:t>
      </w:r>
      <w:r>
        <w:rPr>
          <w:rFonts w:ascii="Arial" w:hAnsi="Arial" w:cs="Arial"/>
          <w:sz w:val="22"/>
          <w:szCs w:val="22"/>
        </w:rPr>
        <w:t xml:space="preserve">s </w:t>
      </w:r>
      <w:r w:rsidR="00FA32F6" w:rsidRPr="00FA32F6">
        <w:rPr>
          <w:rFonts w:ascii="Arial" w:hAnsi="Arial" w:cs="Arial"/>
          <w:sz w:val="22"/>
          <w:szCs w:val="22"/>
        </w:rPr>
        <w:t>for each year from 2013 to 2015.</w:t>
      </w:r>
    </w:p>
    <w:p w:rsidR="0016690B" w:rsidRDefault="0016690B" w:rsidP="00CA2247">
      <w:pPr>
        <w:rPr>
          <w:rFonts w:ascii="Arial" w:hAnsi="Arial" w:cs="Arial"/>
          <w:sz w:val="22"/>
          <w:szCs w:val="22"/>
        </w:rPr>
      </w:pPr>
    </w:p>
    <w:p w:rsidR="0016690B" w:rsidRPr="00FA32F6" w:rsidRDefault="0016690B" w:rsidP="00CA2247">
      <w:pPr>
        <w:rPr>
          <w:rFonts w:ascii="Arial" w:hAnsi="Arial" w:cs="Arial"/>
          <w:sz w:val="22"/>
          <w:szCs w:val="22"/>
        </w:rPr>
      </w:pPr>
      <w:r>
        <w:rPr>
          <w:rFonts w:ascii="Arial" w:hAnsi="Arial" w:cs="Arial"/>
          <w:sz w:val="22"/>
          <w:szCs w:val="22"/>
        </w:rPr>
        <w:t xml:space="preserve">Please note that the figures previously provided, </w:t>
      </w:r>
      <w:r w:rsidR="000F702C">
        <w:rPr>
          <w:rFonts w:ascii="Arial" w:hAnsi="Arial" w:cs="Arial"/>
          <w:sz w:val="22"/>
          <w:szCs w:val="22"/>
        </w:rPr>
        <w:t>under</w:t>
      </w:r>
      <w:r>
        <w:rPr>
          <w:rFonts w:ascii="Arial" w:hAnsi="Arial" w:cs="Arial"/>
          <w:sz w:val="22"/>
          <w:szCs w:val="22"/>
        </w:rPr>
        <w:t xml:space="preserve"> FOI number 107558</w:t>
      </w:r>
      <w:r w:rsidR="000F702C">
        <w:rPr>
          <w:rFonts w:ascii="Arial" w:hAnsi="Arial" w:cs="Arial"/>
          <w:sz w:val="22"/>
          <w:szCs w:val="22"/>
        </w:rPr>
        <w:t>,</w:t>
      </w:r>
      <w:r>
        <w:rPr>
          <w:rFonts w:ascii="Arial" w:hAnsi="Arial" w:cs="Arial"/>
          <w:sz w:val="22"/>
          <w:szCs w:val="22"/>
        </w:rPr>
        <w:t xml:space="preserve"> </w:t>
      </w:r>
      <w:r w:rsidR="000F702C">
        <w:rPr>
          <w:rFonts w:ascii="Arial" w:hAnsi="Arial" w:cs="Arial"/>
          <w:sz w:val="22"/>
          <w:szCs w:val="22"/>
        </w:rPr>
        <w:t xml:space="preserve">showed only the mean </w:t>
      </w:r>
      <w:r>
        <w:rPr>
          <w:rFonts w:ascii="Arial" w:hAnsi="Arial" w:cs="Arial"/>
          <w:sz w:val="22"/>
          <w:szCs w:val="22"/>
        </w:rPr>
        <w:t xml:space="preserve">average duration from </w:t>
      </w:r>
      <w:r w:rsidRPr="00FA32F6">
        <w:rPr>
          <w:rFonts w:ascii="Arial" w:hAnsi="Arial" w:cs="Arial"/>
          <w:sz w:val="22"/>
          <w:szCs w:val="22"/>
        </w:rPr>
        <w:t>date of arrest to date of first listing</w:t>
      </w:r>
      <w:r>
        <w:rPr>
          <w:rFonts w:ascii="Arial" w:hAnsi="Arial" w:cs="Arial"/>
          <w:sz w:val="22"/>
          <w:szCs w:val="22"/>
        </w:rPr>
        <w:t xml:space="preserve"> in the magistrates’ courts. </w:t>
      </w:r>
      <w:r w:rsidR="000F702C">
        <w:rPr>
          <w:rFonts w:ascii="Arial" w:hAnsi="Arial" w:cs="Arial"/>
          <w:sz w:val="22"/>
          <w:szCs w:val="22"/>
        </w:rPr>
        <w:t xml:space="preserve">Statistics have been provided on this basis for consistency, covering both Court Centres, along with further statistics on the basis of duration </w:t>
      </w:r>
      <w:r>
        <w:rPr>
          <w:rFonts w:ascii="Arial" w:hAnsi="Arial" w:cs="Arial"/>
          <w:sz w:val="22"/>
          <w:szCs w:val="22"/>
        </w:rPr>
        <w:t xml:space="preserve">from </w:t>
      </w:r>
      <w:r w:rsidRPr="00FA32F6">
        <w:rPr>
          <w:rFonts w:ascii="Arial" w:hAnsi="Arial" w:cs="Arial"/>
          <w:sz w:val="22"/>
          <w:szCs w:val="22"/>
        </w:rPr>
        <w:t>date of arrest to</w:t>
      </w:r>
      <w:r w:rsidRPr="0016690B">
        <w:rPr>
          <w:rFonts w:ascii="Arial" w:hAnsi="Arial" w:cs="Arial"/>
          <w:sz w:val="22"/>
          <w:szCs w:val="22"/>
        </w:rPr>
        <w:t xml:space="preserve"> </w:t>
      </w:r>
      <w:r>
        <w:rPr>
          <w:rFonts w:ascii="Arial" w:hAnsi="Arial" w:cs="Arial"/>
          <w:sz w:val="22"/>
          <w:szCs w:val="22"/>
        </w:rPr>
        <w:t>date of main hearing in the Crown Court.</w:t>
      </w:r>
    </w:p>
    <w:p w:rsidR="00CA2247" w:rsidRDefault="00CA2247" w:rsidP="00CA2247">
      <w:pPr>
        <w:rPr>
          <w:rFonts w:ascii="Arial" w:hAnsi="Arial" w:cs="Arial"/>
          <w:sz w:val="22"/>
          <w:szCs w:val="22"/>
        </w:rPr>
      </w:pPr>
    </w:p>
    <w:p w:rsidR="005C2AFE" w:rsidRDefault="005C2AFE" w:rsidP="00E0278A">
      <w:pPr>
        <w:jc w:val="both"/>
        <w:rPr>
          <w:rFonts w:ascii="Arial" w:hAnsi="Arial" w:cs="Arial"/>
          <w:b/>
          <w:sz w:val="22"/>
          <w:szCs w:val="22"/>
        </w:rPr>
      </w:pPr>
      <w:bookmarkStart w:id="0" w:name="_GoBack"/>
      <w:bookmarkEnd w:id="0"/>
    </w:p>
    <w:sectPr w:rsidR="005C2AFE"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81" w:rsidRDefault="00181D81">
      <w:r>
        <w:separator/>
      </w:r>
    </w:p>
  </w:endnote>
  <w:endnote w:type="continuationSeparator" w:id="0">
    <w:p w:rsidR="00181D81" w:rsidRDefault="0018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BA" w:rsidRPr="002179DD" w:rsidRDefault="00D107BA"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81" w:rsidRDefault="00181D81">
      <w:r>
        <w:separator/>
      </w:r>
    </w:p>
  </w:footnote>
  <w:footnote w:type="continuationSeparator" w:id="0">
    <w:p w:rsidR="00181D81" w:rsidRDefault="00181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AA142E"/>
    <w:multiLevelType w:val="hybridMultilevel"/>
    <w:tmpl w:val="B084E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B43"/>
    <w:multiLevelType w:val="hybridMultilevel"/>
    <w:tmpl w:val="849015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33686B2"/>
    <w:multiLevelType w:val="hybridMultilevel"/>
    <w:tmpl w:val="AB6A9B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C552D"/>
    <w:multiLevelType w:val="hybridMultilevel"/>
    <w:tmpl w:val="F124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A0361"/>
    <w:multiLevelType w:val="multilevel"/>
    <w:tmpl w:val="9A1EDBD4"/>
    <w:lvl w:ilvl="0">
      <w:start w:val="1"/>
      <w:numFmt w:val="bullet"/>
      <w:lvlText w:val=""/>
      <w:lvlJc w:val="left"/>
      <w:pPr>
        <w:tabs>
          <w:tab w:val="num" w:pos="-1035"/>
        </w:tabs>
        <w:ind w:left="-1035" w:hanging="360"/>
      </w:pPr>
      <w:rPr>
        <w:rFonts w:ascii="Symbol" w:hAnsi="Symbol" w:hint="default"/>
        <w:sz w:val="20"/>
      </w:rPr>
    </w:lvl>
    <w:lvl w:ilvl="1">
      <w:start w:val="1"/>
      <w:numFmt w:val="bullet"/>
      <w:lvlText w:val="o"/>
      <w:lvlJc w:val="left"/>
      <w:pPr>
        <w:tabs>
          <w:tab w:val="num" w:pos="-315"/>
        </w:tabs>
        <w:ind w:left="-315" w:hanging="360"/>
      </w:pPr>
      <w:rPr>
        <w:rFonts w:ascii="Courier New" w:hAnsi="Courier New" w:cs="Times New Roman" w:hint="default"/>
        <w:sz w:val="20"/>
      </w:rPr>
    </w:lvl>
    <w:lvl w:ilvl="2">
      <w:start w:val="1"/>
      <w:numFmt w:val="bullet"/>
      <w:lvlText w:val=""/>
      <w:lvlJc w:val="left"/>
      <w:pPr>
        <w:tabs>
          <w:tab w:val="num" w:pos="405"/>
        </w:tabs>
        <w:ind w:left="405" w:hanging="360"/>
      </w:pPr>
      <w:rPr>
        <w:rFonts w:ascii="Wingdings" w:hAnsi="Wingdings" w:hint="default"/>
        <w:sz w:val="20"/>
      </w:rPr>
    </w:lvl>
    <w:lvl w:ilvl="3">
      <w:start w:val="1"/>
      <w:numFmt w:val="bullet"/>
      <w:lvlText w:val=""/>
      <w:lvlJc w:val="left"/>
      <w:pPr>
        <w:tabs>
          <w:tab w:val="num" w:pos="1125"/>
        </w:tabs>
        <w:ind w:left="1125" w:hanging="360"/>
      </w:pPr>
      <w:rPr>
        <w:rFonts w:ascii="Wingdings" w:hAnsi="Wingdings" w:hint="default"/>
        <w:sz w:val="20"/>
      </w:rPr>
    </w:lvl>
    <w:lvl w:ilvl="4">
      <w:start w:val="1"/>
      <w:numFmt w:val="bullet"/>
      <w:lvlText w:val=""/>
      <w:lvlJc w:val="left"/>
      <w:pPr>
        <w:tabs>
          <w:tab w:val="num" w:pos="1845"/>
        </w:tabs>
        <w:ind w:left="1845" w:hanging="360"/>
      </w:pPr>
      <w:rPr>
        <w:rFonts w:ascii="Wingdings" w:hAnsi="Wingdings" w:hint="default"/>
        <w:sz w:val="20"/>
      </w:rPr>
    </w:lvl>
    <w:lvl w:ilvl="5">
      <w:start w:val="1"/>
      <w:numFmt w:val="bullet"/>
      <w:lvlText w:val=""/>
      <w:lvlJc w:val="left"/>
      <w:pPr>
        <w:tabs>
          <w:tab w:val="num" w:pos="2565"/>
        </w:tabs>
        <w:ind w:left="2565" w:hanging="360"/>
      </w:pPr>
      <w:rPr>
        <w:rFonts w:ascii="Wingdings" w:hAnsi="Wingdings" w:hint="default"/>
        <w:sz w:val="20"/>
      </w:rPr>
    </w:lvl>
    <w:lvl w:ilvl="6">
      <w:start w:val="1"/>
      <w:numFmt w:val="bullet"/>
      <w:lvlText w:val=""/>
      <w:lvlJc w:val="left"/>
      <w:pPr>
        <w:tabs>
          <w:tab w:val="num" w:pos="3285"/>
        </w:tabs>
        <w:ind w:left="3285" w:hanging="360"/>
      </w:pPr>
      <w:rPr>
        <w:rFonts w:ascii="Wingdings" w:hAnsi="Wingdings" w:hint="default"/>
        <w:sz w:val="20"/>
      </w:rPr>
    </w:lvl>
    <w:lvl w:ilvl="7">
      <w:start w:val="1"/>
      <w:numFmt w:val="bullet"/>
      <w:lvlText w:val=""/>
      <w:lvlJc w:val="left"/>
      <w:pPr>
        <w:tabs>
          <w:tab w:val="num" w:pos="4005"/>
        </w:tabs>
        <w:ind w:left="4005" w:hanging="360"/>
      </w:pPr>
      <w:rPr>
        <w:rFonts w:ascii="Wingdings" w:hAnsi="Wingdings" w:hint="default"/>
        <w:sz w:val="20"/>
      </w:rPr>
    </w:lvl>
    <w:lvl w:ilvl="8">
      <w:start w:val="1"/>
      <w:numFmt w:val="bullet"/>
      <w:lvlText w:val=""/>
      <w:lvlJc w:val="left"/>
      <w:pPr>
        <w:tabs>
          <w:tab w:val="num" w:pos="4725"/>
        </w:tabs>
        <w:ind w:left="4725" w:hanging="360"/>
      </w:pPr>
      <w:rPr>
        <w:rFonts w:ascii="Wingdings" w:hAnsi="Wingdings" w:hint="default"/>
        <w:sz w:val="20"/>
      </w:rPr>
    </w:lvl>
  </w:abstractNum>
  <w:abstractNum w:abstractNumId="7" w15:restartNumberingAfterBreak="0">
    <w:nsid w:val="1DBC7B08"/>
    <w:multiLevelType w:val="hybridMultilevel"/>
    <w:tmpl w:val="75BA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D1B12"/>
    <w:multiLevelType w:val="hybridMultilevel"/>
    <w:tmpl w:val="CDAAA50C"/>
    <w:lvl w:ilvl="0" w:tplc="660C6B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41959"/>
    <w:multiLevelType w:val="hybridMultilevel"/>
    <w:tmpl w:val="5DAE4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FE148B"/>
    <w:multiLevelType w:val="hybridMultilevel"/>
    <w:tmpl w:val="43C533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AD6731"/>
    <w:multiLevelType w:val="hybridMultilevel"/>
    <w:tmpl w:val="93022CF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4B2B7011"/>
    <w:multiLevelType w:val="hybridMultilevel"/>
    <w:tmpl w:val="625CE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877B0"/>
    <w:multiLevelType w:val="hybridMultilevel"/>
    <w:tmpl w:val="117537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9"/>
  </w:num>
  <w:num w:numId="4">
    <w:abstractNumId w:val="9"/>
  </w:num>
  <w:num w:numId="5">
    <w:abstractNumId w:val="0"/>
  </w:num>
  <w:num w:numId="6">
    <w:abstractNumId w:val="17"/>
  </w:num>
  <w:num w:numId="7">
    <w:abstractNumId w:val="3"/>
  </w:num>
  <w:num w:numId="8">
    <w:abstractNumId w:val="18"/>
  </w:num>
  <w:num w:numId="9">
    <w:abstractNumId w:val="13"/>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0"/>
  </w:num>
  <w:num w:numId="15">
    <w:abstractNumId w:val="8"/>
  </w:num>
  <w:num w:numId="16">
    <w:abstractNumId w:val="2"/>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71DB"/>
    <w:rsid w:val="00010513"/>
    <w:rsid w:val="000126C5"/>
    <w:rsid w:val="00025312"/>
    <w:rsid w:val="000258B7"/>
    <w:rsid w:val="00031C10"/>
    <w:rsid w:val="00043C1B"/>
    <w:rsid w:val="00055EFE"/>
    <w:rsid w:val="00056836"/>
    <w:rsid w:val="00061A6F"/>
    <w:rsid w:val="00071C77"/>
    <w:rsid w:val="00092584"/>
    <w:rsid w:val="000A06FF"/>
    <w:rsid w:val="000A0777"/>
    <w:rsid w:val="000A2BCA"/>
    <w:rsid w:val="000A4ABF"/>
    <w:rsid w:val="000B2840"/>
    <w:rsid w:val="000C1619"/>
    <w:rsid w:val="000D2C25"/>
    <w:rsid w:val="000D35B0"/>
    <w:rsid w:val="000E64E1"/>
    <w:rsid w:val="000E6B7C"/>
    <w:rsid w:val="000E7898"/>
    <w:rsid w:val="000F1440"/>
    <w:rsid w:val="000F702C"/>
    <w:rsid w:val="001050D1"/>
    <w:rsid w:val="00117A01"/>
    <w:rsid w:val="00127DDB"/>
    <w:rsid w:val="00132927"/>
    <w:rsid w:val="00134614"/>
    <w:rsid w:val="00134719"/>
    <w:rsid w:val="00137513"/>
    <w:rsid w:val="001432DE"/>
    <w:rsid w:val="0015059D"/>
    <w:rsid w:val="00150A41"/>
    <w:rsid w:val="00150C77"/>
    <w:rsid w:val="00164DC6"/>
    <w:rsid w:val="0016690B"/>
    <w:rsid w:val="00181D81"/>
    <w:rsid w:val="00184C64"/>
    <w:rsid w:val="001A0315"/>
    <w:rsid w:val="001A6C9B"/>
    <w:rsid w:val="001B0A63"/>
    <w:rsid w:val="001B44FA"/>
    <w:rsid w:val="001C0495"/>
    <w:rsid w:val="001C27E9"/>
    <w:rsid w:val="001D01A8"/>
    <w:rsid w:val="001D23C9"/>
    <w:rsid w:val="001D7515"/>
    <w:rsid w:val="001E1616"/>
    <w:rsid w:val="001F3C9C"/>
    <w:rsid w:val="001F6DE7"/>
    <w:rsid w:val="001F777B"/>
    <w:rsid w:val="00201C4B"/>
    <w:rsid w:val="00206D08"/>
    <w:rsid w:val="00210CA9"/>
    <w:rsid w:val="002179DD"/>
    <w:rsid w:val="002220BB"/>
    <w:rsid w:val="002234D2"/>
    <w:rsid w:val="002322A3"/>
    <w:rsid w:val="002339B5"/>
    <w:rsid w:val="002406DF"/>
    <w:rsid w:val="00242971"/>
    <w:rsid w:val="00243E59"/>
    <w:rsid w:val="002442F5"/>
    <w:rsid w:val="002459FB"/>
    <w:rsid w:val="002612C0"/>
    <w:rsid w:val="00261480"/>
    <w:rsid w:val="0028436F"/>
    <w:rsid w:val="002857FE"/>
    <w:rsid w:val="002A36CC"/>
    <w:rsid w:val="002A7585"/>
    <w:rsid w:val="002B3932"/>
    <w:rsid w:val="002C344B"/>
    <w:rsid w:val="002D514B"/>
    <w:rsid w:val="002D64E4"/>
    <w:rsid w:val="002D67C6"/>
    <w:rsid w:val="002D6A50"/>
    <w:rsid w:val="002E6ECF"/>
    <w:rsid w:val="002F5E4B"/>
    <w:rsid w:val="00316811"/>
    <w:rsid w:val="00317FA4"/>
    <w:rsid w:val="00326D83"/>
    <w:rsid w:val="00330EDA"/>
    <w:rsid w:val="00342490"/>
    <w:rsid w:val="0035369B"/>
    <w:rsid w:val="00356168"/>
    <w:rsid w:val="003739CB"/>
    <w:rsid w:val="003745DA"/>
    <w:rsid w:val="00377547"/>
    <w:rsid w:val="00385C3A"/>
    <w:rsid w:val="00390621"/>
    <w:rsid w:val="00396422"/>
    <w:rsid w:val="0039741C"/>
    <w:rsid w:val="0039743C"/>
    <w:rsid w:val="003D053D"/>
    <w:rsid w:val="003D5FCE"/>
    <w:rsid w:val="003E0257"/>
    <w:rsid w:val="003E1003"/>
    <w:rsid w:val="003E1153"/>
    <w:rsid w:val="003F455B"/>
    <w:rsid w:val="003F6C63"/>
    <w:rsid w:val="00401094"/>
    <w:rsid w:val="00401A5E"/>
    <w:rsid w:val="0040377C"/>
    <w:rsid w:val="0040394F"/>
    <w:rsid w:val="00404D19"/>
    <w:rsid w:val="00420637"/>
    <w:rsid w:val="004208BE"/>
    <w:rsid w:val="00422D15"/>
    <w:rsid w:val="00423ACA"/>
    <w:rsid w:val="004253BB"/>
    <w:rsid w:val="004312A5"/>
    <w:rsid w:val="00437C9C"/>
    <w:rsid w:val="0044205C"/>
    <w:rsid w:val="004557AB"/>
    <w:rsid w:val="00471AE1"/>
    <w:rsid w:val="00473B40"/>
    <w:rsid w:val="004755F0"/>
    <w:rsid w:val="004777FF"/>
    <w:rsid w:val="00477CB0"/>
    <w:rsid w:val="00484578"/>
    <w:rsid w:val="004951FA"/>
    <w:rsid w:val="004A6618"/>
    <w:rsid w:val="004A6D0E"/>
    <w:rsid w:val="004B1662"/>
    <w:rsid w:val="004B71F6"/>
    <w:rsid w:val="004C3232"/>
    <w:rsid w:val="004C5C4E"/>
    <w:rsid w:val="004D0EBF"/>
    <w:rsid w:val="004D2A71"/>
    <w:rsid w:val="004D40F4"/>
    <w:rsid w:val="004E1E12"/>
    <w:rsid w:val="004F0A57"/>
    <w:rsid w:val="004F405D"/>
    <w:rsid w:val="005202DD"/>
    <w:rsid w:val="0052376C"/>
    <w:rsid w:val="0053271E"/>
    <w:rsid w:val="00536584"/>
    <w:rsid w:val="0054661B"/>
    <w:rsid w:val="0055676E"/>
    <w:rsid w:val="00556E62"/>
    <w:rsid w:val="00565CB7"/>
    <w:rsid w:val="00572A40"/>
    <w:rsid w:val="0058256B"/>
    <w:rsid w:val="005859FB"/>
    <w:rsid w:val="00594CEB"/>
    <w:rsid w:val="005968F2"/>
    <w:rsid w:val="00597A67"/>
    <w:rsid w:val="005A1792"/>
    <w:rsid w:val="005A2943"/>
    <w:rsid w:val="005A5DC4"/>
    <w:rsid w:val="005B7296"/>
    <w:rsid w:val="005C2AFE"/>
    <w:rsid w:val="005C454C"/>
    <w:rsid w:val="005D0A14"/>
    <w:rsid w:val="005D4F21"/>
    <w:rsid w:val="005E314F"/>
    <w:rsid w:val="005E435B"/>
    <w:rsid w:val="005E5ACD"/>
    <w:rsid w:val="005E5D25"/>
    <w:rsid w:val="006029BB"/>
    <w:rsid w:val="00615307"/>
    <w:rsid w:val="006202A6"/>
    <w:rsid w:val="00627557"/>
    <w:rsid w:val="00631348"/>
    <w:rsid w:val="006323B5"/>
    <w:rsid w:val="00634221"/>
    <w:rsid w:val="00636032"/>
    <w:rsid w:val="00667A83"/>
    <w:rsid w:val="00672C95"/>
    <w:rsid w:val="00676E2C"/>
    <w:rsid w:val="00687973"/>
    <w:rsid w:val="00690083"/>
    <w:rsid w:val="0069146C"/>
    <w:rsid w:val="00693188"/>
    <w:rsid w:val="00697E59"/>
    <w:rsid w:val="006A3AB3"/>
    <w:rsid w:val="006B4D47"/>
    <w:rsid w:val="006C764F"/>
    <w:rsid w:val="006C78A0"/>
    <w:rsid w:val="006D14CA"/>
    <w:rsid w:val="006D67A3"/>
    <w:rsid w:val="006E1A90"/>
    <w:rsid w:val="006E228C"/>
    <w:rsid w:val="006E39A0"/>
    <w:rsid w:val="006E6F05"/>
    <w:rsid w:val="00700DCE"/>
    <w:rsid w:val="00707F63"/>
    <w:rsid w:val="0072014F"/>
    <w:rsid w:val="00725739"/>
    <w:rsid w:val="00730F61"/>
    <w:rsid w:val="007341B2"/>
    <w:rsid w:val="0073655C"/>
    <w:rsid w:val="00737BF7"/>
    <w:rsid w:val="00742E49"/>
    <w:rsid w:val="007447C1"/>
    <w:rsid w:val="007544D9"/>
    <w:rsid w:val="00754847"/>
    <w:rsid w:val="00763593"/>
    <w:rsid w:val="007719F1"/>
    <w:rsid w:val="007833AC"/>
    <w:rsid w:val="00796014"/>
    <w:rsid w:val="007A3E3F"/>
    <w:rsid w:val="007A749C"/>
    <w:rsid w:val="007D3130"/>
    <w:rsid w:val="007D3CA6"/>
    <w:rsid w:val="007E7129"/>
    <w:rsid w:val="007F2CB3"/>
    <w:rsid w:val="007F5B87"/>
    <w:rsid w:val="008006F2"/>
    <w:rsid w:val="008014C8"/>
    <w:rsid w:val="00805348"/>
    <w:rsid w:val="0081625B"/>
    <w:rsid w:val="00821447"/>
    <w:rsid w:val="00832218"/>
    <w:rsid w:val="00837883"/>
    <w:rsid w:val="0084007B"/>
    <w:rsid w:val="0084589F"/>
    <w:rsid w:val="00860B24"/>
    <w:rsid w:val="00866A7A"/>
    <w:rsid w:val="00867E0B"/>
    <w:rsid w:val="00870FC2"/>
    <w:rsid w:val="0088006D"/>
    <w:rsid w:val="00880B0D"/>
    <w:rsid w:val="00882687"/>
    <w:rsid w:val="00887331"/>
    <w:rsid w:val="008B27AA"/>
    <w:rsid w:val="008B2A44"/>
    <w:rsid w:val="008C3111"/>
    <w:rsid w:val="008D6090"/>
    <w:rsid w:val="008E7D99"/>
    <w:rsid w:val="008F04DC"/>
    <w:rsid w:val="008F77A3"/>
    <w:rsid w:val="00903C03"/>
    <w:rsid w:val="00906DB8"/>
    <w:rsid w:val="00914F3A"/>
    <w:rsid w:val="00920FF7"/>
    <w:rsid w:val="009256CD"/>
    <w:rsid w:val="00932501"/>
    <w:rsid w:val="0094069A"/>
    <w:rsid w:val="00947EE3"/>
    <w:rsid w:val="00955D91"/>
    <w:rsid w:val="009753E6"/>
    <w:rsid w:val="00977078"/>
    <w:rsid w:val="00992A29"/>
    <w:rsid w:val="009B3241"/>
    <w:rsid w:val="009B4A88"/>
    <w:rsid w:val="009B624A"/>
    <w:rsid w:val="009C22E5"/>
    <w:rsid w:val="009C2F93"/>
    <w:rsid w:val="009C528C"/>
    <w:rsid w:val="009E047E"/>
    <w:rsid w:val="009E2A5E"/>
    <w:rsid w:val="009E501C"/>
    <w:rsid w:val="009F7F54"/>
    <w:rsid w:val="00A12060"/>
    <w:rsid w:val="00A20BE7"/>
    <w:rsid w:val="00A22548"/>
    <w:rsid w:val="00A245BE"/>
    <w:rsid w:val="00A249C0"/>
    <w:rsid w:val="00A253FC"/>
    <w:rsid w:val="00A306D9"/>
    <w:rsid w:val="00A3579A"/>
    <w:rsid w:val="00A4070B"/>
    <w:rsid w:val="00A6225A"/>
    <w:rsid w:val="00A63E24"/>
    <w:rsid w:val="00A74A76"/>
    <w:rsid w:val="00A775F0"/>
    <w:rsid w:val="00A8224E"/>
    <w:rsid w:val="00A91FBC"/>
    <w:rsid w:val="00A95B49"/>
    <w:rsid w:val="00AA2A61"/>
    <w:rsid w:val="00AA3A3A"/>
    <w:rsid w:val="00AB3DC4"/>
    <w:rsid w:val="00AC1363"/>
    <w:rsid w:val="00AD7DED"/>
    <w:rsid w:val="00AE4D3B"/>
    <w:rsid w:val="00AE58ED"/>
    <w:rsid w:val="00AF6C4D"/>
    <w:rsid w:val="00AF6F11"/>
    <w:rsid w:val="00B05627"/>
    <w:rsid w:val="00B0563A"/>
    <w:rsid w:val="00B223EE"/>
    <w:rsid w:val="00B22D00"/>
    <w:rsid w:val="00B276CD"/>
    <w:rsid w:val="00B27CC9"/>
    <w:rsid w:val="00B37A7E"/>
    <w:rsid w:val="00B52A92"/>
    <w:rsid w:val="00B56A4A"/>
    <w:rsid w:val="00B6077C"/>
    <w:rsid w:val="00B61519"/>
    <w:rsid w:val="00B66204"/>
    <w:rsid w:val="00B721A7"/>
    <w:rsid w:val="00BA0D7B"/>
    <w:rsid w:val="00BA5A5A"/>
    <w:rsid w:val="00BA5E45"/>
    <w:rsid w:val="00BB1228"/>
    <w:rsid w:val="00BB5DD7"/>
    <w:rsid w:val="00BC3B72"/>
    <w:rsid w:val="00BD2F0A"/>
    <w:rsid w:val="00BF247F"/>
    <w:rsid w:val="00BF450B"/>
    <w:rsid w:val="00BF795C"/>
    <w:rsid w:val="00C06E0D"/>
    <w:rsid w:val="00C07990"/>
    <w:rsid w:val="00C14F6A"/>
    <w:rsid w:val="00C16127"/>
    <w:rsid w:val="00C163C2"/>
    <w:rsid w:val="00C269D9"/>
    <w:rsid w:val="00C34228"/>
    <w:rsid w:val="00C373C2"/>
    <w:rsid w:val="00C54969"/>
    <w:rsid w:val="00C613AC"/>
    <w:rsid w:val="00C903A5"/>
    <w:rsid w:val="00C9778C"/>
    <w:rsid w:val="00C97F31"/>
    <w:rsid w:val="00CA119C"/>
    <w:rsid w:val="00CA2247"/>
    <w:rsid w:val="00CC2512"/>
    <w:rsid w:val="00CC3DF7"/>
    <w:rsid w:val="00CC5580"/>
    <w:rsid w:val="00CC7D12"/>
    <w:rsid w:val="00CD51C8"/>
    <w:rsid w:val="00CE78F0"/>
    <w:rsid w:val="00CF24E1"/>
    <w:rsid w:val="00CF776B"/>
    <w:rsid w:val="00D05D59"/>
    <w:rsid w:val="00D107BA"/>
    <w:rsid w:val="00D126C7"/>
    <w:rsid w:val="00D27D21"/>
    <w:rsid w:val="00D31A00"/>
    <w:rsid w:val="00D43437"/>
    <w:rsid w:val="00D44B32"/>
    <w:rsid w:val="00D61AAE"/>
    <w:rsid w:val="00D71F9D"/>
    <w:rsid w:val="00D92576"/>
    <w:rsid w:val="00DA054F"/>
    <w:rsid w:val="00DA3CED"/>
    <w:rsid w:val="00DA791C"/>
    <w:rsid w:val="00DB7A41"/>
    <w:rsid w:val="00DF4FFE"/>
    <w:rsid w:val="00E0278A"/>
    <w:rsid w:val="00E0591C"/>
    <w:rsid w:val="00E36BAC"/>
    <w:rsid w:val="00E448CC"/>
    <w:rsid w:val="00E475DF"/>
    <w:rsid w:val="00E50582"/>
    <w:rsid w:val="00E50FA2"/>
    <w:rsid w:val="00E51F19"/>
    <w:rsid w:val="00E54103"/>
    <w:rsid w:val="00E60B5A"/>
    <w:rsid w:val="00E7420E"/>
    <w:rsid w:val="00E76F3B"/>
    <w:rsid w:val="00E77B67"/>
    <w:rsid w:val="00E84299"/>
    <w:rsid w:val="00E94F88"/>
    <w:rsid w:val="00ED4F22"/>
    <w:rsid w:val="00ED6B4F"/>
    <w:rsid w:val="00ED7C29"/>
    <w:rsid w:val="00EF0F5F"/>
    <w:rsid w:val="00EF3BA4"/>
    <w:rsid w:val="00F1070E"/>
    <w:rsid w:val="00F14522"/>
    <w:rsid w:val="00F23DE2"/>
    <w:rsid w:val="00F26091"/>
    <w:rsid w:val="00F30C48"/>
    <w:rsid w:val="00F32ED5"/>
    <w:rsid w:val="00F35A50"/>
    <w:rsid w:val="00F35B4A"/>
    <w:rsid w:val="00F40418"/>
    <w:rsid w:val="00F42B0A"/>
    <w:rsid w:val="00F43F7C"/>
    <w:rsid w:val="00F527E5"/>
    <w:rsid w:val="00F72FB3"/>
    <w:rsid w:val="00F730C5"/>
    <w:rsid w:val="00F84357"/>
    <w:rsid w:val="00F85676"/>
    <w:rsid w:val="00F917A3"/>
    <w:rsid w:val="00F923A3"/>
    <w:rsid w:val="00F940FE"/>
    <w:rsid w:val="00FA32F6"/>
    <w:rsid w:val="00FD53BF"/>
    <w:rsid w:val="00FD6D03"/>
    <w:rsid w:val="00FE1F4E"/>
    <w:rsid w:val="00FE5AB3"/>
    <w:rsid w:val="00FE755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307401-154E-4E99-8784-EB5B7408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uiPriority w:val="99"/>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54969"/>
    <w:rPr>
      <w:rFonts w:ascii="Tahoma" w:hAnsi="Tahoma" w:cs="Tahoma"/>
      <w:sz w:val="16"/>
      <w:szCs w:val="16"/>
    </w:rPr>
  </w:style>
  <w:style w:type="paragraph" w:customStyle="1" w:styleId="msolistparagraph0">
    <w:name w:val="msolistparagraph"/>
    <w:basedOn w:val="Normal"/>
    <w:rsid w:val="00342490"/>
    <w:pPr>
      <w:ind w:left="720"/>
    </w:pPr>
    <w:rPr>
      <w:rFonts w:ascii="Calibri" w:hAnsi="Calibri"/>
      <w:sz w:val="22"/>
      <w:szCs w:val="22"/>
    </w:rPr>
  </w:style>
  <w:style w:type="character" w:styleId="CommentReference">
    <w:name w:val="annotation reference"/>
    <w:semiHidden/>
    <w:rsid w:val="00B0563A"/>
    <w:rPr>
      <w:sz w:val="16"/>
      <w:szCs w:val="16"/>
    </w:rPr>
  </w:style>
  <w:style w:type="paragraph" w:styleId="CommentText">
    <w:name w:val="annotation text"/>
    <w:basedOn w:val="Normal"/>
    <w:semiHidden/>
    <w:rsid w:val="00B0563A"/>
    <w:rPr>
      <w:sz w:val="20"/>
      <w:szCs w:val="20"/>
    </w:rPr>
  </w:style>
  <w:style w:type="paragraph" w:styleId="CommentSubject">
    <w:name w:val="annotation subject"/>
    <w:basedOn w:val="CommentText"/>
    <w:next w:val="CommentText"/>
    <w:semiHidden/>
    <w:rsid w:val="00B0563A"/>
    <w:rPr>
      <w:b/>
      <w:bCs/>
    </w:rPr>
  </w:style>
  <w:style w:type="paragraph" w:styleId="ListParagraph">
    <w:name w:val="List Paragraph"/>
    <w:basedOn w:val="Normal"/>
    <w:uiPriority w:val="34"/>
    <w:qFormat/>
    <w:rsid w:val="00A3579A"/>
    <w:pPr>
      <w:ind w:left="720"/>
    </w:pPr>
    <w:rPr>
      <w:rFonts w:ascii="Calibri" w:eastAsia="Calibri" w:hAnsi="Calibri"/>
      <w:sz w:val="22"/>
      <w:szCs w:val="22"/>
    </w:rPr>
  </w:style>
  <w:style w:type="paragraph" w:styleId="BodyText2">
    <w:name w:val="Body Text 2"/>
    <w:basedOn w:val="Normal"/>
    <w:link w:val="BodyText2Char"/>
    <w:rsid w:val="00867E0B"/>
    <w:rPr>
      <w:rFonts w:ascii="Arial" w:hAnsi="Arial"/>
      <w:i/>
      <w:sz w:val="22"/>
    </w:rPr>
  </w:style>
  <w:style w:type="character" w:customStyle="1" w:styleId="BodyText2Char">
    <w:name w:val="Body Text 2 Char"/>
    <w:link w:val="BodyText2"/>
    <w:rsid w:val="00867E0B"/>
    <w:rPr>
      <w:rFonts w:ascii="Arial" w:hAnsi="Arial"/>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4230">
      <w:bodyDiv w:val="1"/>
      <w:marLeft w:val="0"/>
      <w:marRight w:val="0"/>
      <w:marTop w:val="0"/>
      <w:marBottom w:val="0"/>
      <w:divBdr>
        <w:top w:val="none" w:sz="0" w:space="0" w:color="auto"/>
        <w:left w:val="none" w:sz="0" w:space="0" w:color="auto"/>
        <w:bottom w:val="none" w:sz="0" w:space="0" w:color="auto"/>
        <w:right w:val="none" w:sz="0" w:space="0" w:color="auto"/>
      </w:divBdr>
    </w:div>
    <w:div w:id="196087168">
      <w:bodyDiv w:val="1"/>
      <w:marLeft w:val="0"/>
      <w:marRight w:val="0"/>
      <w:marTop w:val="0"/>
      <w:marBottom w:val="0"/>
      <w:divBdr>
        <w:top w:val="none" w:sz="0" w:space="0" w:color="auto"/>
        <w:left w:val="none" w:sz="0" w:space="0" w:color="auto"/>
        <w:bottom w:val="none" w:sz="0" w:space="0" w:color="auto"/>
        <w:right w:val="none" w:sz="0" w:space="0" w:color="auto"/>
      </w:divBdr>
    </w:div>
    <w:div w:id="219752666">
      <w:bodyDiv w:val="1"/>
      <w:marLeft w:val="0"/>
      <w:marRight w:val="0"/>
      <w:marTop w:val="0"/>
      <w:marBottom w:val="0"/>
      <w:divBdr>
        <w:top w:val="none" w:sz="0" w:space="0" w:color="auto"/>
        <w:left w:val="none" w:sz="0" w:space="0" w:color="auto"/>
        <w:bottom w:val="none" w:sz="0" w:space="0" w:color="auto"/>
        <w:right w:val="none" w:sz="0" w:space="0" w:color="auto"/>
      </w:divBdr>
    </w:div>
    <w:div w:id="327758071">
      <w:bodyDiv w:val="1"/>
      <w:marLeft w:val="0"/>
      <w:marRight w:val="0"/>
      <w:marTop w:val="0"/>
      <w:marBottom w:val="0"/>
      <w:divBdr>
        <w:top w:val="none" w:sz="0" w:space="0" w:color="auto"/>
        <w:left w:val="none" w:sz="0" w:space="0" w:color="auto"/>
        <w:bottom w:val="none" w:sz="0" w:space="0" w:color="auto"/>
        <w:right w:val="none" w:sz="0" w:space="0" w:color="auto"/>
      </w:divBdr>
      <w:divsChild>
        <w:div w:id="481001048">
          <w:marLeft w:val="0"/>
          <w:marRight w:val="0"/>
          <w:marTop w:val="0"/>
          <w:marBottom w:val="0"/>
          <w:divBdr>
            <w:top w:val="none" w:sz="0" w:space="0" w:color="auto"/>
            <w:left w:val="none" w:sz="0" w:space="0" w:color="auto"/>
            <w:bottom w:val="none" w:sz="0" w:space="0" w:color="auto"/>
            <w:right w:val="none" w:sz="0" w:space="0" w:color="auto"/>
          </w:divBdr>
          <w:divsChild>
            <w:div w:id="34818089">
              <w:marLeft w:val="0"/>
              <w:marRight w:val="0"/>
              <w:marTop w:val="0"/>
              <w:marBottom w:val="0"/>
              <w:divBdr>
                <w:top w:val="none" w:sz="0" w:space="0" w:color="auto"/>
                <w:left w:val="none" w:sz="0" w:space="0" w:color="auto"/>
                <w:bottom w:val="none" w:sz="0" w:space="0" w:color="auto"/>
                <w:right w:val="none" w:sz="0" w:space="0" w:color="auto"/>
              </w:divBdr>
            </w:div>
            <w:div w:id="125053542">
              <w:marLeft w:val="0"/>
              <w:marRight w:val="0"/>
              <w:marTop w:val="0"/>
              <w:marBottom w:val="0"/>
              <w:divBdr>
                <w:top w:val="none" w:sz="0" w:space="0" w:color="auto"/>
                <w:left w:val="none" w:sz="0" w:space="0" w:color="auto"/>
                <w:bottom w:val="none" w:sz="0" w:space="0" w:color="auto"/>
                <w:right w:val="none" w:sz="0" w:space="0" w:color="auto"/>
              </w:divBdr>
            </w:div>
            <w:div w:id="216549364">
              <w:marLeft w:val="0"/>
              <w:marRight w:val="0"/>
              <w:marTop w:val="0"/>
              <w:marBottom w:val="0"/>
              <w:divBdr>
                <w:top w:val="none" w:sz="0" w:space="0" w:color="auto"/>
                <w:left w:val="none" w:sz="0" w:space="0" w:color="auto"/>
                <w:bottom w:val="none" w:sz="0" w:space="0" w:color="auto"/>
                <w:right w:val="none" w:sz="0" w:space="0" w:color="auto"/>
              </w:divBdr>
            </w:div>
            <w:div w:id="245305465">
              <w:marLeft w:val="0"/>
              <w:marRight w:val="0"/>
              <w:marTop w:val="0"/>
              <w:marBottom w:val="0"/>
              <w:divBdr>
                <w:top w:val="none" w:sz="0" w:space="0" w:color="auto"/>
                <w:left w:val="none" w:sz="0" w:space="0" w:color="auto"/>
                <w:bottom w:val="none" w:sz="0" w:space="0" w:color="auto"/>
                <w:right w:val="none" w:sz="0" w:space="0" w:color="auto"/>
              </w:divBdr>
            </w:div>
            <w:div w:id="439298730">
              <w:marLeft w:val="0"/>
              <w:marRight w:val="0"/>
              <w:marTop w:val="0"/>
              <w:marBottom w:val="0"/>
              <w:divBdr>
                <w:top w:val="none" w:sz="0" w:space="0" w:color="auto"/>
                <w:left w:val="none" w:sz="0" w:space="0" w:color="auto"/>
                <w:bottom w:val="none" w:sz="0" w:space="0" w:color="auto"/>
                <w:right w:val="none" w:sz="0" w:space="0" w:color="auto"/>
              </w:divBdr>
            </w:div>
            <w:div w:id="662391930">
              <w:marLeft w:val="0"/>
              <w:marRight w:val="0"/>
              <w:marTop w:val="0"/>
              <w:marBottom w:val="0"/>
              <w:divBdr>
                <w:top w:val="none" w:sz="0" w:space="0" w:color="auto"/>
                <w:left w:val="none" w:sz="0" w:space="0" w:color="auto"/>
                <w:bottom w:val="none" w:sz="0" w:space="0" w:color="auto"/>
                <w:right w:val="none" w:sz="0" w:space="0" w:color="auto"/>
              </w:divBdr>
            </w:div>
            <w:div w:id="1145203843">
              <w:marLeft w:val="0"/>
              <w:marRight w:val="0"/>
              <w:marTop w:val="0"/>
              <w:marBottom w:val="0"/>
              <w:divBdr>
                <w:top w:val="none" w:sz="0" w:space="0" w:color="auto"/>
                <w:left w:val="none" w:sz="0" w:space="0" w:color="auto"/>
                <w:bottom w:val="none" w:sz="0" w:space="0" w:color="auto"/>
                <w:right w:val="none" w:sz="0" w:space="0" w:color="auto"/>
              </w:divBdr>
            </w:div>
            <w:div w:id="1385522828">
              <w:marLeft w:val="0"/>
              <w:marRight w:val="0"/>
              <w:marTop w:val="0"/>
              <w:marBottom w:val="0"/>
              <w:divBdr>
                <w:top w:val="none" w:sz="0" w:space="0" w:color="auto"/>
                <w:left w:val="none" w:sz="0" w:space="0" w:color="auto"/>
                <w:bottom w:val="none" w:sz="0" w:space="0" w:color="auto"/>
                <w:right w:val="none" w:sz="0" w:space="0" w:color="auto"/>
              </w:divBdr>
              <w:divsChild>
                <w:div w:id="249193371">
                  <w:marLeft w:val="0"/>
                  <w:marRight w:val="0"/>
                  <w:marTop w:val="0"/>
                  <w:marBottom w:val="0"/>
                  <w:divBdr>
                    <w:top w:val="none" w:sz="0" w:space="0" w:color="auto"/>
                    <w:left w:val="none" w:sz="0" w:space="0" w:color="auto"/>
                    <w:bottom w:val="none" w:sz="0" w:space="0" w:color="auto"/>
                    <w:right w:val="none" w:sz="0" w:space="0" w:color="auto"/>
                  </w:divBdr>
                </w:div>
              </w:divsChild>
            </w:div>
            <w:div w:id="1659455106">
              <w:marLeft w:val="0"/>
              <w:marRight w:val="0"/>
              <w:marTop w:val="0"/>
              <w:marBottom w:val="0"/>
              <w:divBdr>
                <w:top w:val="none" w:sz="0" w:space="0" w:color="auto"/>
                <w:left w:val="none" w:sz="0" w:space="0" w:color="auto"/>
                <w:bottom w:val="none" w:sz="0" w:space="0" w:color="auto"/>
                <w:right w:val="none" w:sz="0" w:space="0" w:color="auto"/>
              </w:divBdr>
            </w:div>
            <w:div w:id="2043749967">
              <w:marLeft w:val="0"/>
              <w:marRight w:val="0"/>
              <w:marTop w:val="0"/>
              <w:marBottom w:val="0"/>
              <w:divBdr>
                <w:top w:val="none" w:sz="0" w:space="0" w:color="auto"/>
                <w:left w:val="none" w:sz="0" w:space="0" w:color="auto"/>
                <w:bottom w:val="none" w:sz="0" w:space="0" w:color="auto"/>
                <w:right w:val="none" w:sz="0" w:space="0" w:color="auto"/>
              </w:divBdr>
            </w:div>
            <w:div w:id="2067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5371">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6962">
      <w:bodyDiv w:val="1"/>
      <w:marLeft w:val="0"/>
      <w:marRight w:val="0"/>
      <w:marTop w:val="0"/>
      <w:marBottom w:val="0"/>
      <w:divBdr>
        <w:top w:val="none" w:sz="0" w:space="0" w:color="auto"/>
        <w:left w:val="none" w:sz="0" w:space="0" w:color="auto"/>
        <w:bottom w:val="none" w:sz="0" w:space="0" w:color="auto"/>
        <w:right w:val="none" w:sz="0" w:space="0" w:color="auto"/>
      </w:divBdr>
    </w:div>
    <w:div w:id="744954163">
      <w:bodyDiv w:val="1"/>
      <w:marLeft w:val="0"/>
      <w:marRight w:val="0"/>
      <w:marTop w:val="0"/>
      <w:marBottom w:val="0"/>
      <w:divBdr>
        <w:top w:val="none" w:sz="0" w:space="0" w:color="auto"/>
        <w:left w:val="none" w:sz="0" w:space="0" w:color="auto"/>
        <w:bottom w:val="none" w:sz="0" w:space="0" w:color="auto"/>
        <w:right w:val="none" w:sz="0" w:space="0" w:color="auto"/>
      </w:divBdr>
    </w:div>
    <w:div w:id="774792191">
      <w:bodyDiv w:val="1"/>
      <w:marLeft w:val="0"/>
      <w:marRight w:val="0"/>
      <w:marTop w:val="0"/>
      <w:marBottom w:val="0"/>
      <w:divBdr>
        <w:top w:val="none" w:sz="0" w:space="0" w:color="auto"/>
        <w:left w:val="none" w:sz="0" w:space="0" w:color="auto"/>
        <w:bottom w:val="none" w:sz="0" w:space="0" w:color="auto"/>
        <w:right w:val="none" w:sz="0" w:space="0" w:color="auto"/>
      </w:divBdr>
    </w:div>
    <w:div w:id="1410889159">
      <w:bodyDiv w:val="1"/>
      <w:marLeft w:val="0"/>
      <w:marRight w:val="0"/>
      <w:marTop w:val="0"/>
      <w:marBottom w:val="0"/>
      <w:divBdr>
        <w:top w:val="none" w:sz="0" w:space="0" w:color="auto"/>
        <w:left w:val="none" w:sz="0" w:space="0" w:color="auto"/>
        <w:bottom w:val="none" w:sz="0" w:space="0" w:color="auto"/>
        <w:right w:val="none" w:sz="0" w:space="0" w:color="auto"/>
      </w:divBdr>
    </w:div>
    <w:div w:id="1469514327">
      <w:bodyDiv w:val="1"/>
      <w:marLeft w:val="0"/>
      <w:marRight w:val="0"/>
      <w:marTop w:val="0"/>
      <w:marBottom w:val="0"/>
      <w:divBdr>
        <w:top w:val="none" w:sz="0" w:space="0" w:color="auto"/>
        <w:left w:val="none" w:sz="0" w:space="0" w:color="auto"/>
        <w:bottom w:val="none" w:sz="0" w:space="0" w:color="auto"/>
        <w:right w:val="none" w:sz="0" w:space="0" w:color="auto"/>
      </w:divBdr>
    </w:div>
    <w:div w:id="1861308379">
      <w:bodyDiv w:val="1"/>
      <w:marLeft w:val="0"/>
      <w:marRight w:val="0"/>
      <w:marTop w:val="0"/>
      <w:marBottom w:val="0"/>
      <w:divBdr>
        <w:top w:val="none" w:sz="0" w:space="0" w:color="auto"/>
        <w:left w:val="none" w:sz="0" w:space="0" w:color="auto"/>
        <w:bottom w:val="none" w:sz="0" w:space="0" w:color="auto"/>
        <w:right w:val="none" w:sz="0" w:space="0" w:color="auto"/>
      </w:divBdr>
    </w:div>
    <w:div w:id="21087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63D01-B1C0-4D27-9D35-BC491A1A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FOI 108006 Sexual Offence Durations</vt:lpstr>
    </vt:vector>
  </TitlesOfParts>
  <Company>Ministry of Justice</Company>
  <LinksUpToDate>false</LinksUpToDate>
  <CharactersWithSpaces>1971</CharactersWithSpaces>
  <SharedDoc>false</SharedDoc>
  <HLinks>
    <vt:vector size="42" baseType="variant">
      <vt:variant>
        <vt:i4>2883679</vt:i4>
      </vt:variant>
      <vt:variant>
        <vt:i4>18</vt:i4>
      </vt:variant>
      <vt:variant>
        <vt:i4>0</vt:i4>
      </vt:variant>
      <vt:variant>
        <vt:i4>5</vt:i4>
      </vt:variant>
      <vt:variant>
        <vt:lpwstr>https://www.ico.gov.uk/Global/contact_us.aspx</vt:lpwstr>
      </vt:variant>
      <vt:variant>
        <vt:lpwstr/>
      </vt:variant>
      <vt:variant>
        <vt:i4>5636139</vt:i4>
      </vt:variant>
      <vt:variant>
        <vt:i4>15</vt:i4>
      </vt:variant>
      <vt:variant>
        <vt:i4>0</vt:i4>
      </vt:variant>
      <vt:variant>
        <vt:i4>5</vt:i4>
      </vt:variant>
      <vt:variant>
        <vt:lpwstr>mailto:data.access@justice.gsi.gov.uk</vt:lpwstr>
      </vt:variant>
      <vt:variant>
        <vt:lpwstr/>
      </vt:variant>
      <vt:variant>
        <vt:i4>1048647</vt:i4>
      </vt:variant>
      <vt:variant>
        <vt:i4>12</vt:i4>
      </vt:variant>
      <vt:variant>
        <vt:i4>0</vt:i4>
      </vt:variant>
      <vt:variant>
        <vt:i4>5</vt:i4>
      </vt:variant>
      <vt:variant>
        <vt:lpwstr>http://www.legislation.gov.uk/ukpga/2000/36/section/1</vt:lpwstr>
      </vt:variant>
      <vt:variant>
        <vt:lpwstr/>
      </vt:variant>
      <vt:variant>
        <vt:i4>4587550</vt:i4>
      </vt:variant>
      <vt:variant>
        <vt:i4>9</vt:i4>
      </vt:variant>
      <vt:variant>
        <vt:i4>0</vt:i4>
      </vt:variant>
      <vt:variant>
        <vt:i4>5</vt:i4>
      </vt:variant>
      <vt:variant>
        <vt:lpwstr>http://www.justice.gov.uk/information-access-rights/foi-requests</vt:lpwstr>
      </vt:variant>
      <vt:variant>
        <vt:lpwstr/>
      </vt:variant>
      <vt:variant>
        <vt:i4>2097174</vt:i4>
      </vt:variant>
      <vt:variant>
        <vt:i4>6</vt:i4>
      </vt:variant>
      <vt:variant>
        <vt:i4>0</vt:i4>
      </vt:variant>
      <vt:variant>
        <vt:i4>5</vt:i4>
      </vt:variant>
      <vt:variant>
        <vt:lpwstr>mailto:beth.baldwin@cnmedia.co.uk</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108006 Sexual Offence Durations</dc:title>
  <dc:subject>FOI Release</dc:subject>
  <dc:creator>MoJ</dc:creator>
  <cp:keywords/>
  <dc:description/>
  <cp:lastModifiedBy>Cox, Allan</cp:lastModifiedBy>
  <cp:revision>2</cp:revision>
  <cp:lastPrinted>2013-09-04T08:59:00Z</cp:lastPrinted>
  <dcterms:created xsi:type="dcterms:W3CDTF">2017-01-18T15:04:00Z</dcterms:created>
  <dcterms:modified xsi:type="dcterms:W3CDTF">2017-01-18T15:04:00Z</dcterms:modified>
</cp:coreProperties>
</file>