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0AB4" w:rsidRDefault="00F34EF0" w:rsidP="00B974BE">
      <w:pPr>
        <w:jc w:val="left"/>
        <w:rPr>
          <w:color w:val="000000"/>
        </w:rPr>
      </w:pPr>
      <w:r>
        <w:rPr>
          <w:bCs/>
          <w:noProof/>
        </w:rPr>
        <mc:AlternateContent>
          <mc:Choice Requires="wps">
            <w:drawing>
              <wp:inline distT="0" distB="0" distL="0" distR="0" wp14:anchorId="6B43BB15" wp14:editId="7B6FBFC6">
                <wp:extent cx="6042991" cy="978010"/>
                <wp:effectExtent l="0" t="0" r="15240" b="12700"/>
                <wp:docPr id="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1" cy="97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C9" w:rsidRPr="002E54B8" w:rsidRDefault="00F31BC9" w:rsidP="00007886">
                            <w:pPr>
                              <w:pStyle w:val="NormalWeb"/>
                              <w:rPr>
                                <w:sz w:val="32"/>
                                <w:szCs w:val="32"/>
                              </w:rPr>
                            </w:pPr>
                            <w:r w:rsidRPr="002E54B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Further education and skills inspection</w:t>
                            </w:r>
                            <w:r w:rsidR="002E54B8" w:rsidRPr="002E54B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Pr="002E54B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54B8" w:rsidRPr="002E54B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2E54B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outcomes</w:t>
                            </w:r>
                            <w:r w:rsidRPr="002E54B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1BC9" w:rsidRPr="008B59EC" w:rsidRDefault="00F31BC9" w:rsidP="00007886">
                            <w:pPr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31BC9" w:rsidRPr="00771A3A" w:rsidRDefault="00F31BC9" w:rsidP="00007886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71A3A">
                              <w:rPr>
                                <w:color w:val="000000"/>
                                <w:sz w:val="20"/>
                                <w:szCs w:val="20"/>
                              </w:rPr>
                              <w:t>This release contains:</w:t>
                            </w:r>
                          </w:p>
                          <w:p w:rsidR="00F31BC9" w:rsidRPr="00452365" w:rsidRDefault="00F31BC9" w:rsidP="006D6F6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365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final data for the most recent inspection outcomes as at </w:t>
                            </w:r>
                            <w:r w:rsidR="00D52678" w:rsidRPr="00452365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29 February 2016</w:t>
                            </w:r>
                          </w:p>
                          <w:p w:rsidR="00F31BC9" w:rsidRDefault="00F31BC9" w:rsidP="00D5267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365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final</w:t>
                            </w:r>
                            <w:r w:rsidRPr="00D52678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 data for inspections conducted</w:t>
                            </w:r>
                            <w:r w:rsidR="00D52678" w:rsidRPr="00D52678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 between 1 September 2015</w:t>
                            </w:r>
                            <w:r w:rsidRPr="00D52678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52678" w:rsidRPr="00D52678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29 February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75.8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" strokeweight="1pt">
                <v:textbox>
                  <w:txbxContent>
                    <w:p w:rsidR="00F31BC9" w:rsidRPr="002E54B8" w:rsidRDefault="00F31BC9" w:rsidP="00007886">
                      <w:pPr>
                        <w:pStyle w:val="NormalWeb"/>
                        <w:rPr>
                          <w:sz w:val="32"/>
                          <w:szCs w:val="32"/>
                        </w:rPr>
                      </w:pPr>
                      <w:r w:rsidRPr="002E54B8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Further education and skills inspection</w:t>
                      </w:r>
                      <w:r w:rsidR="002E54B8" w:rsidRPr="002E54B8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Pr="002E54B8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2E54B8" w:rsidRPr="002E54B8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and </w:t>
                      </w:r>
                      <w:r w:rsidRPr="002E54B8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outcomes</w:t>
                      </w:r>
                      <w:r w:rsidRPr="002E54B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31BC9" w:rsidRPr="008B59EC" w:rsidRDefault="00F31BC9" w:rsidP="00007886">
                      <w:pPr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F31BC9" w:rsidRPr="00771A3A" w:rsidRDefault="00F31BC9" w:rsidP="00007886">
                      <w:pPr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71A3A">
                        <w:rPr>
                          <w:color w:val="000000"/>
                          <w:sz w:val="20"/>
                          <w:szCs w:val="20"/>
                        </w:rPr>
                        <w:t>This release contains:</w:t>
                      </w:r>
                    </w:p>
                    <w:p w:rsidR="00F31BC9" w:rsidRPr="00452365" w:rsidRDefault="00F31BC9" w:rsidP="006D6F6C">
                      <w:pPr>
                        <w:pStyle w:val="NormalWeb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</w:pPr>
                      <w:r w:rsidRPr="00452365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final data for the most recent inspection outcomes as at </w:t>
                      </w:r>
                      <w:r w:rsidR="00D52678" w:rsidRPr="00452365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29 February 2016</w:t>
                      </w:r>
                    </w:p>
                    <w:p w:rsidR="00F31BC9" w:rsidRDefault="00F31BC9" w:rsidP="00D52678">
                      <w:pPr>
                        <w:pStyle w:val="NormalWeb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</w:pPr>
                      <w:r w:rsidRPr="00452365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final</w:t>
                      </w:r>
                      <w:r w:rsidRPr="00D52678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 data for inspections conducted</w:t>
                      </w:r>
                      <w:r w:rsidR="00D52678" w:rsidRPr="00D52678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 between 1 September 2015</w:t>
                      </w:r>
                      <w:r w:rsidRPr="00D52678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="00D52678" w:rsidRPr="00D52678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29 February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0AB4" w:rsidRDefault="00810AB4" w:rsidP="00B974BE">
      <w:pPr>
        <w:jc w:val="left"/>
        <w:rPr>
          <w:color w:val="000000"/>
          <w:sz w:val="8"/>
          <w:szCs w:val="8"/>
        </w:rPr>
      </w:pPr>
    </w:p>
    <w:p w:rsidR="00AA1CC3" w:rsidRDefault="00AA1CC3" w:rsidP="00B974BE">
      <w:pPr>
        <w:jc w:val="left"/>
        <w:rPr>
          <w:color w:val="000000"/>
          <w:sz w:val="8"/>
          <w:szCs w:val="8"/>
        </w:rPr>
      </w:pPr>
    </w:p>
    <w:p w:rsidR="00AA1CC3" w:rsidRPr="007E785D" w:rsidRDefault="00AA1CC3" w:rsidP="00B974BE">
      <w:pPr>
        <w:jc w:val="left"/>
        <w:rPr>
          <w:color w:val="000000"/>
          <w:sz w:val="8"/>
          <w:szCs w:val="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5666"/>
      </w:tblGrid>
      <w:tr w:rsidR="00255C7D" w:rsidRPr="001D0FA7" w:rsidTr="0086545C">
        <w:trPr>
          <w:trHeight w:val="1531"/>
        </w:trPr>
        <w:tc>
          <w:tcPr>
            <w:tcW w:w="4330" w:type="dxa"/>
            <w:tcBorders>
              <w:top w:val="single" w:sz="12" w:space="0" w:color="A6A6A6"/>
              <w:left w:val="single" w:sz="12" w:space="0" w:color="FFFFFF"/>
              <w:bottom w:val="single" w:sz="12" w:space="0" w:color="A6A6A6"/>
              <w:right w:val="single" w:sz="12" w:space="0" w:color="FFFFFF"/>
            </w:tcBorders>
            <w:shd w:val="clear" w:color="auto" w:fill="auto"/>
          </w:tcPr>
          <w:p w:rsidR="00FC5157" w:rsidRPr="00033124" w:rsidRDefault="00FC5157" w:rsidP="00DE05A2">
            <w:pPr>
              <w:jc w:val="left"/>
              <w:rPr>
                <w:rFonts w:cs="Tahoma"/>
                <w:sz w:val="8"/>
                <w:szCs w:val="8"/>
              </w:rPr>
            </w:pPr>
          </w:p>
          <w:p w:rsidR="00AA1CC3" w:rsidRPr="00033124" w:rsidRDefault="00AA1CC3" w:rsidP="00DE05A2">
            <w:pPr>
              <w:jc w:val="left"/>
              <w:rPr>
                <w:rFonts w:cs="Tahoma"/>
                <w:sz w:val="8"/>
                <w:szCs w:val="8"/>
              </w:rPr>
            </w:pPr>
          </w:p>
          <w:p w:rsidR="00AA1CC3" w:rsidRPr="00033124" w:rsidRDefault="00033124" w:rsidP="00156769">
            <w:pPr>
              <w:jc w:val="left"/>
              <w:rPr>
                <w:rFonts w:cs="Tahoma"/>
                <w:szCs w:val="20"/>
              </w:rPr>
            </w:pPr>
            <w:r w:rsidRPr="00033124">
              <w:rPr>
                <w:rFonts w:cs="Tahoma"/>
                <w:szCs w:val="20"/>
              </w:rPr>
              <w:t>Sixty-</w:t>
            </w:r>
            <w:r w:rsidR="00156769">
              <w:rPr>
                <w:rFonts w:cs="Tahoma"/>
                <w:szCs w:val="20"/>
              </w:rPr>
              <w:t>seven</w:t>
            </w:r>
            <w:r w:rsidR="00156769" w:rsidRPr="00033124">
              <w:rPr>
                <w:rFonts w:cs="Tahoma"/>
                <w:szCs w:val="20"/>
              </w:rPr>
              <w:t xml:space="preserve"> </w:t>
            </w:r>
            <w:r w:rsidRPr="00033124">
              <w:rPr>
                <w:rFonts w:cs="Tahoma"/>
                <w:szCs w:val="20"/>
              </w:rPr>
              <w:t>per</w:t>
            </w:r>
            <w:r w:rsidR="00450656">
              <w:rPr>
                <w:rFonts w:cs="Tahoma"/>
                <w:szCs w:val="20"/>
              </w:rPr>
              <w:t xml:space="preserve"> </w:t>
            </w:r>
            <w:r w:rsidRPr="00033124">
              <w:rPr>
                <w:rFonts w:cs="Tahoma"/>
                <w:szCs w:val="20"/>
              </w:rPr>
              <w:t>cent of providers were judged good or outstanding between 1 September 2015 and 29 February 2016</w:t>
            </w:r>
          </w:p>
        </w:tc>
        <w:tc>
          <w:tcPr>
            <w:tcW w:w="5666" w:type="dxa"/>
            <w:tcBorders>
              <w:top w:val="single" w:sz="12" w:space="0" w:color="A6A6A6"/>
              <w:left w:val="single" w:sz="12" w:space="0" w:color="FFFFFF"/>
              <w:bottom w:val="single" w:sz="12" w:space="0" w:color="A6A6A6"/>
              <w:right w:val="single" w:sz="12" w:space="0" w:color="FFFFFF"/>
            </w:tcBorders>
            <w:shd w:val="clear" w:color="auto" w:fill="auto"/>
          </w:tcPr>
          <w:p w:rsidR="007E785D" w:rsidRPr="00033124" w:rsidRDefault="007E785D" w:rsidP="00DE05A2">
            <w:pPr>
              <w:jc w:val="left"/>
              <w:rPr>
                <w:sz w:val="8"/>
                <w:szCs w:val="8"/>
              </w:rPr>
            </w:pPr>
          </w:p>
          <w:p w:rsidR="00AA1CC3" w:rsidRPr="00033124" w:rsidRDefault="00AA1CC3" w:rsidP="00DE05A2">
            <w:pPr>
              <w:jc w:val="left"/>
              <w:rPr>
                <w:sz w:val="8"/>
                <w:szCs w:val="8"/>
              </w:rPr>
            </w:pPr>
          </w:p>
          <w:p w:rsidR="00433B03" w:rsidRDefault="0086545C" w:rsidP="00E81A44">
            <w:pPr>
              <w:pStyle w:val="NoSpacing"/>
              <w:jc w:val="left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At the mid-year point, </w:t>
            </w:r>
            <w:r w:rsidR="00E27D52">
              <w:rPr>
                <w:rFonts w:cs="Tahoma"/>
                <w:bCs/>
              </w:rPr>
              <w:t xml:space="preserve">the proportion </w:t>
            </w:r>
            <w:r w:rsidR="00201406">
              <w:rPr>
                <w:rFonts w:cs="Tahoma"/>
                <w:bCs/>
              </w:rPr>
              <w:t xml:space="preserve">of providers </w:t>
            </w:r>
            <w:r w:rsidR="00E27D52">
              <w:rPr>
                <w:rFonts w:cs="Tahoma"/>
                <w:bCs/>
              </w:rPr>
              <w:t>judged good or outstanding</w:t>
            </w:r>
            <w:r>
              <w:rPr>
                <w:rFonts w:cs="Tahoma"/>
                <w:bCs/>
              </w:rPr>
              <w:t xml:space="preserve"> </w:t>
            </w:r>
            <w:r w:rsidR="00747A50">
              <w:rPr>
                <w:rFonts w:cs="Tahoma"/>
                <w:bCs/>
              </w:rPr>
              <w:t>was</w:t>
            </w:r>
            <w:r>
              <w:rPr>
                <w:rFonts w:cs="Tahoma"/>
                <w:bCs/>
              </w:rPr>
              <w:t xml:space="preserve"> 1</w:t>
            </w:r>
            <w:r w:rsidR="00156769">
              <w:rPr>
                <w:rFonts w:cs="Tahoma"/>
                <w:bCs/>
              </w:rPr>
              <w:t>8</w:t>
            </w:r>
            <w:r w:rsidR="00495379" w:rsidRPr="00033124">
              <w:rPr>
                <w:rFonts w:cs="Tahoma"/>
                <w:bCs/>
              </w:rPr>
              <w:t xml:space="preserve"> percentage points higher than </w:t>
            </w:r>
            <w:r w:rsidR="00BF4DDB">
              <w:rPr>
                <w:rFonts w:cs="Tahoma"/>
                <w:bCs/>
              </w:rPr>
              <w:t xml:space="preserve">the </w:t>
            </w:r>
            <w:r w:rsidR="00495379" w:rsidRPr="00033124">
              <w:rPr>
                <w:rFonts w:cs="Tahoma"/>
                <w:bCs/>
              </w:rPr>
              <w:t xml:space="preserve">last </w:t>
            </w:r>
            <w:r w:rsidR="00622EF1">
              <w:rPr>
                <w:rFonts w:cs="Tahoma"/>
                <w:bCs/>
              </w:rPr>
              <w:t xml:space="preserve">full </w:t>
            </w:r>
            <w:r w:rsidR="00BF4DDB">
              <w:rPr>
                <w:rFonts w:cs="Tahoma"/>
                <w:bCs/>
              </w:rPr>
              <w:t xml:space="preserve">reporting </w:t>
            </w:r>
            <w:r w:rsidR="00495379" w:rsidRPr="00134A89">
              <w:rPr>
                <w:rFonts w:cs="Tahoma"/>
                <w:bCs/>
              </w:rPr>
              <w:t>year</w:t>
            </w:r>
            <w:r w:rsidR="00E27D52" w:rsidRPr="00134A89">
              <w:rPr>
                <w:rFonts w:cs="Tahoma"/>
                <w:bCs/>
              </w:rPr>
              <w:t xml:space="preserve">. </w:t>
            </w:r>
          </w:p>
          <w:p w:rsidR="00433B03" w:rsidRPr="00A51567" w:rsidRDefault="00433B03" w:rsidP="00E81A44">
            <w:pPr>
              <w:pStyle w:val="NoSpacing"/>
              <w:jc w:val="left"/>
              <w:rPr>
                <w:rFonts w:cs="Tahoma"/>
                <w:bCs/>
              </w:rPr>
            </w:pPr>
          </w:p>
          <w:p w:rsidR="00DC161D" w:rsidRDefault="00DE461D" w:rsidP="00433B03">
            <w:pPr>
              <w:pStyle w:val="NoSpacing"/>
              <w:jc w:val="left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This is largely due to </w:t>
            </w:r>
            <w:r w:rsidR="00433B03">
              <w:rPr>
                <w:rFonts w:cs="Tahoma"/>
                <w:bCs/>
              </w:rPr>
              <w:t>inspecting a higher proportion of previously good providers and those providers then remaining good at inspection.</w:t>
            </w:r>
          </w:p>
          <w:p w:rsidR="00433B03" w:rsidRPr="00A51567" w:rsidRDefault="00433B03" w:rsidP="00433B03">
            <w:pPr>
              <w:pStyle w:val="NoSpacing"/>
              <w:jc w:val="left"/>
              <w:rPr>
                <w:rFonts w:cs="Tahoma"/>
              </w:rPr>
            </w:pPr>
          </w:p>
        </w:tc>
      </w:tr>
      <w:tr w:rsidR="00433B03" w:rsidRPr="001D0FA7" w:rsidTr="00BA740E">
        <w:trPr>
          <w:trHeight w:val="5004"/>
        </w:trPr>
        <w:tc>
          <w:tcPr>
            <w:tcW w:w="9996" w:type="dxa"/>
            <w:gridSpan w:val="2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433B03" w:rsidRDefault="00433B03" w:rsidP="00C71D19">
            <w:pPr>
              <w:pStyle w:val="NoSpacing"/>
              <w:jc w:val="left"/>
              <w:rPr>
                <w:rFonts w:cs="Tahoma"/>
                <w:b/>
                <w:bCs/>
                <w:sz w:val="22"/>
                <w:szCs w:val="22"/>
              </w:rPr>
            </w:pPr>
          </w:p>
          <w:p w:rsidR="00433B03" w:rsidRDefault="00433B03" w:rsidP="00C71D19">
            <w:pPr>
              <w:pStyle w:val="NoSpacing"/>
              <w:jc w:val="lef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Figure 1</w:t>
            </w:r>
            <w:r w:rsidRPr="00DC06D3">
              <w:rPr>
                <w:rFonts w:cs="Tahoma"/>
                <w:b/>
                <w:bCs/>
                <w:sz w:val="22"/>
                <w:szCs w:val="22"/>
              </w:rPr>
              <w:t>: Overall effectiveness of further education and skills providers, by reporting year</w:t>
            </w:r>
          </w:p>
          <w:p w:rsidR="00433B03" w:rsidRPr="00DC06D3" w:rsidRDefault="00144BDD" w:rsidP="00C71D19">
            <w:pPr>
              <w:pStyle w:val="NoSpacing"/>
              <w:jc w:val="lef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395E6AB">
                  <wp:extent cx="7925095" cy="3160972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579" cy="3163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3B03" w:rsidRPr="006662CC" w:rsidRDefault="00433B03" w:rsidP="00C71D19">
            <w:pPr>
              <w:pStyle w:val="ListParagraph"/>
              <w:ind w:left="0"/>
              <w:jc w:val="left"/>
              <w:rPr>
                <w:sz w:val="8"/>
                <w:szCs w:val="8"/>
                <w:highlight w:val="yellow"/>
              </w:rPr>
            </w:pPr>
          </w:p>
        </w:tc>
      </w:tr>
      <w:tr w:rsidR="00433B03" w:rsidRPr="001D0FA7" w:rsidTr="00BA740E">
        <w:trPr>
          <w:trHeight w:val="397"/>
        </w:trPr>
        <w:tc>
          <w:tcPr>
            <w:tcW w:w="9996" w:type="dxa"/>
            <w:gridSpan w:val="2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433B03" w:rsidRPr="00BA740E" w:rsidRDefault="00433B03" w:rsidP="00E27D52">
            <w:pPr>
              <w:pStyle w:val="NoSpacing"/>
              <w:jc w:val="left"/>
              <w:rPr>
                <w:rFonts w:cs="Tahoma"/>
                <w:bCs/>
                <w:sz w:val="16"/>
                <w:szCs w:val="16"/>
              </w:rPr>
            </w:pPr>
            <w:r w:rsidRPr="00BA740E">
              <w:rPr>
                <w:rFonts w:cs="Tahoma"/>
                <w:bCs/>
                <w:sz w:val="16"/>
                <w:szCs w:val="16"/>
              </w:rPr>
              <w:t>1.</w:t>
            </w:r>
            <w:r>
              <w:rPr>
                <w:rFonts w:cs="Tahoma"/>
                <w:bCs/>
                <w:sz w:val="16"/>
                <w:szCs w:val="16"/>
              </w:rPr>
              <w:t xml:space="preserve">  </w:t>
            </w:r>
            <w:r w:rsidRPr="00BA740E">
              <w:rPr>
                <w:rFonts w:cs="Tahoma"/>
                <w:bCs/>
                <w:sz w:val="16"/>
                <w:szCs w:val="16"/>
              </w:rPr>
              <w:t>Percentages are rounded and may not add to 100.</w:t>
            </w:r>
          </w:p>
        </w:tc>
      </w:tr>
      <w:tr w:rsidR="00433B03" w:rsidRPr="001D0FA7" w:rsidTr="00BA740E">
        <w:trPr>
          <w:trHeight w:val="76"/>
        </w:trPr>
        <w:tc>
          <w:tcPr>
            <w:tcW w:w="9996" w:type="dxa"/>
            <w:gridSpan w:val="2"/>
            <w:tcBorders>
              <w:top w:val="nil"/>
              <w:left w:val="single" w:sz="12" w:space="0" w:color="FFFFFF"/>
              <w:bottom w:val="single" w:sz="12" w:space="0" w:color="A6A6A6"/>
              <w:right w:val="single" w:sz="12" w:space="0" w:color="FFFFFF"/>
            </w:tcBorders>
            <w:shd w:val="clear" w:color="auto" w:fill="auto"/>
          </w:tcPr>
          <w:p w:rsidR="00433B03" w:rsidRPr="001D0FA7" w:rsidRDefault="00433B03" w:rsidP="001B70E6">
            <w:pPr>
              <w:pStyle w:val="NoSpacing"/>
              <w:jc w:val="left"/>
              <w:rPr>
                <w:sz w:val="12"/>
                <w:szCs w:val="12"/>
                <w:highlight w:val="yellow"/>
              </w:rPr>
            </w:pPr>
          </w:p>
        </w:tc>
      </w:tr>
      <w:tr w:rsidR="00433B03" w:rsidRPr="001D0FA7" w:rsidTr="00CA4701">
        <w:trPr>
          <w:trHeight w:val="1701"/>
        </w:trPr>
        <w:tc>
          <w:tcPr>
            <w:tcW w:w="4330" w:type="dxa"/>
            <w:tcBorders>
              <w:top w:val="single" w:sz="12" w:space="0" w:color="A6A6A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33B03" w:rsidRPr="00FC1F7B" w:rsidRDefault="00433B03" w:rsidP="00FC5157">
            <w:pPr>
              <w:jc w:val="left"/>
              <w:rPr>
                <w:rFonts w:cs="Tahoma"/>
                <w:highlight w:val="yellow"/>
              </w:rPr>
            </w:pPr>
            <w:r w:rsidRPr="00033124">
              <w:rPr>
                <w:rFonts w:cs="Tahoma"/>
                <w:sz w:val="16"/>
                <w:szCs w:val="16"/>
                <w:highlight w:val="yellow"/>
              </w:rPr>
              <w:t xml:space="preserve"> </w:t>
            </w:r>
          </w:p>
          <w:p w:rsidR="00433B03" w:rsidRPr="00033124" w:rsidRDefault="00433B03" w:rsidP="00F15FBD">
            <w:pPr>
              <w:jc w:val="left"/>
              <w:rPr>
                <w:rFonts w:cs="Tahoma"/>
                <w:szCs w:val="26"/>
                <w:highlight w:val="yellow"/>
              </w:rPr>
            </w:pPr>
            <w:r>
              <w:rPr>
                <w:rFonts w:cs="Tahoma"/>
                <w:szCs w:val="26"/>
              </w:rPr>
              <w:t xml:space="preserve">The most recent overall effectiveness for </w:t>
            </w:r>
            <w:r w:rsidR="00F15FBD">
              <w:rPr>
                <w:rFonts w:cs="Tahoma"/>
                <w:szCs w:val="26"/>
              </w:rPr>
              <w:t>general further education colleges</w:t>
            </w:r>
            <w:r>
              <w:rPr>
                <w:rFonts w:cs="Tahoma"/>
                <w:szCs w:val="26"/>
              </w:rPr>
              <w:t xml:space="preserve"> judged good or outstanding has </w:t>
            </w:r>
            <w:r w:rsidR="00F15FBD">
              <w:rPr>
                <w:rFonts w:cs="Tahoma"/>
                <w:szCs w:val="26"/>
              </w:rPr>
              <w:t xml:space="preserve">continued to </w:t>
            </w:r>
            <w:r>
              <w:rPr>
                <w:rFonts w:cs="Tahoma"/>
                <w:szCs w:val="26"/>
              </w:rPr>
              <w:t xml:space="preserve">decline </w:t>
            </w:r>
          </w:p>
        </w:tc>
        <w:tc>
          <w:tcPr>
            <w:tcW w:w="5666" w:type="dxa"/>
            <w:tcBorders>
              <w:top w:val="single" w:sz="12" w:space="0" w:color="A6A6A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33B03" w:rsidRPr="00033124" w:rsidRDefault="00433B03" w:rsidP="00EF4710">
            <w:pPr>
              <w:jc w:val="left"/>
              <w:rPr>
                <w:rFonts w:cs="Tahoma"/>
                <w:szCs w:val="26"/>
                <w:highlight w:val="yellow"/>
              </w:rPr>
            </w:pPr>
          </w:p>
          <w:p w:rsidR="00433B03" w:rsidRPr="00033124" w:rsidRDefault="0024294E" w:rsidP="00511188">
            <w:pPr>
              <w:jc w:val="left"/>
              <w:rPr>
                <w:rFonts w:cs="Tahoma"/>
                <w:sz w:val="8"/>
                <w:szCs w:val="8"/>
                <w:highlight w:val="yellow"/>
              </w:rPr>
            </w:pPr>
            <w:r>
              <w:rPr>
                <w:rFonts w:cs="Tahoma"/>
                <w:szCs w:val="26"/>
              </w:rPr>
              <w:t>The proporti</w:t>
            </w:r>
            <w:r w:rsidR="00C07C61">
              <w:rPr>
                <w:rFonts w:cs="Tahoma"/>
                <w:szCs w:val="26"/>
              </w:rPr>
              <w:t>on of general further education</w:t>
            </w:r>
            <w:r>
              <w:rPr>
                <w:rFonts w:cs="Tahoma"/>
                <w:szCs w:val="26"/>
              </w:rPr>
              <w:t xml:space="preserve"> colleges judged good or outstanding </w:t>
            </w:r>
            <w:r w:rsidR="00C07C61">
              <w:rPr>
                <w:rFonts w:cs="Tahoma"/>
                <w:szCs w:val="26"/>
              </w:rPr>
              <w:t xml:space="preserve">declined by one percentage point from 31 August 2015, to 76% </w:t>
            </w:r>
            <w:r>
              <w:rPr>
                <w:rFonts w:cs="Tahoma"/>
                <w:szCs w:val="26"/>
              </w:rPr>
              <w:t>as at 29 February 2016</w:t>
            </w:r>
            <w:r w:rsidR="00C07C61">
              <w:rPr>
                <w:rFonts w:cs="Tahoma"/>
                <w:szCs w:val="26"/>
              </w:rPr>
              <w:t>.</w:t>
            </w:r>
            <w:r>
              <w:rPr>
                <w:rFonts w:cs="Tahoma"/>
                <w:szCs w:val="26"/>
              </w:rPr>
              <w:t xml:space="preserve"> </w:t>
            </w:r>
            <w:r w:rsidR="00E54C81">
              <w:rPr>
                <w:rFonts w:cs="Tahoma"/>
                <w:szCs w:val="26"/>
              </w:rPr>
              <w:t xml:space="preserve">This </w:t>
            </w:r>
            <w:r>
              <w:rPr>
                <w:rFonts w:cs="Tahoma"/>
                <w:szCs w:val="26"/>
              </w:rPr>
              <w:t>is</w:t>
            </w:r>
            <w:r w:rsidR="00C07C61">
              <w:rPr>
                <w:rFonts w:cs="Tahoma"/>
                <w:szCs w:val="26"/>
              </w:rPr>
              <w:t xml:space="preserve"> a continuation of the declining trend reported last year</w:t>
            </w:r>
            <w:r>
              <w:rPr>
                <w:rFonts w:cs="Tahoma"/>
                <w:szCs w:val="26"/>
              </w:rPr>
              <w:t>.</w:t>
            </w:r>
          </w:p>
        </w:tc>
      </w:tr>
    </w:tbl>
    <w:bookmarkStart w:id="1" w:name="_Toc421267948" w:displacedByCustomXml="next"/>
    <w:bookmarkStart w:id="2" w:name="Key_findings" w:displacedByCustomXml="next"/>
    <w:sdt>
      <w:sdtPr>
        <w:rPr>
          <w:rFonts w:ascii="Tahoma" w:eastAsia="Times New Roman" w:hAnsi="Tahoma"/>
          <w:b w:val="0"/>
          <w:bCs w:val="0"/>
          <w:color w:val="auto"/>
          <w:sz w:val="24"/>
          <w:szCs w:val="24"/>
          <w:lang w:val="en-GB" w:eastAsia="en-GB"/>
        </w:rPr>
        <w:id w:val="-14184737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1025A" w:rsidRPr="006A09A1" w:rsidRDefault="0081025A">
          <w:pPr>
            <w:pStyle w:val="TOCHeading"/>
            <w:rPr>
              <w:rFonts w:ascii="Tahoma" w:hAnsi="Tahoma" w:cs="Tahoma"/>
              <w:color w:val="auto"/>
              <w:sz w:val="24"/>
              <w:szCs w:val="24"/>
            </w:rPr>
          </w:pPr>
          <w:r w:rsidRPr="006A09A1">
            <w:rPr>
              <w:rFonts w:ascii="Tahoma" w:hAnsi="Tahoma" w:cs="Tahoma"/>
              <w:color w:val="auto"/>
              <w:sz w:val="24"/>
              <w:szCs w:val="24"/>
            </w:rPr>
            <w:t>Contents</w:t>
          </w:r>
        </w:p>
        <w:p w:rsidR="006662CC" w:rsidRPr="006662CC" w:rsidRDefault="0081025A">
          <w:pPr>
            <w:pStyle w:val="TOC1"/>
            <w:tabs>
              <w:tab w:val="right" w:leader="dot" w:pos="9628"/>
            </w:tabs>
            <w:rPr>
              <w:rFonts w:ascii="Tahoma" w:eastAsiaTheme="minorEastAsia" w:hAnsi="Tahoma" w:cs="Tahoma"/>
              <w:b w:val="0"/>
              <w:bCs w:val="0"/>
              <w:noProof/>
              <w:sz w:val="24"/>
              <w:szCs w:val="24"/>
            </w:rPr>
          </w:pPr>
          <w:r w:rsidRPr="006662CC">
            <w:rPr>
              <w:rFonts w:ascii="Tahoma" w:hAnsi="Tahoma" w:cs="Tahoma"/>
              <w:b w:val="0"/>
              <w:sz w:val="24"/>
              <w:szCs w:val="24"/>
            </w:rPr>
            <w:fldChar w:fldCharType="begin"/>
          </w:r>
          <w:r w:rsidRPr="006662CC">
            <w:rPr>
              <w:rFonts w:ascii="Tahoma" w:hAnsi="Tahoma" w:cs="Tahoma"/>
              <w:b w:val="0"/>
              <w:sz w:val="24"/>
              <w:szCs w:val="24"/>
            </w:rPr>
            <w:instrText xml:space="preserve"> TOC \o "1-3" \h \z \u </w:instrText>
          </w:r>
          <w:r w:rsidRPr="006662CC">
            <w:rPr>
              <w:rFonts w:ascii="Tahoma" w:hAnsi="Tahoma" w:cs="Tahoma"/>
              <w:b w:val="0"/>
              <w:sz w:val="24"/>
              <w:szCs w:val="24"/>
            </w:rPr>
            <w:fldChar w:fldCharType="separate"/>
          </w:r>
          <w:hyperlink w:anchor="_Toc452732294" w:history="1">
            <w:r w:rsidR="006662CC" w:rsidRPr="006662CC">
              <w:rPr>
                <w:rStyle w:val="Hyperlink"/>
                <w:rFonts w:ascii="Tahoma" w:hAnsi="Tahoma" w:cs="Tahoma"/>
                <w:b w:val="0"/>
                <w:noProof/>
                <w:sz w:val="24"/>
                <w:szCs w:val="24"/>
              </w:rPr>
              <w:t>Key findings</w: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_Toc452732294 \h </w:instrTex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926BE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3</w: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2CC" w:rsidRPr="006662CC" w:rsidRDefault="00D926BE">
          <w:pPr>
            <w:pStyle w:val="TOC2"/>
            <w:tabs>
              <w:tab w:val="right" w:leader="dot" w:pos="9628"/>
            </w:tabs>
            <w:rPr>
              <w:rFonts w:ascii="Tahoma" w:eastAsiaTheme="minorEastAsia" w:hAnsi="Tahoma" w:cs="Tahoma"/>
              <w:i w:val="0"/>
              <w:iCs w:val="0"/>
              <w:noProof/>
              <w:sz w:val="24"/>
              <w:szCs w:val="24"/>
            </w:rPr>
          </w:pPr>
          <w:hyperlink w:anchor="_Toc452732295" w:history="1">
            <w:r w:rsidR="006662CC" w:rsidRPr="006662CC">
              <w:rPr>
                <w:rStyle w:val="Hyperlink"/>
                <w:rFonts w:ascii="Tahoma" w:hAnsi="Tahoma" w:cs="Tahoma"/>
                <w:i w:val="0"/>
                <w:noProof/>
                <w:sz w:val="24"/>
                <w:szCs w:val="24"/>
              </w:rPr>
              <w:t>In-year inspection outcomes</w:t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instrText xml:space="preserve"> PAGEREF _Toc452732295 \h </w:instrText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t>3</w:t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2CC" w:rsidRPr="006662CC" w:rsidRDefault="00D926BE">
          <w:pPr>
            <w:pStyle w:val="TOC2"/>
            <w:tabs>
              <w:tab w:val="right" w:leader="dot" w:pos="9628"/>
            </w:tabs>
            <w:rPr>
              <w:rFonts w:ascii="Tahoma" w:eastAsiaTheme="minorEastAsia" w:hAnsi="Tahoma" w:cs="Tahoma"/>
              <w:i w:val="0"/>
              <w:iCs w:val="0"/>
              <w:noProof/>
              <w:sz w:val="24"/>
              <w:szCs w:val="24"/>
            </w:rPr>
          </w:pPr>
          <w:hyperlink w:anchor="_Toc452732296" w:history="1">
            <w:r w:rsidR="006662CC" w:rsidRPr="006662CC">
              <w:rPr>
                <w:rStyle w:val="Hyperlink"/>
                <w:rFonts w:ascii="Tahoma" w:hAnsi="Tahoma" w:cs="Tahoma"/>
                <w:i w:val="0"/>
                <w:noProof/>
                <w:sz w:val="24"/>
                <w:szCs w:val="24"/>
              </w:rPr>
              <w:t>Most recent inspection outcomes</w:t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instrText xml:space="preserve"> PAGEREF _Toc452732296 \h </w:instrText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t>4</w:t>
            </w:r>
            <w:r w:rsidR="006662CC" w:rsidRPr="006662CC">
              <w:rPr>
                <w:rFonts w:ascii="Tahoma" w:hAnsi="Tahoma" w:cs="Tahoma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2CC" w:rsidRPr="006662CC" w:rsidRDefault="00D926BE">
          <w:pPr>
            <w:pStyle w:val="TOC3"/>
            <w:tabs>
              <w:tab w:val="right" w:leader="dot" w:pos="9628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452732297" w:history="1">
            <w:r w:rsidR="006662CC" w:rsidRPr="006662CC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General further education colleges</w: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_Toc452732297 \h </w:instrTex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5</w: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2CC" w:rsidRPr="006662CC" w:rsidRDefault="00D926BE">
          <w:pPr>
            <w:pStyle w:val="TOC3"/>
            <w:tabs>
              <w:tab w:val="right" w:leader="dot" w:pos="9628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452732298" w:history="1">
            <w:r w:rsidR="006662CC" w:rsidRPr="006662CC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Independent learning providers (including employer providers)</w: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_Toc452732298 \h </w:instrTex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5</w: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2CC" w:rsidRPr="006662CC" w:rsidRDefault="00D926BE">
          <w:pPr>
            <w:pStyle w:val="TOC3"/>
            <w:tabs>
              <w:tab w:val="right" w:leader="dot" w:pos="9628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452732299" w:history="1">
            <w:r w:rsidR="006662CC" w:rsidRPr="006662CC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Community learning and skills providers</w: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_Toc452732299 \h </w:instrTex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5</w:t>
            </w:r>
            <w:r w:rsidR="006662CC" w:rsidRPr="006662C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2CC" w:rsidRPr="006662CC" w:rsidRDefault="00D926BE">
          <w:pPr>
            <w:pStyle w:val="TOC1"/>
            <w:tabs>
              <w:tab w:val="right" w:leader="dot" w:pos="9628"/>
            </w:tabs>
            <w:rPr>
              <w:rFonts w:ascii="Tahoma" w:eastAsiaTheme="minorEastAsia" w:hAnsi="Tahoma" w:cs="Tahoma"/>
              <w:b w:val="0"/>
              <w:bCs w:val="0"/>
              <w:noProof/>
              <w:sz w:val="24"/>
              <w:szCs w:val="24"/>
            </w:rPr>
          </w:pPr>
          <w:hyperlink w:anchor="_Toc452732300" w:history="1">
            <w:r w:rsidR="006662CC" w:rsidRPr="006662CC">
              <w:rPr>
                <w:rStyle w:val="Hyperlink"/>
                <w:rFonts w:ascii="Tahoma" w:hAnsi="Tahoma" w:cs="Tahoma"/>
                <w:b w:val="0"/>
                <w:noProof/>
                <w:sz w:val="24"/>
                <w:szCs w:val="24"/>
              </w:rPr>
              <w:t>Revisions</w: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_Toc452732300 \h </w:instrTex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7</w: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2CC" w:rsidRPr="006662CC" w:rsidRDefault="00D926BE">
          <w:pPr>
            <w:pStyle w:val="TOC1"/>
            <w:tabs>
              <w:tab w:val="right" w:leader="dot" w:pos="9628"/>
            </w:tabs>
            <w:rPr>
              <w:rFonts w:ascii="Tahoma" w:eastAsiaTheme="minorEastAsia" w:hAnsi="Tahoma" w:cs="Tahoma"/>
              <w:b w:val="0"/>
              <w:bCs w:val="0"/>
              <w:noProof/>
              <w:sz w:val="24"/>
              <w:szCs w:val="24"/>
            </w:rPr>
          </w:pPr>
          <w:hyperlink w:anchor="_Toc452732301" w:history="1">
            <w:r w:rsidR="006662CC" w:rsidRPr="006662CC">
              <w:rPr>
                <w:rStyle w:val="Hyperlink"/>
                <w:rFonts w:ascii="Tahoma" w:hAnsi="Tahoma" w:cs="Tahoma"/>
                <w:b w:val="0"/>
                <w:noProof/>
                <w:sz w:val="24"/>
                <w:szCs w:val="24"/>
              </w:rPr>
              <w:t>Notes</w: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_Toc452732301 \h </w:instrTex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8</w: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2CC" w:rsidRPr="006662CC" w:rsidRDefault="00D926BE">
          <w:pPr>
            <w:pStyle w:val="TOC1"/>
            <w:tabs>
              <w:tab w:val="right" w:leader="dot" w:pos="9628"/>
            </w:tabs>
            <w:rPr>
              <w:rFonts w:ascii="Tahoma" w:eastAsiaTheme="minorEastAsia" w:hAnsi="Tahoma" w:cs="Tahoma"/>
              <w:b w:val="0"/>
              <w:bCs w:val="0"/>
              <w:noProof/>
              <w:sz w:val="24"/>
              <w:szCs w:val="24"/>
            </w:rPr>
          </w:pPr>
          <w:hyperlink w:anchor="_Toc452732302" w:history="1">
            <w:r w:rsidR="006662CC" w:rsidRPr="006662CC">
              <w:rPr>
                <w:rStyle w:val="Hyperlink"/>
                <w:rFonts w:ascii="Tahoma" w:hAnsi="Tahoma" w:cs="Tahoma"/>
                <w:b w:val="0"/>
                <w:noProof/>
                <w:sz w:val="24"/>
                <w:szCs w:val="24"/>
              </w:rPr>
              <w:t>Acknowledgements</w: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_Toc452732302 \h </w:instrTex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8</w:t>
            </w:r>
            <w:r w:rsidR="006662CC" w:rsidRPr="006662CC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25A" w:rsidRDefault="0081025A">
          <w:r w:rsidRPr="006662CC">
            <w:rPr>
              <w:rFonts w:cs="Tahoma"/>
              <w:bCs/>
              <w:noProof/>
            </w:rPr>
            <w:fldChar w:fldCharType="end"/>
          </w:r>
        </w:p>
      </w:sdtContent>
    </w:sdt>
    <w:p w:rsidR="0081025A" w:rsidRDefault="0081025A" w:rsidP="0081025A"/>
    <w:p w:rsidR="0081025A" w:rsidRDefault="0081025A" w:rsidP="0081025A"/>
    <w:p w:rsidR="0081025A" w:rsidRDefault="0081025A" w:rsidP="0081025A"/>
    <w:p w:rsidR="0081025A" w:rsidRDefault="0081025A" w:rsidP="0081025A">
      <w:pPr>
        <w:rPr>
          <w:b/>
          <w:color w:val="FFFFFF" w:themeColor="background1"/>
          <w:sz w:val="32"/>
          <w:szCs w:val="32"/>
        </w:rPr>
      </w:pPr>
      <w:r w:rsidRPr="00722A63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AEAD2" wp14:editId="395F3C60">
                <wp:simplePos x="0" y="0"/>
                <wp:positionH relativeFrom="column">
                  <wp:posOffset>-167640</wp:posOffset>
                </wp:positionH>
                <wp:positionV relativeFrom="paragraph">
                  <wp:posOffset>3175</wp:posOffset>
                </wp:positionV>
                <wp:extent cx="6467475" cy="387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7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2pt;margin-top:.25pt;width:509.25pt;height:305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" fillcolor="#4f81bd [3204]" strokecolor="#243f60 [1604]" strokeweight="2pt"/>
            </w:pict>
          </mc:Fallback>
        </mc:AlternateContent>
      </w:r>
    </w:p>
    <w:p w:rsidR="0081025A" w:rsidRPr="00722A63" w:rsidRDefault="0021131D" w:rsidP="0081025A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Note</w:t>
      </w:r>
    </w:p>
    <w:p w:rsidR="0081025A" w:rsidRDefault="0081025A" w:rsidP="0081025A">
      <w:pPr>
        <w:rPr>
          <w:color w:val="FFFFFF" w:themeColor="background1"/>
        </w:rPr>
      </w:pPr>
    </w:p>
    <w:p w:rsidR="0081025A" w:rsidRPr="00722A63" w:rsidRDefault="0081025A" w:rsidP="0081025A">
      <w:pPr>
        <w:rPr>
          <w:color w:val="FFFFFF" w:themeColor="background1"/>
          <w:sz w:val="12"/>
          <w:szCs w:val="12"/>
        </w:rPr>
      </w:pPr>
    </w:p>
    <w:p w:rsidR="0081025A" w:rsidRPr="00722A63" w:rsidRDefault="0081025A" w:rsidP="0081025A">
      <w:pPr>
        <w:spacing w:after="120"/>
        <w:jc w:val="left"/>
        <w:rPr>
          <w:color w:val="FFFFFF" w:themeColor="background1"/>
        </w:rPr>
      </w:pPr>
      <w:r w:rsidRPr="00722A63">
        <w:rPr>
          <w:color w:val="FFFFFF" w:themeColor="background1"/>
        </w:rPr>
        <w:t xml:space="preserve">These statistics will be different </w:t>
      </w:r>
      <w:r w:rsidR="00134A89">
        <w:rPr>
          <w:color w:val="FFFFFF" w:themeColor="background1"/>
        </w:rPr>
        <w:t xml:space="preserve">when </w:t>
      </w:r>
      <w:r w:rsidRPr="00722A63">
        <w:rPr>
          <w:color w:val="FFFFFF" w:themeColor="background1"/>
        </w:rPr>
        <w:t>compared with those published in previous years because:</w:t>
      </w:r>
    </w:p>
    <w:p w:rsidR="00134A89" w:rsidRDefault="00134A89" w:rsidP="0081025A">
      <w:pPr>
        <w:pStyle w:val="ListParagraph"/>
        <w:numPr>
          <w:ilvl w:val="0"/>
          <w:numId w:val="25"/>
        </w:numPr>
        <w:contextualSpacing/>
        <w:jc w:val="left"/>
        <w:rPr>
          <w:color w:val="FFFFFF" w:themeColor="background1"/>
        </w:rPr>
      </w:pPr>
      <w:r w:rsidRPr="00722A63">
        <w:rPr>
          <w:color w:val="FFFFFF" w:themeColor="background1"/>
        </w:rPr>
        <w:t xml:space="preserve">The introduction of the new Common Inspection Framework </w:t>
      </w:r>
      <w:r>
        <w:rPr>
          <w:color w:val="FFFFFF" w:themeColor="background1"/>
        </w:rPr>
        <w:t>has</w:t>
      </w:r>
      <w:r w:rsidRPr="00722A63">
        <w:rPr>
          <w:color w:val="FFFFFF" w:themeColor="background1"/>
        </w:rPr>
        <w:t xml:space="preserve"> change</w:t>
      </w:r>
      <w:r>
        <w:rPr>
          <w:color w:val="FFFFFF" w:themeColor="background1"/>
        </w:rPr>
        <w:t>d</w:t>
      </w:r>
      <w:r w:rsidRPr="00722A63">
        <w:rPr>
          <w:color w:val="FFFFFF" w:themeColor="background1"/>
        </w:rPr>
        <w:t xml:space="preserve"> the way we view and report on overall </w:t>
      </w:r>
      <w:r>
        <w:rPr>
          <w:color w:val="FFFFFF" w:themeColor="background1"/>
        </w:rPr>
        <w:t>effectivenes</w:t>
      </w:r>
      <w:r w:rsidRPr="00722A63">
        <w:rPr>
          <w:color w:val="FFFFFF" w:themeColor="background1"/>
        </w:rPr>
        <w:t>s</w:t>
      </w:r>
      <w:r>
        <w:rPr>
          <w:color w:val="FFFFFF" w:themeColor="background1"/>
        </w:rPr>
        <w:t>;</w:t>
      </w:r>
    </w:p>
    <w:p w:rsidR="00134A89" w:rsidRPr="00722A63" w:rsidRDefault="00134A89" w:rsidP="00134A89">
      <w:pPr>
        <w:pStyle w:val="ListParagraph"/>
        <w:numPr>
          <w:ilvl w:val="0"/>
          <w:numId w:val="25"/>
        </w:numPr>
        <w:contextualSpacing/>
        <w:jc w:val="left"/>
        <w:rPr>
          <w:color w:val="FFFFFF" w:themeColor="background1"/>
        </w:rPr>
      </w:pPr>
      <w:r w:rsidRPr="00722A63">
        <w:rPr>
          <w:color w:val="FFFFFF" w:themeColor="background1"/>
        </w:rPr>
        <w:t>The methodology used to aggregate the key inspection judgemen</w:t>
      </w:r>
      <w:r>
        <w:rPr>
          <w:color w:val="FFFFFF" w:themeColor="background1"/>
        </w:rPr>
        <w:t xml:space="preserve">ts for ‘all providers’ has changed and historical in-year figures have been </w:t>
      </w:r>
      <w:r w:rsidR="00511188">
        <w:rPr>
          <w:color w:val="FFFFFF" w:themeColor="background1"/>
        </w:rPr>
        <w:t>revised to reflect these changes</w:t>
      </w:r>
      <w:r w:rsidRPr="00722A63">
        <w:rPr>
          <w:color w:val="FFFFFF" w:themeColor="background1"/>
        </w:rPr>
        <w:t>;</w:t>
      </w:r>
    </w:p>
    <w:p w:rsidR="00134A89" w:rsidRPr="00722A63" w:rsidRDefault="00134A89" w:rsidP="00134A89">
      <w:pPr>
        <w:pStyle w:val="ListParagraph"/>
        <w:numPr>
          <w:ilvl w:val="0"/>
          <w:numId w:val="25"/>
        </w:numPr>
        <w:contextualSpacing/>
        <w:jc w:val="left"/>
        <w:rPr>
          <w:color w:val="FFFFFF" w:themeColor="background1"/>
        </w:rPr>
      </w:pPr>
      <w:r w:rsidRPr="00722A63">
        <w:rPr>
          <w:color w:val="FFFFFF" w:themeColor="background1"/>
        </w:rPr>
        <w:t>The provider types included within the ‘colleges’ group have changed</w:t>
      </w:r>
      <w:r>
        <w:rPr>
          <w:color w:val="FFFFFF" w:themeColor="background1"/>
        </w:rPr>
        <w:t>, with independent specialist colleges now excluded;</w:t>
      </w:r>
    </w:p>
    <w:p w:rsidR="0081025A" w:rsidRPr="00722A63" w:rsidRDefault="0081025A" w:rsidP="0081025A">
      <w:pPr>
        <w:pStyle w:val="ListParagraph"/>
        <w:numPr>
          <w:ilvl w:val="0"/>
          <w:numId w:val="25"/>
        </w:numPr>
        <w:contextualSpacing/>
        <w:jc w:val="left"/>
        <w:rPr>
          <w:color w:val="FFFFFF" w:themeColor="background1"/>
        </w:rPr>
      </w:pPr>
      <w:r w:rsidRPr="00722A63">
        <w:rPr>
          <w:color w:val="FFFFFF" w:themeColor="background1"/>
        </w:rPr>
        <w:t>The underlying historic database has been cleansed</w:t>
      </w:r>
      <w:r>
        <w:rPr>
          <w:color w:val="FFFFFF" w:themeColor="background1"/>
        </w:rPr>
        <w:t xml:space="preserve"> (see the revisions section on page </w:t>
      </w:r>
      <w:r w:rsidR="00C66E7C">
        <w:rPr>
          <w:color w:val="FFFFFF" w:themeColor="background1"/>
        </w:rPr>
        <w:t xml:space="preserve">seven </w:t>
      </w:r>
      <w:r>
        <w:rPr>
          <w:color w:val="FFFFFF" w:themeColor="background1"/>
        </w:rPr>
        <w:t>for more details)</w:t>
      </w:r>
      <w:r w:rsidR="00134A89">
        <w:rPr>
          <w:color w:val="FFFFFF" w:themeColor="background1"/>
        </w:rPr>
        <w:t>.</w:t>
      </w:r>
    </w:p>
    <w:p w:rsidR="0081025A" w:rsidRPr="003D66C5" w:rsidRDefault="0081025A" w:rsidP="0081025A">
      <w:pPr>
        <w:rPr>
          <w:color w:val="FFFFFF" w:themeColor="background1"/>
          <w:sz w:val="12"/>
          <w:szCs w:val="12"/>
        </w:rPr>
      </w:pPr>
    </w:p>
    <w:p w:rsidR="0081025A" w:rsidRPr="00722A63" w:rsidRDefault="0081025A" w:rsidP="0081025A">
      <w:pPr>
        <w:rPr>
          <w:color w:val="FFFFFF" w:themeColor="background1"/>
        </w:rPr>
      </w:pPr>
    </w:p>
    <w:p w:rsidR="0081025A" w:rsidRPr="00722A63" w:rsidRDefault="0081025A" w:rsidP="0081025A">
      <w:pPr>
        <w:rPr>
          <w:color w:val="FFFFFF" w:themeColor="background1"/>
        </w:rPr>
      </w:pPr>
      <w:r w:rsidRPr="00722A63">
        <w:rPr>
          <w:color w:val="FFFFFF" w:themeColor="background1"/>
        </w:rPr>
        <w:t>Full details of these changes can be found in the accompanying consultation document.</w:t>
      </w:r>
    </w:p>
    <w:p w:rsidR="0081025A" w:rsidRPr="00722A63" w:rsidRDefault="0081025A" w:rsidP="0081025A">
      <w:pPr>
        <w:rPr>
          <w:color w:val="FFFFFF" w:themeColor="background1"/>
        </w:rPr>
      </w:pPr>
    </w:p>
    <w:p w:rsidR="0081025A" w:rsidRPr="00722A63" w:rsidRDefault="0081025A" w:rsidP="0081025A">
      <w:pPr>
        <w:rPr>
          <w:color w:val="FFFFFF" w:themeColor="background1"/>
        </w:rPr>
      </w:pPr>
      <w:r>
        <w:rPr>
          <w:color w:val="FFFFFF" w:themeColor="background1"/>
        </w:rPr>
        <w:t>The consultation for</w:t>
      </w:r>
      <w:r w:rsidRPr="00722A63">
        <w:rPr>
          <w:color w:val="FFFFFF" w:themeColor="background1"/>
        </w:rPr>
        <w:t xml:space="preserve"> these statistics will remain open until 29 July 2016.</w:t>
      </w:r>
    </w:p>
    <w:p w:rsidR="0081025A" w:rsidRPr="00E069B3" w:rsidRDefault="0081025A" w:rsidP="0081025A"/>
    <w:p w:rsidR="0081025A" w:rsidRPr="00742754" w:rsidRDefault="0081025A" w:rsidP="0081025A">
      <w:pPr>
        <w:jc w:val="left"/>
        <w:rPr>
          <w:rFonts w:cs="Tahoma"/>
          <w:highlight w:val="yellow"/>
        </w:rPr>
      </w:pPr>
    </w:p>
    <w:p w:rsidR="0081025A" w:rsidRDefault="0081025A" w:rsidP="0081025A">
      <w:pPr>
        <w:jc w:val="left"/>
        <w:rPr>
          <w:rFonts w:cs="Tahoma"/>
          <w:b/>
        </w:rPr>
      </w:pPr>
    </w:p>
    <w:p w:rsidR="00140BAD" w:rsidRDefault="00140BAD" w:rsidP="00722A63">
      <w:pPr>
        <w:jc w:val="left"/>
        <w:rPr>
          <w:highlight w:val="yellow"/>
        </w:rPr>
      </w:pPr>
      <w:r w:rsidRPr="001D0FA7">
        <w:rPr>
          <w:highlight w:val="yellow"/>
        </w:rPr>
        <w:br w:type="page"/>
      </w:r>
    </w:p>
    <w:p w:rsidR="00C64C74" w:rsidRPr="00460531" w:rsidRDefault="00C64C74" w:rsidP="00C64C74">
      <w:pPr>
        <w:pStyle w:val="Heading1"/>
        <w:spacing w:after="0"/>
      </w:pPr>
      <w:bookmarkStart w:id="3" w:name="_Toc452636769"/>
      <w:bookmarkStart w:id="4" w:name="_Toc452732294"/>
      <w:bookmarkEnd w:id="2"/>
      <w:bookmarkEnd w:id="1"/>
      <w:r w:rsidRPr="00460531">
        <w:lastRenderedPageBreak/>
        <w:t>Key findings</w:t>
      </w:r>
      <w:bookmarkEnd w:id="3"/>
      <w:bookmarkEnd w:id="4"/>
      <w:r w:rsidRPr="00460531">
        <w:t xml:space="preserve"> </w:t>
      </w:r>
    </w:p>
    <w:p w:rsidR="00C64C74" w:rsidRDefault="00C64C74" w:rsidP="00C64C74">
      <w:pPr>
        <w:pStyle w:val="NoSpacing"/>
        <w:jc w:val="left"/>
        <w:rPr>
          <w:rFonts w:cs="Tahoma"/>
          <w:bCs/>
        </w:rPr>
      </w:pPr>
    </w:p>
    <w:p w:rsidR="00C64C74" w:rsidRPr="00C11BA2" w:rsidRDefault="00C64C74" w:rsidP="00C64C74">
      <w:pPr>
        <w:pStyle w:val="Heading2"/>
        <w:spacing w:after="0"/>
      </w:pPr>
      <w:bookmarkStart w:id="5" w:name="_Toc452636770"/>
      <w:bookmarkStart w:id="6" w:name="_Toc452732295"/>
      <w:r w:rsidRPr="00C11BA2">
        <w:t>In-year inspection outcomes</w:t>
      </w:r>
      <w:bookmarkEnd w:id="5"/>
      <w:bookmarkEnd w:id="6"/>
      <w:r w:rsidRPr="00C11BA2">
        <w:t xml:space="preserve"> </w:t>
      </w:r>
    </w:p>
    <w:p w:rsidR="00C11BA2" w:rsidRDefault="00C11BA2" w:rsidP="00F10052">
      <w:pPr>
        <w:pStyle w:val="NoSpacing"/>
        <w:jc w:val="left"/>
        <w:rPr>
          <w:rFonts w:cs="Tahoma"/>
          <w:bCs/>
        </w:rPr>
      </w:pPr>
    </w:p>
    <w:p w:rsidR="00A8793F" w:rsidRDefault="00435A0A" w:rsidP="00A8793F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 xml:space="preserve">Between 1 September 2015 and 29 February 2016, </w:t>
      </w:r>
      <w:r w:rsidR="00BA7E43">
        <w:rPr>
          <w:rFonts w:cs="Tahoma"/>
          <w:bCs/>
        </w:rPr>
        <w:t>199</w:t>
      </w:r>
      <w:r w:rsidR="00A2496A">
        <w:rPr>
          <w:rFonts w:cs="Tahoma"/>
          <w:bCs/>
        </w:rPr>
        <w:t xml:space="preserve"> </w:t>
      </w:r>
      <w:r w:rsidR="00A2496A" w:rsidRPr="00435A0A">
        <w:rPr>
          <w:rFonts w:cs="Tahoma"/>
          <w:bCs/>
        </w:rPr>
        <w:t>further education and skills providers</w:t>
      </w:r>
      <w:r w:rsidR="00A2496A">
        <w:rPr>
          <w:rFonts w:cs="Tahoma"/>
          <w:bCs/>
        </w:rPr>
        <w:t xml:space="preserve"> were inspected</w:t>
      </w:r>
      <w:r w:rsidR="00A2496A" w:rsidRPr="00435A0A">
        <w:rPr>
          <w:rFonts w:cs="Tahoma"/>
          <w:bCs/>
        </w:rPr>
        <w:t>.</w:t>
      </w:r>
      <w:r w:rsidR="00A2496A">
        <w:rPr>
          <w:rFonts w:cs="Tahoma"/>
          <w:bCs/>
        </w:rPr>
        <w:t xml:space="preserve"> </w:t>
      </w:r>
      <w:r w:rsidR="00A8793F" w:rsidRPr="00C11BA2">
        <w:rPr>
          <w:rFonts w:cs="Tahoma"/>
          <w:bCs/>
        </w:rPr>
        <w:t xml:space="preserve">This included </w:t>
      </w:r>
      <w:r w:rsidR="00A8793F">
        <w:rPr>
          <w:rFonts w:cs="Tahoma"/>
          <w:bCs/>
        </w:rPr>
        <w:t>60</w:t>
      </w:r>
      <w:r w:rsidR="00A8793F" w:rsidRPr="00C11BA2">
        <w:rPr>
          <w:rFonts w:cs="Tahoma"/>
          <w:bCs/>
        </w:rPr>
        <w:t xml:space="preserve"> inspections of colleges, </w:t>
      </w:r>
      <w:r w:rsidR="00A8793F">
        <w:rPr>
          <w:rFonts w:cs="Tahoma"/>
          <w:bCs/>
        </w:rPr>
        <w:t>71</w:t>
      </w:r>
      <w:r w:rsidR="00A8793F" w:rsidRPr="00C11BA2">
        <w:rPr>
          <w:rFonts w:cs="Tahoma"/>
          <w:bCs/>
        </w:rPr>
        <w:t xml:space="preserve"> inspections of independent learning providers</w:t>
      </w:r>
      <w:r w:rsidR="00A8793F">
        <w:rPr>
          <w:rFonts w:cs="Tahoma"/>
          <w:bCs/>
        </w:rPr>
        <w:t xml:space="preserve"> (including employers)</w:t>
      </w:r>
      <w:r w:rsidR="00A8793F" w:rsidRPr="00C11BA2">
        <w:rPr>
          <w:rFonts w:cs="Tahoma"/>
          <w:bCs/>
        </w:rPr>
        <w:t xml:space="preserve"> and </w:t>
      </w:r>
      <w:r w:rsidR="00A8793F">
        <w:rPr>
          <w:rFonts w:cs="Tahoma"/>
          <w:bCs/>
        </w:rPr>
        <w:t>38</w:t>
      </w:r>
      <w:r w:rsidR="00A8793F" w:rsidRPr="00C11BA2">
        <w:rPr>
          <w:rFonts w:cs="Tahoma"/>
          <w:bCs/>
        </w:rPr>
        <w:t xml:space="preserve"> inspections of community learning and skills providers.</w:t>
      </w:r>
      <w:r w:rsidR="00A8793F">
        <w:rPr>
          <w:rFonts w:cs="Tahoma"/>
          <w:bCs/>
        </w:rPr>
        <w:t xml:space="preserve"> </w:t>
      </w:r>
      <w:r w:rsidR="00A8793F" w:rsidRPr="00C11BA2">
        <w:rPr>
          <w:rFonts w:cs="Tahoma"/>
          <w:bCs/>
        </w:rPr>
        <w:t xml:space="preserve">Ofsted also contributed to the inspections of </w:t>
      </w:r>
      <w:r w:rsidR="00A8793F">
        <w:rPr>
          <w:rFonts w:cs="Tahoma"/>
          <w:bCs/>
        </w:rPr>
        <w:t>22</w:t>
      </w:r>
      <w:r w:rsidR="00A8793F" w:rsidRPr="00C11BA2">
        <w:rPr>
          <w:rFonts w:cs="Tahoma"/>
          <w:bCs/>
        </w:rPr>
        <w:t xml:space="preserve"> prison and young offender institutions</w:t>
      </w:r>
      <w:r w:rsidR="00A8793F">
        <w:rPr>
          <w:rFonts w:cs="Tahoma"/>
          <w:bCs/>
        </w:rPr>
        <w:t>,</w:t>
      </w:r>
      <w:r w:rsidR="00A8793F" w:rsidRPr="00C11BA2">
        <w:rPr>
          <w:rFonts w:cs="Tahoma"/>
          <w:bCs/>
        </w:rPr>
        <w:t xml:space="preserve"> where the reports were published between 1 September 201</w:t>
      </w:r>
      <w:r w:rsidR="00A8793F">
        <w:rPr>
          <w:rFonts w:cs="Tahoma"/>
          <w:bCs/>
        </w:rPr>
        <w:t>5</w:t>
      </w:r>
      <w:r w:rsidR="00A8793F" w:rsidRPr="00C11BA2">
        <w:rPr>
          <w:rFonts w:cs="Tahoma"/>
          <w:bCs/>
        </w:rPr>
        <w:t xml:space="preserve"> and 2</w:t>
      </w:r>
      <w:r w:rsidR="00A8793F">
        <w:rPr>
          <w:rFonts w:cs="Tahoma"/>
          <w:bCs/>
        </w:rPr>
        <w:t>9</w:t>
      </w:r>
      <w:r w:rsidR="00A8793F" w:rsidRPr="00C11BA2">
        <w:rPr>
          <w:rFonts w:cs="Tahoma"/>
          <w:bCs/>
        </w:rPr>
        <w:t xml:space="preserve"> </w:t>
      </w:r>
      <w:r w:rsidR="00A8793F">
        <w:rPr>
          <w:rFonts w:cs="Tahoma"/>
          <w:bCs/>
        </w:rPr>
        <w:t>February 2016</w:t>
      </w:r>
      <w:r w:rsidR="00A8793F" w:rsidRPr="00C11BA2">
        <w:rPr>
          <w:rFonts w:cs="Tahoma"/>
          <w:bCs/>
        </w:rPr>
        <w:t>.</w:t>
      </w:r>
    </w:p>
    <w:p w:rsidR="00856B2E" w:rsidRDefault="00856B2E" w:rsidP="00C11BA2">
      <w:pPr>
        <w:pStyle w:val="NoSpacing"/>
        <w:jc w:val="left"/>
        <w:rPr>
          <w:rFonts w:cs="Tahoma"/>
          <w:bCs/>
        </w:rPr>
      </w:pPr>
    </w:p>
    <w:p w:rsidR="00745249" w:rsidRDefault="00A2496A" w:rsidP="005D76DA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>The inspections were conducted under the new Common Inspection Framework</w:t>
      </w:r>
      <w:r w:rsidR="00856B2E">
        <w:rPr>
          <w:rFonts w:cs="Tahoma"/>
          <w:bCs/>
        </w:rPr>
        <w:t xml:space="preserve">, which </w:t>
      </w:r>
      <w:r w:rsidR="005D76DA">
        <w:rPr>
          <w:rFonts w:cs="Tahoma"/>
          <w:bCs/>
        </w:rPr>
        <w:t>introduced the possibility of a short inspection for previously good providers.</w:t>
      </w:r>
      <w:r w:rsidR="00C64C74">
        <w:rPr>
          <w:rFonts w:cs="Tahoma"/>
          <w:bCs/>
        </w:rPr>
        <w:t xml:space="preserve"> </w:t>
      </w:r>
      <w:r w:rsidR="0024294E" w:rsidRPr="0024294E">
        <w:rPr>
          <w:rFonts w:cs="Tahoma"/>
          <w:bCs/>
        </w:rPr>
        <w:t>Over this period there were 147 full inspections and 52 short inspections, of which five converted to a full inspection.</w:t>
      </w:r>
      <w:r w:rsidR="00F602DB">
        <w:rPr>
          <w:rFonts w:cs="Tahoma"/>
          <w:bCs/>
        </w:rPr>
        <w:t xml:space="preserve"> The converted inspections</w:t>
      </w:r>
      <w:r w:rsidR="00F602DB" w:rsidRPr="00F602DB">
        <w:rPr>
          <w:rFonts w:cs="Tahoma"/>
          <w:bCs/>
        </w:rPr>
        <w:t xml:space="preserve"> resulted in three providers remaining good and two declining to requires improvement. </w:t>
      </w:r>
      <w:r w:rsidR="00F602DB">
        <w:rPr>
          <w:rFonts w:cs="Tahoma"/>
          <w:bCs/>
        </w:rPr>
        <w:t xml:space="preserve"> </w:t>
      </w:r>
    </w:p>
    <w:p w:rsidR="00A8793F" w:rsidRDefault="00A8793F" w:rsidP="00E943F9">
      <w:pPr>
        <w:pStyle w:val="NoSpacing"/>
        <w:jc w:val="left"/>
        <w:rPr>
          <w:rFonts w:cs="Tahoma"/>
          <w:bCs/>
        </w:rPr>
      </w:pPr>
    </w:p>
    <w:p w:rsidR="00A8793F" w:rsidRPr="00A8793F" w:rsidRDefault="00A8793F" w:rsidP="00E943F9">
      <w:pPr>
        <w:pStyle w:val="NoSpacing"/>
        <w:jc w:val="left"/>
        <w:rPr>
          <w:rFonts w:cs="Tahoma"/>
          <w:bCs/>
          <w:sz w:val="12"/>
          <w:szCs w:val="12"/>
        </w:rPr>
      </w:pPr>
      <w:r>
        <w:rPr>
          <w:rFonts w:cs="Tahom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1BE99" wp14:editId="6E89B4B1">
                <wp:simplePos x="0" y="0"/>
                <wp:positionH relativeFrom="column">
                  <wp:posOffset>-49116</wp:posOffset>
                </wp:positionH>
                <wp:positionV relativeFrom="paragraph">
                  <wp:posOffset>22225</wp:posOffset>
                </wp:positionV>
                <wp:extent cx="5981700" cy="2705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0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.85pt;margin-top:1.75pt;width:471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" filled="f" strokecolor="black [3213]" strokeweight="1pt"/>
            </w:pict>
          </mc:Fallback>
        </mc:AlternateContent>
      </w:r>
    </w:p>
    <w:p w:rsidR="00E943F9" w:rsidRPr="0022490C" w:rsidRDefault="00E943F9" w:rsidP="00E943F9">
      <w:pPr>
        <w:pStyle w:val="NoSpacing"/>
        <w:jc w:val="left"/>
        <w:rPr>
          <w:rFonts w:cs="Tahoma"/>
          <w:b/>
          <w:bCs/>
          <w:sz w:val="22"/>
          <w:szCs w:val="22"/>
        </w:rPr>
      </w:pPr>
      <w:r w:rsidRPr="0022490C">
        <w:rPr>
          <w:rFonts w:cs="Tahoma"/>
          <w:b/>
          <w:bCs/>
          <w:sz w:val="22"/>
          <w:szCs w:val="22"/>
        </w:rPr>
        <w:t xml:space="preserve">Figure </w:t>
      </w:r>
      <w:r>
        <w:rPr>
          <w:rFonts w:cs="Tahoma"/>
          <w:b/>
          <w:bCs/>
          <w:sz w:val="22"/>
          <w:szCs w:val="22"/>
        </w:rPr>
        <w:t>2</w:t>
      </w:r>
      <w:r w:rsidRPr="0022490C">
        <w:rPr>
          <w:rFonts w:cs="Tahoma"/>
          <w:b/>
          <w:bCs/>
          <w:sz w:val="22"/>
          <w:szCs w:val="22"/>
        </w:rPr>
        <w:t xml:space="preserve">: </w:t>
      </w:r>
      <w:r>
        <w:rPr>
          <w:rFonts w:cs="Tahoma"/>
          <w:b/>
          <w:bCs/>
          <w:sz w:val="22"/>
          <w:szCs w:val="22"/>
        </w:rPr>
        <w:t>The n</w:t>
      </w:r>
      <w:r w:rsidRPr="0022490C">
        <w:rPr>
          <w:rFonts w:cs="Tahoma"/>
          <w:b/>
          <w:bCs/>
          <w:sz w:val="22"/>
          <w:szCs w:val="22"/>
        </w:rPr>
        <w:t xml:space="preserve">umber of short inspections </w:t>
      </w:r>
      <w:r>
        <w:rPr>
          <w:rFonts w:cs="Tahoma"/>
          <w:b/>
          <w:bCs/>
          <w:sz w:val="22"/>
          <w:szCs w:val="22"/>
        </w:rPr>
        <w:t>and</w:t>
      </w:r>
      <w:r w:rsidRPr="0022490C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their outcomes</w:t>
      </w:r>
    </w:p>
    <w:p w:rsidR="00E943F9" w:rsidRPr="00460531" w:rsidRDefault="00E943F9" w:rsidP="00E943F9">
      <w:pPr>
        <w:pStyle w:val="NoSpacing"/>
        <w:jc w:val="left"/>
        <w:rPr>
          <w:rFonts w:cs="Tahoma"/>
          <w:bCs/>
        </w:rPr>
      </w:pPr>
      <w:r w:rsidRPr="00592565">
        <w:rPr>
          <w:rFonts w:cs="Tahoma"/>
          <w:bCs/>
          <w:noProof/>
        </w:rPr>
        <w:drawing>
          <wp:inline distT="0" distB="0" distL="0" distR="0" wp14:anchorId="33E5E496" wp14:editId="157F12C1">
            <wp:extent cx="5734050" cy="2276475"/>
            <wp:effectExtent l="0" t="0" r="0" b="66675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943F9" w:rsidRPr="00A8793F" w:rsidRDefault="00E943F9" w:rsidP="00E943F9">
      <w:pPr>
        <w:pStyle w:val="NoSpacing"/>
        <w:jc w:val="left"/>
        <w:rPr>
          <w:rFonts w:cs="Tahoma"/>
          <w:bCs/>
          <w:sz w:val="16"/>
          <w:szCs w:val="16"/>
        </w:rPr>
      </w:pPr>
    </w:p>
    <w:p w:rsidR="00E943F9" w:rsidRDefault="00E943F9" w:rsidP="00C11BA2">
      <w:pPr>
        <w:pStyle w:val="NoSpacing"/>
        <w:jc w:val="left"/>
        <w:rPr>
          <w:rFonts w:cs="Tahoma"/>
          <w:bCs/>
        </w:rPr>
      </w:pPr>
    </w:p>
    <w:p w:rsidR="00D41EAE" w:rsidRDefault="00D41EAE" w:rsidP="00D41EAE">
      <w:pPr>
        <w:jc w:val="left"/>
        <w:rPr>
          <w:rFonts w:cs="Tahoma"/>
          <w:bCs/>
        </w:rPr>
      </w:pPr>
      <w:bookmarkStart w:id="7" w:name="_Toc421267950"/>
      <w:r w:rsidRPr="00D41EAE">
        <w:rPr>
          <w:rFonts w:cs="Tahoma"/>
          <w:bCs/>
        </w:rPr>
        <w:t>Between 1 September 2015 and 29 February 2016</w:t>
      </w:r>
      <w:r>
        <w:rPr>
          <w:rFonts w:cs="Tahoma"/>
          <w:bCs/>
        </w:rPr>
        <w:t>,</w:t>
      </w:r>
      <w:r w:rsidRPr="00D41EAE">
        <w:rPr>
          <w:rFonts w:cs="Tahoma"/>
          <w:bCs/>
        </w:rPr>
        <w:t xml:space="preserve"> </w:t>
      </w:r>
      <w:r w:rsidR="00B21A17" w:rsidRPr="00D41EAE">
        <w:rPr>
          <w:rFonts w:cs="Tahoma"/>
          <w:bCs/>
        </w:rPr>
        <w:t>6</w:t>
      </w:r>
      <w:r w:rsidR="00B21A17">
        <w:rPr>
          <w:rFonts w:cs="Tahoma"/>
          <w:bCs/>
        </w:rPr>
        <w:t>7</w:t>
      </w:r>
      <w:r w:rsidRPr="00D41EAE">
        <w:rPr>
          <w:rFonts w:cs="Tahoma"/>
          <w:bCs/>
        </w:rPr>
        <w:t>% of further education and skills providers w</w:t>
      </w:r>
      <w:r>
        <w:rPr>
          <w:rFonts w:cs="Tahoma"/>
          <w:bCs/>
        </w:rPr>
        <w:t>ere judged good or outstanding</w:t>
      </w:r>
      <w:r w:rsidR="003637D1">
        <w:rPr>
          <w:rFonts w:cs="Tahoma"/>
          <w:bCs/>
        </w:rPr>
        <w:t xml:space="preserve"> </w:t>
      </w:r>
      <w:r w:rsidRPr="00D41EAE">
        <w:rPr>
          <w:rFonts w:cs="Tahoma"/>
          <w:bCs/>
        </w:rPr>
        <w:t>(see Figure 1).</w:t>
      </w:r>
      <w:r w:rsidR="00747A50">
        <w:rPr>
          <w:rFonts w:cs="Tahoma"/>
          <w:bCs/>
        </w:rPr>
        <w:t xml:space="preserve"> This was</w:t>
      </w:r>
      <w:r w:rsidR="00747A50" w:rsidRPr="00747A50">
        <w:rPr>
          <w:rFonts w:cs="Tahoma"/>
          <w:bCs/>
        </w:rPr>
        <w:t xml:space="preserve"> 18 percentage points higher than the </w:t>
      </w:r>
      <w:r w:rsidR="00747A50">
        <w:rPr>
          <w:rFonts w:cs="Tahoma"/>
          <w:bCs/>
        </w:rPr>
        <w:t>last full reporting year.</w:t>
      </w:r>
    </w:p>
    <w:p w:rsidR="00D41EAE" w:rsidRDefault="00D41EAE" w:rsidP="00BA740E">
      <w:pPr>
        <w:jc w:val="left"/>
        <w:rPr>
          <w:rFonts w:cs="Tahoma"/>
          <w:bCs/>
        </w:rPr>
      </w:pPr>
    </w:p>
    <w:p w:rsidR="000829DF" w:rsidRPr="00F72F0D" w:rsidRDefault="003F7150" w:rsidP="00BA740E">
      <w:pPr>
        <w:jc w:val="left"/>
        <w:rPr>
          <w:rFonts w:cs="Tahoma"/>
          <w:bCs/>
        </w:rPr>
      </w:pPr>
      <w:r w:rsidRPr="003F7150">
        <w:rPr>
          <w:rFonts w:cs="Tahoma"/>
          <w:bCs/>
        </w:rPr>
        <w:t>In previous years, approximately a third of the inspections conducted were of previously good providers.</w:t>
      </w:r>
      <w:r w:rsidR="003A03D4" w:rsidRPr="003A03D4">
        <w:rPr>
          <w:rFonts w:cs="Tahoma"/>
          <w:bCs/>
        </w:rPr>
        <w:t xml:space="preserve"> This year, between 1 September 2015 and 29 February 2016, just over half of the providers visited were previously good. </w:t>
      </w:r>
    </w:p>
    <w:p w:rsidR="00460531" w:rsidRPr="00D41EAE" w:rsidRDefault="00460531" w:rsidP="00F105FB">
      <w:pPr>
        <w:pStyle w:val="NoSpacing"/>
        <w:jc w:val="left"/>
        <w:rPr>
          <w:rFonts w:cs="Tahoma"/>
          <w:bCs/>
          <w:sz w:val="12"/>
          <w:szCs w:val="12"/>
        </w:rPr>
      </w:pPr>
    </w:p>
    <w:p w:rsidR="00DA48C1" w:rsidRDefault="00DA48C1" w:rsidP="00DA48C1">
      <w:pPr>
        <w:pStyle w:val="NoSpacing"/>
        <w:jc w:val="left"/>
        <w:rPr>
          <w:rFonts w:cs="Tahoma"/>
          <w:bCs/>
        </w:rPr>
      </w:pPr>
      <w:r w:rsidRPr="00AB095A">
        <w:rPr>
          <w:rFonts w:cs="Tahoma"/>
          <w:bCs/>
        </w:rPr>
        <w:t>The combination of inspecting more previously good providers, with those providers then remaining good at inspection</w:t>
      </w:r>
      <w:r>
        <w:rPr>
          <w:rFonts w:cs="Tahoma"/>
          <w:bCs/>
        </w:rPr>
        <w:t xml:space="preserve"> (see Figure 3)</w:t>
      </w:r>
      <w:r w:rsidRPr="00AB095A">
        <w:rPr>
          <w:rFonts w:cs="Tahoma"/>
          <w:bCs/>
        </w:rPr>
        <w:t xml:space="preserve">, </w:t>
      </w:r>
      <w:r>
        <w:rPr>
          <w:rFonts w:cs="Tahoma"/>
          <w:bCs/>
        </w:rPr>
        <w:t xml:space="preserve">has led to </w:t>
      </w:r>
      <w:r w:rsidRPr="00AB095A">
        <w:rPr>
          <w:rFonts w:cs="Tahoma"/>
          <w:bCs/>
        </w:rPr>
        <w:t xml:space="preserve">the proportion judged good or outstanding </w:t>
      </w:r>
      <w:r>
        <w:rPr>
          <w:rFonts w:cs="Tahoma"/>
          <w:bCs/>
        </w:rPr>
        <w:t xml:space="preserve">to </w:t>
      </w:r>
      <w:r w:rsidRPr="00AB095A">
        <w:rPr>
          <w:rFonts w:cs="Tahoma"/>
          <w:bCs/>
        </w:rPr>
        <w:t>be higher this year.</w:t>
      </w:r>
      <w:r>
        <w:rPr>
          <w:rFonts w:cs="Tahoma"/>
          <w:bCs/>
        </w:rPr>
        <w:t xml:space="preserve"> </w:t>
      </w:r>
    </w:p>
    <w:p w:rsidR="006662CC" w:rsidRDefault="006662CC" w:rsidP="00BA7E43">
      <w:pPr>
        <w:pStyle w:val="NoSpacing"/>
        <w:jc w:val="left"/>
        <w:rPr>
          <w:rFonts w:cs="Tahoma"/>
          <w:b/>
          <w:bCs/>
          <w:sz w:val="22"/>
          <w:szCs w:val="22"/>
        </w:rPr>
      </w:pPr>
    </w:p>
    <w:p w:rsidR="006662CC" w:rsidRPr="006662CC" w:rsidRDefault="00544EE6" w:rsidP="00BA7E43">
      <w:pPr>
        <w:pStyle w:val="NoSpacing"/>
        <w:jc w:val="left"/>
        <w:rPr>
          <w:rFonts w:cs="Tahoma"/>
          <w:b/>
          <w:bCs/>
          <w:sz w:val="8"/>
          <w:szCs w:val="8"/>
        </w:rPr>
      </w:pPr>
      <w:r w:rsidRPr="00D41EAE">
        <w:rPr>
          <w:rFonts w:cs="Tahoma"/>
          <w:b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1134B" wp14:editId="2F3DEA4E">
                <wp:simplePos x="0" y="0"/>
                <wp:positionH relativeFrom="column">
                  <wp:posOffset>-91440</wp:posOffset>
                </wp:positionH>
                <wp:positionV relativeFrom="paragraph">
                  <wp:posOffset>-5080</wp:posOffset>
                </wp:positionV>
                <wp:extent cx="6248400" cy="2943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943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2pt;margin-top:-.4pt;width:492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" filled="f" strokecolor="black [3213]" strokeweight="1pt"/>
            </w:pict>
          </mc:Fallback>
        </mc:AlternateContent>
      </w:r>
    </w:p>
    <w:p w:rsidR="00BA7E43" w:rsidRDefault="00BA7E43" w:rsidP="00BA7E43">
      <w:pPr>
        <w:pStyle w:val="NoSpacing"/>
        <w:jc w:val="lef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Figure </w:t>
      </w:r>
      <w:r w:rsidR="00BA740E">
        <w:rPr>
          <w:rFonts w:cs="Tahoma"/>
          <w:b/>
          <w:bCs/>
          <w:sz w:val="22"/>
          <w:szCs w:val="22"/>
        </w:rPr>
        <w:t>3</w:t>
      </w:r>
      <w:r w:rsidRPr="00DC06D3">
        <w:rPr>
          <w:rFonts w:cs="Tahoma"/>
          <w:b/>
          <w:bCs/>
          <w:sz w:val="22"/>
          <w:szCs w:val="22"/>
        </w:rPr>
        <w:t xml:space="preserve">: </w:t>
      </w:r>
      <w:r>
        <w:rPr>
          <w:rFonts w:cs="Tahoma"/>
          <w:b/>
          <w:bCs/>
          <w:sz w:val="22"/>
          <w:szCs w:val="22"/>
        </w:rPr>
        <w:t>Proportion</w:t>
      </w:r>
      <w:r w:rsidRPr="006D6F6C">
        <w:rPr>
          <w:rFonts w:cs="Tahoma"/>
          <w:b/>
          <w:bCs/>
          <w:sz w:val="22"/>
          <w:szCs w:val="22"/>
        </w:rPr>
        <w:t xml:space="preserve"> of previously good </w:t>
      </w:r>
      <w:r>
        <w:rPr>
          <w:rFonts w:cs="Tahoma"/>
          <w:b/>
          <w:bCs/>
          <w:sz w:val="22"/>
          <w:szCs w:val="22"/>
        </w:rPr>
        <w:t xml:space="preserve">further education and skills </w:t>
      </w:r>
      <w:r w:rsidRPr="006D6F6C">
        <w:rPr>
          <w:rFonts w:cs="Tahoma"/>
          <w:b/>
          <w:bCs/>
          <w:sz w:val="22"/>
          <w:szCs w:val="22"/>
        </w:rPr>
        <w:t>providers</w:t>
      </w:r>
      <w:r>
        <w:rPr>
          <w:rFonts w:cs="Tahoma"/>
          <w:b/>
          <w:bCs/>
          <w:sz w:val="22"/>
          <w:szCs w:val="22"/>
        </w:rPr>
        <w:t xml:space="preserve"> that</w:t>
      </w:r>
      <w:r w:rsidRPr="006D6F6C">
        <w:rPr>
          <w:rFonts w:cs="Tahoma"/>
          <w:b/>
          <w:bCs/>
          <w:sz w:val="22"/>
          <w:szCs w:val="22"/>
        </w:rPr>
        <w:t xml:space="preserve"> improved, stayed the same </w:t>
      </w:r>
      <w:r w:rsidR="004220E4">
        <w:rPr>
          <w:rFonts w:cs="Tahoma"/>
          <w:b/>
          <w:bCs/>
          <w:sz w:val="22"/>
          <w:szCs w:val="22"/>
        </w:rPr>
        <w:t xml:space="preserve">or declined </w:t>
      </w:r>
      <w:r>
        <w:rPr>
          <w:rFonts w:cs="Tahoma"/>
          <w:b/>
          <w:bCs/>
          <w:sz w:val="22"/>
          <w:szCs w:val="22"/>
        </w:rPr>
        <w:t>at their next inspection</w:t>
      </w:r>
    </w:p>
    <w:p w:rsidR="00544EE6" w:rsidRPr="00544EE6" w:rsidRDefault="00544EE6" w:rsidP="00BA7E43">
      <w:pPr>
        <w:pStyle w:val="NoSpacing"/>
        <w:jc w:val="left"/>
        <w:rPr>
          <w:rFonts w:cs="Tahoma"/>
          <w:b/>
          <w:bCs/>
          <w:sz w:val="8"/>
          <w:szCs w:val="8"/>
        </w:rPr>
      </w:pPr>
    </w:p>
    <w:p w:rsidR="00BA7E43" w:rsidRDefault="009833A3" w:rsidP="00F105FB">
      <w:pPr>
        <w:pStyle w:val="NoSpacing"/>
        <w:jc w:val="left"/>
        <w:rPr>
          <w:rFonts w:cs="Tahoma"/>
          <w:bCs/>
        </w:rPr>
      </w:pPr>
      <w:r>
        <w:rPr>
          <w:rFonts w:cs="Tahoma"/>
          <w:bCs/>
          <w:noProof/>
        </w:rPr>
        <w:drawing>
          <wp:inline distT="0" distB="0" distL="0" distR="0" wp14:anchorId="755285CE" wp14:editId="79E41702">
            <wp:extent cx="5943600" cy="2314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" t="5384" r="-28" b="35151"/>
                    <a:stretch/>
                  </pic:blipFill>
                  <pic:spPr bwMode="auto">
                    <a:xfrm>
                      <a:off x="0" y="0"/>
                      <a:ext cx="5963417" cy="232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40E" w:rsidRPr="00747A50" w:rsidRDefault="00BA7E43" w:rsidP="00F105FB">
      <w:pPr>
        <w:pStyle w:val="NoSpacing"/>
        <w:numPr>
          <w:ilvl w:val="0"/>
          <w:numId w:val="22"/>
        </w:numPr>
        <w:jc w:val="left"/>
        <w:rPr>
          <w:rFonts w:cs="Tahoma"/>
          <w:bCs/>
          <w:sz w:val="12"/>
          <w:szCs w:val="12"/>
        </w:rPr>
      </w:pPr>
      <w:r w:rsidRPr="00747A50">
        <w:rPr>
          <w:rFonts w:cs="Tahoma"/>
          <w:bCs/>
          <w:sz w:val="16"/>
          <w:szCs w:val="16"/>
        </w:rPr>
        <w:t>Percentages are rounded and may not add to 100.</w:t>
      </w:r>
    </w:p>
    <w:p w:rsidR="00622EF1" w:rsidRPr="008C7E48" w:rsidRDefault="00622EF1">
      <w:pPr>
        <w:jc w:val="left"/>
        <w:rPr>
          <w:b/>
          <w:sz w:val="8"/>
          <w:szCs w:val="8"/>
        </w:rPr>
      </w:pPr>
      <w:bookmarkStart w:id="8" w:name="_Toc452636771"/>
      <w:bookmarkStart w:id="9" w:name="_Toc452732296"/>
    </w:p>
    <w:p w:rsidR="008C7E48" w:rsidRDefault="008C7E48">
      <w:pPr>
        <w:jc w:val="left"/>
        <w:rPr>
          <w:b/>
        </w:rPr>
      </w:pPr>
    </w:p>
    <w:p w:rsidR="00747A50" w:rsidRPr="00747A50" w:rsidRDefault="00747A50">
      <w:pPr>
        <w:jc w:val="left"/>
        <w:rPr>
          <w:b/>
        </w:rPr>
      </w:pPr>
    </w:p>
    <w:p w:rsidR="0015613A" w:rsidRPr="00742754" w:rsidRDefault="0015613A" w:rsidP="00742754">
      <w:pPr>
        <w:pStyle w:val="Heading2"/>
        <w:spacing w:after="0"/>
      </w:pPr>
      <w:r w:rsidRPr="00742754">
        <w:t>Most recent inspection outcomes</w:t>
      </w:r>
      <w:bookmarkEnd w:id="8"/>
      <w:bookmarkEnd w:id="9"/>
    </w:p>
    <w:p w:rsidR="0015613A" w:rsidRDefault="0015613A" w:rsidP="00C11BA2">
      <w:pPr>
        <w:pStyle w:val="NoSpacing"/>
        <w:jc w:val="left"/>
        <w:rPr>
          <w:rFonts w:cs="Tahoma"/>
          <w:bCs/>
          <w:highlight w:val="yellow"/>
        </w:rPr>
      </w:pPr>
    </w:p>
    <w:p w:rsidR="000B3B88" w:rsidRDefault="003F7150" w:rsidP="00C11BA2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>At the end of February 2016</w:t>
      </w:r>
      <w:r w:rsidR="00020551" w:rsidRPr="00020551">
        <w:rPr>
          <w:rFonts w:cs="Tahoma"/>
          <w:bCs/>
        </w:rPr>
        <w:t>, the percentage of further education and skills providers judged good or outstanding at their most recent inspection</w:t>
      </w:r>
      <w:r w:rsidR="00020551">
        <w:rPr>
          <w:rFonts w:cs="Tahoma"/>
          <w:bCs/>
        </w:rPr>
        <w:t xml:space="preserve"> was 84%. </w:t>
      </w:r>
    </w:p>
    <w:p w:rsidR="00BA740E" w:rsidRDefault="00747A50" w:rsidP="00C11BA2">
      <w:pPr>
        <w:pStyle w:val="NoSpacing"/>
        <w:jc w:val="left"/>
        <w:rPr>
          <w:rFonts w:cs="Tahoma"/>
          <w:bCs/>
        </w:rPr>
      </w:pPr>
      <w:r>
        <w:rPr>
          <w:rFonts w:cs="Tahom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3AC93" wp14:editId="2B105F31">
                <wp:simplePos x="0" y="0"/>
                <wp:positionH relativeFrom="column">
                  <wp:posOffset>-81915</wp:posOffset>
                </wp:positionH>
                <wp:positionV relativeFrom="paragraph">
                  <wp:posOffset>150495</wp:posOffset>
                </wp:positionV>
                <wp:extent cx="6229350" cy="3762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62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6.45pt;margin-top:11.85pt;width:490.5pt;height:2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" filled="f" strokecolor="black [3213]" strokeweight="1pt"/>
            </w:pict>
          </mc:Fallback>
        </mc:AlternateContent>
      </w:r>
    </w:p>
    <w:p w:rsidR="008E3656" w:rsidRDefault="003D1FA9" w:rsidP="00F105FB">
      <w:pPr>
        <w:pStyle w:val="NoSpacing"/>
        <w:jc w:val="left"/>
        <w:rPr>
          <w:rFonts w:cs="Tahoma"/>
          <w:b/>
          <w:bCs/>
        </w:rPr>
      </w:pPr>
      <w:r w:rsidRPr="00F74465">
        <w:rPr>
          <w:rFonts w:cs="Tahoma"/>
          <w:b/>
          <w:bCs/>
        </w:rPr>
        <w:t xml:space="preserve">Figure </w:t>
      </w:r>
      <w:r w:rsidR="00BA740E">
        <w:rPr>
          <w:rFonts w:cs="Tahoma"/>
          <w:b/>
          <w:bCs/>
        </w:rPr>
        <w:t>4</w:t>
      </w:r>
      <w:r w:rsidRPr="00F74465">
        <w:rPr>
          <w:rFonts w:cs="Tahoma"/>
          <w:b/>
          <w:bCs/>
        </w:rPr>
        <w:t xml:space="preserve">: </w:t>
      </w:r>
      <w:r>
        <w:rPr>
          <w:rFonts w:cs="Tahoma"/>
          <w:b/>
          <w:bCs/>
        </w:rPr>
        <w:t>Most recent o</w:t>
      </w:r>
      <w:r w:rsidRPr="00F74465">
        <w:rPr>
          <w:rFonts w:cs="Tahoma"/>
          <w:b/>
          <w:bCs/>
        </w:rPr>
        <w:t xml:space="preserve">verall effectiveness of </w:t>
      </w:r>
      <w:r>
        <w:rPr>
          <w:rFonts w:cs="Tahoma"/>
          <w:b/>
          <w:bCs/>
        </w:rPr>
        <w:t>further education and skills providers, as at 29 February 201</w:t>
      </w:r>
      <w:r w:rsidR="00DA77B8">
        <w:rPr>
          <w:rFonts w:cs="Tahoma"/>
          <w:b/>
          <w:bCs/>
        </w:rPr>
        <w:t>6</w:t>
      </w:r>
    </w:p>
    <w:p w:rsidR="00460531" w:rsidRPr="00460531" w:rsidRDefault="00587B00" w:rsidP="00F105FB">
      <w:pPr>
        <w:pStyle w:val="NoSpacing"/>
        <w:jc w:val="left"/>
        <w:rPr>
          <w:rFonts w:cs="Tahoma"/>
          <w:bCs/>
        </w:rPr>
      </w:pPr>
      <w:r>
        <w:rPr>
          <w:rFonts w:cs="Tahoma"/>
          <w:bCs/>
          <w:noProof/>
        </w:rPr>
        <w:drawing>
          <wp:inline distT="0" distB="0" distL="0" distR="0" wp14:anchorId="5366DECD">
            <wp:extent cx="6108976" cy="261937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t="7390" r="832" b="7060"/>
                    <a:stretch/>
                  </pic:blipFill>
                  <pic:spPr bwMode="auto">
                    <a:xfrm>
                      <a:off x="0" y="0"/>
                      <a:ext cx="6111801" cy="26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7B8" w:rsidRPr="00DA77B8" w:rsidRDefault="00DA77B8" w:rsidP="00DA77B8">
      <w:pPr>
        <w:pStyle w:val="NoSpacing"/>
        <w:jc w:val="left"/>
        <w:rPr>
          <w:rFonts w:cs="Tahoma"/>
          <w:bCs/>
          <w:sz w:val="8"/>
          <w:szCs w:val="8"/>
        </w:rPr>
      </w:pPr>
    </w:p>
    <w:p w:rsidR="00DA77B8" w:rsidRPr="00DA77B8" w:rsidRDefault="00DA77B8" w:rsidP="00DA77B8">
      <w:pPr>
        <w:pStyle w:val="NoSpacing"/>
        <w:numPr>
          <w:ilvl w:val="0"/>
          <w:numId w:val="23"/>
        </w:numPr>
        <w:jc w:val="left"/>
        <w:rPr>
          <w:rFonts w:cs="Tahoma"/>
          <w:bCs/>
          <w:sz w:val="16"/>
          <w:szCs w:val="16"/>
        </w:rPr>
      </w:pPr>
      <w:r w:rsidRPr="00DA77B8">
        <w:rPr>
          <w:rFonts w:cs="Tahoma"/>
          <w:bCs/>
          <w:sz w:val="16"/>
          <w:szCs w:val="16"/>
        </w:rPr>
        <w:t>Includes general further education colleges, sixth form colleges and specialist further education colleges.</w:t>
      </w:r>
    </w:p>
    <w:p w:rsidR="00DA77B8" w:rsidRPr="00DA77B8" w:rsidRDefault="00DA77B8" w:rsidP="00DA77B8">
      <w:pPr>
        <w:pStyle w:val="NoSpacing"/>
        <w:numPr>
          <w:ilvl w:val="0"/>
          <w:numId w:val="23"/>
        </w:numPr>
        <w:jc w:val="left"/>
        <w:rPr>
          <w:rFonts w:cs="Tahoma"/>
          <w:bCs/>
          <w:sz w:val="16"/>
          <w:szCs w:val="16"/>
        </w:rPr>
      </w:pPr>
      <w:r w:rsidRPr="00DA77B8">
        <w:rPr>
          <w:rFonts w:cs="Tahoma"/>
          <w:bCs/>
          <w:sz w:val="16"/>
          <w:szCs w:val="16"/>
        </w:rPr>
        <w:t>Includes employer providers.</w:t>
      </w:r>
    </w:p>
    <w:p w:rsidR="00DA77B8" w:rsidRPr="00DA77B8" w:rsidRDefault="00DA77B8" w:rsidP="00DA77B8">
      <w:pPr>
        <w:pStyle w:val="NoSpacing"/>
        <w:numPr>
          <w:ilvl w:val="0"/>
          <w:numId w:val="23"/>
        </w:numPr>
        <w:jc w:val="left"/>
        <w:rPr>
          <w:rFonts w:cs="Tahoma"/>
          <w:bCs/>
          <w:sz w:val="16"/>
          <w:szCs w:val="16"/>
        </w:rPr>
      </w:pPr>
      <w:r w:rsidRPr="00DA77B8">
        <w:rPr>
          <w:rFonts w:cs="Tahoma"/>
          <w:bCs/>
          <w:sz w:val="16"/>
          <w:szCs w:val="16"/>
        </w:rPr>
        <w:t xml:space="preserve">Inspection of further education provision only, not provider as a whole. </w:t>
      </w:r>
    </w:p>
    <w:p w:rsidR="00460531" w:rsidRPr="00DA77B8" w:rsidRDefault="00DA77B8" w:rsidP="00DA77B8">
      <w:pPr>
        <w:pStyle w:val="NoSpacing"/>
        <w:numPr>
          <w:ilvl w:val="0"/>
          <w:numId w:val="23"/>
        </w:numPr>
        <w:jc w:val="left"/>
        <w:rPr>
          <w:rFonts w:cs="Tahoma"/>
          <w:bCs/>
          <w:sz w:val="16"/>
          <w:szCs w:val="16"/>
        </w:rPr>
      </w:pPr>
      <w:r w:rsidRPr="00DA77B8">
        <w:rPr>
          <w:rFonts w:cs="Tahoma"/>
          <w:bCs/>
          <w:sz w:val="16"/>
          <w:szCs w:val="16"/>
        </w:rPr>
        <w:t xml:space="preserve">Percentages are rounded and may not add to 100. Where the number of </w:t>
      </w:r>
      <w:r w:rsidR="00950C56">
        <w:rPr>
          <w:rFonts w:cs="Tahoma"/>
          <w:bCs/>
          <w:sz w:val="16"/>
          <w:szCs w:val="16"/>
        </w:rPr>
        <w:t>providers</w:t>
      </w:r>
      <w:r w:rsidRPr="00DA77B8">
        <w:rPr>
          <w:rFonts w:cs="Tahoma"/>
          <w:bCs/>
          <w:sz w:val="16"/>
          <w:szCs w:val="16"/>
        </w:rPr>
        <w:t xml:space="preserve"> is small, percentages should be treated with caution.</w:t>
      </w:r>
    </w:p>
    <w:p w:rsidR="000B3B88" w:rsidRPr="00957657" w:rsidRDefault="000B3B88" w:rsidP="00DA45AA">
      <w:pPr>
        <w:pStyle w:val="Heading2"/>
        <w:spacing w:after="0"/>
        <w:jc w:val="left"/>
        <w:rPr>
          <w:sz w:val="8"/>
          <w:szCs w:val="8"/>
        </w:rPr>
      </w:pPr>
    </w:p>
    <w:p w:rsidR="00C80EBE" w:rsidRDefault="00957657" w:rsidP="00957657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>This is not directly comparable with the 82% of providers judged good or outstanding as at 31 August 2015, due to a change in the methodology whereby</w:t>
      </w:r>
      <w:r w:rsidRPr="00020551">
        <w:rPr>
          <w:rFonts w:cs="Tahoma"/>
          <w:bCs/>
        </w:rPr>
        <w:t xml:space="preserve"> </w:t>
      </w:r>
      <w:r>
        <w:rPr>
          <w:rFonts w:cs="Tahoma"/>
          <w:bCs/>
        </w:rPr>
        <w:t>h</w:t>
      </w:r>
      <w:r w:rsidRPr="00020551">
        <w:rPr>
          <w:rFonts w:cs="Tahoma"/>
          <w:bCs/>
        </w:rPr>
        <w:t xml:space="preserve">igher </w:t>
      </w:r>
      <w:r>
        <w:rPr>
          <w:rFonts w:cs="Tahoma"/>
          <w:bCs/>
        </w:rPr>
        <w:t>e</w:t>
      </w:r>
      <w:r w:rsidRPr="00020551">
        <w:rPr>
          <w:rFonts w:cs="Tahoma"/>
          <w:bCs/>
        </w:rPr>
        <w:t xml:space="preserve">ducation </w:t>
      </w:r>
      <w:r>
        <w:rPr>
          <w:rFonts w:cs="Tahoma"/>
          <w:bCs/>
        </w:rPr>
        <w:t>i</w:t>
      </w:r>
      <w:r w:rsidRPr="00020551">
        <w:rPr>
          <w:rFonts w:cs="Tahoma"/>
          <w:bCs/>
        </w:rPr>
        <w:t>nstitutions and National Career Service contractors</w:t>
      </w:r>
      <w:r>
        <w:rPr>
          <w:rFonts w:cs="Tahoma"/>
          <w:bCs/>
        </w:rPr>
        <w:t xml:space="preserve"> are now included.</w:t>
      </w:r>
      <w:r w:rsidR="002D12CE">
        <w:rPr>
          <w:rFonts w:cs="Tahoma"/>
          <w:bCs/>
        </w:rPr>
        <w:t xml:space="preserve"> </w:t>
      </w:r>
      <w:r w:rsidR="00FE65A1">
        <w:rPr>
          <w:rFonts w:cs="Tahoma"/>
          <w:bCs/>
        </w:rPr>
        <w:t>For f</w:t>
      </w:r>
      <w:r w:rsidR="00DA1240">
        <w:rPr>
          <w:rFonts w:cs="Tahoma"/>
          <w:bCs/>
        </w:rPr>
        <w:t xml:space="preserve">igure 5, </w:t>
      </w:r>
      <w:r w:rsidR="00DA1240" w:rsidRPr="00FE65A1">
        <w:rPr>
          <w:rFonts w:cs="Tahoma"/>
          <w:bCs/>
        </w:rPr>
        <w:t>to</w:t>
      </w:r>
      <w:r w:rsidR="002D12CE">
        <w:rPr>
          <w:rFonts w:cs="Tahoma"/>
          <w:bCs/>
        </w:rPr>
        <w:t xml:space="preserve"> allow </w:t>
      </w:r>
      <w:r w:rsidR="00082C4C">
        <w:rPr>
          <w:rFonts w:cs="Tahoma"/>
          <w:bCs/>
        </w:rPr>
        <w:t>most of the provider groups to be comparable between the 31 August 2015 and 29 February 2016,</w:t>
      </w:r>
      <w:r w:rsidR="00450656">
        <w:rPr>
          <w:rFonts w:cs="Tahoma"/>
          <w:bCs/>
        </w:rPr>
        <w:t xml:space="preserve"> the 31 August 2015 published statistics have been adjusted to remove the providers that had ceased to be funded or </w:t>
      </w:r>
      <w:r w:rsidR="00450656" w:rsidRPr="00450656">
        <w:rPr>
          <w:rFonts w:cs="Tahoma"/>
          <w:bCs/>
        </w:rPr>
        <w:t>were closed on that date</w:t>
      </w:r>
      <w:r w:rsidR="00A855B8" w:rsidRPr="00450656">
        <w:rPr>
          <w:rFonts w:cs="Tahoma"/>
          <w:bCs/>
        </w:rPr>
        <w:t xml:space="preserve">. </w:t>
      </w:r>
      <w:r w:rsidR="00A855B8" w:rsidRPr="00681780">
        <w:rPr>
          <w:rFonts w:cs="Tahoma"/>
          <w:bCs/>
        </w:rPr>
        <w:t>F</w:t>
      </w:r>
      <w:r w:rsidR="00C80EBE" w:rsidRPr="00681780">
        <w:rPr>
          <w:rFonts w:cs="Tahoma"/>
          <w:bCs/>
        </w:rPr>
        <w:t>our out of the</w:t>
      </w:r>
      <w:r w:rsidR="00A855B8" w:rsidRPr="00681780">
        <w:rPr>
          <w:rFonts w:cs="Tahoma"/>
          <w:bCs/>
        </w:rPr>
        <w:t>se</w:t>
      </w:r>
      <w:r w:rsidR="00C80EBE" w:rsidRPr="00681780">
        <w:rPr>
          <w:rFonts w:cs="Tahoma"/>
          <w:bCs/>
        </w:rPr>
        <w:t xml:space="preserve"> seven provider groups </w:t>
      </w:r>
      <w:r w:rsidR="00A855B8" w:rsidRPr="00681780">
        <w:rPr>
          <w:rFonts w:cs="Tahoma"/>
          <w:bCs/>
        </w:rPr>
        <w:t>saw</w:t>
      </w:r>
      <w:r w:rsidR="00C80EBE" w:rsidRPr="00681780">
        <w:rPr>
          <w:rFonts w:cs="Tahoma"/>
          <w:bCs/>
        </w:rPr>
        <w:t xml:space="preserve"> an increase in the proportion judged good or outstanding</w:t>
      </w:r>
      <w:r w:rsidR="00A855B8" w:rsidRPr="00681780">
        <w:rPr>
          <w:rFonts w:cs="Tahoma"/>
          <w:bCs/>
        </w:rPr>
        <w:t xml:space="preserve"> between 31 August 2015 and 29 February 2016.</w:t>
      </w:r>
      <w:r w:rsidR="00C80EBE">
        <w:rPr>
          <w:rFonts w:cs="Tahoma"/>
          <w:bCs/>
        </w:rPr>
        <w:t xml:space="preserve"> </w:t>
      </w:r>
    </w:p>
    <w:p w:rsidR="00C80EBE" w:rsidRDefault="00C80EBE" w:rsidP="00957657">
      <w:pPr>
        <w:pStyle w:val="NoSpacing"/>
        <w:jc w:val="left"/>
        <w:rPr>
          <w:rFonts w:cs="Tahoma"/>
          <w:bCs/>
        </w:rPr>
      </w:pPr>
    </w:p>
    <w:p w:rsidR="00742754" w:rsidRDefault="00742754" w:rsidP="00742754">
      <w:pPr>
        <w:pStyle w:val="Heading3"/>
        <w:spacing w:after="0"/>
      </w:pPr>
      <w:bookmarkStart w:id="10" w:name="_Toc452636772"/>
      <w:bookmarkStart w:id="11" w:name="_Toc452732297"/>
      <w:r>
        <w:rPr>
          <w:caps w:val="0"/>
        </w:rPr>
        <w:t>General further education colleges</w:t>
      </w:r>
      <w:bookmarkEnd w:id="10"/>
      <w:bookmarkEnd w:id="11"/>
    </w:p>
    <w:p w:rsidR="00742754" w:rsidRDefault="00742754" w:rsidP="00DA45AA">
      <w:pPr>
        <w:pStyle w:val="NoSpacing"/>
        <w:jc w:val="left"/>
        <w:rPr>
          <w:rFonts w:cs="Tahoma"/>
          <w:bCs/>
        </w:rPr>
      </w:pPr>
    </w:p>
    <w:p w:rsidR="00DA0096" w:rsidRDefault="00066445" w:rsidP="00511188">
      <w:pPr>
        <w:pStyle w:val="NoSpacing"/>
        <w:spacing w:after="120"/>
        <w:jc w:val="left"/>
        <w:rPr>
          <w:rFonts w:cs="Tahoma"/>
          <w:bCs/>
        </w:rPr>
      </w:pPr>
      <w:r>
        <w:rPr>
          <w:rFonts w:cs="Tahoma"/>
          <w:bCs/>
        </w:rPr>
        <w:t xml:space="preserve">The </w:t>
      </w:r>
      <w:r w:rsidR="00D204DB">
        <w:rPr>
          <w:rFonts w:cs="Tahoma"/>
          <w:bCs/>
        </w:rPr>
        <w:t>proportion</w:t>
      </w:r>
      <w:r w:rsidRPr="00A14EAB">
        <w:rPr>
          <w:rFonts w:cs="Tahoma"/>
          <w:bCs/>
        </w:rPr>
        <w:t xml:space="preserve"> of </w:t>
      </w:r>
      <w:r>
        <w:rPr>
          <w:rFonts w:cs="Tahoma"/>
          <w:bCs/>
        </w:rPr>
        <w:t xml:space="preserve">general further education colleges </w:t>
      </w:r>
      <w:r w:rsidRPr="00A14EAB">
        <w:rPr>
          <w:rFonts w:cs="Tahoma"/>
          <w:bCs/>
        </w:rPr>
        <w:t>judged good or outstanding</w:t>
      </w:r>
      <w:r>
        <w:rPr>
          <w:rFonts w:cs="Tahoma"/>
          <w:bCs/>
        </w:rPr>
        <w:t xml:space="preserve"> at their most recent inspection </w:t>
      </w:r>
      <w:r w:rsidR="00765E4E">
        <w:rPr>
          <w:rFonts w:cs="Tahoma"/>
          <w:bCs/>
        </w:rPr>
        <w:t>has continued to decline, from 77% to 76%</w:t>
      </w:r>
      <w:r>
        <w:rPr>
          <w:rFonts w:cs="Tahoma"/>
          <w:bCs/>
        </w:rPr>
        <w:t xml:space="preserve">. This </w:t>
      </w:r>
      <w:r w:rsidR="00D23955">
        <w:rPr>
          <w:rFonts w:cs="Tahoma"/>
          <w:bCs/>
        </w:rPr>
        <w:t xml:space="preserve">decline </w:t>
      </w:r>
      <w:r>
        <w:rPr>
          <w:rFonts w:cs="Tahoma"/>
          <w:bCs/>
        </w:rPr>
        <w:t>was caused by</w:t>
      </w:r>
      <w:r w:rsidR="00FD7AE8">
        <w:rPr>
          <w:rFonts w:cs="Tahoma"/>
          <w:bCs/>
        </w:rPr>
        <w:t>:</w:t>
      </w:r>
    </w:p>
    <w:p w:rsidR="00DA0096" w:rsidRDefault="00DA0096" w:rsidP="00511188">
      <w:pPr>
        <w:pStyle w:val="NoSpacing"/>
        <w:numPr>
          <w:ilvl w:val="0"/>
          <w:numId w:val="26"/>
        </w:numPr>
        <w:jc w:val="left"/>
        <w:rPr>
          <w:rFonts w:cs="Tahoma"/>
          <w:bCs/>
        </w:rPr>
      </w:pPr>
      <w:r>
        <w:rPr>
          <w:rFonts w:cs="Tahoma"/>
          <w:bCs/>
        </w:rPr>
        <w:t xml:space="preserve">Eight </w:t>
      </w:r>
      <w:r w:rsidR="00A414F1">
        <w:rPr>
          <w:rFonts w:cs="Tahoma"/>
          <w:bCs/>
        </w:rPr>
        <w:t xml:space="preserve">previously good or outstanding </w:t>
      </w:r>
      <w:r>
        <w:rPr>
          <w:rFonts w:cs="Tahoma"/>
          <w:bCs/>
        </w:rPr>
        <w:t>colleges declining to requires improvement or inadequate this reporting year, compared with seven colleges improving to good;</w:t>
      </w:r>
    </w:p>
    <w:p w:rsidR="00DA0096" w:rsidRDefault="00DA48C1" w:rsidP="00511188">
      <w:pPr>
        <w:pStyle w:val="NoSpacing"/>
        <w:numPr>
          <w:ilvl w:val="0"/>
          <w:numId w:val="26"/>
        </w:numPr>
        <w:jc w:val="left"/>
        <w:rPr>
          <w:rFonts w:cs="Tahoma"/>
          <w:bCs/>
        </w:rPr>
      </w:pPr>
      <w:r>
        <w:rPr>
          <w:rFonts w:cs="Tahoma"/>
          <w:bCs/>
        </w:rPr>
        <w:t>O</w:t>
      </w:r>
      <w:r w:rsidR="00066445">
        <w:rPr>
          <w:rFonts w:cs="Tahoma"/>
          <w:bCs/>
        </w:rPr>
        <w:t>ne good college</w:t>
      </w:r>
      <w:r>
        <w:rPr>
          <w:rFonts w:cs="Tahoma"/>
          <w:bCs/>
        </w:rPr>
        <w:t xml:space="preserve"> merging with a</w:t>
      </w:r>
      <w:r w:rsidR="00FD7AE8">
        <w:rPr>
          <w:rFonts w:cs="Tahoma"/>
          <w:bCs/>
        </w:rPr>
        <w:t>nother college;</w:t>
      </w:r>
    </w:p>
    <w:p w:rsidR="00DA0096" w:rsidRDefault="00DA0096" w:rsidP="00511188">
      <w:pPr>
        <w:pStyle w:val="NoSpacing"/>
        <w:numPr>
          <w:ilvl w:val="0"/>
          <w:numId w:val="26"/>
        </w:numPr>
        <w:jc w:val="left"/>
        <w:rPr>
          <w:rFonts w:cs="Tahoma"/>
          <w:bCs/>
        </w:rPr>
      </w:pPr>
      <w:r>
        <w:rPr>
          <w:rFonts w:cs="Tahoma"/>
          <w:bCs/>
        </w:rPr>
        <w:t>G</w:t>
      </w:r>
      <w:r w:rsidR="00066445">
        <w:rPr>
          <w:rFonts w:cs="Tahoma"/>
          <w:bCs/>
        </w:rPr>
        <w:t>aining one college that required improvement</w:t>
      </w:r>
      <w:r>
        <w:rPr>
          <w:rFonts w:cs="Tahoma"/>
          <w:bCs/>
        </w:rPr>
        <w:t>,</w:t>
      </w:r>
      <w:r w:rsidR="00066445">
        <w:rPr>
          <w:rFonts w:cs="Tahoma"/>
          <w:bCs/>
        </w:rPr>
        <w:t xml:space="preserve"> which </w:t>
      </w:r>
      <w:r w:rsidR="00511188">
        <w:rPr>
          <w:rFonts w:cs="Tahoma"/>
          <w:bCs/>
        </w:rPr>
        <w:t xml:space="preserve">had been </w:t>
      </w:r>
      <w:r w:rsidR="00511188" w:rsidRPr="00511188">
        <w:rPr>
          <w:rFonts w:cs="Tahoma"/>
          <w:bCs/>
        </w:rPr>
        <w:t xml:space="preserve">previously </w:t>
      </w:r>
      <w:r w:rsidR="00511188">
        <w:rPr>
          <w:rFonts w:cs="Tahoma"/>
          <w:bCs/>
        </w:rPr>
        <w:t xml:space="preserve">been </w:t>
      </w:r>
      <w:r w:rsidR="00511188" w:rsidRPr="00511188">
        <w:rPr>
          <w:rFonts w:cs="Tahoma"/>
          <w:bCs/>
        </w:rPr>
        <w:t>categorised as a sixth form college.</w:t>
      </w:r>
    </w:p>
    <w:p w:rsidR="00FD7AE8" w:rsidRDefault="00FD7AE8" w:rsidP="00511188">
      <w:pPr>
        <w:pStyle w:val="NoSpacing"/>
        <w:jc w:val="left"/>
        <w:rPr>
          <w:rFonts w:cs="Tahoma"/>
          <w:bCs/>
        </w:rPr>
      </w:pPr>
    </w:p>
    <w:p w:rsidR="00742754" w:rsidRPr="00742754" w:rsidRDefault="00742754" w:rsidP="00511188">
      <w:pPr>
        <w:pStyle w:val="Heading3"/>
        <w:spacing w:after="0"/>
        <w:rPr>
          <w:caps w:val="0"/>
        </w:rPr>
      </w:pPr>
      <w:bookmarkStart w:id="12" w:name="_Toc452636773"/>
      <w:bookmarkStart w:id="13" w:name="_Toc452732298"/>
      <w:r w:rsidRPr="00742754">
        <w:rPr>
          <w:caps w:val="0"/>
        </w:rPr>
        <w:t>Independent learning providers (including employer providers)</w:t>
      </w:r>
      <w:bookmarkEnd w:id="12"/>
      <w:bookmarkEnd w:id="13"/>
    </w:p>
    <w:p w:rsidR="00742754" w:rsidRDefault="00742754" w:rsidP="00511188">
      <w:pPr>
        <w:pStyle w:val="NoSpacing"/>
        <w:jc w:val="left"/>
        <w:rPr>
          <w:rFonts w:cs="Tahoma"/>
          <w:bCs/>
        </w:rPr>
      </w:pPr>
    </w:p>
    <w:p w:rsidR="009213AE" w:rsidRDefault="009213AE" w:rsidP="00511188">
      <w:pPr>
        <w:pStyle w:val="NoSpacing"/>
        <w:jc w:val="left"/>
      </w:pPr>
      <w:r>
        <w:t xml:space="preserve">The proportion of good or outstanding independent learning providers (including employer providers) increased by </w:t>
      </w:r>
      <w:r w:rsidR="008D6B40">
        <w:t>three</w:t>
      </w:r>
      <w:r w:rsidR="000F6A2A">
        <w:t xml:space="preserve"> </w:t>
      </w:r>
      <w:r>
        <w:t>percentage points, to 84%. This was caused by</w:t>
      </w:r>
      <w:r w:rsidR="002D12CE">
        <w:t xml:space="preserve"> the majority</w:t>
      </w:r>
      <w:r>
        <w:t xml:space="preserve"> of the providers who were inadequate on 31 August 2015 losing their funding</w:t>
      </w:r>
      <w:r w:rsidR="00856B2E">
        <w:t xml:space="preserve"> or closing down</w:t>
      </w:r>
      <w:r>
        <w:t xml:space="preserve"> and a large majority of the previously grade 3 providers improving to good. </w:t>
      </w:r>
    </w:p>
    <w:p w:rsidR="003C737C" w:rsidRDefault="003C737C" w:rsidP="00511188">
      <w:pPr>
        <w:pStyle w:val="NoSpacing"/>
        <w:jc w:val="left"/>
      </w:pPr>
    </w:p>
    <w:p w:rsidR="00742754" w:rsidRPr="00742754" w:rsidRDefault="00742754" w:rsidP="00511188">
      <w:pPr>
        <w:pStyle w:val="Heading3"/>
        <w:spacing w:after="0"/>
        <w:rPr>
          <w:caps w:val="0"/>
        </w:rPr>
      </w:pPr>
      <w:bookmarkStart w:id="14" w:name="_Toc452636774"/>
      <w:bookmarkStart w:id="15" w:name="_Toc452732299"/>
      <w:r>
        <w:rPr>
          <w:caps w:val="0"/>
        </w:rPr>
        <w:t>Community learning and skills providers</w:t>
      </w:r>
      <w:bookmarkEnd w:id="14"/>
      <w:bookmarkEnd w:id="15"/>
    </w:p>
    <w:p w:rsidR="00742754" w:rsidRDefault="00742754" w:rsidP="00511188">
      <w:pPr>
        <w:pStyle w:val="NoSpacing"/>
        <w:jc w:val="left"/>
        <w:rPr>
          <w:rFonts w:cs="Tahoma"/>
          <w:bCs/>
        </w:rPr>
      </w:pPr>
    </w:p>
    <w:p w:rsidR="00D23955" w:rsidRDefault="001C2AF5" w:rsidP="00511188">
      <w:pPr>
        <w:pStyle w:val="NoSpacing"/>
        <w:spacing w:after="120"/>
        <w:jc w:val="left"/>
        <w:rPr>
          <w:rFonts w:cs="Tahoma"/>
          <w:bCs/>
        </w:rPr>
      </w:pPr>
      <w:r>
        <w:rPr>
          <w:rFonts w:cs="Tahoma"/>
          <w:bCs/>
        </w:rPr>
        <w:t>T</w:t>
      </w:r>
      <w:r w:rsidR="00D204DB" w:rsidRPr="002D79E2">
        <w:rPr>
          <w:rFonts w:cs="Tahoma"/>
          <w:bCs/>
        </w:rPr>
        <w:t xml:space="preserve">he proportion of </w:t>
      </w:r>
      <w:r w:rsidR="000B3B88" w:rsidRPr="002D79E2">
        <w:rPr>
          <w:rFonts w:cs="Tahoma"/>
          <w:bCs/>
        </w:rPr>
        <w:t xml:space="preserve">community learning and skills providers </w:t>
      </w:r>
      <w:r w:rsidR="00D204DB" w:rsidRPr="002D79E2">
        <w:rPr>
          <w:rFonts w:cs="Tahoma"/>
          <w:bCs/>
        </w:rPr>
        <w:t xml:space="preserve">judged good or outstanding at their most recent inspection </w:t>
      </w:r>
      <w:r w:rsidR="000B3B88" w:rsidRPr="002D79E2">
        <w:rPr>
          <w:rFonts w:cs="Tahoma"/>
          <w:bCs/>
        </w:rPr>
        <w:t>declined</w:t>
      </w:r>
      <w:r w:rsidR="00EE51C9">
        <w:rPr>
          <w:rFonts w:cs="Tahoma"/>
          <w:bCs/>
        </w:rPr>
        <w:t xml:space="preserve"> </w:t>
      </w:r>
      <w:r>
        <w:rPr>
          <w:rFonts w:cs="Tahoma"/>
          <w:bCs/>
        </w:rPr>
        <w:t>for the first time since reporting</w:t>
      </w:r>
      <w:r w:rsidR="00A414F1">
        <w:rPr>
          <w:rFonts w:cs="Tahoma"/>
          <w:bCs/>
        </w:rPr>
        <w:t xml:space="preserve"> began</w:t>
      </w:r>
      <w:r w:rsidR="00EE51C9" w:rsidRPr="00EE51C9">
        <w:rPr>
          <w:rFonts w:cs="Tahoma"/>
          <w:bCs/>
        </w:rPr>
        <w:t xml:space="preserve"> </w:t>
      </w:r>
      <w:r w:rsidR="00EE51C9" w:rsidRPr="00C73089">
        <w:rPr>
          <w:rFonts w:cs="Tahoma"/>
          <w:bCs/>
        </w:rPr>
        <w:t>from 88%</w:t>
      </w:r>
      <w:r w:rsidR="00EE51C9" w:rsidRPr="002D79E2">
        <w:rPr>
          <w:rFonts w:cs="Tahoma"/>
          <w:bCs/>
        </w:rPr>
        <w:t xml:space="preserve"> to 86%</w:t>
      </w:r>
      <w:r w:rsidR="000B3B88" w:rsidRPr="002D79E2">
        <w:rPr>
          <w:rFonts w:cs="Tahoma"/>
          <w:bCs/>
        </w:rPr>
        <w:t>.</w:t>
      </w:r>
      <w:r w:rsidR="00D23955">
        <w:rPr>
          <w:rFonts w:cs="Tahoma"/>
          <w:bCs/>
        </w:rPr>
        <w:t xml:space="preserve"> The reasons behind this decline </w:t>
      </w:r>
      <w:r w:rsidR="008707C1">
        <w:rPr>
          <w:rFonts w:cs="Tahoma"/>
          <w:bCs/>
        </w:rPr>
        <w:t xml:space="preserve">were based on </w:t>
      </w:r>
      <w:r w:rsidR="007054AB">
        <w:rPr>
          <w:rFonts w:cs="Tahoma"/>
          <w:bCs/>
        </w:rPr>
        <w:t>a changing c</w:t>
      </w:r>
      <w:r w:rsidR="008707C1">
        <w:rPr>
          <w:rFonts w:cs="Tahoma"/>
          <w:bCs/>
        </w:rPr>
        <w:t xml:space="preserve">omposition of the providers included and a decline in </w:t>
      </w:r>
      <w:r w:rsidR="007054AB">
        <w:rPr>
          <w:rFonts w:cs="Tahoma"/>
          <w:bCs/>
        </w:rPr>
        <w:t xml:space="preserve">the </w:t>
      </w:r>
      <w:r w:rsidR="008707C1">
        <w:rPr>
          <w:rFonts w:cs="Tahoma"/>
          <w:bCs/>
        </w:rPr>
        <w:t>in-year inspection outcomes</w:t>
      </w:r>
      <w:r w:rsidR="00D23955">
        <w:rPr>
          <w:rFonts w:cs="Tahoma"/>
          <w:bCs/>
        </w:rPr>
        <w:t>:</w:t>
      </w:r>
    </w:p>
    <w:p w:rsidR="007054AB" w:rsidRPr="007054AB" w:rsidRDefault="00653EB8" w:rsidP="00511188">
      <w:pPr>
        <w:pStyle w:val="NoSpacing"/>
        <w:numPr>
          <w:ilvl w:val="0"/>
          <w:numId w:val="29"/>
        </w:numPr>
        <w:jc w:val="left"/>
        <w:rPr>
          <w:rFonts w:cs="Tahoma"/>
          <w:bCs/>
        </w:rPr>
      </w:pPr>
      <w:r>
        <w:rPr>
          <w:rFonts w:cs="Tahoma"/>
          <w:bCs/>
        </w:rPr>
        <w:t>E</w:t>
      </w:r>
      <w:r w:rsidR="007054AB">
        <w:rPr>
          <w:rFonts w:cs="Tahoma"/>
          <w:bCs/>
        </w:rPr>
        <w:t>ight pre</w:t>
      </w:r>
      <w:r>
        <w:rPr>
          <w:rFonts w:cs="Tahoma"/>
          <w:bCs/>
        </w:rPr>
        <w:t>viously good providers declined</w:t>
      </w:r>
      <w:r w:rsidR="007054AB">
        <w:rPr>
          <w:rFonts w:cs="Tahoma"/>
          <w:bCs/>
        </w:rPr>
        <w:t xml:space="preserve"> to requires improvement or inadequate, with just two providers improving to good;</w:t>
      </w:r>
    </w:p>
    <w:p w:rsidR="00D23955" w:rsidRDefault="007054AB" w:rsidP="00511188">
      <w:pPr>
        <w:pStyle w:val="NoSpacing"/>
        <w:numPr>
          <w:ilvl w:val="0"/>
          <w:numId w:val="29"/>
        </w:numPr>
        <w:jc w:val="left"/>
        <w:rPr>
          <w:rFonts w:cs="Tahoma"/>
          <w:bCs/>
        </w:rPr>
      </w:pPr>
      <w:r>
        <w:rPr>
          <w:rFonts w:cs="Tahoma"/>
          <w:bCs/>
        </w:rPr>
        <w:t>Three providers (one requiring improvement and two good) ceased to be funded either novat</w:t>
      </w:r>
      <w:r w:rsidR="00653EB8">
        <w:rPr>
          <w:rFonts w:cs="Tahoma"/>
          <w:bCs/>
        </w:rPr>
        <w:t>ing</w:t>
      </w:r>
      <w:r>
        <w:rPr>
          <w:rFonts w:cs="Tahoma"/>
          <w:bCs/>
        </w:rPr>
        <w:t xml:space="preserve"> their contracts or transferr</w:t>
      </w:r>
      <w:r w:rsidR="00653EB8">
        <w:rPr>
          <w:rFonts w:cs="Tahoma"/>
          <w:bCs/>
        </w:rPr>
        <w:t>ing</w:t>
      </w:r>
      <w:r w:rsidR="00201406">
        <w:rPr>
          <w:rFonts w:cs="Tahoma"/>
          <w:bCs/>
        </w:rPr>
        <w:t xml:space="preserve"> funding to a partner provider.</w:t>
      </w:r>
      <w:r w:rsidR="00B72FC3">
        <w:rPr>
          <w:rFonts w:cs="Tahoma"/>
          <w:bCs/>
        </w:rPr>
        <w:t xml:space="preserve"> </w:t>
      </w:r>
    </w:p>
    <w:p w:rsidR="00D23955" w:rsidRDefault="00D23955" w:rsidP="00D23955">
      <w:pPr>
        <w:pStyle w:val="NoSpacing"/>
        <w:jc w:val="left"/>
        <w:rPr>
          <w:rFonts w:cs="Tahoma"/>
          <w:bCs/>
        </w:rPr>
      </w:pPr>
    </w:p>
    <w:p w:rsidR="00D06CB4" w:rsidRDefault="00D06CB4" w:rsidP="00DA45AA">
      <w:pPr>
        <w:jc w:val="left"/>
      </w:pPr>
    </w:p>
    <w:p w:rsidR="002D12CE" w:rsidRDefault="002D12CE">
      <w:pPr>
        <w:jc w:val="left"/>
        <w:rPr>
          <w:b/>
        </w:rPr>
      </w:pPr>
      <w:r>
        <w:rPr>
          <w:b/>
        </w:rPr>
        <w:br w:type="page"/>
      </w:r>
    </w:p>
    <w:p w:rsidR="00DA45AA" w:rsidRDefault="00DA45AA" w:rsidP="00DA45AA">
      <w:pPr>
        <w:spacing w:after="120"/>
        <w:jc w:val="left"/>
        <w:rPr>
          <w:b/>
        </w:rPr>
      </w:pPr>
      <w:r w:rsidRPr="00DA45AA">
        <w:rPr>
          <w:b/>
        </w:rPr>
        <w:lastRenderedPageBreak/>
        <w:t>Figure 5: Percentage of providers judged good or outstanding at their most recent inspection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113"/>
        <w:gridCol w:w="671"/>
        <w:gridCol w:w="649"/>
        <w:gridCol w:w="660"/>
        <w:gridCol w:w="660"/>
        <w:gridCol w:w="1467"/>
      </w:tblGrid>
      <w:tr w:rsidR="001765CB" w:rsidRPr="001765CB" w:rsidTr="000F6A2A">
        <w:trPr>
          <w:trHeight w:val="840"/>
        </w:trPr>
        <w:tc>
          <w:tcPr>
            <w:tcW w:w="5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Provider types/groups that are comparable between years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As at 31 August 2015</w:t>
            </w:r>
            <w:r w:rsidR="00EE51C9" w:rsidRPr="00EE51C9">
              <w:rPr>
                <w:rFonts w:cs="Tahom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As at 29 February 2016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Percentage point difference</w:t>
            </w:r>
          </w:p>
        </w:tc>
      </w:tr>
      <w:tr w:rsidR="001765CB" w:rsidRPr="001765CB" w:rsidTr="000F6A2A">
        <w:trPr>
          <w:trHeight w:val="285"/>
        </w:trPr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65CB" w:rsidRPr="001765CB" w:rsidTr="000F6A2A">
        <w:trPr>
          <w:trHeight w:val="563"/>
        </w:trPr>
        <w:tc>
          <w:tcPr>
            <w:tcW w:w="5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General further education colleges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-1</w:t>
            </w:r>
          </w:p>
        </w:tc>
      </w:tr>
      <w:tr w:rsidR="001765CB" w:rsidRPr="001765CB" w:rsidTr="000F6A2A">
        <w:trPr>
          <w:trHeight w:val="581"/>
        </w:trPr>
        <w:tc>
          <w:tcPr>
            <w:tcW w:w="5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Sixth form college</w:t>
            </w:r>
            <w:r>
              <w:rPr>
                <w:rFonts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+4</w:t>
            </w:r>
          </w:p>
        </w:tc>
      </w:tr>
      <w:tr w:rsidR="001765CB" w:rsidRPr="001765CB" w:rsidTr="000F6A2A">
        <w:trPr>
          <w:trHeight w:val="561"/>
        </w:trPr>
        <w:tc>
          <w:tcPr>
            <w:tcW w:w="5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Specialist further education college</w:t>
            </w:r>
            <w:r>
              <w:rPr>
                <w:rFonts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0</w:t>
            </w:r>
          </w:p>
        </w:tc>
      </w:tr>
      <w:tr w:rsidR="001765CB" w:rsidRPr="001765CB" w:rsidTr="000F6A2A">
        <w:trPr>
          <w:trHeight w:val="569"/>
        </w:trPr>
        <w:tc>
          <w:tcPr>
            <w:tcW w:w="5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Independent specialist colleges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+1</w:t>
            </w:r>
          </w:p>
        </w:tc>
      </w:tr>
      <w:tr w:rsidR="001765CB" w:rsidRPr="001765CB" w:rsidTr="000F6A2A">
        <w:trPr>
          <w:trHeight w:val="847"/>
        </w:trPr>
        <w:tc>
          <w:tcPr>
            <w:tcW w:w="5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Independent learning providers (including employer providers)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4</w:t>
            </w:r>
            <w:r w:rsidR="00EE51C9" w:rsidRPr="00C73089">
              <w:rPr>
                <w:rFonts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C73089" w:rsidRDefault="00EE51C9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EE51C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E51C9">
              <w:rPr>
                <w:rFonts w:cs="Tahom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EE51C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E51C9">
              <w:rPr>
                <w:rFonts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EE51C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E51C9">
              <w:rPr>
                <w:rFonts w:cs="Tahoma"/>
                <w:color w:val="000000"/>
                <w:sz w:val="22"/>
                <w:szCs w:val="22"/>
              </w:rPr>
              <w:t>+</w:t>
            </w:r>
            <w:r w:rsidR="00EE51C9" w:rsidRPr="00EE51C9">
              <w:rPr>
                <w:rFonts w:cs="Tahoma"/>
                <w:color w:val="000000"/>
                <w:sz w:val="22"/>
                <w:szCs w:val="22"/>
              </w:rPr>
              <w:t>3</w:t>
            </w:r>
          </w:p>
        </w:tc>
      </w:tr>
      <w:tr w:rsidR="001765CB" w:rsidRPr="001765CB" w:rsidTr="000F6A2A">
        <w:trPr>
          <w:trHeight w:val="561"/>
        </w:trPr>
        <w:tc>
          <w:tcPr>
            <w:tcW w:w="5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Community learning and skills providers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EE51C9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2</w:t>
            </w:r>
            <w:r w:rsidR="00EE51C9" w:rsidRPr="00C73089">
              <w:rPr>
                <w:rFonts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8</w:t>
            </w:r>
            <w:r w:rsidR="00EE51C9" w:rsidRPr="00C73089">
              <w:rPr>
                <w:rFonts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-</w:t>
            </w:r>
            <w:r w:rsidR="00EE51C9">
              <w:rPr>
                <w:rFonts w:cs="Tahoma"/>
                <w:color w:val="000000"/>
                <w:sz w:val="22"/>
                <w:szCs w:val="22"/>
              </w:rPr>
              <w:t>2</w:t>
            </w:r>
          </w:p>
        </w:tc>
      </w:tr>
      <w:tr w:rsidR="001765CB" w:rsidRPr="001765CB" w:rsidTr="000F6A2A">
        <w:trPr>
          <w:trHeight w:val="711"/>
        </w:trPr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CB" w:rsidRPr="001765CB" w:rsidRDefault="001765CB" w:rsidP="001765CB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16-19 academies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C73089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73089">
              <w:rPr>
                <w:rFonts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5CB" w:rsidRPr="001765CB" w:rsidRDefault="001765CB" w:rsidP="001765CB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765CB">
              <w:rPr>
                <w:rFonts w:cs="Tahoma"/>
                <w:color w:val="000000"/>
                <w:sz w:val="22"/>
                <w:szCs w:val="22"/>
              </w:rPr>
              <w:t>+10</w:t>
            </w:r>
          </w:p>
        </w:tc>
      </w:tr>
    </w:tbl>
    <w:p w:rsidR="002661B7" w:rsidRPr="002661B7" w:rsidRDefault="002661B7" w:rsidP="002661B7">
      <w:pPr>
        <w:pStyle w:val="NoSpacing"/>
        <w:jc w:val="left"/>
        <w:rPr>
          <w:rFonts w:cs="Tahoma"/>
          <w:bCs/>
          <w:sz w:val="8"/>
          <w:szCs w:val="8"/>
        </w:rPr>
      </w:pPr>
    </w:p>
    <w:p w:rsidR="00EE51C9" w:rsidRPr="002D12CE" w:rsidRDefault="00EE51C9" w:rsidP="006B7981">
      <w:pPr>
        <w:pStyle w:val="NoSpacing"/>
        <w:numPr>
          <w:ilvl w:val="0"/>
          <w:numId w:val="31"/>
        </w:numPr>
        <w:jc w:val="left"/>
        <w:rPr>
          <w:rFonts w:cs="Tahoma"/>
          <w:bCs/>
          <w:sz w:val="16"/>
          <w:szCs w:val="16"/>
        </w:rPr>
      </w:pPr>
      <w:r w:rsidRPr="002D12CE">
        <w:rPr>
          <w:rFonts w:cs="Tahoma"/>
          <w:bCs/>
          <w:sz w:val="16"/>
          <w:szCs w:val="16"/>
        </w:rPr>
        <w:t>The</w:t>
      </w:r>
      <w:r w:rsidR="002D12CE">
        <w:rPr>
          <w:rFonts w:cs="Tahoma"/>
          <w:bCs/>
          <w:sz w:val="16"/>
          <w:szCs w:val="16"/>
        </w:rPr>
        <w:t>se</w:t>
      </w:r>
      <w:r w:rsidRPr="002D12CE">
        <w:rPr>
          <w:rFonts w:cs="Tahoma"/>
          <w:bCs/>
          <w:sz w:val="16"/>
          <w:szCs w:val="16"/>
        </w:rPr>
        <w:t xml:space="preserve"> statistics have been </w:t>
      </w:r>
      <w:r w:rsidR="002D12CE">
        <w:rPr>
          <w:rFonts w:cs="Tahoma"/>
          <w:bCs/>
          <w:sz w:val="16"/>
          <w:szCs w:val="16"/>
        </w:rPr>
        <w:t>adjusted</w:t>
      </w:r>
      <w:r w:rsidR="002D12CE" w:rsidRPr="002D12CE">
        <w:rPr>
          <w:rFonts w:cs="Tahoma"/>
          <w:bCs/>
          <w:sz w:val="16"/>
          <w:szCs w:val="16"/>
        </w:rPr>
        <w:t xml:space="preserve"> </w:t>
      </w:r>
      <w:r w:rsidR="002D12CE">
        <w:rPr>
          <w:rFonts w:cs="Tahoma"/>
          <w:bCs/>
          <w:sz w:val="16"/>
          <w:szCs w:val="16"/>
        </w:rPr>
        <w:t xml:space="preserve">from the previously published data </w:t>
      </w:r>
      <w:r w:rsidR="002D12CE" w:rsidRPr="002D12CE">
        <w:rPr>
          <w:rFonts w:cs="Tahoma"/>
          <w:bCs/>
          <w:sz w:val="16"/>
          <w:szCs w:val="16"/>
        </w:rPr>
        <w:t>to only include those providers that were open and funded</w:t>
      </w:r>
      <w:r w:rsidR="002D12CE">
        <w:rPr>
          <w:rFonts w:cs="Tahoma"/>
          <w:bCs/>
          <w:sz w:val="16"/>
          <w:szCs w:val="16"/>
        </w:rPr>
        <w:t xml:space="preserve"> as at 31 August 2015. </w:t>
      </w:r>
      <w:r w:rsidRPr="002D12CE">
        <w:rPr>
          <w:rFonts w:cs="Tahoma"/>
          <w:bCs/>
          <w:sz w:val="16"/>
          <w:szCs w:val="16"/>
        </w:rPr>
        <w:t xml:space="preserve">   </w:t>
      </w:r>
    </w:p>
    <w:p w:rsidR="000F6A2A" w:rsidRPr="00DA77B8" w:rsidRDefault="00C64C74" w:rsidP="006B7981">
      <w:pPr>
        <w:pStyle w:val="NoSpacing"/>
        <w:numPr>
          <w:ilvl w:val="0"/>
          <w:numId w:val="31"/>
        </w:numPr>
        <w:jc w:val="left"/>
        <w:rPr>
          <w:rFonts w:cs="Tahoma"/>
          <w:bCs/>
          <w:sz w:val="16"/>
          <w:szCs w:val="16"/>
        </w:rPr>
      </w:pPr>
      <w:r>
        <w:rPr>
          <w:rFonts w:cs="Tahoma"/>
          <w:bCs/>
          <w:sz w:val="16"/>
          <w:szCs w:val="16"/>
        </w:rPr>
        <w:t>The p</w:t>
      </w:r>
      <w:r w:rsidR="000F6A2A" w:rsidRPr="00DA77B8">
        <w:rPr>
          <w:rFonts w:cs="Tahoma"/>
          <w:bCs/>
          <w:sz w:val="16"/>
          <w:szCs w:val="16"/>
        </w:rPr>
        <w:t xml:space="preserve">ercentage </w:t>
      </w:r>
      <w:r>
        <w:rPr>
          <w:rFonts w:cs="Tahoma"/>
          <w:bCs/>
          <w:sz w:val="16"/>
          <w:szCs w:val="16"/>
        </w:rPr>
        <w:t>point difference is calculated using unrounded numbers.</w:t>
      </w:r>
      <w:r w:rsidR="006B7981">
        <w:rPr>
          <w:rFonts w:cs="Tahoma"/>
          <w:bCs/>
          <w:sz w:val="16"/>
          <w:szCs w:val="16"/>
        </w:rPr>
        <w:t xml:space="preserve"> </w:t>
      </w:r>
      <w:r w:rsidR="006B7981" w:rsidRPr="006B7981">
        <w:rPr>
          <w:rFonts w:cs="Tahoma"/>
          <w:bCs/>
          <w:sz w:val="16"/>
          <w:szCs w:val="16"/>
        </w:rPr>
        <w:t xml:space="preserve">Where the number of </w:t>
      </w:r>
      <w:r w:rsidR="006B7981">
        <w:rPr>
          <w:rFonts w:cs="Tahoma"/>
          <w:bCs/>
          <w:sz w:val="16"/>
          <w:szCs w:val="16"/>
        </w:rPr>
        <w:t>providers</w:t>
      </w:r>
      <w:r w:rsidR="006B7981" w:rsidRPr="006B7981">
        <w:rPr>
          <w:rFonts w:cs="Tahoma"/>
          <w:bCs/>
          <w:sz w:val="16"/>
          <w:szCs w:val="16"/>
        </w:rPr>
        <w:t xml:space="preserve"> is small, percentages should be treated with caution</w:t>
      </w:r>
      <w:r w:rsidR="006B7981">
        <w:rPr>
          <w:rFonts w:cs="Tahoma"/>
          <w:bCs/>
          <w:sz w:val="16"/>
          <w:szCs w:val="16"/>
        </w:rPr>
        <w:t>.</w:t>
      </w:r>
    </w:p>
    <w:p w:rsidR="000B3B88" w:rsidRPr="000B3B88" w:rsidRDefault="000B3B88" w:rsidP="000B3B88"/>
    <w:p w:rsidR="000B3B88" w:rsidRDefault="000B3B88" w:rsidP="004237B7">
      <w:pPr>
        <w:pStyle w:val="Heading2"/>
        <w:spacing w:after="0"/>
        <w:jc w:val="left"/>
      </w:pPr>
    </w:p>
    <w:p w:rsidR="00E240C3" w:rsidRDefault="00E240C3">
      <w:pPr>
        <w:jc w:val="left"/>
        <w:rPr>
          <w:b/>
          <w:sz w:val="28"/>
        </w:rPr>
      </w:pPr>
      <w:r>
        <w:br w:type="page"/>
      </w:r>
    </w:p>
    <w:p w:rsidR="004237B7" w:rsidRPr="00742754" w:rsidRDefault="004237B7" w:rsidP="00742754">
      <w:pPr>
        <w:pStyle w:val="Heading1"/>
        <w:spacing w:after="0"/>
      </w:pPr>
      <w:bookmarkStart w:id="16" w:name="_Toc452636775"/>
      <w:bookmarkStart w:id="17" w:name="_Toc452732300"/>
      <w:r w:rsidRPr="009D081A">
        <w:lastRenderedPageBreak/>
        <w:t>Revisions</w:t>
      </w:r>
      <w:bookmarkEnd w:id="16"/>
      <w:bookmarkEnd w:id="17"/>
    </w:p>
    <w:p w:rsidR="004237B7" w:rsidRDefault="004237B7" w:rsidP="00F105FB">
      <w:pPr>
        <w:pStyle w:val="NoSpacing"/>
        <w:jc w:val="left"/>
        <w:rPr>
          <w:rFonts w:cs="Tahoma"/>
          <w:bCs/>
          <w:highlight w:val="yellow"/>
        </w:rPr>
      </w:pPr>
    </w:p>
    <w:p w:rsidR="001D3D7B" w:rsidRDefault="00473ABD" w:rsidP="00473ABD">
      <w:pPr>
        <w:pStyle w:val="NoSpacing"/>
        <w:jc w:val="left"/>
        <w:rPr>
          <w:rFonts w:cs="Tahoma"/>
          <w:bCs/>
        </w:rPr>
      </w:pPr>
      <w:r w:rsidRPr="00473ABD">
        <w:rPr>
          <w:rFonts w:cs="Tahoma"/>
          <w:bCs/>
        </w:rPr>
        <w:t xml:space="preserve">In September 2015 Ofsted changed how it records and stores all of its inspection information, with the introduction of a new database. As part of </w:t>
      </w:r>
      <w:r w:rsidR="001D3D7B">
        <w:rPr>
          <w:rFonts w:cs="Tahoma"/>
          <w:bCs/>
        </w:rPr>
        <w:t xml:space="preserve">the data migration one missing inspection and a small number of missing judgements were identified and have been corrected. Details are below:   </w:t>
      </w:r>
      <w:r w:rsidRPr="00473ABD">
        <w:rPr>
          <w:rFonts w:cs="Tahoma"/>
          <w:bCs/>
        </w:rPr>
        <w:t xml:space="preserve"> </w:t>
      </w:r>
    </w:p>
    <w:p w:rsidR="00473ABD" w:rsidRPr="00473ABD" w:rsidRDefault="00473ABD" w:rsidP="00473ABD">
      <w:pPr>
        <w:pStyle w:val="NoSpacing"/>
        <w:jc w:val="left"/>
        <w:rPr>
          <w:rFonts w:cs="Tahoma"/>
          <w:bCs/>
        </w:rPr>
      </w:pPr>
    </w:p>
    <w:p w:rsidR="00473ABD" w:rsidRPr="00473ABD" w:rsidRDefault="00473ABD" w:rsidP="001D3D7B">
      <w:pPr>
        <w:pStyle w:val="NoSpacing"/>
        <w:spacing w:after="120"/>
        <w:jc w:val="left"/>
        <w:rPr>
          <w:rFonts w:cs="Tahoma"/>
          <w:bCs/>
          <w:u w:val="single"/>
        </w:rPr>
      </w:pPr>
      <w:r w:rsidRPr="00473ABD">
        <w:rPr>
          <w:rFonts w:cs="Tahoma"/>
          <w:bCs/>
          <w:u w:val="single"/>
        </w:rPr>
        <w:t>Revision 1</w:t>
      </w:r>
    </w:p>
    <w:p w:rsidR="00473ABD" w:rsidRPr="00473ABD" w:rsidRDefault="00473ABD" w:rsidP="00473ABD">
      <w:pPr>
        <w:pStyle w:val="NoSpacing"/>
        <w:jc w:val="left"/>
        <w:rPr>
          <w:rFonts w:cs="Tahoma"/>
          <w:bCs/>
        </w:rPr>
      </w:pPr>
      <w:r w:rsidRPr="00473ABD">
        <w:rPr>
          <w:rFonts w:cs="Tahoma"/>
          <w:bCs/>
        </w:rPr>
        <w:t>There has been one addition to the in-year historical inspection outcomes for 2013/14. This inspection was for an independent learning provider that was judged to be inadequate for overall effectiveness.</w:t>
      </w:r>
    </w:p>
    <w:p w:rsidR="00473ABD" w:rsidRPr="00473ABD" w:rsidRDefault="00473ABD" w:rsidP="00473ABD">
      <w:pPr>
        <w:pStyle w:val="NoSpacing"/>
        <w:jc w:val="left"/>
        <w:rPr>
          <w:rFonts w:cs="Tahoma"/>
          <w:bCs/>
        </w:rPr>
      </w:pPr>
    </w:p>
    <w:p w:rsidR="00473ABD" w:rsidRPr="00473ABD" w:rsidRDefault="00473ABD" w:rsidP="00473ABD">
      <w:pPr>
        <w:pStyle w:val="NoSpacing"/>
        <w:jc w:val="left"/>
        <w:rPr>
          <w:rFonts w:cs="Tahoma"/>
          <w:bCs/>
        </w:rPr>
      </w:pPr>
      <w:r w:rsidRPr="00473ABD">
        <w:rPr>
          <w:rFonts w:cs="Tahoma"/>
          <w:bCs/>
        </w:rPr>
        <w:t>The impact of this revision is that the proportion of independent learning providers (including employer providers) judged to be inadequate between 1 September 2013 and 31 August 2014 rose by one percentage point, to 9%. This did not affect the proportions judged to be outstanding, good or requiring improvement.</w:t>
      </w:r>
    </w:p>
    <w:p w:rsidR="00473ABD" w:rsidRPr="00473ABD" w:rsidRDefault="00473ABD" w:rsidP="00473ABD">
      <w:pPr>
        <w:pStyle w:val="NoSpacing"/>
        <w:jc w:val="left"/>
        <w:rPr>
          <w:rFonts w:cs="Tahoma"/>
          <w:bCs/>
        </w:rPr>
      </w:pPr>
    </w:p>
    <w:p w:rsidR="00E240C3" w:rsidRDefault="00473ABD" w:rsidP="00473ABD">
      <w:pPr>
        <w:pStyle w:val="NoSpacing"/>
        <w:jc w:val="left"/>
        <w:rPr>
          <w:rFonts w:cs="Tahoma"/>
          <w:bCs/>
          <w:highlight w:val="yellow"/>
        </w:rPr>
      </w:pPr>
      <w:r w:rsidRPr="00473ABD">
        <w:rPr>
          <w:rFonts w:cs="Tahoma"/>
          <w:bCs/>
        </w:rPr>
        <w:t>The revision also changed the number of previously grade 3 providers that improved, stayed the same or declined during 2013/14, but did not affect the percentages reported.</w:t>
      </w:r>
    </w:p>
    <w:p w:rsidR="00473ABD" w:rsidRDefault="00473ABD" w:rsidP="00E240C3">
      <w:pPr>
        <w:pStyle w:val="NoSpacing"/>
        <w:jc w:val="left"/>
        <w:rPr>
          <w:rFonts w:cs="Tahoma"/>
          <w:bCs/>
          <w:u w:val="single"/>
        </w:rPr>
      </w:pPr>
    </w:p>
    <w:p w:rsidR="006B7981" w:rsidRPr="006B7981" w:rsidRDefault="006B7981" w:rsidP="001D3D7B">
      <w:pPr>
        <w:pStyle w:val="NoSpacing"/>
        <w:spacing w:after="120"/>
        <w:jc w:val="left"/>
        <w:rPr>
          <w:rFonts w:cs="Tahoma"/>
          <w:bCs/>
          <w:u w:val="single"/>
        </w:rPr>
      </w:pPr>
      <w:r w:rsidRPr="006B7981">
        <w:rPr>
          <w:rFonts w:cs="Tahoma"/>
          <w:bCs/>
          <w:u w:val="single"/>
        </w:rPr>
        <w:t>Revision 2</w:t>
      </w:r>
    </w:p>
    <w:p w:rsidR="00D0167A" w:rsidRDefault="00473ABD" w:rsidP="00E240C3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>As at 31 August 2015, 47 providers that were last inspected between 2006 and 2009 did not have an ‘outcomes for learners’ judgement recorded</w:t>
      </w:r>
      <w:r w:rsidR="00A55ABC">
        <w:rPr>
          <w:rFonts w:cs="Tahoma"/>
          <w:bCs/>
        </w:rPr>
        <w:t xml:space="preserve"> (t</w:t>
      </w:r>
      <w:r w:rsidR="00D0167A">
        <w:rPr>
          <w:rFonts w:cs="Tahoma"/>
          <w:bCs/>
        </w:rPr>
        <w:t xml:space="preserve">hese judgements were made at the time of inspection, under the old judgement </w:t>
      </w:r>
      <w:r w:rsidR="00D0167A">
        <w:t>‘achievement and standards’</w:t>
      </w:r>
      <w:r w:rsidR="00A55ABC">
        <w:t>)</w:t>
      </w:r>
      <w:r w:rsidR="00D0167A">
        <w:t xml:space="preserve">. Out of the 47 providers, 40 were found to be outstanding and </w:t>
      </w:r>
      <w:r w:rsidR="00D0167A" w:rsidRPr="002A0423">
        <w:t>seven</w:t>
      </w:r>
      <w:r w:rsidR="00D0167A">
        <w:t xml:space="preserve"> good. This revision has no impact on the previously published key findings or </w:t>
      </w:r>
      <w:r w:rsidR="002A0423">
        <w:t>‘tables and charts’ files.</w:t>
      </w:r>
    </w:p>
    <w:p w:rsidR="00D0167A" w:rsidRDefault="00D0167A" w:rsidP="00E240C3">
      <w:pPr>
        <w:pStyle w:val="NoSpacing"/>
        <w:jc w:val="left"/>
        <w:rPr>
          <w:rFonts w:cs="Tahoma"/>
          <w:bCs/>
        </w:rPr>
      </w:pPr>
    </w:p>
    <w:p w:rsidR="00F73AFB" w:rsidRDefault="00D0167A" w:rsidP="00E240C3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 xml:space="preserve">These outcomes have now been added to the underlying data supporting this Official Statistics release and a </w:t>
      </w:r>
      <w:r>
        <w:t>separate data set will be published amending the underlying data for the 31 August 2015.</w:t>
      </w:r>
    </w:p>
    <w:p w:rsidR="00F73AFB" w:rsidRDefault="00F73AFB" w:rsidP="00E240C3">
      <w:pPr>
        <w:pStyle w:val="NoSpacing"/>
        <w:jc w:val="left"/>
        <w:rPr>
          <w:rFonts w:cs="Tahoma"/>
          <w:bCs/>
        </w:rPr>
      </w:pPr>
    </w:p>
    <w:p w:rsidR="00D0167A" w:rsidRPr="00D0167A" w:rsidRDefault="00D0167A" w:rsidP="001D3D7B">
      <w:pPr>
        <w:pStyle w:val="NoSpacing"/>
        <w:spacing w:after="120"/>
        <w:jc w:val="left"/>
        <w:rPr>
          <w:rFonts w:cs="Tahoma"/>
          <w:bCs/>
          <w:u w:val="single"/>
        </w:rPr>
      </w:pPr>
      <w:r w:rsidRPr="00D0167A">
        <w:rPr>
          <w:rFonts w:cs="Tahoma"/>
          <w:bCs/>
          <w:u w:val="single"/>
        </w:rPr>
        <w:t>Revision 3</w:t>
      </w:r>
    </w:p>
    <w:p w:rsidR="00D0167A" w:rsidRDefault="00D0167A" w:rsidP="00D0167A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>As at 31 August 2015, 58 providers that were last inspected between 2006 and 2009 did not have a ‘teaching, learning and assessment’ judgement recorded</w:t>
      </w:r>
      <w:r w:rsidR="00A55ABC">
        <w:rPr>
          <w:rFonts w:cs="Tahoma"/>
          <w:bCs/>
        </w:rPr>
        <w:t xml:space="preserve"> (t</w:t>
      </w:r>
      <w:r>
        <w:rPr>
          <w:rFonts w:cs="Tahoma"/>
          <w:bCs/>
        </w:rPr>
        <w:t xml:space="preserve">hese judgements were made at the time of inspection, </w:t>
      </w:r>
      <w:r w:rsidR="00E015DD">
        <w:rPr>
          <w:rFonts w:cs="Tahoma"/>
          <w:bCs/>
        </w:rPr>
        <w:t xml:space="preserve">recorded in the text </w:t>
      </w:r>
      <w:r>
        <w:rPr>
          <w:rFonts w:cs="Tahoma"/>
          <w:bCs/>
        </w:rPr>
        <w:t xml:space="preserve">under the old judgement </w:t>
      </w:r>
      <w:r>
        <w:t>‘</w:t>
      </w:r>
      <w:r w:rsidR="00E015DD">
        <w:t>quality of provision</w:t>
      </w:r>
      <w:r>
        <w:t>’</w:t>
      </w:r>
      <w:r w:rsidR="00A55ABC">
        <w:t>)</w:t>
      </w:r>
      <w:r>
        <w:t>.</w:t>
      </w:r>
      <w:r w:rsidR="00E015DD">
        <w:t xml:space="preserve"> Out of the 58</w:t>
      </w:r>
      <w:r>
        <w:t xml:space="preserve"> providers, 40 were found to be outstanding</w:t>
      </w:r>
      <w:r w:rsidR="00E015DD">
        <w:t>,</w:t>
      </w:r>
      <w:r>
        <w:t xml:space="preserve"> </w:t>
      </w:r>
      <w:r w:rsidR="00E015DD">
        <w:t>17</w:t>
      </w:r>
      <w:r>
        <w:t xml:space="preserve"> good</w:t>
      </w:r>
      <w:r w:rsidR="00E015DD">
        <w:t xml:space="preserve"> and one satisfactory</w:t>
      </w:r>
      <w:r>
        <w:t xml:space="preserve">. This revision has no impact on the previously published key findings or </w:t>
      </w:r>
      <w:r w:rsidR="002A0423">
        <w:t>‘tables and charts’ files.</w:t>
      </w:r>
    </w:p>
    <w:p w:rsidR="00D0167A" w:rsidRDefault="00D0167A" w:rsidP="00D0167A">
      <w:pPr>
        <w:pStyle w:val="NoSpacing"/>
        <w:jc w:val="left"/>
        <w:rPr>
          <w:rFonts w:cs="Tahoma"/>
          <w:bCs/>
        </w:rPr>
      </w:pPr>
    </w:p>
    <w:p w:rsidR="00D0167A" w:rsidRDefault="00D0167A" w:rsidP="00D0167A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 xml:space="preserve">These outcomes have now been added to the underlying data supporting this Official Statistics release and a </w:t>
      </w:r>
      <w:r>
        <w:t>separate data set will be published amending the underlying data for the 31 August 2015.</w:t>
      </w:r>
    </w:p>
    <w:p w:rsidR="00755B56" w:rsidRPr="00F45E16" w:rsidRDefault="00755B56" w:rsidP="00742754">
      <w:pPr>
        <w:pStyle w:val="Heading1"/>
        <w:spacing w:after="0"/>
      </w:pPr>
      <w:bookmarkStart w:id="18" w:name="_Toc452636776"/>
      <w:bookmarkStart w:id="19" w:name="_Toc452732301"/>
      <w:r w:rsidRPr="00F45E16">
        <w:lastRenderedPageBreak/>
        <w:t>Notes</w:t>
      </w:r>
      <w:bookmarkEnd w:id="7"/>
      <w:bookmarkEnd w:id="18"/>
      <w:bookmarkEnd w:id="19"/>
    </w:p>
    <w:p w:rsidR="00755B56" w:rsidRPr="00F45E16" w:rsidRDefault="00755B56" w:rsidP="00C34063">
      <w:pPr>
        <w:jc w:val="left"/>
      </w:pPr>
    </w:p>
    <w:p w:rsidR="006E6F3A" w:rsidRDefault="00F45E16" w:rsidP="001A6428">
      <w:pPr>
        <w:pStyle w:val="ListParagraph"/>
        <w:numPr>
          <w:ilvl w:val="0"/>
          <w:numId w:val="13"/>
        </w:numPr>
        <w:rPr>
          <w:rFonts w:cs="Tahoma"/>
          <w:color w:val="000000"/>
        </w:rPr>
      </w:pPr>
      <w:r w:rsidRPr="00403672">
        <w:rPr>
          <w:rFonts w:cs="Tahoma"/>
          <w:color w:val="000000"/>
        </w:rPr>
        <w:t>For 2015/16, t</w:t>
      </w:r>
      <w:r w:rsidR="006B31ED" w:rsidRPr="00403672">
        <w:rPr>
          <w:rFonts w:cs="Tahoma"/>
          <w:color w:val="000000"/>
        </w:rPr>
        <w:t xml:space="preserve">he </w:t>
      </w:r>
      <w:r w:rsidR="00A50835" w:rsidRPr="00403672">
        <w:rPr>
          <w:rFonts w:cs="Tahoma"/>
          <w:color w:val="000000"/>
        </w:rPr>
        <w:t xml:space="preserve">most recent </w:t>
      </w:r>
      <w:r w:rsidR="00A351C1" w:rsidRPr="00403672">
        <w:rPr>
          <w:rFonts w:cs="Tahoma"/>
          <w:color w:val="000000"/>
        </w:rPr>
        <w:t xml:space="preserve">inspection outcomes </w:t>
      </w:r>
      <w:r w:rsidR="006B31ED" w:rsidRPr="00403672">
        <w:rPr>
          <w:rFonts w:cs="Tahoma"/>
          <w:color w:val="000000"/>
        </w:rPr>
        <w:t xml:space="preserve">include </w:t>
      </w:r>
      <w:r w:rsidR="00A351C1" w:rsidRPr="00403672">
        <w:rPr>
          <w:rFonts w:cs="Tahoma"/>
          <w:color w:val="000000"/>
        </w:rPr>
        <w:t>providers wholly or partly funded by the Skills Funding Agency or the Education Funding Agency at that point in time</w:t>
      </w:r>
      <w:r w:rsidR="00423A77" w:rsidRPr="00403672">
        <w:rPr>
          <w:rFonts w:cs="Tahoma"/>
          <w:color w:val="000000"/>
        </w:rPr>
        <w:t>.</w:t>
      </w:r>
      <w:r w:rsidRPr="00403672">
        <w:rPr>
          <w:rFonts w:cs="Tahoma"/>
          <w:color w:val="000000"/>
        </w:rPr>
        <w:t xml:space="preserve"> </w:t>
      </w:r>
      <w:r w:rsidR="00403672" w:rsidRPr="00403672">
        <w:rPr>
          <w:rFonts w:cs="Tahoma"/>
          <w:color w:val="000000"/>
        </w:rPr>
        <w:t>Before 2015/16 the most recent inspection outcomes include</w:t>
      </w:r>
      <w:r w:rsidR="00403672">
        <w:rPr>
          <w:rFonts w:cs="Tahoma"/>
          <w:color w:val="000000"/>
        </w:rPr>
        <w:t>d</w:t>
      </w:r>
      <w:r w:rsidR="00403672" w:rsidRPr="00403672">
        <w:rPr>
          <w:rFonts w:cs="Tahoma"/>
          <w:color w:val="000000"/>
        </w:rPr>
        <w:t xml:space="preserve">: 1) providers wholly or partly funded by the Skills Funding Agency or the Education Funding Agency at that point in time, and 2) providers who </w:t>
      </w:r>
      <w:r w:rsidR="006E6F3A">
        <w:rPr>
          <w:rFonts w:cs="Tahoma"/>
          <w:color w:val="000000"/>
        </w:rPr>
        <w:t xml:space="preserve">had </w:t>
      </w:r>
      <w:r w:rsidR="006E6F3A" w:rsidRPr="00403672">
        <w:rPr>
          <w:rFonts w:cs="Tahoma"/>
          <w:color w:val="000000"/>
        </w:rPr>
        <w:t>lost funding or closed</w:t>
      </w:r>
      <w:r w:rsidR="006E6F3A">
        <w:rPr>
          <w:rFonts w:cs="Tahoma"/>
          <w:color w:val="000000"/>
        </w:rPr>
        <w:t xml:space="preserve"> during the stated reporting year.</w:t>
      </w:r>
    </w:p>
    <w:p w:rsidR="00F45E16" w:rsidRPr="00F45E16" w:rsidRDefault="00F45E16" w:rsidP="00F45E16">
      <w:pPr>
        <w:ind w:left="720"/>
        <w:jc w:val="left"/>
        <w:rPr>
          <w:rFonts w:cs="Tahoma"/>
          <w:bCs/>
          <w:highlight w:val="yellow"/>
        </w:rPr>
      </w:pPr>
    </w:p>
    <w:p w:rsidR="00C64C74" w:rsidRDefault="00C64C74" w:rsidP="00C64C74">
      <w:pPr>
        <w:pStyle w:val="ListParagraph"/>
        <w:numPr>
          <w:ilvl w:val="0"/>
          <w:numId w:val="13"/>
        </w:numPr>
        <w:rPr>
          <w:rFonts w:cs="Tahoma"/>
          <w:bCs/>
        </w:rPr>
      </w:pPr>
      <w:r>
        <w:rPr>
          <w:rFonts w:cs="Tahoma"/>
          <w:bCs/>
        </w:rPr>
        <w:t>S</w:t>
      </w:r>
      <w:r w:rsidRPr="00A8793F">
        <w:rPr>
          <w:rFonts w:cs="Tahoma"/>
          <w:bCs/>
        </w:rPr>
        <w:t>hort inspection</w:t>
      </w:r>
      <w:r>
        <w:rPr>
          <w:rFonts w:cs="Tahoma"/>
          <w:bCs/>
        </w:rPr>
        <w:t>s of previously good providers</w:t>
      </w:r>
      <w:r w:rsidRPr="00A8793F">
        <w:rPr>
          <w:rFonts w:cs="Tahoma"/>
          <w:bCs/>
        </w:rPr>
        <w:t xml:space="preserve"> can either confirm that the provider is still good overall, or the lead inspector can choose to convert the inspection to a full inspection where: there is insufficient evidence to confirm that the provider remains good; there are concerns that there is evidence that the provider may no longer be good (which may include concerns about safeguarding); or if there is sufficient evidence of improved performance to suggest that the provider may be judged outstanding. As a result of the converted inspection the provider could improve, decline or remain the same.</w:t>
      </w:r>
    </w:p>
    <w:p w:rsidR="00C64C74" w:rsidRPr="00C64C74" w:rsidRDefault="00C64C74" w:rsidP="00C64C74">
      <w:pPr>
        <w:rPr>
          <w:rFonts w:cs="Tahoma"/>
          <w:bCs/>
        </w:rPr>
      </w:pPr>
    </w:p>
    <w:p w:rsidR="000E5BE4" w:rsidRDefault="000E5BE4" w:rsidP="000E5BE4">
      <w:pPr>
        <w:numPr>
          <w:ilvl w:val="0"/>
          <w:numId w:val="13"/>
        </w:numPr>
        <w:jc w:val="left"/>
        <w:rPr>
          <w:rFonts w:cs="Tahoma"/>
          <w:bCs/>
        </w:rPr>
      </w:pPr>
      <w:r w:rsidRPr="005630CC">
        <w:rPr>
          <w:rFonts w:cs="Tahoma"/>
          <w:bCs/>
        </w:rPr>
        <w:t>T</w:t>
      </w:r>
      <w:r w:rsidR="002E729B">
        <w:rPr>
          <w:rFonts w:cs="Tahoma"/>
          <w:bCs/>
        </w:rPr>
        <w:t xml:space="preserve">he quality report </w:t>
      </w:r>
      <w:r w:rsidRPr="005630CC">
        <w:rPr>
          <w:rFonts w:cs="Tahoma"/>
          <w:bCs/>
        </w:rPr>
        <w:t xml:space="preserve">for these official statistics </w:t>
      </w:r>
      <w:r w:rsidR="002E729B">
        <w:rPr>
          <w:rFonts w:cs="Tahoma"/>
          <w:bCs/>
        </w:rPr>
        <w:t xml:space="preserve">contains an explanation of the methodology used and the </w:t>
      </w:r>
      <w:r w:rsidR="001E28F6">
        <w:rPr>
          <w:rFonts w:cs="Tahoma"/>
          <w:bCs/>
        </w:rPr>
        <w:t xml:space="preserve">relevant </w:t>
      </w:r>
      <w:r w:rsidR="002E729B">
        <w:rPr>
          <w:rFonts w:cs="Tahoma"/>
          <w:bCs/>
        </w:rPr>
        <w:t>inspection frameworks, along with other useful information</w:t>
      </w:r>
      <w:r w:rsidR="00E015DD">
        <w:rPr>
          <w:rFonts w:cs="Tahoma"/>
          <w:bCs/>
        </w:rPr>
        <w:t>, such as where to find previously published further education and skills Official Statistics</w:t>
      </w:r>
      <w:r w:rsidR="00BE6249">
        <w:rPr>
          <w:rFonts w:cs="Tahoma"/>
          <w:bCs/>
        </w:rPr>
        <w:t>. It is available from</w:t>
      </w:r>
      <w:r w:rsidRPr="005630CC">
        <w:rPr>
          <w:rFonts w:cs="Tahoma"/>
          <w:bCs/>
        </w:rPr>
        <w:t>:</w:t>
      </w:r>
    </w:p>
    <w:p w:rsidR="00C64C74" w:rsidRDefault="00D926BE" w:rsidP="00C64C74">
      <w:pPr>
        <w:ind w:left="720"/>
        <w:jc w:val="left"/>
        <w:rPr>
          <w:rFonts w:cs="Tahoma"/>
          <w:bCs/>
        </w:rPr>
      </w:pPr>
      <w:hyperlink r:id="rId21" w:history="1">
        <w:r w:rsidR="00CD2B06" w:rsidRPr="00720710">
          <w:rPr>
            <w:rStyle w:val="Hyperlink"/>
          </w:rPr>
          <w:t>https://www.gov.uk/government/statistics/further-education-and-skills-inspection-and-outcomes-as-at-29-february-2016</w:t>
        </w:r>
      </w:hyperlink>
      <w:r w:rsidR="00CD2B06">
        <w:t xml:space="preserve"> </w:t>
      </w:r>
      <w:r w:rsidR="009F100B">
        <w:t xml:space="preserve"> </w:t>
      </w:r>
    </w:p>
    <w:p w:rsidR="002E3B0C" w:rsidRPr="005630CC" w:rsidRDefault="002E3B0C" w:rsidP="00C64C74">
      <w:pPr>
        <w:ind w:left="720"/>
        <w:jc w:val="left"/>
        <w:rPr>
          <w:rFonts w:cs="Tahoma"/>
          <w:bCs/>
        </w:rPr>
      </w:pPr>
    </w:p>
    <w:p w:rsidR="00755B56" w:rsidRPr="001D0FA7" w:rsidRDefault="00755B56" w:rsidP="006D6F6C">
      <w:pPr>
        <w:jc w:val="left"/>
        <w:rPr>
          <w:rFonts w:cs="Tahoma"/>
          <w:color w:val="FF0000"/>
        </w:rPr>
      </w:pPr>
      <w:bookmarkStart w:id="20" w:name="_Glossary"/>
      <w:bookmarkEnd w:id="20"/>
      <w:r w:rsidRPr="001D0FA7">
        <w:rPr>
          <w:rFonts w:cs="Tahoma"/>
        </w:rPr>
        <w:t>If you have any comments or feedback on this publication, please contact Sarah Pearce on 03000 130 632 or</w:t>
      </w:r>
      <w:r w:rsidRPr="001D0FA7">
        <w:rPr>
          <w:rFonts w:cs="Tahoma"/>
          <w:color w:val="FF0000"/>
        </w:rPr>
        <w:t xml:space="preserve"> </w:t>
      </w:r>
      <w:hyperlink r:id="rId22" w:history="1">
        <w:r w:rsidR="00F111D5" w:rsidRPr="001D0FA7">
          <w:rPr>
            <w:rStyle w:val="Hyperlink"/>
            <w:rFonts w:cs="Tahoma"/>
          </w:rPr>
          <w:t>Sarah.Pearce@ofsted.gov.uk</w:t>
        </w:r>
      </w:hyperlink>
    </w:p>
    <w:p w:rsidR="00E240C3" w:rsidRDefault="00E240C3" w:rsidP="006D6F6C">
      <w:pPr>
        <w:jc w:val="left"/>
        <w:rPr>
          <w:rFonts w:cs="Tahoma"/>
        </w:rPr>
      </w:pPr>
    </w:p>
    <w:p w:rsidR="00E015DD" w:rsidRPr="001D0FA7" w:rsidRDefault="00E015DD" w:rsidP="006D6F6C">
      <w:pPr>
        <w:jc w:val="left"/>
        <w:rPr>
          <w:rFonts w:cs="Tahoma"/>
        </w:rPr>
      </w:pPr>
    </w:p>
    <w:p w:rsidR="004D432E" w:rsidRPr="00742754" w:rsidRDefault="004D432E" w:rsidP="00742754">
      <w:pPr>
        <w:pStyle w:val="Heading1"/>
        <w:spacing w:after="0"/>
      </w:pPr>
      <w:bookmarkStart w:id="21" w:name="_Toc452636777"/>
      <w:bookmarkStart w:id="22" w:name="_Toc452732302"/>
      <w:r w:rsidRPr="00742754">
        <w:t>Acknowledgements</w:t>
      </w:r>
      <w:bookmarkEnd w:id="21"/>
      <w:bookmarkEnd w:id="22"/>
    </w:p>
    <w:p w:rsidR="00742754" w:rsidRDefault="00742754" w:rsidP="006D6F6C">
      <w:pPr>
        <w:jc w:val="left"/>
      </w:pPr>
    </w:p>
    <w:p w:rsidR="00C34063" w:rsidRPr="001D0FA7" w:rsidRDefault="004D432E" w:rsidP="006D6F6C">
      <w:pPr>
        <w:jc w:val="left"/>
        <w:rPr>
          <w:rFonts w:cs="Tahoma"/>
          <w:highlight w:val="yellow"/>
        </w:rPr>
      </w:pPr>
      <w:r w:rsidRPr="001D0FA7">
        <w:t xml:space="preserve">Thanks to the following for their contribution to this statistical release: </w:t>
      </w:r>
      <w:r w:rsidR="001D0FA7" w:rsidRPr="001D0FA7">
        <w:t>Marc McGreavy, Francesca Thompson and Charlie Ogilvie</w:t>
      </w:r>
      <w:r w:rsidRPr="001D0FA7">
        <w:t xml:space="preserve">. </w:t>
      </w:r>
    </w:p>
    <w:p w:rsidR="00E240C3" w:rsidRDefault="00E240C3">
      <w:pPr>
        <w:jc w:val="left"/>
        <w:rPr>
          <w:rFonts w:cs="Tahoma"/>
        </w:rPr>
      </w:pPr>
    </w:p>
    <w:p w:rsidR="00E015DD" w:rsidRDefault="00E015DD">
      <w:pPr>
        <w:jc w:val="left"/>
        <w:rPr>
          <w:rFonts w:cs="Tahoma"/>
        </w:rPr>
      </w:pPr>
    </w:p>
    <w:p w:rsidR="00E015DD" w:rsidRDefault="00E015DD">
      <w:pPr>
        <w:jc w:val="left"/>
        <w:rPr>
          <w:rFonts w:cs="Tahoma"/>
        </w:rPr>
      </w:pPr>
    </w:p>
    <w:p w:rsidR="00E240C3" w:rsidRDefault="00E240C3">
      <w:pPr>
        <w:jc w:val="left"/>
        <w:rPr>
          <w:rFonts w:cs="Tahoma"/>
        </w:rPr>
      </w:pPr>
    </w:p>
    <w:p w:rsidR="00E240C3" w:rsidRDefault="00E240C3">
      <w:pPr>
        <w:jc w:val="left"/>
        <w:rPr>
          <w:rFonts w:cs="Tahoma"/>
        </w:rPr>
      </w:pPr>
    </w:p>
    <w:p w:rsidR="00755B56" w:rsidRDefault="00755B56" w:rsidP="006D6F6C">
      <w:pPr>
        <w:jc w:val="left"/>
        <w:rPr>
          <w:rFonts w:cs="Tahoma"/>
        </w:rPr>
      </w:pPr>
      <w:r w:rsidRPr="001D0FA7">
        <w:rPr>
          <w:rFonts w:cs="Tahoma"/>
        </w:rPr>
        <w:t>© Crown copyright</w:t>
      </w:r>
    </w:p>
    <w:p w:rsidR="005630CC" w:rsidRPr="001D0FA7" w:rsidRDefault="005630CC" w:rsidP="006D6F6C">
      <w:pPr>
        <w:jc w:val="left"/>
        <w:rPr>
          <w:rFonts w:cs="Tahoma"/>
        </w:rPr>
      </w:pPr>
    </w:p>
    <w:p w:rsidR="00755B56" w:rsidRDefault="00755B56" w:rsidP="006D6F6C">
      <w:pPr>
        <w:jc w:val="left"/>
        <w:rPr>
          <w:rFonts w:cs="Tahoma"/>
          <w:bCs/>
        </w:rPr>
      </w:pPr>
      <w:r w:rsidRPr="001D0FA7">
        <w:rPr>
          <w:rFonts w:cs="Tahoma"/>
          <w:sz w:val="20"/>
          <w:szCs w:val="20"/>
        </w:rPr>
        <w:t xml:space="preserve">You may re-use this information (not including logos) free of charge in any format or medium, under the terms of the Open Government Licence. To view this licence, visit </w:t>
      </w:r>
      <w:hyperlink r:id="rId23" w:history="1">
        <w:r w:rsidRPr="001D0FA7">
          <w:rPr>
            <w:rStyle w:val="Hyperlink"/>
            <w:rFonts w:cs="Tahoma"/>
            <w:sz w:val="20"/>
            <w:szCs w:val="20"/>
          </w:rPr>
          <w:t>http://www.nationalarchives.gov.uk/doc/open-government-licence/</w:t>
        </w:r>
      </w:hyperlink>
      <w:r w:rsidRPr="001D0FA7">
        <w:rPr>
          <w:rFonts w:cs="Tahoma"/>
          <w:sz w:val="20"/>
          <w:szCs w:val="20"/>
        </w:rPr>
        <w:t xml:space="preserve"> or write to the Information Policy Team, The National Archives, Kew, London, TW9 4DU or e-mail: </w:t>
      </w:r>
      <w:hyperlink r:id="rId24" w:history="1">
        <w:r w:rsidRPr="001D0FA7">
          <w:rPr>
            <w:rStyle w:val="Hyperlink"/>
            <w:rFonts w:cs="Tahoma"/>
            <w:sz w:val="20"/>
            <w:szCs w:val="20"/>
          </w:rPr>
          <w:t>psi@nationalarchives.gsi.gov.uk</w:t>
        </w:r>
      </w:hyperlink>
    </w:p>
    <w:sectPr w:rsidR="00755B56" w:rsidSect="00E1042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56FB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E6" w:rsidRDefault="00515EE6">
      <w:r>
        <w:separator/>
      </w:r>
    </w:p>
  </w:endnote>
  <w:endnote w:type="continuationSeparator" w:id="0">
    <w:p w:rsidR="00515EE6" w:rsidRDefault="0051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FE" w:rsidRDefault="0007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C9" w:rsidRPr="001460CF" w:rsidRDefault="00F31BC9" w:rsidP="001460CF">
    <w:pPr>
      <w:pStyle w:val="Footer-RHSOdd"/>
      <w:tabs>
        <w:tab w:val="right" w:pos="8460"/>
      </w:tabs>
      <w:rPr>
        <w:b w:val="0"/>
        <w:sz w:val="20"/>
      </w:rPr>
    </w:pPr>
    <w:r w:rsidRPr="001460CF">
      <w:rPr>
        <w:b w:val="0"/>
        <w:sz w:val="20"/>
      </w:rPr>
      <w:t>Responsible Statistician:</w:t>
    </w:r>
    <w:r>
      <w:rPr>
        <w:b w:val="0"/>
        <w:sz w:val="20"/>
      </w:rPr>
      <w:t xml:space="preserve"> Sarah Pearce</w:t>
    </w:r>
    <w:r w:rsidRPr="001460CF">
      <w:rPr>
        <w:b w:val="0"/>
        <w:sz w:val="20"/>
      </w:rPr>
      <w:t xml:space="preserve">, </w:t>
    </w:r>
    <w:hyperlink r:id="rId1" w:history="1">
      <w:r>
        <w:rPr>
          <w:rStyle w:val="Hyperlink"/>
          <w:b w:val="0"/>
          <w:sz w:val="20"/>
        </w:rPr>
        <w:t>Sarah.Pearce@ofsted.gov.uk</w:t>
      </w:r>
    </w:hyperlink>
  </w:p>
  <w:p w:rsidR="00F31BC9" w:rsidRPr="001460CF" w:rsidRDefault="00F31BC9" w:rsidP="001460CF">
    <w:pPr>
      <w:pStyle w:val="Footer-RHSOdd"/>
      <w:tabs>
        <w:tab w:val="right" w:pos="8460"/>
      </w:tabs>
      <w:rPr>
        <w:b w:val="0"/>
        <w:sz w:val="20"/>
      </w:rPr>
    </w:pPr>
    <w:r w:rsidRPr="001460CF">
      <w:rPr>
        <w:b w:val="0"/>
        <w:sz w:val="20"/>
      </w:rPr>
      <w:t>Published on:</w:t>
    </w:r>
    <w:r>
      <w:rPr>
        <w:b w:val="0"/>
        <w:sz w:val="20"/>
      </w:rPr>
      <w:t xml:space="preserve"> </w:t>
    </w:r>
    <w:r w:rsidR="002661B7">
      <w:rPr>
        <w:b w:val="0"/>
        <w:sz w:val="20"/>
      </w:rPr>
      <w:t>30</w:t>
    </w:r>
    <w:r>
      <w:rPr>
        <w:b w:val="0"/>
        <w:sz w:val="20"/>
      </w:rPr>
      <w:t>/06/2016. Next publication: November 2016.</w:t>
    </w:r>
    <w:r>
      <w:rPr>
        <w:b w:val="0"/>
        <w:sz w:val="20"/>
      </w:rPr>
      <w:tab/>
    </w:r>
    <w:r w:rsidRPr="00243CDA">
      <w:rPr>
        <w:b w:val="0"/>
        <w:sz w:val="20"/>
      </w:rPr>
      <w:fldChar w:fldCharType="begin"/>
    </w:r>
    <w:r w:rsidRPr="00243CDA">
      <w:rPr>
        <w:b w:val="0"/>
        <w:sz w:val="20"/>
      </w:rPr>
      <w:instrText xml:space="preserve"> PAGE   \* MERGEFORMAT </w:instrText>
    </w:r>
    <w:r w:rsidRPr="00243CDA">
      <w:rPr>
        <w:b w:val="0"/>
        <w:sz w:val="20"/>
      </w:rPr>
      <w:fldChar w:fldCharType="separate"/>
    </w:r>
    <w:r w:rsidR="00D926BE" w:rsidRPr="00D926BE">
      <w:rPr>
        <w:b w:val="0"/>
        <w:bCs/>
        <w:noProof/>
        <w:sz w:val="20"/>
      </w:rPr>
      <w:t>1</w:t>
    </w:r>
    <w:r w:rsidRPr="00243CDA">
      <w:rPr>
        <w:b w:val="0"/>
        <w:bCs/>
        <w:noProof/>
        <w:sz w:val="20"/>
      </w:rPr>
      <w:fldChar w:fldCharType="end"/>
    </w:r>
    <w:r w:rsidRPr="00243CDA">
      <w:rPr>
        <w:b w:val="0"/>
        <w:bCs/>
        <w:sz w:val="20"/>
      </w:rPr>
      <w:t xml:space="preserve"> </w:t>
    </w:r>
    <w:r w:rsidRPr="00243CDA">
      <w:rPr>
        <w:b w:val="0"/>
        <w:sz w:val="20"/>
      </w:rPr>
      <w:t>|</w:t>
    </w:r>
    <w:r w:rsidRPr="00243CDA">
      <w:rPr>
        <w:b w:val="0"/>
        <w:bCs/>
        <w:sz w:val="20"/>
      </w:rPr>
      <w:t xml:space="preserve"> </w:t>
    </w:r>
    <w:r w:rsidRPr="00243CDA">
      <w:rPr>
        <w:b w:val="0"/>
        <w:color w:val="808080"/>
        <w:spacing w:val="60"/>
        <w:sz w:val="20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FE" w:rsidRDefault="0007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E6" w:rsidRDefault="00515EE6">
      <w:r>
        <w:separator/>
      </w:r>
    </w:p>
  </w:footnote>
  <w:footnote w:type="continuationSeparator" w:id="0">
    <w:p w:rsidR="00515EE6" w:rsidRDefault="0051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FE" w:rsidRDefault="00077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150"/>
      <w:gridCol w:w="2704"/>
    </w:tblGrid>
    <w:tr w:rsidR="00F31BC9" w:rsidTr="007E785D">
      <w:trPr>
        <w:trHeight w:val="1986"/>
      </w:trPr>
      <w:tc>
        <w:tcPr>
          <w:tcW w:w="3628" w:type="pct"/>
          <w:shd w:val="clear" w:color="auto" w:fill="auto"/>
        </w:tcPr>
        <w:p w:rsidR="00F31BC9" w:rsidRDefault="00F31BC9" w:rsidP="00F953E2">
          <w:pPr>
            <w:pStyle w:val="Header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A09161" wp14:editId="79F5F374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114935</wp:posOffset>
                    </wp:positionV>
                    <wp:extent cx="1709420" cy="347980"/>
                    <wp:effectExtent l="14605" t="10160" r="9525" b="1333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9420" cy="347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1BC9" w:rsidRPr="00033909" w:rsidRDefault="00F31BC9" w:rsidP="00F953E2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Official s</w:t>
                                </w:r>
                                <w:r w:rsidRPr="00033909">
                                  <w:rPr>
                                    <w:sz w:val="32"/>
                                    <w:szCs w:val="32"/>
                                  </w:rPr>
                                  <w:t>tatistic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5.6pt;margin-top:9.05pt;width:134.6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" strokeweight="1pt">
                    <v:textbox>
                      <w:txbxContent>
                        <w:p w:rsidR="00F31BC9" w:rsidRPr="00033909" w:rsidRDefault="00F31BC9" w:rsidP="00F953E2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Official s</w:t>
                          </w:r>
                          <w:r w:rsidRPr="00033909">
                            <w:rPr>
                              <w:sz w:val="32"/>
                              <w:szCs w:val="32"/>
                            </w:rPr>
                            <w:t>tatistic</w:t>
                          </w:r>
                          <w:r>
                            <w:rPr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31BC9" w:rsidRDefault="00F31BC9" w:rsidP="00490F9F">
          <w:pPr>
            <w:pStyle w:val="Header"/>
            <w:jc w:val="right"/>
          </w:pPr>
        </w:p>
      </w:tc>
      <w:tc>
        <w:tcPr>
          <w:tcW w:w="1372" w:type="pct"/>
          <w:shd w:val="clear" w:color="auto" w:fill="auto"/>
        </w:tcPr>
        <w:p w:rsidR="00F31BC9" w:rsidRDefault="00F31BC9" w:rsidP="00490F9F">
          <w:pPr>
            <w:pStyle w:val="Header"/>
            <w:jc w:val="right"/>
          </w:pPr>
        </w:p>
        <w:p w:rsidR="00F31BC9" w:rsidRDefault="00F31BC9" w:rsidP="00490F9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B899256" wp14:editId="17BFEE59">
                <wp:extent cx="1343660" cy="1137285"/>
                <wp:effectExtent l="0" t="0" r="8890" b="5715"/>
                <wp:docPr id="2" name="Picture 2" descr="ofst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fst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BC9" w:rsidRPr="007E785D" w:rsidRDefault="00F31BC9" w:rsidP="007E785D">
    <w:pPr>
      <w:pStyle w:val="Header"/>
      <w:rPr>
        <w:sz w:val="14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FE" w:rsidRDefault="00077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189"/>
    <w:multiLevelType w:val="hybridMultilevel"/>
    <w:tmpl w:val="F09E91C0"/>
    <w:lvl w:ilvl="0" w:tplc="AC549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4EF"/>
    <w:multiLevelType w:val="hybridMultilevel"/>
    <w:tmpl w:val="393E5A20"/>
    <w:lvl w:ilvl="0" w:tplc="87E4C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3B58EBE6"/>
    <w:lvl w:ilvl="0" w:tplc="6EFADFBC">
      <w:start w:val="1"/>
      <w:numFmt w:val="bullet"/>
      <w:pStyle w:val="Bulletsspaced"/>
      <w:lvlText w:val="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085B40F7"/>
    <w:multiLevelType w:val="hybridMultilevel"/>
    <w:tmpl w:val="A7EC9E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D6416"/>
    <w:multiLevelType w:val="hybridMultilevel"/>
    <w:tmpl w:val="CF6C1CDE"/>
    <w:lvl w:ilvl="0" w:tplc="A80430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B4B04"/>
    <w:multiLevelType w:val="hybridMultilevel"/>
    <w:tmpl w:val="970E7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C502A"/>
    <w:multiLevelType w:val="hybridMultilevel"/>
    <w:tmpl w:val="79BC91AA"/>
    <w:lvl w:ilvl="0" w:tplc="C5AA9008">
      <w:start w:val="1"/>
      <w:numFmt w:val="decimal"/>
      <w:pStyle w:val="Numberedparagraph"/>
      <w:lvlText w:val="%1."/>
      <w:lvlJc w:val="left"/>
      <w:pPr>
        <w:tabs>
          <w:tab w:val="num" w:pos="1107"/>
        </w:tabs>
        <w:ind w:left="540" w:firstLine="0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80BE2"/>
    <w:multiLevelType w:val="hybridMultilevel"/>
    <w:tmpl w:val="30963CFA"/>
    <w:lvl w:ilvl="0" w:tplc="87E4C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53E52"/>
    <w:multiLevelType w:val="hybridMultilevel"/>
    <w:tmpl w:val="41BAE0AE"/>
    <w:lvl w:ilvl="0" w:tplc="62EA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56CFA"/>
    <w:multiLevelType w:val="hybridMultilevel"/>
    <w:tmpl w:val="07605E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86F32"/>
    <w:multiLevelType w:val="hybridMultilevel"/>
    <w:tmpl w:val="5FC47FB0"/>
    <w:lvl w:ilvl="0" w:tplc="F2369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29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67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AA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89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C4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C7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00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D03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467CBF"/>
    <w:multiLevelType w:val="hybridMultilevel"/>
    <w:tmpl w:val="EDBAC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30F3D"/>
    <w:multiLevelType w:val="hybridMultilevel"/>
    <w:tmpl w:val="6F5823E6"/>
    <w:lvl w:ilvl="0" w:tplc="87E4C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EF48BE"/>
    <w:multiLevelType w:val="hybridMultilevel"/>
    <w:tmpl w:val="C9A8C780"/>
    <w:lvl w:ilvl="0" w:tplc="87E4C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2601A"/>
    <w:multiLevelType w:val="hybridMultilevel"/>
    <w:tmpl w:val="10E22C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81BBE"/>
    <w:multiLevelType w:val="hybridMultilevel"/>
    <w:tmpl w:val="357655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560BF4"/>
    <w:multiLevelType w:val="hybridMultilevel"/>
    <w:tmpl w:val="20DAC5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A390B"/>
    <w:multiLevelType w:val="hybridMultilevel"/>
    <w:tmpl w:val="DAEA0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C1B22"/>
    <w:multiLevelType w:val="hybridMultilevel"/>
    <w:tmpl w:val="2430BB54"/>
    <w:lvl w:ilvl="0" w:tplc="BA387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24508"/>
    <w:multiLevelType w:val="hybridMultilevel"/>
    <w:tmpl w:val="BE3E0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327F56"/>
    <w:multiLevelType w:val="hybridMultilevel"/>
    <w:tmpl w:val="AA34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73E6"/>
    <w:multiLevelType w:val="hybridMultilevel"/>
    <w:tmpl w:val="357655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D43F67"/>
    <w:multiLevelType w:val="hybridMultilevel"/>
    <w:tmpl w:val="49B07994"/>
    <w:lvl w:ilvl="0" w:tplc="D87822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BF24AC"/>
    <w:multiLevelType w:val="hybridMultilevel"/>
    <w:tmpl w:val="D39E01B2"/>
    <w:lvl w:ilvl="0" w:tplc="65E455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22AA2"/>
    <w:multiLevelType w:val="hybridMultilevel"/>
    <w:tmpl w:val="C3F2B626"/>
    <w:lvl w:ilvl="0" w:tplc="5EA2D1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13510"/>
    <w:multiLevelType w:val="hybridMultilevel"/>
    <w:tmpl w:val="BC8AAA48"/>
    <w:lvl w:ilvl="0" w:tplc="87E4C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9E2D46"/>
    <w:multiLevelType w:val="hybridMultilevel"/>
    <w:tmpl w:val="22244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4FED"/>
    <w:multiLevelType w:val="hybridMultilevel"/>
    <w:tmpl w:val="F8F68234"/>
    <w:lvl w:ilvl="0" w:tplc="87E4C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3A0DBF"/>
    <w:multiLevelType w:val="hybridMultilevel"/>
    <w:tmpl w:val="F112C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24"/>
  </w:num>
  <w:num w:numId="6">
    <w:abstractNumId w:val="11"/>
  </w:num>
  <w:num w:numId="7">
    <w:abstractNumId w:val="5"/>
  </w:num>
  <w:num w:numId="8">
    <w:abstractNumId w:val="26"/>
  </w:num>
  <w:num w:numId="9">
    <w:abstractNumId w:val="17"/>
  </w:num>
  <w:num w:numId="10">
    <w:abstractNumId w:val="2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8"/>
  </w:num>
  <w:num w:numId="17">
    <w:abstractNumId w:val="25"/>
  </w:num>
  <w:num w:numId="18">
    <w:abstractNumId w:val="4"/>
  </w:num>
  <w:num w:numId="19">
    <w:abstractNumId w:val="28"/>
  </w:num>
  <w:num w:numId="20">
    <w:abstractNumId w:val="7"/>
  </w:num>
  <w:num w:numId="21">
    <w:abstractNumId w:val="19"/>
  </w:num>
  <w:num w:numId="22">
    <w:abstractNumId w:val="8"/>
  </w:num>
  <w:num w:numId="23">
    <w:abstractNumId w:val="15"/>
  </w:num>
  <w:num w:numId="24">
    <w:abstractNumId w:val="27"/>
  </w:num>
  <w:num w:numId="25">
    <w:abstractNumId w:val="22"/>
  </w:num>
  <w:num w:numId="26">
    <w:abstractNumId w:val="12"/>
  </w:num>
  <w:num w:numId="27">
    <w:abstractNumId w:val="16"/>
  </w:num>
  <w:num w:numId="28">
    <w:abstractNumId w:val="23"/>
  </w:num>
  <w:num w:numId="29">
    <w:abstractNumId w:val="1"/>
  </w:num>
  <w:num w:numId="30">
    <w:abstractNumId w:val="13"/>
  </w:num>
  <w:num w:numId="31">
    <w:abstractNumId w:val="2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Joyce">
    <w15:presenceInfo w15:providerId="AD" w15:userId="S-1-5-21-3450231008-4217560667-1509679208-7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C"/>
    <w:rsid w:val="000019C5"/>
    <w:rsid w:val="00002335"/>
    <w:rsid w:val="00002425"/>
    <w:rsid w:val="0000314F"/>
    <w:rsid w:val="0000323F"/>
    <w:rsid w:val="000037E8"/>
    <w:rsid w:val="00003FC8"/>
    <w:rsid w:val="0000509C"/>
    <w:rsid w:val="00007378"/>
    <w:rsid w:val="00007588"/>
    <w:rsid w:val="00007886"/>
    <w:rsid w:val="000101BB"/>
    <w:rsid w:val="00010456"/>
    <w:rsid w:val="00010A4F"/>
    <w:rsid w:val="00010F5F"/>
    <w:rsid w:val="0001126C"/>
    <w:rsid w:val="000120F8"/>
    <w:rsid w:val="000124BD"/>
    <w:rsid w:val="00013403"/>
    <w:rsid w:val="000134CE"/>
    <w:rsid w:val="00013BD7"/>
    <w:rsid w:val="00015B29"/>
    <w:rsid w:val="00020412"/>
    <w:rsid w:val="00020551"/>
    <w:rsid w:val="000206B1"/>
    <w:rsid w:val="00022E6C"/>
    <w:rsid w:val="00023D41"/>
    <w:rsid w:val="000246BA"/>
    <w:rsid w:val="00024B1D"/>
    <w:rsid w:val="00026F4E"/>
    <w:rsid w:val="000279E3"/>
    <w:rsid w:val="000315E7"/>
    <w:rsid w:val="00032234"/>
    <w:rsid w:val="000326F1"/>
    <w:rsid w:val="00032C49"/>
    <w:rsid w:val="00033124"/>
    <w:rsid w:val="000339BC"/>
    <w:rsid w:val="00033E4E"/>
    <w:rsid w:val="00034A89"/>
    <w:rsid w:val="00034E19"/>
    <w:rsid w:val="00035B5F"/>
    <w:rsid w:val="00036C7B"/>
    <w:rsid w:val="00037A56"/>
    <w:rsid w:val="00040A8F"/>
    <w:rsid w:val="000414E0"/>
    <w:rsid w:val="000430A9"/>
    <w:rsid w:val="000431F4"/>
    <w:rsid w:val="0004366A"/>
    <w:rsid w:val="00044675"/>
    <w:rsid w:val="00044DB4"/>
    <w:rsid w:val="00045B29"/>
    <w:rsid w:val="00047EA8"/>
    <w:rsid w:val="00050AB1"/>
    <w:rsid w:val="00051C71"/>
    <w:rsid w:val="00055782"/>
    <w:rsid w:val="00055882"/>
    <w:rsid w:val="00055EBF"/>
    <w:rsid w:val="0005636C"/>
    <w:rsid w:val="000576BF"/>
    <w:rsid w:val="00057C52"/>
    <w:rsid w:val="00060831"/>
    <w:rsid w:val="000620CB"/>
    <w:rsid w:val="00062188"/>
    <w:rsid w:val="00062CCB"/>
    <w:rsid w:val="000635E4"/>
    <w:rsid w:val="0006415C"/>
    <w:rsid w:val="00064279"/>
    <w:rsid w:val="00066445"/>
    <w:rsid w:val="00066668"/>
    <w:rsid w:val="0006764D"/>
    <w:rsid w:val="000678F1"/>
    <w:rsid w:val="000704DC"/>
    <w:rsid w:val="000704E8"/>
    <w:rsid w:val="0007232D"/>
    <w:rsid w:val="0007240C"/>
    <w:rsid w:val="00074004"/>
    <w:rsid w:val="00074F2D"/>
    <w:rsid w:val="00076AAF"/>
    <w:rsid w:val="000773D9"/>
    <w:rsid w:val="00077CA7"/>
    <w:rsid w:val="00077FFE"/>
    <w:rsid w:val="000829DF"/>
    <w:rsid w:val="00082C4C"/>
    <w:rsid w:val="00082CA3"/>
    <w:rsid w:val="00082E77"/>
    <w:rsid w:val="000830D8"/>
    <w:rsid w:val="00083898"/>
    <w:rsid w:val="00083D53"/>
    <w:rsid w:val="00085784"/>
    <w:rsid w:val="00085DBB"/>
    <w:rsid w:val="000863A8"/>
    <w:rsid w:val="00087CCE"/>
    <w:rsid w:val="0009188C"/>
    <w:rsid w:val="00092116"/>
    <w:rsid w:val="000930D3"/>
    <w:rsid w:val="00094070"/>
    <w:rsid w:val="00094BA6"/>
    <w:rsid w:val="00096609"/>
    <w:rsid w:val="00096AC8"/>
    <w:rsid w:val="00096CA7"/>
    <w:rsid w:val="00096E6C"/>
    <w:rsid w:val="0009754B"/>
    <w:rsid w:val="000A0CAD"/>
    <w:rsid w:val="000A171C"/>
    <w:rsid w:val="000A198A"/>
    <w:rsid w:val="000A288A"/>
    <w:rsid w:val="000A4824"/>
    <w:rsid w:val="000A4BC6"/>
    <w:rsid w:val="000A543D"/>
    <w:rsid w:val="000A5A02"/>
    <w:rsid w:val="000A6AA9"/>
    <w:rsid w:val="000A742E"/>
    <w:rsid w:val="000A7EFC"/>
    <w:rsid w:val="000B11D1"/>
    <w:rsid w:val="000B3535"/>
    <w:rsid w:val="000B3B88"/>
    <w:rsid w:val="000B6B87"/>
    <w:rsid w:val="000B6C5F"/>
    <w:rsid w:val="000B7802"/>
    <w:rsid w:val="000B784B"/>
    <w:rsid w:val="000C0259"/>
    <w:rsid w:val="000C0921"/>
    <w:rsid w:val="000C2291"/>
    <w:rsid w:val="000C24C3"/>
    <w:rsid w:val="000C2B36"/>
    <w:rsid w:val="000C35DE"/>
    <w:rsid w:val="000C3C23"/>
    <w:rsid w:val="000C5360"/>
    <w:rsid w:val="000C5FDC"/>
    <w:rsid w:val="000D08CD"/>
    <w:rsid w:val="000D0BC9"/>
    <w:rsid w:val="000D10C5"/>
    <w:rsid w:val="000D16D5"/>
    <w:rsid w:val="000D3A9B"/>
    <w:rsid w:val="000D47EB"/>
    <w:rsid w:val="000D69B3"/>
    <w:rsid w:val="000D6F43"/>
    <w:rsid w:val="000D6FA8"/>
    <w:rsid w:val="000E1171"/>
    <w:rsid w:val="000E131D"/>
    <w:rsid w:val="000E2E01"/>
    <w:rsid w:val="000E3D6F"/>
    <w:rsid w:val="000E3FBC"/>
    <w:rsid w:val="000E4290"/>
    <w:rsid w:val="000E5040"/>
    <w:rsid w:val="000E5A94"/>
    <w:rsid w:val="000E5BE4"/>
    <w:rsid w:val="000E5D39"/>
    <w:rsid w:val="000F080B"/>
    <w:rsid w:val="000F12C7"/>
    <w:rsid w:val="000F5070"/>
    <w:rsid w:val="000F53FE"/>
    <w:rsid w:val="000F5BFC"/>
    <w:rsid w:val="000F60FF"/>
    <w:rsid w:val="000F6A2A"/>
    <w:rsid w:val="000F6E57"/>
    <w:rsid w:val="000F7B8B"/>
    <w:rsid w:val="000F7D0F"/>
    <w:rsid w:val="001023CB"/>
    <w:rsid w:val="001029FB"/>
    <w:rsid w:val="00103AB3"/>
    <w:rsid w:val="00105CB4"/>
    <w:rsid w:val="00106622"/>
    <w:rsid w:val="001103E0"/>
    <w:rsid w:val="0011080D"/>
    <w:rsid w:val="001116EF"/>
    <w:rsid w:val="001118E2"/>
    <w:rsid w:val="00111EC2"/>
    <w:rsid w:val="001123ED"/>
    <w:rsid w:val="001149DF"/>
    <w:rsid w:val="00114E22"/>
    <w:rsid w:val="00115671"/>
    <w:rsid w:val="0011674C"/>
    <w:rsid w:val="00116AC7"/>
    <w:rsid w:val="00116FD0"/>
    <w:rsid w:val="00121519"/>
    <w:rsid w:val="00125441"/>
    <w:rsid w:val="001254B5"/>
    <w:rsid w:val="00125D2E"/>
    <w:rsid w:val="0012649A"/>
    <w:rsid w:val="00126A7B"/>
    <w:rsid w:val="00127728"/>
    <w:rsid w:val="00131A47"/>
    <w:rsid w:val="0013372D"/>
    <w:rsid w:val="00133EBC"/>
    <w:rsid w:val="0013450E"/>
    <w:rsid w:val="00134A89"/>
    <w:rsid w:val="00134FB2"/>
    <w:rsid w:val="0013565B"/>
    <w:rsid w:val="001361F5"/>
    <w:rsid w:val="0013726E"/>
    <w:rsid w:val="00140BAD"/>
    <w:rsid w:val="001416D1"/>
    <w:rsid w:val="0014218A"/>
    <w:rsid w:val="00142792"/>
    <w:rsid w:val="00144848"/>
    <w:rsid w:val="00144BDD"/>
    <w:rsid w:val="00145C08"/>
    <w:rsid w:val="001460CF"/>
    <w:rsid w:val="00146418"/>
    <w:rsid w:val="00146BEF"/>
    <w:rsid w:val="00146CB5"/>
    <w:rsid w:val="00147CE0"/>
    <w:rsid w:val="00147F03"/>
    <w:rsid w:val="0015055C"/>
    <w:rsid w:val="00150815"/>
    <w:rsid w:val="00151B46"/>
    <w:rsid w:val="0015345F"/>
    <w:rsid w:val="00153DAC"/>
    <w:rsid w:val="0015569E"/>
    <w:rsid w:val="0015613A"/>
    <w:rsid w:val="0015671D"/>
    <w:rsid w:val="00156769"/>
    <w:rsid w:val="00157C90"/>
    <w:rsid w:val="00161788"/>
    <w:rsid w:val="0016186A"/>
    <w:rsid w:val="001628ED"/>
    <w:rsid w:val="00162B8B"/>
    <w:rsid w:val="00164B27"/>
    <w:rsid w:val="0016524B"/>
    <w:rsid w:val="00165B2A"/>
    <w:rsid w:val="0016772A"/>
    <w:rsid w:val="00174F0C"/>
    <w:rsid w:val="001750E1"/>
    <w:rsid w:val="00175D17"/>
    <w:rsid w:val="001765CB"/>
    <w:rsid w:val="00176843"/>
    <w:rsid w:val="00176B96"/>
    <w:rsid w:val="00176C72"/>
    <w:rsid w:val="00177114"/>
    <w:rsid w:val="00177AB6"/>
    <w:rsid w:val="00182A1C"/>
    <w:rsid w:val="00183E26"/>
    <w:rsid w:val="00184023"/>
    <w:rsid w:val="00184562"/>
    <w:rsid w:val="00184B1F"/>
    <w:rsid w:val="00184B5B"/>
    <w:rsid w:val="00186741"/>
    <w:rsid w:val="00186FD8"/>
    <w:rsid w:val="00187EA8"/>
    <w:rsid w:val="001949D7"/>
    <w:rsid w:val="00194D27"/>
    <w:rsid w:val="00194EDD"/>
    <w:rsid w:val="001950CB"/>
    <w:rsid w:val="0019565E"/>
    <w:rsid w:val="00197915"/>
    <w:rsid w:val="001A1D68"/>
    <w:rsid w:val="001A2C1C"/>
    <w:rsid w:val="001A4C55"/>
    <w:rsid w:val="001A4F67"/>
    <w:rsid w:val="001A5174"/>
    <w:rsid w:val="001A6428"/>
    <w:rsid w:val="001A7F17"/>
    <w:rsid w:val="001B0D18"/>
    <w:rsid w:val="001B20F7"/>
    <w:rsid w:val="001B2C55"/>
    <w:rsid w:val="001B2EF8"/>
    <w:rsid w:val="001B3DD8"/>
    <w:rsid w:val="001B3F8F"/>
    <w:rsid w:val="001B566E"/>
    <w:rsid w:val="001B5791"/>
    <w:rsid w:val="001B599A"/>
    <w:rsid w:val="001B5ECB"/>
    <w:rsid w:val="001B6F28"/>
    <w:rsid w:val="001B70E6"/>
    <w:rsid w:val="001C01DA"/>
    <w:rsid w:val="001C200B"/>
    <w:rsid w:val="001C2AF5"/>
    <w:rsid w:val="001C3B27"/>
    <w:rsid w:val="001C3C2F"/>
    <w:rsid w:val="001C4B31"/>
    <w:rsid w:val="001C4F72"/>
    <w:rsid w:val="001C5127"/>
    <w:rsid w:val="001C5A46"/>
    <w:rsid w:val="001C5FE4"/>
    <w:rsid w:val="001C769D"/>
    <w:rsid w:val="001D0C31"/>
    <w:rsid w:val="001D0FA7"/>
    <w:rsid w:val="001D158C"/>
    <w:rsid w:val="001D19C8"/>
    <w:rsid w:val="001D22E5"/>
    <w:rsid w:val="001D3D7B"/>
    <w:rsid w:val="001D49BA"/>
    <w:rsid w:val="001D5585"/>
    <w:rsid w:val="001D5791"/>
    <w:rsid w:val="001D654E"/>
    <w:rsid w:val="001D6D90"/>
    <w:rsid w:val="001E0617"/>
    <w:rsid w:val="001E28F6"/>
    <w:rsid w:val="001E500B"/>
    <w:rsid w:val="001E5D6B"/>
    <w:rsid w:val="001E7BC8"/>
    <w:rsid w:val="001F0F18"/>
    <w:rsid w:val="001F17FC"/>
    <w:rsid w:val="001F2160"/>
    <w:rsid w:val="001F31DF"/>
    <w:rsid w:val="001F33E2"/>
    <w:rsid w:val="001F364D"/>
    <w:rsid w:val="001F433B"/>
    <w:rsid w:val="001F6922"/>
    <w:rsid w:val="00200B9E"/>
    <w:rsid w:val="00201406"/>
    <w:rsid w:val="00202F22"/>
    <w:rsid w:val="0020413B"/>
    <w:rsid w:val="00204609"/>
    <w:rsid w:val="00204997"/>
    <w:rsid w:val="002049F0"/>
    <w:rsid w:val="00206FF7"/>
    <w:rsid w:val="00207B0C"/>
    <w:rsid w:val="00210AF8"/>
    <w:rsid w:val="002111AA"/>
    <w:rsid w:val="0021131D"/>
    <w:rsid w:val="00211EDC"/>
    <w:rsid w:val="00212A16"/>
    <w:rsid w:val="002131E4"/>
    <w:rsid w:val="0021438C"/>
    <w:rsid w:val="00223F0C"/>
    <w:rsid w:val="0022488A"/>
    <w:rsid w:val="0022490C"/>
    <w:rsid w:val="0022558B"/>
    <w:rsid w:val="00226B2F"/>
    <w:rsid w:val="002314EB"/>
    <w:rsid w:val="00231CC7"/>
    <w:rsid w:val="00234E46"/>
    <w:rsid w:val="00234E8F"/>
    <w:rsid w:val="00235C76"/>
    <w:rsid w:val="00236F6A"/>
    <w:rsid w:val="00237AF7"/>
    <w:rsid w:val="00240073"/>
    <w:rsid w:val="002407C7"/>
    <w:rsid w:val="0024142F"/>
    <w:rsid w:val="0024192F"/>
    <w:rsid w:val="00241AB8"/>
    <w:rsid w:val="0024294E"/>
    <w:rsid w:val="00242A1E"/>
    <w:rsid w:val="00243709"/>
    <w:rsid w:val="00243CDA"/>
    <w:rsid w:val="00244BC8"/>
    <w:rsid w:val="00245FE3"/>
    <w:rsid w:val="00246C22"/>
    <w:rsid w:val="00246CCB"/>
    <w:rsid w:val="00247A8E"/>
    <w:rsid w:val="00247AE3"/>
    <w:rsid w:val="00250C3C"/>
    <w:rsid w:val="00252D8E"/>
    <w:rsid w:val="00253ABA"/>
    <w:rsid w:val="00254E34"/>
    <w:rsid w:val="002558A7"/>
    <w:rsid w:val="00255C7D"/>
    <w:rsid w:val="00255F56"/>
    <w:rsid w:val="0025609B"/>
    <w:rsid w:val="00256A42"/>
    <w:rsid w:val="00256F63"/>
    <w:rsid w:val="002603E0"/>
    <w:rsid w:val="00260765"/>
    <w:rsid w:val="0026196E"/>
    <w:rsid w:val="00261E42"/>
    <w:rsid w:val="00262F4F"/>
    <w:rsid w:val="00263D0B"/>
    <w:rsid w:val="002649B3"/>
    <w:rsid w:val="002661B7"/>
    <w:rsid w:val="00267AAE"/>
    <w:rsid w:val="0027116D"/>
    <w:rsid w:val="00271BE7"/>
    <w:rsid w:val="00272AC7"/>
    <w:rsid w:val="00273B53"/>
    <w:rsid w:val="00274DF6"/>
    <w:rsid w:val="0027523F"/>
    <w:rsid w:val="0027574D"/>
    <w:rsid w:val="0027593C"/>
    <w:rsid w:val="00275EC6"/>
    <w:rsid w:val="0027615A"/>
    <w:rsid w:val="0027691A"/>
    <w:rsid w:val="00277D47"/>
    <w:rsid w:val="00277ECE"/>
    <w:rsid w:val="0028013D"/>
    <w:rsid w:val="002801CF"/>
    <w:rsid w:val="00280C2E"/>
    <w:rsid w:val="002817B1"/>
    <w:rsid w:val="00282AD7"/>
    <w:rsid w:val="00282E8F"/>
    <w:rsid w:val="00285C51"/>
    <w:rsid w:val="00285CD4"/>
    <w:rsid w:val="00286E47"/>
    <w:rsid w:val="00290932"/>
    <w:rsid w:val="00290A92"/>
    <w:rsid w:val="00290F2B"/>
    <w:rsid w:val="002913EB"/>
    <w:rsid w:val="00291D8A"/>
    <w:rsid w:val="002934E6"/>
    <w:rsid w:val="0029399E"/>
    <w:rsid w:val="00294D65"/>
    <w:rsid w:val="002962B0"/>
    <w:rsid w:val="002978A6"/>
    <w:rsid w:val="002A000C"/>
    <w:rsid w:val="002A0423"/>
    <w:rsid w:val="002A1F22"/>
    <w:rsid w:val="002A2056"/>
    <w:rsid w:val="002A2129"/>
    <w:rsid w:val="002A2E83"/>
    <w:rsid w:val="002A3235"/>
    <w:rsid w:val="002A33E7"/>
    <w:rsid w:val="002A390E"/>
    <w:rsid w:val="002A3C45"/>
    <w:rsid w:val="002A409F"/>
    <w:rsid w:val="002A42B6"/>
    <w:rsid w:val="002A57E8"/>
    <w:rsid w:val="002A5AAF"/>
    <w:rsid w:val="002A6D1E"/>
    <w:rsid w:val="002B0E60"/>
    <w:rsid w:val="002B29FA"/>
    <w:rsid w:val="002B303B"/>
    <w:rsid w:val="002B318F"/>
    <w:rsid w:val="002B343A"/>
    <w:rsid w:val="002B358D"/>
    <w:rsid w:val="002B3783"/>
    <w:rsid w:val="002B6A61"/>
    <w:rsid w:val="002C05CF"/>
    <w:rsid w:val="002C192D"/>
    <w:rsid w:val="002C3210"/>
    <w:rsid w:val="002C3534"/>
    <w:rsid w:val="002C36B5"/>
    <w:rsid w:val="002C4A9F"/>
    <w:rsid w:val="002C5989"/>
    <w:rsid w:val="002C6A89"/>
    <w:rsid w:val="002C79E2"/>
    <w:rsid w:val="002C7E75"/>
    <w:rsid w:val="002C7F73"/>
    <w:rsid w:val="002D12CE"/>
    <w:rsid w:val="002D229D"/>
    <w:rsid w:val="002D2911"/>
    <w:rsid w:val="002D2CC6"/>
    <w:rsid w:val="002D36EA"/>
    <w:rsid w:val="002D79E2"/>
    <w:rsid w:val="002D7E08"/>
    <w:rsid w:val="002E032E"/>
    <w:rsid w:val="002E0506"/>
    <w:rsid w:val="002E0928"/>
    <w:rsid w:val="002E14AF"/>
    <w:rsid w:val="002E31C7"/>
    <w:rsid w:val="002E3925"/>
    <w:rsid w:val="002E3AC4"/>
    <w:rsid w:val="002E3B0C"/>
    <w:rsid w:val="002E4C4E"/>
    <w:rsid w:val="002E54B8"/>
    <w:rsid w:val="002E729B"/>
    <w:rsid w:val="002F1240"/>
    <w:rsid w:val="002F1622"/>
    <w:rsid w:val="002F2D1E"/>
    <w:rsid w:val="002F2D93"/>
    <w:rsid w:val="002F32C5"/>
    <w:rsid w:val="002F379E"/>
    <w:rsid w:val="002F3D04"/>
    <w:rsid w:val="002F4945"/>
    <w:rsid w:val="002F6CFF"/>
    <w:rsid w:val="002F6F16"/>
    <w:rsid w:val="002F7301"/>
    <w:rsid w:val="002F7BBC"/>
    <w:rsid w:val="003004E6"/>
    <w:rsid w:val="00300F12"/>
    <w:rsid w:val="00302780"/>
    <w:rsid w:val="003032DC"/>
    <w:rsid w:val="00303C3F"/>
    <w:rsid w:val="003042DA"/>
    <w:rsid w:val="00305F84"/>
    <w:rsid w:val="00305FB1"/>
    <w:rsid w:val="0030640A"/>
    <w:rsid w:val="003065C7"/>
    <w:rsid w:val="003068F4"/>
    <w:rsid w:val="003108AF"/>
    <w:rsid w:val="00310A6A"/>
    <w:rsid w:val="003113C0"/>
    <w:rsid w:val="00311C80"/>
    <w:rsid w:val="00314FF6"/>
    <w:rsid w:val="003164EF"/>
    <w:rsid w:val="00322350"/>
    <w:rsid w:val="00322A08"/>
    <w:rsid w:val="00325C6F"/>
    <w:rsid w:val="0032720F"/>
    <w:rsid w:val="00327517"/>
    <w:rsid w:val="00327717"/>
    <w:rsid w:val="003304E1"/>
    <w:rsid w:val="00331C35"/>
    <w:rsid w:val="00332E10"/>
    <w:rsid w:val="00332F3B"/>
    <w:rsid w:val="00334413"/>
    <w:rsid w:val="00334DCB"/>
    <w:rsid w:val="003359EC"/>
    <w:rsid w:val="00335DBD"/>
    <w:rsid w:val="003364FF"/>
    <w:rsid w:val="00337018"/>
    <w:rsid w:val="00340AD1"/>
    <w:rsid w:val="003410DB"/>
    <w:rsid w:val="00341410"/>
    <w:rsid w:val="00342603"/>
    <w:rsid w:val="00342FA0"/>
    <w:rsid w:val="00343E72"/>
    <w:rsid w:val="00344E78"/>
    <w:rsid w:val="00347676"/>
    <w:rsid w:val="00351690"/>
    <w:rsid w:val="003526EC"/>
    <w:rsid w:val="003543F7"/>
    <w:rsid w:val="0035544D"/>
    <w:rsid w:val="003559FA"/>
    <w:rsid w:val="00356B62"/>
    <w:rsid w:val="00356C3D"/>
    <w:rsid w:val="00357AAB"/>
    <w:rsid w:val="00360C9A"/>
    <w:rsid w:val="00362B4A"/>
    <w:rsid w:val="00362EBA"/>
    <w:rsid w:val="0036371C"/>
    <w:rsid w:val="003637D1"/>
    <w:rsid w:val="00363E91"/>
    <w:rsid w:val="00365276"/>
    <w:rsid w:val="0036632F"/>
    <w:rsid w:val="003668C1"/>
    <w:rsid w:val="00366F95"/>
    <w:rsid w:val="0036704B"/>
    <w:rsid w:val="0036744B"/>
    <w:rsid w:val="00367AC5"/>
    <w:rsid w:val="0037094D"/>
    <w:rsid w:val="00371365"/>
    <w:rsid w:val="00371877"/>
    <w:rsid w:val="00371B1F"/>
    <w:rsid w:val="00372A22"/>
    <w:rsid w:val="003730DF"/>
    <w:rsid w:val="003736F1"/>
    <w:rsid w:val="003769F9"/>
    <w:rsid w:val="00376E24"/>
    <w:rsid w:val="00381A18"/>
    <w:rsid w:val="0038214B"/>
    <w:rsid w:val="00382389"/>
    <w:rsid w:val="003846CB"/>
    <w:rsid w:val="00385A09"/>
    <w:rsid w:val="00385BA5"/>
    <w:rsid w:val="00387F6C"/>
    <w:rsid w:val="00390ED8"/>
    <w:rsid w:val="0039108E"/>
    <w:rsid w:val="00392BBF"/>
    <w:rsid w:val="00393494"/>
    <w:rsid w:val="00393CE6"/>
    <w:rsid w:val="00395779"/>
    <w:rsid w:val="00395794"/>
    <w:rsid w:val="00395A74"/>
    <w:rsid w:val="00395AA4"/>
    <w:rsid w:val="00397807"/>
    <w:rsid w:val="003978C9"/>
    <w:rsid w:val="003A03C1"/>
    <w:rsid w:val="003A03D4"/>
    <w:rsid w:val="003A454F"/>
    <w:rsid w:val="003A5430"/>
    <w:rsid w:val="003A54A7"/>
    <w:rsid w:val="003A6923"/>
    <w:rsid w:val="003A6D78"/>
    <w:rsid w:val="003A6DE7"/>
    <w:rsid w:val="003B32DF"/>
    <w:rsid w:val="003B3526"/>
    <w:rsid w:val="003B3E99"/>
    <w:rsid w:val="003B44F5"/>
    <w:rsid w:val="003B5D6A"/>
    <w:rsid w:val="003C2154"/>
    <w:rsid w:val="003C4D8B"/>
    <w:rsid w:val="003C737C"/>
    <w:rsid w:val="003C751E"/>
    <w:rsid w:val="003D1FA9"/>
    <w:rsid w:val="003D66C5"/>
    <w:rsid w:val="003E0B75"/>
    <w:rsid w:val="003E186F"/>
    <w:rsid w:val="003E18D5"/>
    <w:rsid w:val="003E1D72"/>
    <w:rsid w:val="003E34BF"/>
    <w:rsid w:val="003E4731"/>
    <w:rsid w:val="003E4982"/>
    <w:rsid w:val="003E5DE8"/>
    <w:rsid w:val="003E6BB4"/>
    <w:rsid w:val="003E6F61"/>
    <w:rsid w:val="003E7013"/>
    <w:rsid w:val="003F058F"/>
    <w:rsid w:val="003F14A0"/>
    <w:rsid w:val="003F4E20"/>
    <w:rsid w:val="003F56A6"/>
    <w:rsid w:val="003F6997"/>
    <w:rsid w:val="003F6F13"/>
    <w:rsid w:val="003F7150"/>
    <w:rsid w:val="00402E62"/>
    <w:rsid w:val="00403672"/>
    <w:rsid w:val="00404E1B"/>
    <w:rsid w:val="00405382"/>
    <w:rsid w:val="00406D07"/>
    <w:rsid w:val="0040714F"/>
    <w:rsid w:val="00410C0B"/>
    <w:rsid w:val="0041316F"/>
    <w:rsid w:val="0041459B"/>
    <w:rsid w:val="004154DE"/>
    <w:rsid w:val="00415EC4"/>
    <w:rsid w:val="00416733"/>
    <w:rsid w:val="00416DE7"/>
    <w:rsid w:val="00417D99"/>
    <w:rsid w:val="004201A7"/>
    <w:rsid w:val="004220E4"/>
    <w:rsid w:val="004237B7"/>
    <w:rsid w:val="00423A77"/>
    <w:rsid w:val="00423E30"/>
    <w:rsid w:val="004244EA"/>
    <w:rsid w:val="00424C39"/>
    <w:rsid w:val="00424FCF"/>
    <w:rsid w:val="0042733D"/>
    <w:rsid w:val="004307DE"/>
    <w:rsid w:val="004315E2"/>
    <w:rsid w:val="00432031"/>
    <w:rsid w:val="00432B4F"/>
    <w:rsid w:val="004336D5"/>
    <w:rsid w:val="00433B03"/>
    <w:rsid w:val="00435A0A"/>
    <w:rsid w:val="00435B07"/>
    <w:rsid w:val="0043683B"/>
    <w:rsid w:val="00437192"/>
    <w:rsid w:val="0044350F"/>
    <w:rsid w:val="00443696"/>
    <w:rsid w:val="00443B8E"/>
    <w:rsid w:val="00444221"/>
    <w:rsid w:val="00445703"/>
    <w:rsid w:val="00446AD8"/>
    <w:rsid w:val="00446FE2"/>
    <w:rsid w:val="004472FD"/>
    <w:rsid w:val="0044746B"/>
    <w:rsid w:val="00447F2C"/>
    <w:rsid w:val="0045047C"/>
    <w:rsid w:val="004504D8"/>
    <w:rsid w:val="00450656"/>
    <w:rsid w:val="004514AF"/>
    <w:rsid w:val="00452365"/>
    <w:rsid w:val="00452D8E"/>
    <w:rsid w:val="00452EB6"/>
    <w:rsid w:val="00453023"/>
    <w:rsid w:val="00453403"/>
    <w:rsid w:val="0045384D"/>
    <w:rsid w:val="004549E0"/>
    <w:rsid w:val="004567C5"/>
    <w:rsid w:val="00460531"/>
    <w:rsid w:val="00460AC1"/>
    <w:rsid w:val="004629C0"/>
    <w:rsid w:val="004632F4"/>
    <w:rsid w:val="004639F7"/>
    <w:rsid w:val="00463B81"/>
    <w:rsid w:val="004641D2"/>
    <w:rsid w:val="00465A7E"/>
    <w:rsid w:val="00466B9F"/>
    <w:rsid w:val="00467B2F"/>
    <w:rsid w:val="00470674"/>
    <w:rsid w:val="00470B57"/>
    <w:rsid w:val="00471BC2"/>
    <w:rsid w:val="0047236D"/>
    <w:rsid w:val="00472D8B"/>
    <w:rsid w:val="00472FC3"/>
    <w:rsid w:val="00473054"/>
    <w:rsid w:val="0047347C"/>
    <w:rsid w:val="0047394B"/>
    <w:rsid w:val="00473ABD"/>
    <w:rsid w:val="00474C84"/>
    <w:rsid w:val="00474D2E"/>
    <w:rsid w:val="0047544D"/>
    <w:rsid w:val="00475C7E"/>
    <w:rsid w:val="0047797E"/>
    <w:rsid w:val="00481827"/>
    <w:rsid w:val="00481D30"/>
    <w:rsid w:val="00482136"/>
    <w:rsid w:val="00482720"/>
    <w:rsid w:val="00482DAF"/>
    <w:rsid w:val="004830B8"/>
    <w:rsid w:val="00483B3E"/>
    <w:rsid w:val="004857FD"/>
    <w:rsid w:val="00485FB1"/>
    <w:rsid w:val="00490F9F"/>
    <w:rsid w:val="00495258"/>
    <w:rsid w:val="00495379"/>
    <w:rsid w:val="00495D21"/>
    <w:rsid w:val="004970A8"/>
    <w:rsid w:val="00497819"/>
    <w:rsid w:val="004A00C2"/>
    <w:rsid w:val="004A1543"/>
    <w:rsid w:val="004A1577"/>
    <w:rsid w:val="004A18B7"/>
    <w:rsid w:val="004A2BC9"/>
    <w:rsid w:val="004A3B89"/>
    <w:rsid w:val="004A5E5F"/>
    <w:rsid w:val="004A670B"/>
    <w:rsid w:val="004A794B"/>
    <w:rsid w:val="004B14AF"/>
    <w:rsid w:val="004B2983"/>
    <w:rsid w:val="004B3FB5"/>
    <w:rsid w:val="004B4861"/>
    <w:rsid w:val="004B7EB4"/>
    <w:rsid w:val="004B7F5C"/>
    <w:rsid w:val="004C0485"/>
    <w:rsid w:val="004C0A95"/>
    <w:rsid w:val="004C102D"/>
    <w:rsid w:val="004C2B28"/>
    <w:rsid w:val="004C2DDF"/>
    <w:rsid w:val="004C2E83"/>
    <w:rsid w:val="004C52C0"/>
    <w:rsid w:val="004C55FB"/>
    <w:rsid w:val="004C5D93"/>
    <w:rsid w:val="004C5EAA"/>
    <w:rsid w:val="004C6A05"/>
    <w:rsid w:val="004C7D8C"/>
    <w:rsid w:val="004C7FBB"/>
    <w:rsid w:val="004D0224"/>
    <w:rsid w:val="004D0821"/>
    <w:rsid w:val="004D0840"/>
    <w:rsid w:val="004D25C0"/>
    <w:rsid w:val="004D2AA5"/>
    <w:rsid w:val="004D3603"/>
    <w:rsid w:val="004D432E"/>
    <w:rsid w:val="004D4E9D"/>
    <w:rsid w:val="004D513C"/>
    <w:rsid w:val="004D5D82"/>
    <w:rsid w:val="004D6195"/>
    <w:rsid w:val="004D785F"/>
    <w:rsid w:val="004E066E"/>
    <w:rsid w:val="004E0B53"/>
    <w:rsid w:val="004E1B55"/>
    <w:rsid w:val="004E1FAF"/>
    <w:rsid w:val="004E201B"/>
    <w:rsid w:val="004E441B"/>
    <w:rsid w:val="004E447A"/>
    <w:rsid w:val="004E48C7"/>
    <w:rsid w:val="004E4B81"/>
    <w:rsid w:val="004E4EE5"/>
    <w:rsid w:val="004E6F29"/>
    <w:rsid w:val="004F001B"/>
    <w:rsid w:val="004F074E"/>
    <w:rsid w:val="004F083A"/>
    <w:rsid w:val="004F1A79"/>
    <w:rsid w:val="004F4942"/>
    <w:rsid w:val="004F648B"/>
    <w:rsid w:val="004F7098"/>
    <w:rsid w:val="00500601"/>
    <w:rsid w:val="00501643"/>
    <w:rsid w:val="00502CB4"/>
    <w:rsid w:val="0050337D"/>
    <w:rsid w:val="00503E09"/>
    <w:rsid w:val="005052F1"/>
    <w:rsid w:val="00505C59"/>
    <w:rsid w:val="005069A1"/>
    <w:rsid w:val="00506F75"/>
    <w:rsid w:val="005070BA"/>
    <w:rsid w:val="00510B51"/>
    <w:rsid w:val="00511188"/>
    <w:rsid w:val="00512197"/>
    <w:rsid w:val="005124B5"/>
    <w:rsid w:val="00512643"/>
    <w:rsid w:val="005126FE"/>
    <w:rsid w:val="00512A25"/>
    <w:rsid w:val="00512E51"/>
    <w:rsid w:val="00513C1E"/>
    <w:rsid w:val="00515EE6"/>
    <w:rsid w:val="00516975"/>
    <w:rsid w:val="00516A3B"/>
    <w:rsid w:val="005178F7"/>
    <w:rsid w:val="005179E7"/>
    <w:rsid w:val="00517F89"/>
    <w:rsid w:val="005201D9"/>
    <w:rsid w:val="00520EF8"/>
    <w:rsid w:val="00521A76"/>
    <w:rsid w:val="00521B38"/>
    <w:rsid w:val="00522454"/>
    <w:rsid w:val="00524423"/>
    <w:rsid w:val="00530E00"/>
    <w:rsid w:val="005310D8"/>
    <w:rsid w:val="00531AFB"/>
    <w:rsid w:val="00531DD8"/>
    <w:rsid w:val="00532770"/>
    <w:rsid w:val="00532855"/>
    <w:rsid w:val="005328AE"/>
    <w:rsid w:val="00532DB0"/>
    <w:rsid w:val="0053336C"/>
    <w:rsid w:val="00534F5B"/>
    <w:rsid w:val="00535C7E"/>
    <w:rsid w:val="00536FE8"/>
    <w:rsid w:val="0053700F"/>
    <w:rsid w:val="005374F0"/>
    <w:rsid w:val="00541383"/>
    <w:rsid w:val="005437C7"/>
    <w:rsid w:val="00544EE6"/>
    <w:rsid w:val="00545689"/>
    <w:rsid w:val="00547442"/>
    <w:rsid w:val="00547F76"/>
    <w:rsid w:val="005515CB"/>
    <w:rsid w:val="00552A96"/>
    <w:rsid w:val="00554985"/>
    <w:rsid w:val="00554AED"/>
    <w:rsid w:val="00555249"/>
    <w:rsid w:val="0055612F"/>
    <w:rsid w:val="00557BD0"/>
    <w:rsid w:val="00561737"/>
    <w:rsid w:val="00561A20"/>
    <w:rsid w:val="00562BB4"/>
    <w:rsid w:val="005630CC"/>
    <w:rsid w:val="005630E9"/>
    <w:rsid w:val="0056319E"/>
    <w:rsid w:val="00564649"/>
    <w:rsid w:val="00564B76"/>
    <w:rsid w:val="005655A1"/>
    <w:rsid w:val="00566A95"/>
    <w:rsid w:val="00567330"/>
    <w:rsid w:val="005707C5"/>
    <w:rsid w:val="00573E4E"/>
    <w:rsid w:val="00575757"/>
    <w:rsid w:val="005757BA"/>
    <w:rsid w:val="00577040"/>
    <w:rsid w:val="00581849"/>
    <w:rsid w:val="00581898"/>
    <w:rsid w:val="00581D6D"/>
    <w:rsid w:val="00583980"/>
    <w:rsid w:val="00584292"/>
    <w:rsid w:val="005879F7"/>
    <w:rsid w:val="00587B00"/>
    <w:rsid w:val="005904B9"/>
    <w:rsid w:val="00592565"/>
    <w:rsid w:val="005931A7"/>
    <w:rsid w:val="0059662E"/>
    <w:rsid w:val="005A119E"/>
    <w:rsid w:val="005A3B90"/>
    <w:rsid w:val="005A5AA7"/>
    <w:rsid w:val="005A5C17"/>
    <w:rsid w:val="005A5C72"/>
    <w:rsid w:val="005A7185"/>
    <w:rsid w:val="005A72AE"/>
    <w:rsid w:val="005A750D"/>
    <w:rsid w:val="005A7645"/>
    <w:rsid w:val="005B1B3C"/>
    <w:rsid w:val="005B1ED3"/>
    <w:rsid w:val="005B1F2C"/>
    <w:rsid w:val="005B362D"/>
    <w:rsid w:val="005B3A0C"/>
    <w:rsid w:val="005B4153"/>
    <w:rsid w:val="005B44EE"/>
    <w:rsid w:val="005B6BBA"/>
    <w:rsid w:val="005B7350"/>
    <w:rsid w:val="005B7DF8"/>
    <w:rsid w:val="005C1268"/>
    <w:rsid w:val="005C2D27"/>
    <w:rsid w:val="005C589A"/>
    <w:rsid w:val="005D0A5C"/>
    <w:rsid w:val="005D1966"/>
    <w:rsid w:val="005D2461"/>
    <w:rsid w:val="005D3F81"/>
    <w:rsid w:val="005D42AB"/>
    <w:rsid w:val="005D4A0C"/>
    <w:rsid w:val="005D559F"/>
    <w:rsid w:val="005D564E"/>
    <w:rsid w:val="005D7036"/>
    <w:rsid w:val="005D7322"/>
    <w:rsid w:val="005D76DA"/>
    <w:rsid w:val="005D7B09"/>
    <w:rsid w:val="005D7FA6"/>
    <w:rsid w:val="005D7FFE"/>
    <w:rsid w:val="005E0D3F"/>
    <w:rsid w:val="005E16A3"/>
    <w:rsid w:val="005E18A9"/>
    <w:rsid w:val="005E1FDD"/>
    <w:rsid w:val="005E2BE4"/>
    <w:rsid w:val="005E3FB2"/>
    <w:rsid w:val="005E4D08"/>
    <w:rsid w:val="005E66ED"/>
    <w:rsid w:val="005E6AA8"/>
    <w:rsid w:val="005F0D41"/>
    <w:rsid w:val="005F1461"/>
    <w:rsid w:val="005F3821"/>
    <w:rsid w:val="005F515D"/>
    <w:rsid w:val="005F5447"/>
    <w:rsid w:val="005F600A"/>
    <w:rsid w:val="005F6E1E"/>
    <w:rsid w:val="005F7F36"/>
    <w:rsid w:val="005F7F5A"/>
    <w:rsid w:val="006007E2"/>
    <w:rsid w:val="00602D25"/>
    <w:rsid w:val="00606F80"/>
    <w:rsid w:val="00607A82"/>
    <w:rsid w:val="006104EA"/>
    <w:rsid w:val="00610BEB"/>
    <w:rsid w:val="0061232C"/>
    <w:rsid w:val="00614DFB"/>
    <w:rsid w:val="006162F6"/>
    <w:rsid w:val="0061764E"/>
    <w:rsid w:val="00620960"/>
    <w:rsid w:val="00621B50"/>
    <w:rsid w:val="00622876"/>
    <w:rsid w:val="00622EF1"/>
    <w:rsid w:val="0062509D"/>
    <w:rsid w:val="00626FB0"/>
    <w:rsid w:val="00627184"/>
    <w:rsid w:val="00627B79"/>
    <w:rsid w:val="00630B20"/>
    <w:rsid w:val="00631DF7"/>
    <w:rsid w:val="00632760"/>
    <w:rsid w:val="00632C37"/>
    <w:rsid w:val="00634067"/>
    <w:rsid w:val="006352E6"/>
    <w:rsid w:val="006357CD"/>
    <w:rsid w:val="00636CC5"/>
    <w:rsid w:val="00641C25"/>
    <w:rsid w:val="00641C2A"/>
    <w:rsid w:val="006428E7"/>
    <w:rsid w:val="00642968"/>
    <w:rsid w:val="006463F0"/>
    <w:rsid w:val="00652231"/>
    <w:rsid w:val="006526E0"/>
    <w:rsid w:val="00652845"/>
    <w:rsid w:val="00653474"/>
    <w:rsid w:val="00653EB8"/>
    <w:rsid w:val="00654ECA"/>
    <w:rsid w:val="006551CC"/>
    <w:rsid w:val="00655FBC"/>
    <w:rsid w:val="0065635A"/>
    <w:rsid w:val="006574E6"/>
    <w:rsid w:val="0066436B"/>
    <w:rsid w:val="00665833"/>
    <w:rsid w:val="006662CC"/>
    <w:rsid w:val="00666733"/>
    <w:rsid w:val="00670E27"/>
    <w:rsid w:val="00671A97"/>
    <w:rsid w:val="00671F4D"/>
    <w:rsid w:val="006753E2"/>
    <w:rsid w:val="0067668A"/>
    <w:rsid w:val="00676CB4"/>
    <w:rsid w:val="00676FBD"/>
    <w:rsid w:val="006776B1"/>
    <w:rsid w:val="006776B2"/>
    <w:rsid w:val="00680794"/>
    <w:rsid w:val="00681244"/>
    <w:rsid w:val="00681780"/>
    <w:rsid w:val="0068411E"/>
    <w:rsid w:val="006845BA"/>
    <w:rsid w:val="006848F2"/>
    <w:rsid w:val="00684D49"/>
    <w:rsid w:val="0068529E"/>
    <w:rsid w:val="006869E8"/>
    <w:rsid w:val="00690C9D"/>
    <w:rsid w:val="00691127"/>
    <w:rsid w:val="00691658"/>
    <w:rsid w:val="00692591"/>
    <w:rsid w:val="006927D0"/>
    <w:rsid w:val="00693812"/>
    <w:rsid w:val="00693AA1"/>
    <w:rsid w:val="00697681"/>
    <w:rsid w:val="0069785B"/>
    <w:rsid w:val="006A09A1"/>
    <w:rsid w:val="006A1805"/>
    <w:rsid w:val="006A2B7B"/>
    <w:rsid w:val="006A3E73"/>
    <w:rsid w:val="006A5658"/>
    <w:rsid w:val="006A77AE"/>
    <w:rsid w:val="006A78D7"/>
    <w:rsid w:val="006B31ED"/>
    <w:rsid w:val="006B4AB2"/>
    <w:rsid w:val="006B4D10"/>
    <w:rsid w:val="006B5561"/>
    <w:rsid w:val="006B61D1"/>
    <w:rsid w:val="006B7721"/>
    <w:rsid w:val="006B7981"/>
    <w:rsid w:val="006C0232"/>
    <w:rsid w:val="006C21D9"/>
    <w:rsid w:val="006C3BE6"/>
    <w:rsid w:val="006C4139"/>
    <w:rsid w:val="006C555E"/>
    <w:rsid w:val="006C5B9D"/>
    <w:rsid w:val="006C6608"/>
    <w:rsid w:val="006C6C3A"/>
    <w:rsid w:val="006C7620"/>
    <w:rsid w:val="006C79C2"/>
    <w:rsid w:val="006C7A94"/>
    <w:rsid w:val="006C7AB2"/>
    <w:rsid w:val="006D1752"/>
    <w:rsid w:val="006D23A6"/>
    <w:rsid w:val="006D3C28"/>
    <w:rsid w:val="006D409D"/>
    <w:rsid w:val="006D4F90"/>
    <w:rsid w:val="006D5B18"/>
    <w:rsid w:val="006D665A"/>
    <w:rsid w:val="006D67CC"/>
    <w:rsid w:val="006D6F6C"/>
    <w:rsid w:val="006D755F"/>
    <w:rsid w:val="006E05D6"/>
    <w:rsid w:val="006E3A59"/>
    <w:rsid w:val="006E5767"/>
    <w:rsid w:val="006E6F3A"/>
    <w:rsid w:val="006E79C6"/>
    <w:rsid w:val="006E7BFD"/>
    <w:rsid w:val="006F18B4"/>
    <w:rsid w:val="006F1DF6"/>
    <w:rsid w:val="006F23FB"/>
    <w:rsid w:val="006F27B7"/>
    <w:rsid w:val="006F2973"/>
    <w:rsid w:val="006F30C7"/>
    <w:rsid w:val="006F354A"/>
    <w:rsid w:val="006F3779"/>
    <w:rsid w:val="006F3B6D"/>
    <w:rsid w:val="006F67B2"/>
    <w:rsid w:val="006F7641"/>
    <w:rsid w:val="006F76ED"/>
    <w:rsid w:val="006F7AA8"/>
    <w:rsid w:val="006F7B15"/>
    <w:rsid w:val="00700E3F"/>
    <w:rsid w:val="00701CA5"/>
    <w:rsid w:val="00702379"/>
    <w:rsid w:val="0070258A"/>
    <w:rsid w:val="00702ACA"/>
    <w:rsid w:val="0070309E"/>
    <w:rsid w:val="00703E3E"/>
    <w:rsid w:val="007045C1"/>
    <w:rsid w:val="007054AB"/>
    <w:rsid w:val="00705F74"/>
    <w:rsid w:val="00706452"/>
    <w:rsid w:val="007064D6"/>
    <w:rsid w:val="007067E3"/>
    <w:rsid w:val="007070B2"/>
    <w:rsid w:val="00710A77"/>
    <w:rsid w:val="007136DA"/>
    <w:rsid w:val="00713B61"/>
    <w:rsid w:val="0071428E"/>
    <w:rsid w:val="00717A4A"/>
    <w:rsid w:val="00722A63"/>
    <w:rsid w:val="00722FCA"/>
    <w:rsid w:val="007243DF"/>
    <w:rsid w:val="00724519"/>
    <w:rsid w:val="00724CAB"/>
    <w:rsid w:val="00724D6B"/>
    <w:rsid w:val="00725226"/>
    <w:rsid w:val="00725F92"/>
    <w:rsid w:val="00726708"/>
    <w:rsid w:val="00730187"/>
    <w:rsid w:val="00730955"/>
    <w:rsid w:val="0073120F"/>
    <w:rsid w:val="00732040"/>
    <w:rsid w:val="00732F26"/>
    <w:rsid w:val="007333C8"/>
    <w:rsid w:val="007346E3"/>
    <w:rsid w:val="0073487C"/>
    <w:rsid w:val="0073565A"/>
    <w:rsid w:val="0073579A"/>
    <w:rsid w:val="00742754"/>
    <w:rsid w:val="007441CE"/>
    <w:rsid w:val="00745249"/>
    <w:rsid w:val="0074669A"/>
    <w:rsid w:val="007467DA"/>
    <w:rsid w:val="007472E0"/>
    <w:rsid w:val="00747A50"/>
    <w:rsid w:val="00750A3B"/>
    <w:rsid w:val="00751881"/>
    <w:rsid w:val="00751A37"/>
    <w:rsid w:val="00751A41"/>
    <w:rsid w:val="00752502"/>
    <w:rsid w:val="00755B56"/>
    <w:rsid w:val="0075695E"/>
    <w:rsid w:val="0076052E"/>
    <w:rsid w:val="00762ED2"/>
    <w:rsid w:val="0076510C"/>
    <w:rsid w:val="00765E4E"/>
    <w:rsid w:val="007661D5"/>
    <w:rsid w:val="007672A2"/>
    <w:rsid w:val="0076792C"/>
    <w:rsid w:val="00770D25"/>
    <w:rsid w:val="00771A3A"/>
    <w:rsid w:val="00771CE6"/>
    <w:rsid w:val="00771E6A"/>
    <w:rsid w:val="0077214D"/>
    <w:rsid w:val="0077251E"/>
    <w:rsid w:val="007728DF"/>
    <w:rsid w:val="00772CB9"/>
    <w:rsid w:val="00773095"/>
    <w:rsid w:val="007733C6"/>
    <w:rsid w:val="0077483D"/>
    <w:rsid w:val="00774F6D"/>
    <w:rsid w:val="00775812"/>
    <w:rsid w:val="00776932"/>
    <w:rsid w:val="00777701"/>
    <w:rsid w:val="00777815"/>
    <w:rsid w:val="00781776"/>
    <w:rsid w:val="00781F86"/>
    <w:rsid w:val="00782A21"/>
    <w:rsid w:val="00782B8B"/>
    <w:rsid w:val="00783D42"/>
    <w:rsid w:val="00783FBE"/>
    <w:rsid w:val="00784511"/>
    <w:rsid w:val="007851D2"/>
    <w:rsid w:val="0078528C"/>
    <w:rsid w:val="0078569A"/>
    <w:rsid w:val="00785712"/>
    <w:rsid w:val="00785F6C"/>
    <w:rsid w:val="0078678C"/>
    <w:rsid w:val="0078684F"/>
    <w:rsid w:val="00787CFC"/>
    <w:rsid w:val="00790BD4"/>
    <w:rsid w:val="00791299"/>
    <w:rsid w:val="00791575"/>
    <w:rsid w:val="007926F7"/>
    <w:rsid w:val="0079430F"/>
    <w:rsid w:val="00794869"/>
    <w:rsid w:val="00794C4A"/>
    <w:rsid w:val="007977B6"/>
    <w:rsid w:val="007A102E"/>
    <w:rsid w:val="007A420C"/>
    <w:rsid w:val="007A492E"/>
    <w:rsid w:val="007A54D2"/>
    <w:rsid w:val="007A5C91"/>
    <w:rsid w:val="007A629E"/>
    <w:rsid w:val="007A6344"/>
    <w:rsid w:val="007A6507"/>
    <w:rsid w:val="007A65EF"/>
    <w:rsid w:val="007A7420"/>
    <w:rsid w:val="007A7707"/>
    <w:rsid w:val="007B0B83"/>
    <w:rsid w:val="007B26FA"/>
    <w:rsid w:val="007B33DD"/>
    <w:rsid w:val="007B42A8"/>
    <w:rsid w:val="007B4B1B"/>
    <w:rsid w:val="007B53CB"/>
    <w:rsid w:val="007B5E12"/>
    <w:rsid w:val="007B76F7"/>
    <w:rsid w:val="007C1734"/>
    <w:rsid w:val="007C2A22"/>
    <w:rsid w:val="007C3391"/>
    <w:rsid w:val="007C3735"/>
    <w:rsid w:val="007C6692"/>
    <w:rsid w:val="007D0B46"/>
    <w:rsid w:val="007D2477"/>
    <w:rsid w:val="007D2D87"/>
    <w:rsid w:val="007D2F95"/>
    <w:rsid w:val="007D3046"/>
    <w:rsid w:val="007D4B7E"/>
    <w:rsid w:val="007D78C2"/>
    <w:rsid w:val="007D7EC1"/>
    <w:rsid w:val="007D7EDD"/>
    <w:rsid w:val="007E239E"/>
    <w:rsid w:val="007E4402"/>
    <w:rsid w:val="007E4EFA"/>
    <w:rsid w:val="007E4F49"/>
    <w:rsid w:val="007E5C13"/>
    <w:rsid w:val="007E6F05"/>
    <w:rsid w:val="007E785D"/>
    <w:rsid w:val="007F3255"/>
    <w:rsid w:val="007F3651"/>
    <w:rsid w:val="007F486B"/>
    <w:rsid w:val="007F5CFE"/>
    <w:rsid w:val="007F756B"/>
    <w:rsid w:val="007F7C1A"/>
    <w:rsid w:val="00800A8C"/>
    <w:rsid w:val="00801B11"/>
    <w:rsid w:val="008031C1"/>
    <w:rsid w:val="00803907"/>
    <w:rsid w:val="00803CA7"/>
    <w:rsid w:val="008056ED"/>
    <w:rsid w:val="00805BEC"/>
    <w:rsid w:val="00806C05"/>
    <w:rsid w:val="008071CA"/>
    <w:rsid w:val="00807D3D"/>
    <w:rsid w:val="0081025A"/>
    <w:rsid w:val="008103C9"/>
    <w:rsid w:val="00810AB4"/>
    <w:rsid w:val="00812476"/>
    <w:rsid w:val="00812948"/>
    <w:rsid w:val="00812D11"/>
    <w:rsid w:val="00814B8D"/>
    <w:rsid w:val="008154B9"/>
    <w:rsid w:val="00816124"/>
    <w:rsid w:val="008174B0"/>
    <w:rsid w:val="00817730"/>
    <w:rsid w:val="00821387"/>
    <w:rsid w:val="0082227C"/>
    <w:rsid w:val="008239A6"/>
    <w:rsid w:val="00825DC2"/>
    <w:rsid w:val="0082637D"/>
    <w:rsid w:val="008264E1"/>
    <w:rsid w:val="00826611"/>
    <w:rsid w:val="00827653"/>
    <w:rsid w:val="008276B3"/>
    <w:rsid w:val="008302F6"/>
    <w:rsid w:val="00830565"/>
    <w:rsid w:val="00832099"/>
    <w:rsid w:val="00832E0A"/>
    <w:rsid w:val="00835B13"/>
    <w:rsid w:val="00835F0A"/>
    <w:rsid w:val="00836627"/>
    <w:rsid w:val="00836778"/>
    <w:rsid w:val="008414CE"/>
    <w:rsid w:val="00841748"/>
    <w:rsid w:val="00841D21"/>
    <w:rsid w:val="0084225B"/>
    <w:rsid w:val="008429BE"/>
    <w:rsid w:val="00842CD2"/>
    <w:rsid w:val="00843F01"/>
    <w:rsid w:val="00845750"/>
    <w:rsid w:val="00846660"/>
    <w:rsid w:val="00847EC7"/>
    <w:rsid w:val="008501FF"/>
    <w:rsid w:val="00851441"/>
    <w:rsid w:val="00851EBC"/>
    <w:rsid w:val="00851FA3"/>
    <w:rsid w:val="008534E5"/>
    <w:rsid w:val="008538AB"/>
    <w:rsid w:val="00856B2E"/>
    <w:rsid w:val="0086011D"/>
    <w:rsid w:val="0086024F"/>
    <w:rsid w:val="00860AD6"/>
    <w:rsid w:val="00861330"/>
    <w:rsid w:val="0086166B"/>
    <w:rsid w:val="008626BF"/>
    <w:rsid w:val="00864842"/>
    <w:rsid w:val="0086545C"/>
    <w:rsid w:val="0086719C"/>
    <w:rsid w:val="00867C12"/>
    <w:rsid w:val="008707C1"/>
    <w:rsid w:val="008715E1"/>
    <w:rsid w:val="00871E22"/>
    <w:rsid w:val="00872459"/>
    <w:rsid w:val="00873330"/>
    <w:rsid w:val="00874F95"/>
    <w:rsid w:val="00874FA6"/>
    <w:rsid w:val="00876290"/>
    <w:rsid w:val="0087661B"/>
    <w:rsid w:val="00876AAD"/>
    <w:rsid w:val="00876DF6"/>
    <w:rsid w:val="00880D85"/>
    <w:rsid w:val="00881701"/>
    <w:rsid w:val="00881C04"/>
    <w:rsid w:val="00883D10"/>
    <w:rsid w:val="00884AF0"/>
    <w:rsid w:val="00885778"/>
    <w:rsid w:val="00891255"/>
    <w:rsid w:val="008916D5"/>
    <w:rsid w:val="00892019"/>
    <w:rsid w:val="00892C78"/>
    <w:rsid w:val="00895882"/>
    <w:rsid w:val="008960CD"/>
    <w:rsid w:val="00896E72"/>
    <w:rsid w:val="008A1D47"/>
    <w:rsid w:val="008A5D0B"/>
    <w:rsid w:val="008A6861"/>
    <w:rsid w:val="008A74DB"/>
    <w:rsid w:val="008A7E63"/>
    <w:rsid w:val="008B0955"/>
    <w:rsid w:val="008B2D70"/>
    <w:rsid w:val="008B2F00"/>
    <w:rsid w:val="008B4526"/>
    <w:rsid w:val="008B59B2"/>
    <w:rsid w:val="008B59EC"/>
    <w:rsid w:val="008B6403"/>
    <w:rsid w:val="008B6A94"/>
    <w:rsid w:val="008B7872"/>
    <w:rsid w:val="008B7C90"/>
    <w:rsid w:val="008C00E9"/>
    <w:rsid w:val="008C076F"/>
    <w:rsid w:val="008C0DBD"/>
    <w:rsid w:val="008C109D"/>
    <w:rsid w:val="008C12E4"/>
    <w:rsid w:val="008C3327"/>
    <w:rsid w:val="008C4DB0"/>
    <w:rsid w:val="008C58C0"/>
    <w:rsid w:val="008C5C40"/>
    <w:rsid w:val="008C7274"/>
    <w:rsid w:val="008C73BC"/>
    <w:rsid w:val="008C7454"/>
    <w:rsid w:val="008C77C2"/>
    <w:rsid w:val="008C7E48"/>
    <w:rsid w:val="008D014D"/>
    <w:rsid w:val="008D0657"/>
    <w:rsid w:val="008D38EF"/>
    <w:rsid w:val="008D5116"/>
    <w:rsid w:val="008D51D3"/>
    <w:rsid w:val="008D64EB"/>
    <w:rsid w:val="008D6B40"/>
    <w:rsid w:val="008E16EA"/>
    <w:rsid w:val="008E24F6"/>
    <w:rsid w:val="008E2D3D"/>
    <w:rsid w:val="008E3656"/>
    <w:rsid w:val="008E5D72"/>
    <w:rsid w:val="008E6025"/>
    <w:rsid w:val="008F0C15"/>
    <w:rsid w:val="008F1079"/>
    <w:rsid w:val="008F1A17"/>
    <w:rsid w:val="008F2833"/>
    <w:rsid w:val="008F2B3F"/>
    <w:rsid w:val="008F60F8"/>
    <w:rsid w:val="00903AD4"/>
    <w:rsid w:val="00904101"/>
    <w:rsid w:val="009073CC"/>
    <w:rsid w:val="00910D2E"/>
    <w:rsid w:val="00910ECA"/>
    <w:rsid w:val="00911305"/>
    <w:rsid w:val="00911676"/>
    <w:rsid w:val="009118E4"/>
    <w:rsid w:val="00916E97"/>
    <w:rsid w:val="009204AC"/>
    <w:rsid w:val="009205FF"/>
    <w:rsid w:val="0092126C"/>
    <w:rsid w:val="009213AE"/>
    <w:rsid w:val="00923560"/>
    <w:rsid w:val="00924393"/>
    <w:rsid w:val="009252F2"/>
    <w:rsid w:val="0092552C"/>
    <w:rsid w:val="009262BE"/>
    <w:rsid w:val="00926AFB"/>
    <w:rsid w:val="00927DB5"/>
    <w:rsid w:val="009310B3"/>
    <w:rsid w:val="00931913"/>
    <w:rsid w:val="00933F55"/>
    <w:rsid w:val="00934303"/>
    <w:rsid w:val="0093463E"/>
    <w:rsid w:val="00935ABA"/>
    <w:rsid w:val="0093763A"/>
    <w:rsid w:val="00937B3F"/>
    <w:rsid w:val="00940D9C"/>
    <w:rsid w:val="00941AAC"/>
    <w:rsid w:val="00941D13"/>
    <w:rsid w:val="00941D37"/>
    <w:rsid w:val="00943248"/>
    <w:rsid w:val="00943E45"/>
    <w:rsid w:val="00945ADB"/>
    <w:rsid w:val="00945D0F"/>
    <w:rsid w:val="00945E01"/>
    <w:rsid w:val="009467C9"/>
    <w:rsid w:val="00947B90"/>
    <w:rsid w:val="00950C56"/>
    <w:rsid w:val="00951450"/>
    <w:rsid w:val="0095259B"/>
    <w:rsid w:val="0095456A"/>
    <w:rsid w:val="009547B0"/>
    <w:rsid w:val="00954EC2"/>
    <w:rsid w:val="009554D5"/>
    <w:rsid w:val="00955D0D"/>
    <w:rsid w:val="00956232"/>
    <w:rsid w:val="00957657"/>
    <w:rsid w:val="009577E0"/>
    <w:rsid w:val="00957DED"/>
    <w:rsid w:val="009607BA"/>
    <w:rsid w:val="009608B7"/>
    <w:rsid w:val="00962953"/>
    <w:rsid w:val="00963289"/>
    <w:rsid w:val="009641C0"/>
    <w:rsid w:val="00966FD6"/>
    <w:rsid w:val="009671F0"/>
    <w:rsid w:val="0097215C"/>
    <w:rsid w:val="009757EC"/>
    <w:rsid w:val="00975C28"/>
    <w:rsid w:val="0097615F"/>
    <w:rsid w:val="00976FC1"/>
    <w:rsid w:val="0097764C"/>
    <w:rsid w:val="00977A71"/>
    <w:rsid w:val="0098031A"/>
    <w:rsid w:val="0098137A"/>
    <w:rsid w:val="009833A3"/>
    <w:rsid w:val="009833E5"/>
    <w:rsid w:val="009834D1"/>
    <w:rsid w:val="00984C52"/>
    <w:rsid w:val="00985A2C"/>
    <w:rsid w:val="0098689D"/>
    <w:rsid w:val="00987F15"/>
    <w:rsid w:val="009906BD"/>
    <w:rsid w:val="00992663"/>
    <w:rsid w:val="00992B51"/>
    <w:rsid w:val="00993F1B"/>
    <w:rsid w:val="00994C2C"/>
    <w:rsid w:val="009A0C27"/>
    <w:rsid w:val="009A0DD3"/>
    <w:rsid w:val="009A1321"/>
    <w:rsid w:val="009A15CC"/>
    <w:rsid w:val="009A208E"/>
    <w:rsid w:val="009A26F2"/>
    <w:rsid w:val="009A29ED"/>
    <w:rsid w:val="009A4000"/>
    <w:rsid w:val="009A62B5"/>
    <w:rsid w:val="009A6708"/>
    <w:rsid w:val="009A6870"/>
    <w:rsid w:val="009A6EF0"/>
    <w:rsid w:val="009B0037"/>
    <w:rsid w:val="009B0284"/>
    <w:rsid w:val="009B1AD4"/>
    <w:rsid w:val="009B2435"/>
    <w:rsid w:val="009B291A"/>
    <w:rsid w:val="009B43D3"/>
    <w:rsid w:val="009B4477"/>
    <w:rsid w:val="009B5707"/>
    <w:rsid w:val="009C00D0"/>
    <w:rsid w:val="009C0A83"/>
    <w:rsid w:val="009C1770"/>
    <w:rsid w:val="009C18CC"/>
    <w:rsid w:val="009C2323"/>
    <w:rsid w:val="009C560B"/>
    <w:rsid w:val="009C5DF7"/>
    <w:rsid w:val="009C678A"/>
    <w:rsid w:val="009C67C0"/>
    <w:rsid w:val="009D0533"/>
    <w:rsid w:val="009D081A"/>
    <w:rsid w:val="009D18CC"/>
    <w:rsid w:val="009D1F2D"/>
    <w:rsid w:val="009D43EF"/>
    <w:rsid w:val="009D60F3"/>
    <w:rsid w:val="009D6172"/>
    <w:rsid w:val="009D6C29"/>
    <w:rsid w:val="009E0D65"/>
    <w:rsid w:val="009E11B8"/>
    <w:rsid w:val="009E2113"/>
    <w:rsid w:val="009E2368"/>
    <w:rsid w:val="009E2381"/>
    <w:rsid w:val="009E3979"/>
    <w:rsid w:val="009E412F"/>
    <w:rsid w:val="009E4A75"/>
    <w:rsid w:val="009E50FE"/>
    <w:rsid w:val="009E5674"/>
    <w:rsid w:val="009E60E4"/>
    <w:rsid w:val="009E62DB"/>
    <w:rsid w:val="009E6893"/>
    <w:rsid w:val="009E6F79"/>
    <w:rsid w:val="009E7256"/>
    <w:rsid w:val="009E7825"/>
    <w:rsid w:val="009F100B"/>
    <w:rsid w:val="009F130C"/>
    <w:rsid w:val="009F1384"/>
    <w:rsid w:val="009F2753"/>
    <w:rsid w:val="009F48EF"/>
    <w:rsid w:val="009F66D4"/>
    <w:rsid w:val="009F74B1"/>
    <w:rsid w:val="00A00BB9"/>
    <w:rsid w:val="00A01941"/>
    <w:rsid w:val="00A021A7"/>
    <w:rsid w:val="00A0303C"/>
    <w:rsid w:val="00A05039"/>
    <w:rsid w:val="00A0522A"/>
    <w:rsid w:val="00A05CD5"/>
    <w:rsid w:val="00A06B33"/>
    <w:rsid w:val="00A071EF"/>
    <w:rsid w:val="00A0725E"/>
    <w:rsid w:val="00A07972"/>
    <w:rsid w:val="00A10434"/>
    <w:rsid w:val="00A11415"/>
    <w:rsid w:val="00A11E27"/>
    <w:rsid w:val="00A13342"/>
    <w:rsid w:val="00A14EAB"/>
    <w:rsid w:val="00A17710"/>
    <w:rsid w:val="00A177B8"/>
    <w:rsid w:val="00A17971"/>
    <w:rsid w:val="00A20534"/>
    <w:rsid w:val="00A21140"/>
    <w:rsid w:val="00A2346A"/>
    <w:rsid w:val="00A23A35"/>
    <w:rsid w:val="00A2496A"/>
    <w:rsid w:val="00A2566A"/>
    <w:rsid w:val="00A26F99"/>
    <w:rsid w:val="00A27CB8"/>
    <w:rsid w:val="00A27CE6"/>
    <w:rsid w:val="00A30828"/>
    <w:rsid w:val="00A30A4F"/>
    <w:rsid w:val="00A30DE9"/>
    <w:rsid w:val="00A30EDC"/>
    <w:rsid w:val="00A31B57"/>
    <w:rsid w:val="00A32CEF"/>
    <w:rsid w:val="00A3346A"/>
    <w:rsid w:val="00A33CD0"/>
    <w:rsid w:val="00A33E71"/>
    <w:rsid w:val="00A3400B"/>
    <w:rsid w:val="00A3427E"/>
    <w:rsid w:val="00A34322"/>
    <w:rsid w:val="00A34576"/>
    <w:rsid w:val="00A351C1"/>
    <w:rsid w:val="00A414F1"/>
    <w:rsid w:val="00A416B9"/>
    <w:rsid w:val="00A41CDA"/>
    <w:rsid w:val="00A42291"/>
    <w:rsid w:val="00A43A70"/>
    <w:rsid w:val="00A47038"/>
    <w:rsid w:val="00A5059B"/>
    <w:rsid w:val="00A50835"/>
    <w:rsid w:val="00A51567"/>
    <w:rsid w:val="00A51694"/>
    <w:rsid w:val="00A529BF"/>
    <w:rsid w:val="00A551C0"/>
    <w:rsid w:val="00A55ABC"/>
    <w:rsid w:val="00A566D6"/>
    <w:rsid w:val="00A56DA3"/>
    <w:rsid w:val="00A56E19"/>
    <w:rsid w:val="00A573AE"/>
    <w:rsid w:val="00A5762D"/>
    <w:rsid w:val="00A57DED"/>
    <w:rsid w:val="00A60CE3"/>
    <w:rsid w:val="00A6125B"/>
    <w:rsid w:val="00A613AB"/>
    <w:rsid w:val="00A61622"/>
    <w:rsid w:val="00A65367"/>
    <w:rsid w:val="00A6549C"/>
    <w:rsid w:val="00A657C4"/>
    <w:rsid w:val="00A6591F"/>
    <w:rsid w:val="00A65F5A"/>
    <w:rsid w:val="00A66441"/>
    <w:rsid w:val="00A67B07"/>
    <w:rsid w:val="00A67F95"/>
    <w:rsid w:val="00A706FB"/>
    <w:rsid w:val="00A70DB1"/>
    <w:rsid w:val="00A73724"/>
    <w:rsid w:val="00A73FDB"/>
    <w:rsid w:val="00A74FD6"/>
    <w:rsid w:val="00A753F1"/>
    <w:rsid w:val="00A75537"/>
    <w:rsid w:val="00A759C5"/>
    <w:rsid w:val="00A778BC"/>
    <w:rsid w:val="00A81920"/>
    <w:rsid w:val="00A81BA6"/>
    <w:rsid w:val="00A84EA8"/>
    <w:rsid w:val="00A85163"/>
    <w:rsid w:val="00A855B8"/>
    <w:rsid w:val="00A866E6"/>
    <w:rsid w:val="00A8793F"/>
    <w:rsid w:val="00A90112"/>
    <w:rsid w:val="00A90E67"/>
    <w:rsid w:val="00A90EA0"/>
    <w:rsid w:val="00A91CC2"/>
    <w:rsid w:val="00A91D13"/>
    <w:rsid w:val="00A93D27"/>
    <w:rsid w:val="00A94A89"/>
    <w:rsid w:val="00A94AB4"/>
    <w:rsid w:val="00A94BF4"/>
    <w:rsid w:val="00A965D1"/>
    <w:rsid w:val="00A96900"/>
    <w:rsid w:val="00A97664"/>
    <w:rsid w:val="00A978C2"/>
    <w:rsid w:val="00AA05C2"/>
    <w:rsid w:val="00AA1CC3"/>
    <w:rsid w:val="00AA21D4"/>
    <w:rsid w:val="00AA34EA"/>
    <w:rsid w:val="00AA4890"/>
    <w:rsid w:val="00AA6CD8"/>
    <w:rsid w:val="00AB0572"/>
    <w:rsid w:val="00AB095A"/>
    <w:rsid w:val="00AB1190"/>
    <w:rsid w:val="00AB19F8"/>
    <w:rsid w:val="00AB315F"/>
    <w:rsid w:val="00AB4A1A"/>
    <w:rsid w:val="00AB507F"/>
    <w:rsid w:val="00AB6895"/>
    <w:rsid w:val="00AB7FCC"/>
    <w:rsid w:val="00AC0372"/>
    <w:rsid w:val="00AC1D8A"/>
    <w:rsid w:val="00AC2B49"/>
    <w:rsid w:val="00AC2C10"/>
    <w:rsid w:val="00AC2E94"/>
    <w:rsid w:val="00AC3770"/>
    <w:rsid w:val="00AC4091"/>
    <w:rsid w:val="00AC4C46"/>
    <w:rsid w:val="00AC5171"/>
    <w:rsid w:val="00AC57F9"/>
    <w:rsid w:val="00AC7BD8"/>
    <w:rsid w:val="00AD0250"/>
    <w:rsid w:val="00AD1DC3"/>
    <w:rsid w:val="00AD31FC"/>
    <w:rsid w:val="00AD375F"/>
    <w:rsid w:val="00AD3A62"/>
    <w:rsid w:val="00AD55D3"/>
    <w:rsid w:val="00AD7C46"/>
    <w:rsid w:val="00AE14E2"/>
    <w:rsid w:val="00AE2E8D"/>
    <w:rsid w:val="00AE2EB4"/>
    <w:rsid w:val="00AE3260"/>
    <w:rsid w:val="00AE3A96"/>
    <w:rsid w:val="00AE5077"/>
    <w:rsid w:val="00AE5581"/>
    <w:rsid w:val="00AF0293"/>
    <w:rsid w:val="00AF0C19"/>
    <w:rsid w:val="00AF0E6E"/>
    <w:rsid w:val="00AF205E"/>
    <w:rsid w:val="00AF25AA"/>
    <w:rsid w:val="00AF267E"/>
    <w:rsid w:val="00AF27A4"/>
    <w:rsid w:val="00AF3F2C"/>
    <w:rsid w:val="00AF5235"/>
    <w:rsid w:val="00AF5707"/>
    <w:rsid w:val="00AF5AAE"/>
    <w:rsid w:val="00AF74C0"/>
    <w:rsid w:val="00B00BAD"/>
    <w:rsid w:val="00B02298"/>
    <w:rsid w:val="00B03F46"/>
    <w:rsid w:val="00B03F5E"/>
    <w:rsid w:val="00B0420E"/>
    <w:rsid w:val="00B057D2"/>
    <w:rsid w:val="00B06FFD"/>
    <w:rsid w:val="00B0728F"/>
    <w:rsid w:val="00B07498"/>
    <w:rsid w:val="00B07683"/>
    <w:rsid w:val="00B104A2"/>
    <w:rsid w:val="00B106E4"/>
    <w:rsid w:val="00B108CC"/>
    <w:rsid w:val="00B109E2"/>
    <w:rsid w:val="00B1178D"/>
    <w:rsid w:val="00B12D63"/>
    <w:rsid w:val="00B1429E"/>
    <w:rsid w:val="00B151B1"/>
    <w:rsid w:val="00B1561C"/>
    <w:rsid w:val="00B16288"/>
    <w:rsid w:val="00B173E7"/>
    <w:rsid w:val="00B177D5"/>
    <w:rsid w:val="00B1786A"/>
    <w:rsid w:val="00B20861"/>
    <w:rsid w:val="00B20CC7"/>
    <w:rsid w:val="00B211F3"/>
    <w:rsid w:val="00B21A17"/>
    <w:rsid w:val="00B243D9"/>
    <w:rsid w:val="00B248B4"/>
    <w:rsid w:val="00B24E68"/>
    <w:rsid w:val="00B25DF5"/>
    <w:rsid w:val="00B326E5"/>
    <w:rsid w:val="00B32C8C"/>
    <w:rsid w:val="00B32E41"/>
    <w:rsid w:val="00B33291"/>
    <w:rsid w:val="00B334AC"/>
    <w:rsid w:val="00B345C2"/>
    <w:rsid w:val="00B36BFA"/>
    <w:rsid w:val="00B40F04"/>
    <w:rsid w:val="00B42D18"/>
    <w:rsid w:val="00B44F77"/>
    <w:rsid w:val="00B451AF"/>
    <w:rsid w:val="00B46327"/>
    <w:rsid w:val="00B46442"/>
    <w:rsid w:val="00B502FF"/>
    <w:rsid w:val="00B525D5"/>
    <w:rsid w:val="00B53040"/>
    <w:rsid w:val="00B54332"/>
    <w:rsid w:val="00B54763"/>
    <w:rsid w:val="00B55373"/>
    <w:rsid w:val="00B56A3B"/>
    <w:rsid w:val="00B56F6A"/>
    <w:rsid w:val="00B602AC"/>
    <w:rsid w:val="00B604A2"/>
    <w:rsid w:val="00B618F2"/>
    <w:rsid w:val="00B61FFD"/>
    <w:rsid w:val="00B63213"/>
    <w:rsid w:val="00B633D1"/>
    <w:rsid w:val="00B63986"/>
    <w:rsid w:val="00B63D8C"/>
    <w:rsid w:val="00B6472F"/>
    <w:rsid w:val="00B64DF7"/>
    <w:rsid w:val="00B65164"/>
    <w:rsid w:val="00B656F5"/>
    <w:rsid w:val="00B65770"/>
    <w:rsid w:val="00B65A2D"/>
    <w:rsid w:val="00B70196"/>
    <w:rsid w:val="00B7213F"/>
    <w:rsid w:val="00B727A6"/>
    <w:rsid w:val="00B72FC3"/>
    <w:rsid w:val="00B74DB3"/>
    <w:rsid w:val="00B75411"/>
    <w:rsid w:val="00B757B4"/>
    <w:rsid w:val="00B75F3D"/>
    <w:rsid w:val="00B76E00"/>
    <w:rsid w:val="00B7730A"/>
    <w:rsid w:val="00B7777B"/>
    <w:rsid w:val="00B77A46"/>
    <w:rsid w:val="00B77FF3"/>
    <w:rsid w:val="00B80CD8"/>
    <w:rsid w:val="00B8137C"/>
    <w:rsid w:val="00B81E56"/>
    <w:rsid w:val="00B830F2"/>
    <w:rsid w:val="00B843DB"/>
    <w:rsid w:val="00B844DE"/>
    <w:rsid w:val="00B8468E"/>
    <w:rsid w:val="00B848EE"/>
    <w:rsid w:val="00B84ABA"/>
    <w:rsid w:val="00B871FD"/>
    <w:rsid w:val="00B87712"/>
    <w:rsid w:val="00B9020A"/>
    <w:rsid w:val="00B914A1"/>
    <w:rsid w:val="00B91F78"/>
    <w:rsid w:val="00B939D5"/>
    <w:rsid w:val="00B9567A"/>
    <w:rsid w:val="00B963EF"/>
    <w:rsid w:val="00B96D23"/>
    <w:rsid w:val="00B9738E"/>
    <w:rsid w:val="00B974BE"/>
    <w:rsid w:val="00BA0C1A"/>
    <w:rsid w:val="00BA2429"/>
    <w:rsid w:val="00BA2767"/>
    <w:rsid w:val="00BA283F"/>
    <w:rsid w:val="00BA3576"/>
    <w:rsid w:val="00BA628A"/>
    <w:rsid w:val="00BA740E"/>
    <w:rsid w:val="00BA7E43"/>
    <w:rsid w:val="00BB09CD"/>
    <w:rsid w:val="00BB2904"/>
    <w:rsid w:val="00BB3E06"/>
    <w:rsid w:val="00BB4251"/>
    <w:rsid w:val="00BB427D"/>
    <w:rsid w:val="00BB548C"/>
    <w:rsid w:val="00BB54DF"/>
    <w:rsid w:val="00BB5710"/>
    <w:rsid w:val="00BB6EED"/>
    <w:rsid w:val="00BB7452"/>
    <w:rsid w:val="00BB7E81"/>
    <w:rsid w:val="00BC075F"/>
    <w:rsid w:val="00BC0DFD"/>
    <w:rsid w:val="00BC23E8"/>
    <w:rsid w:val="00BC274B"/>
    <w:rsid w:val="00BC299B"/>
    <w:rsid w:val="00BC370A"/>
    <w:rsid w:val="00BC43EE"/>
    <w:rsid w:val="00BC4F01"/>
    <w:rsid w:val="00BC65AD"/>
    <w:rsid w:val="00BD0C49"/>
    <w:rsid w:val="00BD29E2"/>
    <w:rsid w:val="00BD3B48"/>
    <w:rsid w:val="00BD6C6C"/>
    <w:rsid w:val="00BD705C"/>
    <w:rsid w:val="00BE1168"/>
    <w:rsid w:val="00BE1C8B"/>
    <w:rsid w:val="00BE56E3"/>
    <w:rsid w:val="00BE6249"/>
    <w:rsid w:val="00BE6A09"/>
    <w:rsid w:val="00BF3E43"/>
    <w:rsid w:val="00BF452A"/>
    <w:rsid w:val="00BF4825"/>
    <w:rsid w:val="00BF4DDB"/>
    <w:rsid w:val="00BF5865"/>
    <w:rsid w:val="00BF5FA7"/>
    <w:rsid w:val="00C00392"/>
    <w:rsid w:val="00C009EB"/>
    <w:rsid w:val="00C00FCB"/>
    <w:rsid w:val="00C02975"/>
    <w:rsid w:val="00C048BC"/>
    <w:rsid w:val="00C06748"/>
    <w:rsid w:val="00C07C61"/>
    <w:rsid w:val="00C108E0"/>
    <w:rsid w:val="00C10C10"/>
    <w:rsid w:val="00C11BA2"/>
    <w:rsid w:val="00C126FE"/>
    <w:rsid w:val="00C133A4"/>
    <w:rsid w:val="00C1586F"/>
    <w:rsid w:val="00C15E53"/>
    <w:rsid w:val="00C16FD9"/>
    <w:rsid w:val="00C17C32"/>
    <w:rsid w:val="00C2029A"/>
    <w:rsid w:val="00C20594"/>
    <w:rsid w:val="00C20896"/>
    <w:rsid w:val="00C21211"/>
    <w:rsid w:val="00C22375"/>
    <w:rsid w:val="00C2318B"/>
    <w:rsid w:val="00C24294"/>
    <w:rsid w:val="00C243D5"/>
    <w:rsid w:val="00C24E38"/>
    <w:rsid w:val="00C265C9"/>
    <w:rsid w:val="00C274C2"/>
    <w:rsid w:val="00C278FE"/>
    <w:rsid w:val="00C27A6E"/>
    <w:rsid w:val="00C300A8"/>
    <w:rsid w:val="00C309C8"/>
    <w:rsid w:val="00C31064"/>
    <w:rsid w:val="00C31F17"/>
    <w:rsid w:val="00C32705"/>
    <w:rsid w:val="00C330BD"/>
    <w:rsid w:val="00C34063"/>
    <w:rsid w:val="00C344FF"/>
    <w:rsid w:val="00C34589"/>
    <w:rsid w:val="00C345D5"/>
    <w:rsid w:val="00C34BFD"/>
    <w:rsid w:val="00C361E1"/>
    <w:rsid w:val="00C3630B"/>
    <w:rsid w:val="00C36C4F"/>
    <w:rsid w:val="00C37796"/>
    <w:rsid w:val="00C40840"/>
    <w:rsid w:val="00C41091"/>
    <w:rsid w:val="00C411F5"/>
    <w:rsid w:val="00C4149D"/>
    <w:rsid w:val="00C41EBE"/>
    <w:rsid w:val="00C430B7"/>
    <w:rsid w:val="00C44913"/>
    <w:rsid w:val="00C44EB7"/>
    <w:rsid w:val="00C45682"/>
    <w:rsid w:val="00C45747"/>
    <w:rsid w:val="00C45757"/>
    <w:rsid w:val="00C45CEC"/>
    <w:rsid w:val="00C4628A"/>
    <w:rsid w:val="00C47920"/>
    <w:rsid w:val="00C502E7"/>
    <w:rsid w:val="00C503C2"/>
    <w:rsid w:val="00C515D2"/>
    <w:rsid w:val="00C52321"/>
    <w:rsid w:val="00C52FCA"/>
    <w:rsid w:val="00C5509E"/>
    <w:rsid w:val="00C55E33"/>
    <w:rsid w:val="00C56163"/>
    <w:rsid w:val="00C5624C"/>
    <w:rsid w:val="00C6094F"/>
    <w:rsid w:val="00C60AD6"/>
    <w:rsid w:val="00C62456"/>
    <w:rsid w:val="00C62874"/>
    <w:rsid w:val="00C646CA"/>
    <w:rsid w:val="00C64C74"/>
    <w:rsid w:val="00C66E7C"/>
    <w:rsid w:val="00C67436"/>
    <w:rsid w:val="00C67C40"/>
    <w:rsid w:val="00C70F5A"/>
    <w:rsid w:val="00C71B99"/>
    <w:rsid w:val="00C71D19"/>
    <w:rsid w:val="00C71DAF"/>
    <w:rsid w:val="00C73089"/>
    <w:rsid w:val="00C74033"/>
    <w:rsid w:val="00C741D6"/>
    <w:rsid w:val="00C74212"/>
    <w:rsid w:val="00C7525A"/>
    <w:rsid w:val="00C755EF"/>
    <w:rsid w:val="00C768CD"/>
    <w:rsid w:val="00C7717B"/>
    <w:rsid w:val="00C80481"/>
    <w:rsid w:val="00C80EBE"/>
    <w:rsid w:val="00C81434"/>
    <w:rsid w:val="00C8148F"/>
    <w:rsid w:val="00C81DF3"/>
    <w:rsid w:val="00C8227B"/>
    <w:rsid w:val="00C82F80"/>
    <w:rsid w:val="00C842D1"/>
    <w:rsid w:val="00C8646C"/>
    <w:rsid w:val="00C86799"/>
    <w:rsid w:val="00C8733B"/>
    <w:rsid w:val="00C87593"/>
    <w:rsid w:val="00C9320B"/>
    <w:rsid w:val="00C9392A"/>
    <w:rsid w:val="00C955E8"/>
    <w:rsid w:val="00C95DDD"/>
    <w:rsid w:val="00C96603"/>
    <w:rsid w:val="00C971F6"/>
    <w:rsid w:val="00C97847"/>
    <w:rsid w:val="00C97C25"/>
    <w:rsid w:val="00CA07AB"/>
    <w:rsid w:val="00CA122D"/>
    <w:rsid w:val="00CA20F0"/>
    <w:rsid w:val="00CA2987"/>
    <w:rsid w:val="00CA329A"/>
    <w:rsid w:val="00CA34FE"/>
    <w:rsid w:val="00CA396C"/>
    <w:rsid w:val="00CA3A59"/>
    <w:rsid w:val="00CA3F22"/>
    <w:rsid w:val="00CA4701"/>
    <w:rsid w:val="00CA4D72"/>
    <w:rsid w:val="00CA528B"/>
    <w:rsid w:val="00CA5CEB"/>
    <w:rsid w:val="00CA5F65"/>
    <w:rsid w:val="00CA616F"/>
    <w:rsid w:val="00CA6BC0"/>
    <w:rsid w:val="00CA70E1"/>
    <w:rsid w:val="00CB011B"/>
    <w:rsid w:val="00CB0352"/>
    <w:rsid w:val="00CB1A55"/>
    <w:rsid w:val="00CB1CEA"/>
    <w:rsid w:val="00CB2C78"/>
    <w:rsid w:val="00CB3E0A"/>
    <w:rsid w:val="00CB4A7E"/>
    <w:rsid w:val="00CB54E1"/>
    <w:rsid w:val="00CB5B96"/>
    <w:rsid w:val="00CB7249"/>
    <w:rsid w:val="00CB7D65"/>
    <w:rsid w:val="00CC051A"/>
    <w:rsid w:val="00CC18FC"/>
    <w:rsid w:val="00CC1B00"/>
    <w:rsid w:val="00CC2F61"/>
    <w:rsid w:val="00CC54CA"/>
    <w:rsid w:val="00CC578F"/>
    <w:rsid w:val="00CC5FEB"/>
    <w:rsid w:val="00CC6154"/>
    <w:rsid w:val="00CC65DB"/>
    <w:rsid w:val="00CC73A4"/>
    <w:rsid w:val="00CC7F28"/>
    <w:rsid w:val="00CD0AA4"/>
    <w:rsid w:val="00CD2B06"/>
    <w:rsid w:val="00CD53F8"/>
    <w:rsid w:val="00CD7E0B"/>
    <w:rsid w:val="00CE082B"/>
    <w:rsid w:val="00CE0CA1"/>
    <w:rsid w:val="00CE416D"/>
    <w:rsid w:val="00CE431B"/>
    <w:rsid w:val="00CE6459"/>
    <w:rsid w:val="00CE705A"/>
    <w:rsid w:val="00CE7328"/>
    <w:rsid w:val="00CF139D"/>
    <w:rsid w:val="00CF33F4"/>
    <w:rsid w:val="00CF33F7"/>
    <w:rsid w:val="00CF409F"/>
    <w:rsid w:val="00CF5646"/>
    <w:rsid w:val="00CF669C"/>
    <w:rsid w:val="00CF7E3E"/>
    <w:rsid w:val="00D0167A"/>
    <w:rsid w:val="00D04363"/>
    <w:rsid w:val="00D045D2"/>
    <w:rsid w:val="00D05B41"/>
    <w:rsid w:val="00D06CB4"/>
    <w:rsid w:val="00D06CF6"/>
    <w:rsid w:val="00D07515"/>
    <w:rsid w:val="00D07737"/>
    <w:rsid w:val="00D079ED"/>
    <w:rsid w:val="00D1089B"/>
    <w:rsid w:val="00D11E41"/>
    <w:rsid w:val="00D132AB"/>
    <w:rsid w:val="00D15472"/>
    <w:rsid w:val="00D16D9B"/>
    <w:rsid w:val="00D204DB"/>
    <w:rsid w:val="00D20FDA"/>
    <w:rsid w:val="00D214B1"/>
    <w:rsid w:val="00D223B8"/>
    <w:rsid w:val="00D22936"/>
    <w:rsid w:val="00D23955"/>
    <w:rsid w:val="00D23F2C"/>
    <w:rsid w:val="00D24880"/>
    <w:rsid w:val="00D24C0E"/>
    <w:rsid w:val="00D258E2"/>
    <w:rsid w:val="00D25EF9"/>
    <w:rsid w:val="00D261F5"/>
    <w:rsid w:val="00D2720C"/>
    <w:rsid w:val="00D278B5"/>
    <w:rsid w:val="00D27E7B"/>
    <w:rsid w:val="00D31586"/>
    <w:rsid w:val="00D32673"/>
    <w:rsid w:val="00D333D5"/>
    <w:rsid w:val="00D34402"/>
    <w:rsid w:val="00D36F92"/>
    <w:rsid w:val="00D37BEE"/>
    <w:rsid w:val="00D40882"/>
    <w:rsid w:val="00D41060"/>
    <w:rsid w:val="00D41EAE"/>
    <w:rsid w:val="00D428C6"/>
    <w:rsid w:val="00D44071"/>
    <w:rsid w:val="00D444E3"/>
    <w:rsid w:val="00D44711"/>
    <w:rsid w:val="00D449F5"/>
    <w:rsid w:val="00D44F6C"/>
    <w:rsid w:val="00D463B3"/>
    <w:rsid w:val="00D46C14"/>
    <w:rsid w:val="00D47381"/>
    <w:rsid w:val="00D476F4"/>
    <w:rsid w:val="00D502C6"/>
    <w:rsid w:val="00D51CCB"/>
    <w:rsid w:val="00D521BE"/>
    <w:rsid w:val="00D52678"/>
    <w:rsid w:val="00D541ED"/>
    <w:rsid w:val="00D54B53"/>
    <w:rsid w:val="00D56FFB"/>
    <w:rsid w:val="00D615EF"/>
    <w:rsid w:val="00D62A7B"/>
    <w:rsid w:val="00D62DB6"/>
    <w:rsid w:val="00D62E51"/>
    <w:rsid w:val="00D63D80"/>
    <w:rsid w:val="00D64ABF"/>
    <w:rsid w:val="00D662FF"/>
    <w:rsid w:val="00D66906"/>
    <w:rsid w:val="00D6702B"/>
    <w:rsid w:val="00D676DD"/>
    <w:rsid w:val="00D70AFD"/>
    <w:rsid w:val="00D7109A"/>
    <w:rsid w:val="00D736CC"/>
    <w:rsid w:val="00D74128"/>
    <w:rsid w:val="00D74CA6"/>
    <w:rsid w:val="00D8053C"/>
    <w:rsid w:val="00D80AD4"/>
    <w:rsid w:val="00D825A3"/>
    <w:rsid w:val="00D83A99"/>
    <w:rsid w:val="00D84949"/>
    <w:rsid w:val="00D850CB"/>
    <w:rsid w:val="00D853C3"/>
    <w:rsid w:val="00D87EE7"/>
    <w:rsid w:val="00D900DE"/>
    <w:rsid w:val="00D90D85"/>
    <w:rsid w:val="00D91D47"/>
    <w:rsid w:val="00D926BE"/>
    <w:rsid w:val="00D92C43"/>
    <w:rsid w:val="00D94108"/>
    <w:rsid w:val="00D94E62"/>
    <w:rsid w:val="00D957AC"/>
    <w:rsid w:val="00D95B59"/>
    <w:rsid w:val="00D96325"/>
    <w:rsid w:val="00D965F8"/>
    <w:rsid w:val="00D968D9"/>
    <w:rsid w:val="00DA0096"/>
    <w:rsid w:val="00DA1240"/>
    <w:rsid w:val="00DA17A8"/>
    <w:rsid w:val="00DA1EA2"/>
    <w:rsid w:val="00DA28A9"/>
    <w:rsid w:val="00DA2CD4"/>
    <w:rsid w:val="00DA31EF"/>
    <w:rsid w:val="00DA3CEB"/>
    <w:rsid w:val="00DA45AA"/>
    <w:rsid w:val="00DA47F5"/>
    <w:rsid w:val="00DA48C1"/>
    <w:rsid w:val="00DA6143"/>
    <w:rsid w:val="00DA688B"/>
    <w:rsid w:val="00DA6F81"/>
    <w:rsid w:val="00DA77B8"/>
    <w:rsid w:val="00DA7F7F"/>
    <w:rsid w:val="00DB1BBF"/>
    <w:rsid w:val="00DB2D35"/>
    <w:rsid w:val="00DB42C3"/>
    <w:rsid w:val="00DB48B3"/>
    <w:rsid w:val="00DB4B20"/>
    <w:rsid w:val="00DB6404"/>
    <w:rsid w:val="00DB6FD1"/>
    <w:rsid w:val="00DC06D3"/>
    <w:rsid w:val="00DC161D"/>
    <w:rsid w:val="00DC3215"/>
    <w:rsid w:val="00DC327F"/>
    <w:rsid w:val="00DC45A4"/>
    <w:rsid w:val="00DC576F"/>
    <w:rsid w:val="00DD3DCD"/>
    <w:rsid w:val="00DD6358"/>
    <w:rsid w:val="00DD63F0"/>
    <w:rsid w:val="00DD6724"/>
    <w:rsid w:val="00DD7AC6"/>
    <w:rsid w:val="00DE018C"/>
    <w:rsid w:val="00DE05A2"/>
    <w:rsid w:val="00DE123A"/>
    <w:rsid w:val="00DE1F0B"/>
    <w:rsid w:val="00DE20D5"/>
    <w:rsid w:val="00DE31FC"/>
    <w:rsid w:val="00DE461D"/>
    <w:rsid w:val="00DE4D6F"/>
    <w:rsid w:val="00DE56F7"/>
    <w:rsid w:val="00DE598F"/>
    <w:rsid w:val="00DE633E"/>
    <w:rsid w:val="00DE6C54"/>
    <w:rsid w:val="00DF0A66"/>
    <w:rsid w:val="00DF0B58"/>
    <w:rsid w:val="00DF1304"/>
    <w:rsid w:val="00DF16E2"/>
    <w:rsid w:val="00DF297D"/>
    <w:rsid w:val="00DF3180"/>
    <w:rsid w:val="00DF3314"/>
    <w:rsid w:val="00DF566F"/>
    <w:rsid w:val="00DF5F44"/>
    <w:rsid w:val="00DF5FCB"/>
    <w:rsid w:val="00DF74B2"/>
    <w:rsid w:val="00DF7DD9"/>
    <w:rsid w:val="00E004D4"/>
    <w:rsid w:val="00E00FEC"/>
    <w:rsid w:val="00E015DD"/>
    <w:rsid w:val="00E029B4"/>
    <w:rsid w:val="00E02E2E"/>
    <w:rsid w:val="00E05E03"/>
    <w:rsid w:val="00E06110"/>
    <w:rsid w:val="00E069B3"/>
    <w:rsid w:val="00E10421"/>
    <w:rsid w:val="00E104B0"/>
    <w:rsid w:val="00E11338"/>
    <w:rsid w:val="00E12A65"/>
    <w:rsid w:val="00E12FA9"/>
    <w:rsid w:val="00E138DB"/>
    <w:rsid w:val="00E15F98"/>
    <w:rsid w:val="00E15FCD"/>
    <w:rsid w:val="00E16B5F"/>
    <w:rsid w:val="00E16EAD"/>
    <w:rsid w:val="00E208FF"/>
    <w:rsid w:val="00E21BCE"/>
    <w:rsid w:val="00E240C3"/>
    <w:rsid w:val="00E252A2"/>
    <w:rsid w:val="00E25B82"/>
    <w:rsid w:val="00E27D52"/>
    <w:rsid w:val="00E30059"/>
    <w:rsid w:val="00E30C24"/>
    <w:rsid w:val="00E30D9A"/>
    <w:rsid w:val="00E318B7"/>
    <w:rsid w:val="00E33126"/>
    <w:rsid w:val="00E3490C"/>
    <w:rsid w:val="00E34CE1"/>
    <w:rsid w:val="00E369B3"/>
    <w:rsid w:val="00E37881"/>
    <w:rsid w:val="00E40747"/>
    <w:rsid w:val="00E42AED"/>
    <w:rsid w:val="00E45451"/>
    <w:rsid w:val="00E46436"/>
    <w:rsid w:val="00E46748"/>
    <w:rsid w:val="00E46C52"/>
    <w:rsid w:val="00E473C3"/>
    <w:rsid w:val="00E4788A"/>
    <w:rsid w:val="00E50124"/>
    <w:rsid w:val="00E50292"/>
    <w:rsid w:val="00E502B1"/>
    <w:rsid w:val="00E516FC"/>
    <w:rsid w:val="00E51997"/>
    <w:rsid w:val="00E52497"/>
    <w:rsid w:val="00E524A6"/>
    <w:rsid w:val="00E52E8D"/>
    <w:rsid w:val="00E53C4F"/>
    <w:rsid w:val="00E54284"/>
    <w:rsid w:val="00E5455A"/>
    <w:rsid w:val="00E54C81"/>
    <w:rsid w:val="00E54E12"/>
    <w:rsid w:val="00E54FD3"/>
    <w:rsid w:val="00E554D4"/>
    <w:rsid w:val="00E556AE"/>
    <w:rsid w:val="00E55C10"/>
    <w:rsid w:val="00E56087"/>
    <w:rsid w:val="00E56BA1"/>
    <w:rsid w:val="00E57127"/>
    <w:rsid w:val="00E5748F"/>
    <w:rsid w:val="00E57E36"/>
    <w:rsid w:val="00E609A9"/>
    <w:rsid w:val="00E63218"/>
    <w:rsid w:val="00E63C72"/>
    <w:rsid w:val="00E64065"/>
    <w:rsid w:val="00E65200"/>
    <w:rsid w:val="00E658C1"/>
    <w:rsid w:val="00E66F6A"/>
    <w:rsid w:val="00E67385"/>
    <w:rsid w:val="00E67F1C"/>
    <w:rsid w:val="00E7016C"/>
    <w:rsid w:val="00E704F7"/>
    <w:rsid w:val="00E71319"/>
    <w:rsid w:val="00E73399"/>
    <w:rsid w:val="00E73FCA"/>
    <w:rsid w:val="00E74939"/>
    <w:rsid w:val="00E7516D"/>
    <w:rsid w:val="00E75942"/>
    <w:rsid w:val="00E77A09"/>
    <w:rsid w:val="00E80BF6"/>
    <w:rsid w:val="00E80E6D"/>
    <w:rsid w:val="00E81486"/>
    <w:rsid w:val="00E81588"/>
    <w:rsid w:val="00E81A44"/>
    <w:rsid w:val="00E82F22"/>
    <w:rsid w:val="00E83CDF"/>
    <w:rsid w:val="00E85108"/>
    <w:rsid w:val="00E8633C"/>
    <w:rsid w:val="00E90452"/>
    <w:rsid w:val="00E909A6"/>
    <w:rsid w:val="00E90C9F"/>
    <w:rsid w:val="00E911D9"/>
    <w:rsid w:val="00E9125E"/>
    <w:rsid w:val="00E91580"/>
    <w:rsid w:val="00E91A73"/>
    <w:rsid w:val="00E91E34"/>
    <w:rsid w:val="00E927FF"/>
    <w:rsid w:val="00E92BF0"/>
    <w:rsid w:val="00E92C48"/>
    <w:rsid w:val="00E938C0"/>
    <w:rsid w:val="00E94091"/>
    <w:rsid w:val="00E941AE"/>
    <w:rsid w:val="00E943F9"/>
    <w:rsid w:val="00E968BE"/>
    <w:rsid w:val="00E97D64"/>
    <w:rsid w:val="00EA3A1D"/>
    <w:rsid w:val="00EA4840"/>
    <w:rsid w:val="00EA7677"/>
    <w:rsid w:val="00EB18DB"/>
    <w:rsid w:val="00EB31E8"/>
    <w:rsid w:val="00EB4AB4"/>
    <w:rsid w:val="00EB568C"/>
    <w:rsid w:val="00EB6336"/>
    <w:rsid w:val="00EB671C"/>
    <w:rsid w:val="00EB700B"/>
    <w:rsid w:val="00EB7FD4"/>
    <w:rsid w:val="00EC0484"/>
    <w:rsid w:val="00EC0549"/>
    <w:rsid w:val="00EC1956"/>
    <w:rsid w:val="00EC1B4F"/>
    <w:rsid w:val="00EC3425"/>
    <w:rsid w:val="00EC39F4"/>
    <w:rsid w:val="00EC4FB6"/>
    <w:rsid w:val="00EC6243"/>
    <w:rsid w:val="00EC6311"/>
    <w:rsid w:val="00EC773B"/>
    <w:rsid w:val="00ED0087"/>
    <w:rsid w:val="00ED13A1"/>
    <w:rsid w:val="00ED14A9"/>
    <w:rsid w:val="00ED19AE"/>
    <w:rsid w:val="00ED20D9"/>
    <w:rsid w:val="00ED28ED"/>
    <w:rsid w:val="00ED3AE8"/>
    <w:rsid w:val="00ED418B"/>
    <w:rsid w:val="00ED5E89"/>
    <w:rsid w:val="00ED68BC"/>
    <w:rsid w:val="00ED75A7"/>
    <w:rsid w:val="00ED7A12"/>
    <w:rsid w:val="00ED7D7E"/>
    <w:rsid w:val="00EE15B4"/>
    <w:rsid w:val="00EE1CCE"/>
    <w:rsid w:val="00EE207F"/>
    <w:rsid w:val="00EE3860"/>
    <w:rsid w:val="00EE51C9"/>
    <w:rsid w:val="00EE5ABE"/>
    <w:rsid w:val="00EE5F06"/>
    <w:rsid w:val="00EF1FF1"/>
    <w:rsid w:val="00EF20EA"/>
    <w:rsid w:val="00EF2E30"/>
    <w:rsid w:val="00EF4710"/>
    <w:rsid w:val="00EF5DF2"/>
    <w:rsid w:val="00EF64DD"/>
    <w:rsid w:val="00EF6C3E"/>
    <w:rsid w:val="00EF7C9A"/>
    <w:rsid w:val="00F03940"/>
    <w:rsid w:val="00F05610"/>
    <w:rsid w:val="00F0598C"/>
    <w:rsid w:val="00F10052"/>
    <w:rsid w:val="00F105FB"/>
    <w:rsid w:val="00F10985"/>
    <w:rsid w:val="00F10B44"/>
    <w:rsid w:val="00F111D5"/>
    <w:rsid w:val="00F11AC9"/>
    <w:rsid w:val="00F14906"/>
    <w:rsid w:val="00F14922"/>
    <w:rsid w:val="00F158AC"/>
    <w:rsid w:val="00F15FBD"/>
    <w:rsid w:val="00F1766B"/>
    <w:rsid w:val="00F2020F"/>
    <w:rsid w:val="00F2142E"/>
    <w:rsid w:val="00F21FE7"/>
    <w:rsid w:val="00F22440"/>
    <w:rsid w:val="00F2486D"/>
    <w:rsid w:val="00F270BF"/>
    <w:rsid w:val="00F27609"/>
    <w:rsid w:val="00F302C2"/>
    <w:rsid w:val="00F310B0"/>
    <w:rsid w:val="00F313DD"/>
    <w:rsid w:val="00F31734"/>
    <w:rsid w:val="00F31BC9"/>
    <w:rsid w:val="00F321F6"/>
    <w:rsid w:val="00F330B2"/>
    <w:rsid w:val="00F3349C"/>
    <w:rsid w:val="00F34DE2"/>
    <w:rsid w:val="00F34EF0"/>
    <w:rsid w:val="00F37244"/>
    <w:rsid w:val="00F43FD4"/>
    <w:rsid w:val="00F457C7"/>
    <w:rsid w:val="00F45860"/>
    <w:rsid w:val="00F45E16"/>
    <w:rsid w:val="00F46C77"/>
    <w:rsid w:val="00F47196"/>
    <w:rsid w:val="00F519E1"/>
    <w:rsid w:val="00F532B3"/>
    <w:rsid w:val="00F53D08"/>
    <w:rsid w:val="00F55B4E"/>
    <w:rsid w:val="00F57228"/>
    <w:rsid w:val="00F602DB"/>
    <w:rsid w:val="00F62911"/>
    <w:rsid w:val="00F649FB"/>
    <w:rsid w:val="00F65CC4"/>
    <w:rsid w:val="00F65CCB"/>
    <w:rsid w:val="00F661F4"/>
    <w:rsid w:val="00F6659D"/>
    <w:rsid w:val="00F67D9F"/>
    <w:rsid w:val="00F70E71"/>
    <w:rsid w:val="00F71D3C"/>
    <w:rsid w:val="00F72C44"/>
    <w:rsid w:val="00F72F0D"/>
    <w:rsid w:val="00F73237"/>
    <w:rsid w:val="00F73A5A"/>
    <w:rsid w:val="00F73AFB"/>
    <w:rsid w:val="00F73E9A"/>
    <w:rsid w:val="00F74465"/>
    <w:rsid w:val="00F747E6"/>
    <w:rsid w:val="00F7549D"/>
    <w:rsid w:val="00F75B3F"/>
    <w:rsid w:val="00F763AB"/>
    <w:rsid w:val="00F76F7D"/>
    <w:rsid w:val="00F770F8"/>
    <w:rsid w:val="00F770FA"/>
    <w:rsid w:val="00F771D8"/>
    <w:rsid w:val="00F779A5"/>
    <w:rsid w:val="00F80BAE"/>
    <w:rsid w:val="00F8109E"/>
    <w:rsid w:val="00F83151"/>
    <w:rsid w:val="00F83897"/>
    <w:rsid w:val="00F8501C"/>
    <w:rsid w:val="00F854B3"/>
    <w:rsid w:val="00F85C94"/>
    <w:rsid w:val="00F8683E"/>
    <w:rsid w:val="00F869E3"/>
    <w:rsid w:val="00F8736C"/>
    <w:rsid w:val="00F8749C"/>
    <w:rsid w:val="00F87983"/>
    <w:rsid w:val="00F90F48"/>
    <w:rsid w:val="00F916BB"/>
    <w:rsid w:val="00F91AFF"/>
    <w:rsid w:val="00F937DF"/>
    <w:rsid w:val="00F939F8"/>
    <w:rsid w:val="00F93F00"/>
    <w:rsid w:val="00F953E2"/>
    <w:rsid w:val="00F955EE"/>
    <w:rsid w:val="00F9571D"/>
    <w:rsid w:val="00F957D0"/>
    <w:rsid w:val="00F964E6"/>
    <w:rsid w:val="00F97890"/>
    <w:rsid w:val="00FA2427"/>
    <w:rsid w:val="00FA2C80"/>
    <w:rsid w:val="00FA2CEC"/>
    <w:rsid w:val="00FA3A01"/>
    <w:rsid w:val="00FA43E7"/>
    <w:rsid w:val="00FA52C0"/>
    <w:rsid w:val="00FA52FB"/>
    <w:rsid w:val="00FA532D"/>
    <w:rsid w:val="00FA6AE5"/>
    <w:rsid w:val="00FA7641"/>
    <w:rsid w:val="00FB06F9"/>
    <w:rsid w:val="00FB3499"/>
    <w:rsid w:val="00FB5CF8"/>
    <w:rsid w:val="00FB6E1A"/>
    <w:rsid w:val="00FC011A"/>
    <w:rsid w:val="00FC03D3"/>
    <w:rsid w:val="00FC0815"/>
    <w:rsid w:val="00FC0B63"/>
    <w:rsid w:val="00FC0CB7"/>
    <w:rsid w:val="00FC1F7B"/>
    <w:rsid w:val="00FC1F87"/>
    <w:rsid w:val="00FC4238"/>
    <w:rsid w:val="00FC49B8"/>
    <w:rsid w:val="00FC5157"/>
    <w:rsid w:val="00FC6369"/>
    <w:rsid w:val="00FC7CA3"/>
    <w:rsid w:val="00FD0163"/>
    <w:rsid w:val="00FD0A56"/>
    <w:rsid w:val="00FD0EB4"/>
    <w:rsid w:val="00FD67DA"/>
    <w:rsid w:val="00FD788F"/>
    <w:rsid w:val="00FD7AE8"/>
    <w:rsid w:val="00FE12D2"/>
    <w:rsid w:val="00FE1504"/>
    <w:rsid w:val="00FE1FE0"/>
    <w:rsid w:val="00FE391E"/>
    <w:rsid w:val="00FE3F4C"/>
    <w:rsid w:val="00FE4B22"/>
    <w:rsid w:val="00FE63A6"/>
    <w:rsid w:val="00FE65A1"/>
    <w:rsid w:val="00FE67F3"/>
    <w:rsid w:val="00FE7595"/>
    <w:rsid w:val="00FE7EBF"/>
    <w:rsid w:val="00FF07D4"/>
    <w:rsid w:val="00FF08C4"/>
    <w:rsid w:val="00FF0FCD"/>
    <w:rsid w:val="00FF60C9"/>
    <w:rsid w:val="00FF63F9"/>
    <w:rsid w:val="00FF7053"/>
    <w:rsid w:val="00FF711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D5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7B26FA"/>
    <w:pPr>
      <w:keepNext/>
      <w:spacing w:after="24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2C192D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0728F"/>
    <w:pPr>
      <w:keepNext/>
      <w:spacing w:after="240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B0728F"/>
    <w:pPr>
      <w:keepNext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728F"/>
    <w:pPr>
      <w:keepNext/>
      <w:spacing w:after="240"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72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509C"/>
    <w:rPr>
      <w:color w:val="0000FF"/>
      <w:u w:val="single"/>
    </w:rPr>
  </w:style>
  <w:style w:type="paragraph" w:customStyle="1" w:styleId="Heading1SFR">
    <w:name w:val="Heading 1 SFR"/>
    <w:basedOn w:val="Heading3"/>
    <w:next w:val="Heading1"/>
    <w:link w:val="Heading1SFRChar"/>
    <w:rsid w:val="0000509C"/>
    <w:pPr>
      <w:outlineLvl w:val="0"/>
    </w:pPr>
    <w:rPr>
      <w:bCs/>
    </w:rPr>
  </w:style>
  <w:style w:type="paragraph" w:styleId="TOC1">
    <w:name w:val="toc 1"/>
    <w:basedOn w:val="Normal"/>
    <w:next w:val="Normal"/>
    <w:autoRedefine/>
    <w:uiPriority w:val="39"/>
    <w:qFormat/>
    <w:rsid w:val="0078569A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06764D"/>
    <w:rPr>
      <w:b/>
      <w:bCs/>
      <w:sz w:val="20"/>
      <w:szCs w:val="20"/>
    </w:rPr>
  </w:style>
  <w:style w:type="character" w:styleId="FollowedHyperlink">
    <w:name w:val="FollowedHyperlink"/>
    <w:rsid w:val="00F779A5"/>
    <w:rPr>
      <w:color w:val="800080"/>
      <w:u w:val="single"/>
    </w:rPr>
  </w:style>
  <w:style w:type="character" w:styleId="CommentReference">
    <w:name w:val="annotation reference"/>
    <w:semiHidden/>
    <w:rsid w:val="00C87593"/>
    <w:rPr>
      <w:sz w:val="16"/>
      <w:szCs w:val="16"/>
    </w:rPr>
  </w:style>
  <w:style w:type="paragraph" w:styleId="CommentText">
    <w:name w:val="annotation text"/>
    <w:basedOn w:val="Normal"/>
    <w:semiHidden/>
    <w:rsid w:val="00C875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7593"/>
    <w:rPr>
      <w:b/>
      <w:bCs/>
    </w:rPr>
  </w:style>
  <w:style w:type="paragraph" w:styleId="BalloonText">
    <w:name w:val="Balloon Text"/>
    <w:basedOn w:val="Normal"/>
    <w:semiHidden/>
    <w:rsid w:val="00C87593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rsid w:val="00512A25"/>
  </w:style>
  <w:style w:type="paragraph" w:styleId="Title">
    <w:name w:val="Title"/>
    <w:basedOn w:val="Normal"/>
    <w:qFormat/>
    <w:rsid w:val="002C32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rsid w:val="002C321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B42A8"/>
    <w:rPr>
      <w:sz w:val="20"/>
      <w:szCs w:val="20"/>
    </w:rPr>
  </w:style>
  <w:style w:type="character" w:customStyle="1" w:styleId="NumberedparagraphChar">
    <w:name w:val="Numbered paragraph Char"/>
    <w:link w:val="Numberedparagraph"/>
    <w:locked/>
    <w:rsid w:val="007B42A8"/>
    <w:rPr>
      <w:rFonts w:ascii="Tahoma" w:hAnsi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autoRedefine/>
    <w:rsid w:val="00231CC7"/>
    <w:pPr>
      <w:numPr>
        <w:numId w:val="2"/>
      </w:numPr>
      <w:tabs>
        <w:tab w:val="clear" w:pos="1386"/>
        <w:tab w:val="left" w:pos="709"/>
        <w:tab w:val="num" w:pos="993"/>
      </w:tabs>
      <w:spacing w:after="120"/>
      <w:ind w:left="993" w:hanging="284"/>
      <w:jc w:val="left"/>
    </w:pPr>
    <w:rPr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7B42A8"/>
    <w:pPr>
      <w:spacing w:after="240"/>
    </w:pPr>
  </w:style>
  <w:style w:type="paragraph" w:customStyle="1" w:styleId="Numberedparagraph">
    <w:name w:val="Numbered paragraph"/>
    <w:basedOn w:val="Normal"/>
    <w:link w:val="NumberedparagraphChar"/>
    <w:rsid w:val="007B42A8"/>
    <w:pPr>
      <w:numPr>
        <w:numId w:val="1"/>
      </w:numPr>
      <w:spacing w:after="240"/>
    </w:pPr>
    <w:rPr>
      <w:color w:val="000000"/>
      <w:lang w:eastAsia="en-US"/>
    </w:rPr>
  </w:style>
  <w:style w:type="character" w:customStyle="1" w:styleId="BulletsspacedChar">
    <w:name w:val="Bullets (spaced) Char"/>
    <w:link w:val="Bulletsspaced"/>
    <w:rsid w:val="00231CC7"/>
    <w:rPr>
      <w:rFonts w:ascii="Tahoma" w:hAnsi="Tahoma"/>
      <w:color w:val="000000"/>
      <w:sz w:val="24"/>
      <w:szCs w:val="24"/>
      <w:lang w:eastAsia="en-US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7B42A8"/>
    <w:rPr>
      <w:rFonts w:ascii="Tahoma" w:hAnsi="Tahoma"/>
      <w:color w:val="000000"/>
      <w:sz w:val="24"/>
      <w:szCs w:val="24"/>
      <w:lang w:eastAsia="en-US"/>
    </w:rPr>
  </w:style>
  <w:style w:type="paragraph" w:styleId="BodyText">
    <w:name w:val="Body Text"/>
    <w:basedOn w:val="Normal"/>
    <w:rsid w:val="00B0728F"/>
    <w:pPr>
      <w:spacing w:after="120"/>
    </w:pPr>
  </w:style>
  <w:style w:type="paragraph" w:styleId="TOC9">
    <w:name w:val="toc 9"/>
    <w:basedOn w:val="Normal"/>
    <w:next w:val="Normal"/>
    <w:autoRedefine/>
    <w:semiHidden/>
    <w:rsid w:val="004336D5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LetterBodyText">
    <w:name w:val="Letter Body Text"/>
    <w:basedOn w:val="LetterText"/>
    <w:rsid w:val="00B0728F"/>
    <w:pPr>
      <w:spacing w:after="120"/>
    </w:pPr>
  </w:style>
  <w:style w:type="paragraph" w:customStyle="1" w:styleId="LetterText">
    <w:name w:val="Letter Text"/>
    <w:basedOn w:val="Normal"/>
    <w:rsid w:val="00B0728F"/>
  </w:style>
  <w:style w:type="paragraph" w:styleId="PlainText">
    <w:name w:val="Plain Text"/>
    <w:basedOn w:val="Normal"/>
    <w:rsid w:val="00B0728F"/>
    <w:rPr>
      <w:rFonts w:ascii="Courier New" w:hAnsi="Courier New"/>
    </w:rPr>
  </w:style>
  <w:style w:type="paragraph" w:customStyle="1" w:styleId="Unnumberedparagraph">
    <w:name w:val="Unnumbered paragraph"/>
    <w:basedOn w:val="Normal"/>
    <w:link w:val="UnnumberedparagraphChar"/>
    <w:rsid w:val="00F10985"/>
    <w:pPr>
      <w:spacing w:after="240"/>
      <w:jc w:val="left"/>
    </w:pPr>
    <w:rPr>
      <w:color w:val="000000"/>
      <w:lang w:eastAsia="en-US"/>
    </w:rPr>
  </w:style>
  <w:style w:type="character" w:customStyle="1" w:styleId="UnnumberedparagraphChar">
    <w:name w:val="Unnumbered paragraph Char"/>
    <w:link w:val="Unnumberedparagraph"/>
    <w:rsid w:val="00F10985"/>
    <w:rPr>
      <w:rFonts w:ascii="Tahoma" w:hAnsi="Tahoma"/>
      <w:color w:val="000000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rsid w:val="00CB7D65"/>
  </w:style>
  <w:style w:type="character" w:customStyle="1" w:styleId="Heading1SFRChar">
    <w:name w:val="Heading 1 SFR Char"/>
    <w:link w:val="Heading1SFR"/>
    <w:rsid w:val="00F43FD4"/>
    <w:rPr>
      <w:rFonts w:ascii="Tahoma" w:hAnsi="Tahoma"/>
      <w:b/>
      <w:bCs/>
      <w:caps/>
      <w:sz w:val="24"/>
      <w:szCs w:val="24"/>
      <w:lang w:val="en-GB" w:eastAsia="en-GB" w:bidi="ar-SA"/>
    </w:rPr>
  </w:style>
  <w:style w:type="paragraph" w:customStyle="1" w:styleId="Default">
    <w:name w:val="Default"/>
    <w:rsid w:val="003526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Normal"/>
    <w:rsid w:val="009F66D4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bulletsspaced">
    <w:name w:val="x_bulletsspaced"/>
    <w:basedOn w:val="Normal"/>
    <w:rsid w:val="009F66D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Emphasis">
    <w:name w:val="Emphasis"/>
    <w:qFormat/>
    <w:rsid w:val="009F66D4"/>
    <w:rPr>
      <w:i/>
      <w:iCs/>
    </w:rPr>
  </w:style>
  <w:style w:type="paragraph" w:styleId="ListParagraph">
    <w:name w:val="List Paragraph"/>
    <w:basedOn w:val="Normal"/>
    <w:uiPriority w:val="34"/>
    <w:qFormat/>
    <w:rsid w:val="00F8749C"/>
    <w:pPr>
      <w:ind w:left="720"/>
    </w:pPr>
  </w:style>
  <w:style w:type="character" w:customStyle="1" w:styleId="FootnoteTextChar">
    <w:name w:val="Footnote Text Char"/>
    <w:link w:val="FootnoteText"/>
    <w:semiHidden/>
    <w:rsid w:val="008538AB"/>
    <w:rPr>
      <w:rFonts w:ascii="Tahoma" w:hAnsi="Tahoma"/>
    </w:rPr>
  </w:style>
  <w:style w:type="paragraph" w:styleId="Revision">
    <w:name w:val="Revision"/>
    <w:hidden/>
    <w:uiPriority w:val="99"/>
    <w:semiHidden/>
    <w:rsid w:val="00545689"/>
    <w:rPr>
      <w:rFonts w:ascii="Tahoma" w:hAnsi="Tahoma"/>
      <w:sz w:val="24"/>
      <w:szCs w:val="24"/>
    </w:rPr>
  </w:style>
  <w:style w:type="paragraph" w:styleId="NoSpacing">
    <w:name w:val="No Spacing"/>
    <w:uiPriority w:val="1"/>
    <w:qFormat/>
    <w:rsid w:val="00690C9D"/>
    <w:pPr>
      <w:jc w:val="both"/>
    </w:pPr>
    <w:rPr>
      <w:rFonts w:ascii="Tahoma" w:hAnsi="Tahoma"/>
      <w:sz w:val="24"/>
      <w:szCs w:val="24"/>
    </w:rPr>
  </w:style>
  <w:style w:type="paragraph" w:customStyle="1" w:styleId="Footer-RHSOdd">
    <w:name w:val="Footer - RHS Odd"/>
    <w:basedOn w:val="Normal"/>
    <w:rsid w:val="001460CF"/>
    <w:pPr>
      <w:pBdr>
        <w:top w:val="single" w:sz="4" w:space="6" w:color="auto"/>
      </w:pBdr>
      <w:tabs>
        <w:tab w:val="left" w:pos="567"/>
      </w:tabs>
      <w:jc w:val="left"/>
    </w:pPr>
    <w:rPr>
      <w:b/>
      <w:color w:val="000000"/>
      <w:sz w:val="16"/>
      <w:szCs w:val="20"/>
      <w:lang w:eastAsia="en-US"/>
    </w:rPr>
  </w:style>
  <w:style w:type="character" w:customStyle="1" w:styleId="FooterChar">
    <w:name w:val="Footer Char"/>
    <w:link w:val="Footer"/>
    <w:uiPriority w:val="99"/>
    <w:rsid w:val="00243CDA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1025A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192D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09E2"/>
    <w:pPr>
      <w:ind w:left="480"/>
      <w:jc w:val="left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55B56"/>
    <w:rPr>
      <w:rFonts w:ascii="Tahoma" w:hAnsi="Tahoma"/>
      <w:b/>
      <w:sz w:val="28"/>
      <w:szCs w:val="24"/>
    </w:rPr>
  </w:style>
  <w:style w:type="paragraph" w:styleId="TOC4">
    <w:name w:val="toc 4"/>
    <w:basedOn w:val="Normal"/>
    <w:next w:val="Normal"/>
    <w:autoRedefine/>
    <w:unhideWhenUsed/>
    <w:rsid w:val="0074275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74275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74275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74275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742754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D5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7B26FA"/>
    <w:pPr>
      <w:keepNext/>
      <w:spacing w:after="24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2C192D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0728F"/>
    <w:pPr>
      <w:keepNext/>
      <w:spacing w:after="240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B0728F"/>
    <w:pPr>
      <w:keepNext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728F"/>
    <w:pPr>
      <w:keepNext/>
      <w:spacing w:after="240"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72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509C"/>
    <w:rPr>
      <w:color w:val="0000FF"/>
      <w:u w:val="single"/>
    </w:rPr>
  </w:style>
  <w:style w:type="paragraph" w:customStyle="1" w:styleId="Heading1SFR">
    <w:name w:val="Heading 1 SFR"/>
    <w:basedOn w:val="Heading3"/>
    <w:next w:val="Heading1"/>
    <w:link w:val="Heading1SFRChar"/>
    <w:rsid w:val="0000509C"/>
    <w:pPr>
      <w:outlineLvl w:val="0"/>
    </w:pPr>
    <w:rPr>
      <w:bCs/>
    </w:rPr>
  </w:style>
  <w:style w:type="paragraph" w:styleId="TOC1">
    <w:name w:val="toc 1"/>
    <w:basedOn w:val="Normal"/>
    <w:next w:val="Normal"/>
    <w:autoRedefine/>
    <w:uiPriority w:val="39"/>
    <w:qFormat/>
    <w:rsid w:val="0078569A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06764D"/>
    <w:rPr>
      <w:b/>
      <w:bCs/>
      <w:sz w:val="20"/>
      <w:szCs w:val="20"/>
    </w:rPr>
  </w:style>
  <w:style w:type="character" w:styleId="FollowedHyperlink">
    <w:name w:val="FollowedHyperlink"/>
    <w:rsid w:val="00F779A5"/>
    <w:rPr>
      <w:color w:val="800080"/>
      <w:u w:val="single"/>
    </w:rPr>
  </w:style>
  <w:style w:type="character" w:styleId="CommentReference">
    <w:name w:val="annotation reference"/>
    <w:semiHidden/>
    <w:rsid w:val="00C87593"/>
    <w:rPr>
      <w:sz w:val="16"/>
      <w:szCs w:val="16"/>
    </w:rPr>
  </w:style>
  <w:style w:type="paragraph" w:styleId="CommentText">
    <w:name w:val="annotation text"/>
    <w:basedOn w:val="Normal"/>
    <w:semiHidden/>
    <w:rsid w:val="00C875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7593"/>
    <w:rPr>
      <w:b/>
      <w:bCs/>
    </w:rPr>
  </w:style>
  <w:style w:type="paragraph" w:styleId="BalloonText">
    <w:name w:val="Balloon Text"/>
    <w:basedOn w:val="Normal"/>
    <w:semiHidden/>
    <w:rsid w:val="00C87593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rsid w:val="00512A25"/>
  </w:style>
  <w:style w:type="paragraph" w:styleId="Title">
    <w:name w:val="Title"/>
    <w:basedOn w:val="Normal"/>
    <w:qFormat/>
    <w:rsid w:val="002C32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rsid w:val="002C321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B42A8"/>
    <w:rPr>
      <w:sz w:val="20"/>
      <w:szCs w:val="20"/>
    </w:rPr>
  </w:style>
  <w:style w:type="character" w:customStyle="1" w:styleId="NumberedparagraphChar">
    <w:name w:val="Numbered paragraph Char"/>
    <w:link w:val="Numberedparagraph"/>
    <w:locked/>
    <w:rsid w:val="007B42A8"/>
    <w:rPr>
      <w:rFonts w:ascii="Tahoma" w:hAnsi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autoRedefine/>
    <w:rsid w:val="00231CC7"/>
    <w:pPr>
      <w:numPr>
        <w:numId w:val="2"/>
      </w:numPr>
      <w:tabs>
        <w:tab w:val="clear" w:pos="1386"/>
        <w:tab w:val="left" w:pos="709"/>
        <w:tab w:val="num" w:pos="993"/>
      </w:tabs>
      <w:spacing w:after="120"/>
      <w:ind w:left="993" w:hanging="284"/>
      <w:jc w:val="left"/>
    </w:pPr>
    <w:rPr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7B42A8"/>
    <w:pPr>
      <w:spacing w:after="240"/>
    </w:pPr>
  </w:style>
  <w:style w:type="paragraph" w:customStyle="1" w:styleId="Numberedparagraph">
    <w:name w:val="Numbered paragraph"/>
    <w:basedOn w:val="Normal"/>
    <w:link w:val="NumberedparagraphChar"/>
    <w:rsid w:val="007B42A8"/>
    <w:pPr>
      <w:numPr>
        <w:numId w:val="1"/>
      </w:numPr>
      <w:spacing w:after="240"/>
    </w:pPr>
    <w:rPr>
      <w:color w:val="000000"/>
      <w:lang w:eastAsia="en-US"/>
    </w:rPr>
  </w:style>
  <w:style w:type="character" w:customStyle="1" w:styleId="BulletsspacedChar">
    <w:name w:val="Bullets (spaced) Char"/>
    <w:link w:val="Bulletsspaced"/>
    <w:rsid w:val="00231CC7"/>
    <w:rPr>
      <w:rFonts w:ascii="Tahoma" w:hAnsi="Tahoma"/>
      <w:color w:val="000000"/>
      <w:sz w:val="24"/>
      <w:szCs w:val="24"/>
      <w:lang w:eastAsia="en-US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7B42A8"/>
    <w:rPr>
      <w:rFonts w:ascii="Tahoma" w:hAnsi="Tahoma"/>
      <w:color w:val="000000"/>
      <w:sz w:val="24"/>
      <w:szCs w:val="24"/>
      <w:lang w:eastAsia="en-US"/>
    </w:rPr>
  </w:style>
  <w:style w:type="paragraph" w:styleId="BodyText">
    <w:name w:val="Body Text"/>
    <w:basedOn w:val="Normal"/>
    <w:rsid w:val="00B0728F"/>
    <w:pPr>
      <w:spacing w:after="120"/>
    </w:pPr>
  </w:style>
  <w:style w:type="paragraph" w:styleId="TOC9">
    <w:name w:val="toc 9"/>
    <w:basedOn w:val="Normal"/>
    <w:next w:val="Normal"/>
    <w:autoRedefine/>
    <w:semiHidden/>
    <w:rsid w:val="004336D5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LetterBodyText">
    <w:name w:val="Letter Body Text"/>
    <w:basedOn w:val="LetterText"/>
    <w:rsid w:val="00B0728F"/>
    <w:pPr>
      <w:spacing w:after="120"/>
    </w:pPr>
  </w:style>
  <w:style w:type="paragraph" w:customStyle="1" w:styleId="LetterText">
    <w:name w:val="Letter Text"/>
    <w:basedOn w:val="Normal"/>
    <w:rsid w:val="00B0728F"/>
  </w:style>
  <w:style w:type="paragraph" w:styleId="PlainText">
    <w:name w:val="Plain Text"/>
    <w:basedOn w:val="Normal"/>
    <w:rsid w:val="00B0728F"/>
    <w:rPr>
      <w:rFonts w:ascii="Courier New" w:hAnsi="Courier New"/>
    </w:rPr>
  </w:style>
  <w:style w:type="paragraph" w:customStyle="1" w:styleId="Unnumberedparagraph">
    <w:name w:val="Unnumbered paragraph"/>
    <w:basedOn w:val="Normal"/>
    <w:link w:val="UnnumberedparagraphChar"/>
    <w:rsid w:val="00F10985"/>
    <w:pPr>
      <w:spacing w:after="240"/>
      <w:jc w:val="left"/>
    </w:pPr>
    <w:rPr>
      <w:color w:val="000000"/>
      <w:lang w:eastAsia="en-US"/>
    </w:rPr>
  </w:style>
  <w:style w:type="character" w:customStyle="1" w:styleId="UnnumberedparagraphChar">
    <w:name w:val="Unnumbered paragraph Char"/>
    <w:link w:val="Unnumberedparagraph"/>
    <w:rsid w:val="00F10985"/>
    <w:rPr>
      <w:rFonts w:ascii="Tahoma" w:hAnsi="Tahoma"/>
      <w:color w:val="000000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rsid w:val="00CB7D65"/>
  </w:style>
  <w:style w:type="character" w:customStyle="1" w:styleId="Heading1SFRChar">
    <w:name w:val="Heading 1 SFR Char"/>
    <w:link w:val="Heading1SFR"/>
    <w:rsid w:val="00F43FD4"/>
    <w:rPr>
      <w:rFonts w:ascii="Tahoma" w:hAnsi="Tahoma"/>
      <w:b/>
      <w:bCs/>
      <w:caps/>
      <w:sz w:val="24"/>
      <w:szCs w:val="24"/>
      <w:lang w:val="en-GB" w:eastAsia="en-GB" w:bidi="ar-SA"/>
    </w:rPr>
  </w:style>
  <w:style w:type="paragraph" w:customStyle="1" w:styleId="Default">
    <w:name w:val="Default"/>
    <w:rsid w:val="003526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Normal"/>
    <w:rsid w:val="009F66D4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bulletsspaced">
    <w:name w:val="x_bulletsspaced"/>
    <w:basedOn w:val="Normal"/>
    <w:rsid w:val="009F66D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Emphasis">
    <w:name w:val="Emphasis"/>
    <w:qFormat/>
    <w:rsid w:val="009F66D4"/>
    <w:rPr>
      <w:i/>
      <w:iCs/>
    </w:rPr>
  </w:style>
  <w:style w:type="paragraph" w:styleId="ListParagraph">
    <w:name w:val="List Paragraph"/>
    <w:basedOn w:val="Normal"/>
    <w:uiPriority w:val="34"/>
    <w:qFormat/>
    <w:rsid w:val="00F8749C"/>
    <w:pPr>
      <w:ind w:left="720"/>
    </w:pPr>
  </w:style>
  <w:style w:type="character" w:customStyle="1" w:styleId="FootnoteTextChar">
    <w:name w:val="Footnote Text Char"/>
    <w:link w:val="FootnoteText"/>
    <w:semiHidden/>
    <w:rsid w:val="008538AB"/>
    <w:rPr>
      <w:rFonts w:ascii="Tahoma" w:hAnsi="Tahoma"/>
    </w:rPr>
  </w:style>
  <w:style w:type="paragraph" w:styleId="Revision">
    <w:name w:val="Revision"/>
    <w:hidden/>
    <w:uiPriority w:val="99"/>
    <w:semiHidden/>
    <w:rsid w:val="00545689"/>
    <w:rPr>
      <w:rFonts w:ascii="Tahoma" w:hAnsi="Tahoma"/>
      <w:sz w:val="24"/>
      <w:szCs w:val="24"/>
    </w:rPr>
  </w:style>
  <w:style w:type="paragraph" w:styleId="NoSpacing">
    <w:name w:val="No Spacing"/>
    <w:uiPriority w:val="1"/>
    <w:qFormat/>
    <w:rsid w:val="00690C9D"/>
    <w:pPr>
      <w:jc w:val="both"/>
    </w:pPr>
    <w:rPr>
      <w:rFonts w:ascii="Tahoma" w:hAnsi="Tahoma"/>
      <w:sz w:val="24"/>
      <w:szCs w:val="24"/>
    </w:rPr>
  </w:style>
  <w:style w:type="paragraph" w:customStyle="1" w:styleId="Footer-RHSOdd">
    <w:name w:val="Footer - RHS Odd"/>
    <w:basedOn w:val="Normal"/>
    <w:rsid w:val="001460CF"/>
    <w:pPr>
      <w:pBdr>
        <w:top w:val="single" w:sz="4" w:space="6" w:color="auto"/>
      </w:pBdr>
      <w:tabs>
        <w:tab w:val="left" w:pos="567"/>
      </w:tabs>
      <w:jc w:val="left"/>
    </w:pPr>
    <w:rPr>
      <w:b/>
      <w:color w:val="000000"/>
      <w:sz w:val="16"/>
      <w:szCs w:val="20"/>
      <w:lang w:eastAsia="en-US"/>
    </w:rPr>
  </w:style>
  <w:style w:type="character" w:customStyle="1" w:styleId="FooterChar">
    <w:name w:val="Footer Char"/>
    <w:link w:val="Footer"/>
    <w:uiPriority w:val="99"/>
    <w:rsid w:val="00243CDA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1025A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192D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09E2"/>
    <w:pPr>
      <w:ind w:left="480"/>
      <w:jc w:val="left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55B56"/>
    <w:rPr>
      <w:rFonts w:ascii="Tahoma" w:hAnsi="Tahoma"/>
      <w:b/>
      <w:sz w:val="28"/>
      <w:szCs w:val="24"/>
    </w:rPr>
  </w:style>
  <w:style w:type="paragraph" w:styleId="TOC4">
    <w:name w:val="toc 4"/>
    <w:basedOn w:val="Normal"/>
    <w:next w:val="Normal"/>
    <w:autoRedefine/>
    <w:unhideWhenUsed/>
    <w:rsid w:val="0074275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74275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74275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74275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742754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011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248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statistics/further-education-and-skills-inspection-and-outcomes-as-at-29-february-2016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diagramColors" Target="diagrams/colors1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psi@nationalarchives.gsi.gov.uk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hyperlink" Target="http://www.nationalarchives.gov.uk/doc/open-government-licence/" TargetMode="External"/><Relationship Id="rId28" Type="http://schemas.openxmlformats.org/officeDocument/2006/relationships/footer" Target="footer2.xml"/><Relationship Id="rId36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Data" Target="diagrams/data1.xml"/><Relationship Id="rId22" Type="http://schemas.openxmlformats.org/officeDocument/2006/relationships/hyperlink" Target="mailto:Sarah%20Pearce%20%3cSarah.Pearce@ofsted.gov.uk%3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pearce@ofste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AA2E4-B861-4119-9254-6A600D57C5E4}" type="doc">
      <dgm:prSet loTypeId="urn:microsoft.com/office/officeart/2005/8/layout/hierarchy2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F1A42A52-54F8-4350-97EE-30F7CF9EA3D5}">
      <dgm:prSet phldrT="[Text]" custT="1"/>
      <dgm:spPr/>
      <dgm:t>
        <a:bodyPr/>
        <a:lstStyle/>
        <a:p>
          <a:r>
            <a:rPr lang="en-GB" sz="1100" dirty="0" smtClean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Short inspections (52)</a:t>
          </a:r>
          <a:endParaRPr lang="en-GB" sz="1100" dirty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56B8155-3EA7-4F1D-A555-6CD17FC73027}" type="parTrans" cxnId="{3F751991-E9BD-46E9-9D20-9B36A3B4E9BB}">
      <dgm:prSet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2380492-3353-4670-B7B8-376F159F42C4}" type="sibTrans" cxnId="{3F751991-E9BD-46E9-9D20-9B36A3B4E9BB}">
      <dgm:prSet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B7E9A21-D23F-4431-AD07-42B0EC200AE6}">
      <dgm:prSet phldrT="[Text]" custT="1"/>
      <dgm:spPr>
        <a:solidFill>
          <a:srgbClr val="E77525"/>
        </a:solidFill>
      </dgm:spPr>
      <dgm:t>
        <a:bodyPr/>
        <a:lstStyle/>
        <a:p>
          <a:r>
            <a:rPr lang="en-GB" sz="1100" dirty="0" smtClean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Declined to requires improvement (2)</a:t>
          </a:r>
          <a:endParaRPr lang="en-GB" sz="1100" dirty="0">
            <a:solidFill>
              <a:schemeClr val="bg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BAEFAB1-CC76-4134-BFCE-E690E4E75513}" type="parTrans" cxnId="{71A9589B-EA3D-44AD-BFF1-5E3C1F16A424}">
      <dgm:prSet custT="1"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0AB04CE-E949-4A1C-B838-05AB382CCB26}" type="sibTrans" cxnId="{71A9589B-EA3D-44AD-BFF1-5E3C1F16A424}">
      <dgm:prSet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0DF23C3-28F5-4E90-BFFF-3E4978EC89BD}">
      <dgm:prSet phldrT="[Text]" custT="1"/>
      <dgm:spPr/>
      <dgm:t>
        <a:bodyPr/>
        <a:lstStyle/>
        <a:p>
          <a:r>
            <a:rPr lang="en-GB" sz="1100" dirty="0" smtClean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Did not convert (47)</a:t>
          </a:r>
          <a:endParaRPr lang="en-GB" sz="1100" dirty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58B9304-94FB-4606-881E-701A077EFAED}" type="parTrans" cxnId="{701E14F4-88E5-4F3B-A59B-21138D3C7E3E}">
      <dgm:prSet custT="1"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F8CC58F-D44F-4851-B763-FADB19BAFD56}" type="sibTrans" cxnId="{701E14F4-88E5-4F3B-A59B-21138D3C7E3E}">
      <dgm:prSet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13F56B3-DE54-4C71-B9DD-DFB79263FDC7}">
      <dgm:prSet phldrT="[Text]" custT="1"/>
      <dgm:spPr>
        <a:solidFill>
          <a:srgbClr val="2093B8"/>
        </a:solidFill>
      </dgm:spPr>
      <dgm:t>
        <a:bodyPr/>
        <a:lstStyle/>
        <a:p>
          <a:r>
            <a:rPr lang="en-GB" sz="1100" dirty="0" smtClean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Remained good (50)</a:t>
          </a:r>
          <a:endParaRPr lang="en-GB" sz="1100" dirty="0">
            <a:solidFill>
              <a:schemeClr val="bg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02F0C5D-BB39-48DA-BC01-F698E3C0290F}" type="parTrans" cxnId="{78FB7E9B-4DD2-4B54-AC5C-D638333E0176}">
      <dgm:prSet custT="1"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072A2C5-4EE9-40C2-951F-3C218C8202CD}" type="sibTrans" cxnId="{78FB7E9B-4DD2-4B54-AC5C-D638333E0176}">
      <dgm:prSet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20A1259-34A3-40F8-9A4B-4D4264731B11}">
      <dgm:prSet phldrT="[Text]" custT="1"/>
      <dgm:spPr/>
      <dgm:t>
        <a:bodyPr/>
        <a:lstStyle/>
        <a:p>
          <a:r>
            <a:rPr lang="en-GB" sz="1100" dirty="0" smtClean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Converted (5)</a:t>
          </a:r>
          <a:endParaRPr lang="en-GB" sz="1100" dirty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17644B5-01E5-49D7-B826-5C2A75E595A4}" type="sibTrans" cxnId="{4EABD7E0-66D1-4C3F-9282-FE50154FA5E5}">
      <dgm:prSet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528B7F2-4D73-4FF2-AC90-5B9173EF798B}" type="parTrans" cxnId="{4EABD7E0-66D1-4C3F-9282-FE50154FA5E5}">
      <dgm:prSet custT="1"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3D85A39-805A-4991-9F78-8163C657DF6D}">
      <dgm:prSet phldrT="[Text]" custT="1"/>
      <dgm:spPr>
        <a:noFill/>
      </dgm:spPr>
      <dgm:t>
        <a:bodyPr/>
        <a:lstStyle/>
        <a:p>
          <a:endParaRPr lang="en-GB" sz="1100" dirty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11BBA9F-1CFB-43FF-9485-C5C1FA32125D}" type="sibTrans" cxnId="{2D39A4C0-B1E3-4DA6-A6A8-5C4B2C61BD66}">
      <dgm:prSet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5158423-34D4-4561-902C-1E7E6188B626}" type="parTrans" cxnId="{2D39A4C0-B1E3-4DA6-A6A8-5C4B2C61BD66}">
      <dgm:prSet custT="1"/>
      <dgm:spPr/>
      <dgm:t>
        <a:bodyPr/>
        <a:lstStyle/>
        <a:p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C48E32E-0F03-4E79-B171-251D410965DE}" type="pres">
      <dgm:prSet presAssocID="{4D7AA2E4-B861-4119-9254-6A600D57C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E8C6F0-0BA0-47C2-8DA9-55B1FB7129E9}" type="pres">
      <dgm:prSet presAssocID="{F1A42A52-54F8-4350-97EE-30F7CF9EA3D5}" presName="root1" presStyleCnt="0"/>
      <dgm:spPr/>
    </dgm:pt>
    <dgm:pt modelId="{F645B4F6-6E7D-44FB-8D4F-C99F563630AF}" type="pres">
      <dgm:prSet presAssocID="{F1A42A52-54F8-4350-97EE-30F7CF9EA3D5}" presName="LevelOneTextNode" presStyleLbl="node0" presStyleIdx="0" presStyleCnt="1" custLinFactNeighborX="-7602" custLinFactNeighborY="-3455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2EC38B9-066D-4CB8-9511-114AA8B736F3}" type="pres">
      <dgm:prSet presAssocID="{F1A42A52-54F8-4350-97EE-30F7CF9EA3D5}" presName="level2hierChild" presStyleCnt="0"/>
      <dgm:spPr/>
    </dgm:pt>
    <dgm:pt modelId="{88EB1D6B-0940-4B83-84CB-35BBF181E73F}" type="pres">
      <dgm:prSet presAssocID="{B528B7F2-4D73-4FF2-AC90-5B9173EF798B}" presName="conn2-1" presStyleLbl="parChTrans1D2" presStyleIdx="0" presStyleCnt="2"/>
      <dgm:spPr/>
      <dgm:t>
        <a:bodyPr/>
        <a:lstStyle/>
        <a:p>
          <a:endParaRPr lang="en-GB"/>
        </a:p>
      </dgm:t>
    </dgm:pt>
    <dgm:pt modelId="{7EB45878-3C2A-45B4-9725-81DB87DA925F}" type="pres">
      <dgm:prSet presAssocID="{B528B7F2-4D73-4FF2-AC90-5B9173EF798B}" presName="connTx" presStyleLbl="parChTrans1D2" presStyleIdx="0" presStyleCnt="2"/>
      <dgm:spPr/>
      <dgm:t>
        <a:bodyPr/>
        <a:lstStyle/>
        <a:p>
          <a:endParaRPr lang="en-GB"/>
        </a:p>
      </dgm:t>
    </dgm:pt>
    <dgm:pt modelId="{3825EC4E-F620-4EDC-A2C0-D6C27DE81F4B}" type="pres">
      <dgm:prSet presAssocID="{B20A1259-34A3-40F8-9A4B-4D4264731B11}" presName="root2" presStyleCnt="0"/>
      <dgm:spPr/>
    </dgm:pt>
    <dgm:pt modelId="{568E3356-1EA3-4FA6-AE7E-FABB2136B9B5}" type="pres">
      <dgm:prSet presAssocID="{B20A1259-34A3-40F8-9A4B-4D4264731B11}" presName="LevelTwoTextNode" presStyleLbl="node2" presStyleIdx="0" presStyleCnt="2" custLinFactY="22447" custLinFactNeighborX="-5135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9DF0AA7-EB8D-42D8-9D69-FC0A7A61781A}" type="pres">
      <dgm:prSet presAssocID="{B20A1259-34A3-40F8-9A4B-4D4264731B11}" presName="level3hierChild" presStyleCnt="0"/>
      <dgm:spPr/>
    </dgm:pt>
    <dgm:pt modelId="{66127E28-D8A5-4832-85F7-AF3E3FD14FC0}" type="pres">
      <dgm:prSet presAssocID="{EBAEFAB1-CC76-4134-BFCE-E690E4E75513}" presName="conn2-1" presStyleLbl="parChTrans1D3" presStyleIdx="0" presStyleCnt="3"/>
      <dgm:spPr/>
      <dgm:t>
        <a:bodyPr/>
        <a:lstStyle/>
        <a:p>
          <a:endParaRPr lang="en-GB"/>
        </a:p>
      </dgm:t>
    </dgm:pt>
    <dgm:pt modelId="{7EB9A0F8-3071-4446-931C-FEFCB203EB8E}" type="pres">
      <dgm:prSet presAssocID="{EBAEFAB1-CC76-4134-BFCE-E690E4E75513}" presName="connTx" presStyleLbl="parChTrans1D3" presStyleIdx="0" presStyleCnt="3"/>
      <dgm:spPr/>
      <dgm:t>
        <a:bodyPr/>
        <a:lstStyle/>
        <a:p>
          <a:endParaRPr lang="en-GB"/>
        </a:p>
      </dgm:t>
    </dgm:pt>
    <dgm:pt modelId="{88CAC4F1-94C5-4525-97AA-E2ECFDC4A37B}" type="pres">
      <dgm:prSet presAssocID="{4B7E9A21-D23F-4431-AD07-42B0EC200AE6}" presName="root2" presStyleCnt="0"/>
      <dgm:spPr/>
    </dgm:pt>
    <dgm:pt modelId="{D57A3203-008C-4D46-BFE4-BECD684CCCBD}" type="pres">
      <dgm:prSet presAssocID="{4B7E9A21-D23F-4431-AD07-42B0EC200AE6}" presName="LevelTwoTextNode" presStyleLbl="node3" presStyleIdx="0" presStyleCnt="3" custLinFactY="100000" custLinFactNeighborX="9340" custLinFactNeighborY="12768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9A8D569-A15A-476B-91AF-2B9ACF186ADE}" type="pres">
      <dgm:prSet presAssocID="{4B7E9A21-D23F-4431-AD07-42B0EC200AE6}" presName="level3hierChild" presStyleCnt="0"/>
      <dgm:spPr/>
    </dgm:pt>
    <dgm:pt modelId="{6FE23774-56AC-43B1-A267-305FA3F4AD1F}" type="pres">
      <dgm:prSet presAssocID="{65158423-34D4-4561-902C-1E7E6188B626}" presName="conn2-1" presStyleLbl="parChTrans1D3" presStyleIdx="1" presStyleCnt="3"/>
      <dgm:spPr/>
      <dgm:t>
        <a:bodyPr/>
        <a:lstStyle/>
        <a:p>
          <a:endParaRPr lang="en-GB"/>
        </a:p>
      </dgm:t>
    </dgm:pt>
    <dgm:pt modelId="{73566CC5-DD38-42DC-B522-0B8215AAC66E}" type="pres">
      <dgm:prSet presAssocID="{65158423-34D4-4561-902C-1E7E6188B626}" presName="connTx" presStyleLbl="parChTrans1D3" presStyleIdx="1" presStyleCnt="3"/>
      <dgm:spPr/>
      <dgm:t>
        <a:bodyPr/>
        <a:lstStyle/>
        <a:p>
          <a:endParaRPr lang="en-GB"/>
        </a:p>
      </dgm:t>
    </dgm:pt>
    <dgm:pt modelId="{F9B95E8A-8826-43EE-BBA5-FC80B5A58FD6}" type="pres">
      <dgm:prSet presAssocID="{A3D85A39-805A-4991-9F78-8163C657DF6D}" presName="root2" presStyleCnt="0"/>
      <dgm:spPr/>
    </dgm:pt>
    <dgm:pt modelId="{04418B58-9CE6-4824-8BC6-A81F3A422E0D}" type="pres">
      <dgm:prSet presAssocID="{A3D85A39-805A-4991-9F78-8163C657DF6D}" presName="LevelTwoTextNode" presStyleLbl="node3" presStyleIdx="1" presStyleCnt="3" custLinFactNeighborX="10460" custLinFactNeighborY="-3936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A44B2AD-224D-4B7C-8644-424EB7AE0FBE}" type="pres">
      <dgm:prSet presAssocID="{A3D85A39-805A-4991-9F78-8163C657DF6D}" presName="level3hierChild" presStyleCnt="0"/>
      <dgm:spPr/>
    </dgm:pt>
    <dgm:pt modelId="{4109C306-0A71-45F5-9CF0-BC908E5F1EFB}" type="pres">
      <dgm:prSet presAssocID="{F58B9304-94FB-4606-881E-701A077EFAED}" presName="conn2-1" presStyleLbl="parChTrans1D2" presStyleIdx="1" presStyleCnt="2"/>
      <dgm:spPr/>
      <dgm:t>
        <a:bodyPr/>
        <a:lstStyle/>
        <a:p>
          <a:endParaRPr lang="en-GB"/>
        </a:p>
      </dgm:t>
    </dgm:pt>
    <dgm:pt modelId="{5F6F20F0-8EBA-40D0-A468-F1A930FE4F25}" type="pres">
      <dgm:prSet presAssocID="{F58B9304-94FB-4606-881E-701A077EFAED}" presName="connTx" presStyleLbl="parChTrans1D2" presStyleIdx="1" presStyleCnt="2"/>
      <dgm:spPr/>
      <dgm:t>
        <a:bodyPr/>
        <a:lstStyle/>
        <a:p>
          <a:endParaRPr lang="en-GB"/>
        </a:p>
      </dgm:t>
    </dgm:pt>
    <dgm:pt modelId="{51272214-8E1E-4F87-9542-DFEC5CE11B13}" type="pres">
      <dgm:prSet presAssocID="{50DF23C3-28F5-4E90-BFFF-3E4978EC89BD}" presName="root2" presStyleCnt="0"/>
      <dgm:spPr/>
    </dgm:pt>
    <dgm:pt modelId="{AD919EED-2D62-4577-BBD0-C7B8448B3AE2}" type="pres">
      <dgm:prSet presAssocID="{50DF23C3-28F5-4E90-BFFF-3E4978EC89BD}" presName="LevelTwoTextNode" presStyleLbl="node2" presStyleIdx="1" presStyleCnt="2" custLinFactY="-97080" custLinFactNeighborX="-2824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227B8DA-C0B4-4338-9C95-743D71DC4D23}" type="pres">
      <dgm:prSet presAssocID="{50DF23C3-28F5-4E90-BFFF-3E4978EC89BD}" presName="level3hierChild" presStyleCnt="0"/>
      <dgm:spPr/>
    </dgm:pt>
    <dgm:pt modelId="{49068822-69E5-4CD2-95DA-6D2FE1F49177}" type="pres">
      <dgm:prSet presAssocID="{F02F0C5D-BB39-48DA-BC01-F698E3C0290F}" presName="conn2-1" presStyleLbl="parChTrans1D3" presStyleIdx="2" presStyleCnt="3"/>
      <dgm:spPr/>
      <dgm:t>
        <a:bodyPr/>
        <a:lstStyle/>
        <a:p>
          <a:endParaRPr lang="en-GB"/>
        </a:p>
      </dgm:t>
    </dgm:pt>
    <dgm:pt modelId="{D0A108BF-6F71-4F2C-8D06-6986851C7BD0}" type="pres">
      <dgm:prSet presAssocID="{F02F0C5D-BB39-48DA-BC01-F698E3C0290F}" presName="connTx" presStyleLbl="parChTrans1D3" presStyleIdx="2" presStyleCnt="3"/>
      <dgm:spPr/>
      <dgm:t>
        <a:bodyPr/>
        <a:lstStyle/>
        <a:p>
          <a:endParaRPr lang="en-GB"/>
        </a:p>
      </dgm:t>
    </dgm:pt>
    <dgm:pt modelId="{C38CD895-479F-4874-A9E2-7E2CA5A54683}" type="pres">
      <dgm:prSet presAssocID="{E13F56B3-DE54-4C71-B9DD-DFB79263FDC7}" presName="root2" presStyleCnt="0"/>
      <dgm:spPr/>
    </dgm:pt>
    <dgm:pt modelId="{C6198300-13C7-4823-A268-F62521ACE269}" type="pres">
      <dgm:prSet presAssocID="{E13F56B3-DE54-4C71-B9DD-DFB79263FDC7}" presName="LevelTwoTextNode" presStyleLbl="node3" presStyleIdx="2" presStyleCnt="3" custLinFactY="-56539" custLinFactNeighborX="7934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2C8261E-C0AF-44E9-ADE8-A0350FDCC35D}" type="pres">
      <dgm:prSet presAssocID="{E13F56B3-DE54-4C71-B9DD-DFB79263FDC7}" presName="level3hierChild" presStyleCnt="0"/>
      <dgm:spPr/>
    </dgm:pt>
  </dgm:ptLst>
  <dgm:cxnLst>
    <dgm:cxn modelId="{009418E6-AF0B-4ED3-9977-CAB253B3DE0A}" type="presOf" srcId="{50DF23C3-28F5-4E90-BFFF-3E4978EC89BD}" destId="{AD919EED-2D62-4577-BBD0-C7B8448B3AE2}" srcOrd="0" destOrd="0" presId="urn:microsoft.com/office/officeart/2005/8/layout/hierarchy2"/>
    <dgm:cxn modelId="{744308B8-5650-4523-9DF1-14273ABB4ACE}" type="presOf" srcId="{65158423-34D4-4561-902C-1E7E6188B626}" destId="{6FE23774-56AC-43B1-A267-305FA3F4AD1F}" srcOrd="0" destOrd="0" presId="urn:microsoft.com/office/officeart/2005/8/layout/hierarchy2"/>
    <dgm:cxn modelId="{EC377313-6341-4082-8DC2-DFAD115A954B}" type="presOf" srcId="{E13F56B3-DE54-4C71-B9DD-DFB79263FDC7}" destId="{C6198300-13C7-4823-A268-F62521ACE269}" srcOrd="0" destOrd="0" presId="urn:microsoft.com/office/officeart/2005/8/layout/hierarchy2"/>
    <dgm:cxn modelId="{BDDEF5D3-20AE-4BF9-B1FA-C203D49633BE}" type="presOf" srcId="{F02F0C5D-BB39-48DA-BC01-F698E3C0290F}" destId="{D0A108BF-6F71-4F2C-8D06-6986851C7BD0}" srcOrd="1" destOrd="0" presId="urn:microsoft.com/office/officeart/2005/8/layout/hierarchy2"/>
    <dgm:cxn modelId="{78FB7E9B-4DD2-4B54-AC5C-D638333E0176}" srcId="{50DF23C3-28F5-4E90-BFFF-3E4978EC89BD}" destId="{E13F56B3-DE54-4C71-B9DD-DFB79263FDC7}" srcOrd="0" destOrd="0" parTransId="{F02F0C5D-BB39-48DA-BC01-F698E3C0290F}" sibTransId="{3072A2C5-4EE9-40C2-951F-3C218C8202CD}"/>
    <dgm:cxn modelId="{1338CE6D-86A0-49BC-8769-91C391AA8728}" type="presOf" srcId="{B528B7F2-4D73-4FF2-AC90-5B9173EF798B}" destId="{88EB1D6B-0940-4B83-84CB-35BBF181E73F}" srcOrd="0" destOrd="0" presId="urn:microsoft.com/office/officeart/2005/8/layout/hierarchy2"/>
    <dgm:cxn modelId="{2D39A4C0-B1E3-4DA6-A6A8-5C4B2C61BD66}" srcId="{B20A1259-34A3-40F8-9A4B-4D4264731B11}" destId="{A3D85A39-805A-4991-9F78-8163C657DF6D}" srcOrd="1" destOrd="0" parTransId="{65158423-34D4-4561-902C-1E7E6188B626}" sibTransId="{911BBA9F-1CFB-43FF-9485-C5C1FA32125D}"/>
    <dgm:cxn modelId="{2EFE18AF-7EE1-42C2-A990-55DA05C50847}" type="presOf" srcId="{F58B9304-94FB-4606-881E-701A077EFAED}" destId="{4109C306-0A71-45F5-9CF0-BC908E5F1EFB}" srcOrd="0" destOrd="0" presId="urn:microsoft.com/office/officeart/2005/8/layout/hierarchy2"/>
    <dgm:cxn modelId="{701E14F4-88E5-4F3B-A59B-21138D3C7E3E}" srcId="{F1A42A52-54F8-4350-97EE-30F7CF9EA3D5}" destId="{50DF23C3-28F5-4E90-BFFF-3E4978EC89BD}" srcOrd="1" destOrd="0" parTransId="{F58B9304-94FB-4606-881E-701A077EFAED}" sibTransId="{2F8CC58F-D44F-4851-B763-FADB19BAFD56}"/>
    <dgm:cxn modelId="{4EABD7E0-66D1-4C3F-9282-FE50154FA5E5}" srcId="{F1A42A52-54F8-4350-97EE-30F7CF9EA3D5}" destId="{B20A1259-34A3-40F8-9A4B-4D4264731B11}" srcOrd="0" destOrd="0" parTransId="{B528B7F2-4D73-4FF2-AC90-5B9173EF798B}" sibTransId="{917644B5-01E5-49D7-B826-5C2A75E595A4}"/>
    <dgm:cxn modelId="{2FB03DB9-689E-437C-9D1E-56F9BCEE2D8E}" type="presOf" srcId="{F58B9304-94FB-4606-881E-701A077EFAED}" destId="{5F6F20F0-8EBA-40D0-A468-F1A930FE4F25}" srcOrd="1" destOrd="0" presId="urn:microsoft.com/office/officeart/2005/8/layout/hierarchy2"/>
    <dgm:cxn modelId="{166340B0-FCB2-47DA-8769-AFF7655DB3DE}" type="presOf" srcId="{EBAEFAB1-CC76-4134-BFCE-E690E4E75513}" destId="{66127E28-D8A5-4832-85F7-AF3E3FD14FC0}" srcOrd="0" destOrd="0" presId="urn:microsoft.com/office/officeart/2005/8/layout/hierarchy2"/>
    <dgm:cxn modelId="{A7371A8A-D76F-458B-8910-657AEBDEC392}" type="presOf" srcId="{B20A1259-34A3-40F8-9A4B-4D4264731B11}" destId="{568E3356-1EA3-4FA6-AE7E-FABB2136B9B5}" srcOrd="0" destOrd="0" presId="urn:microsoft.com/office/officeart/2005/8/layout/hierarchy2"/>
    <dgm:cxn modelId="{5DCEF401-0F72-4708-9175-F42BE4764A15}" type="presOf" srcId="{65158423-34D4-4561-902C-1E7E6188B626}" destId="{73566CC5-DD38-42DC-B522-0B8215AAC66E}" srcOrd="1" destOrd="0" presId="urn:microsoft.com/office/officeart/2005/8/layout/hierarchy2"/>
    <dgm:cxn modelId="{922702A7-E327-4375-BD32-01D7FB3B35D3}" type="presOf" srcId="{F02F0C5D-BB39-48DA-BC01-F698E3C0290F}" destId="{49068822-69E5-4CD2-95DA-6D2FE1F49177}" srcOrd="0" destOrd="0" presId="urn:microsoft.com/office/officeart/2005/8/layout/hierarchy2"/>
    <dgm:cxn modelId="{3F751991-E9BD-46E9-9D20-9B36A3B4E9BB}" srcId="{4D7AA2E4-B861-4119-9254-6A600D57C5E4}" destId="{F1A42A52-54F8-4350-97EE-30F7CF9EA3D5}" srcOrd="0" destOrd="0" parTransId="{E56B8155-3EA7-4F1D-A555-6CD17FC73027}" sibTransId="{02380492-3353-4670-B7B8-376F159F42C4}"/>
    <dgm:cxn modelId="{943441E4-5936-4A92-B6F3-24F946FB746B}" type="presOf" srcId="{F1A42A52-54F8-4350-97EE-30F7CF9EA3D5}" destId="{F645B4F6-6E7D-44FB-8D4F-C99F563630AF}" srcOrd="0" destOrd="0" presId="urn:microsoft.com/office/officeart/2005/8/layout/hierarchy2"/>
    <dgm:cxn modelId="{FB841F60-7E86-449B-AE87-FCAE08924B4A}" type="presOf" srcId="{A3D85A39-805A-4991-9F78-8163C657DF6D}" destId="{04418B58-9CE6-4824-8BC6-A81F3A422E0D}" srcOrd="0" destOrd="0" presId="urn:microsoft.com/office/officeart/2005/8/layout/hierarchy2"/>
    <dgm:cxn modelId="{CAEEA305-ECDA-4658-8D66-8EB3DD453910}" type="presOf" srcId="{EBAEFAB1-CC76-4134-BFCE-E690E4E75513}" destId="{7EB9A0F8-3071-4446-931C-FEFCB203EB8E}" srcOrd="1" destOrd="0" presId="urn:microsoft.com/office/officeart/2005/8/layout/hierarchy2"/>
    <dgm:cxn modelId="{E31261CF-3A38-4920-8D96-3C162550F489}" type="presOf" srcId="{4D7AA2E4-B861-4119-9254-6A600D57C5E4}" destId="{7C48E32E-0F03-4E79-B171-251D410965DE}" srcOrd="0" destOrd="0" presId="urn:microsoft.com/office/officeart/2005/8/layout/hierarchy2"/>
    <dgm:cxn modelId="{93F148D5-A4EC-49ED-B673-AC257168AAAA}" type="presOf" srcId="{4B7E9A21-D23F-4431-AD07-42B0EC200AE6}" destId="{D57A3203-008C-4D46-BFE4-BECD684CCCBD}" srcOrd="0" destOrd="0" presId="urn:microsoft.com/office/officeart/2005/8/layout/hierarchy2"/>
    <dgm:cxn modelId="{71A9589B-EA3D-44AD-BFF1-5E3C1F16A424}" srcId="{B20A1259-34A3-40F8-9A4B-4D4264731B11}" destId="{4B7E9A21-D23F-4431-AD07-42B0EC200AE6}" srcOrd="0" destOrd="0" parTransId="{EBAEFAB1-CC76-4134-BFCE-E690E4E75513}" sibTransId="{90AB04CE-E949-4A1C-B838-05AB382CCB26}"/>
    <dgm:cxn modelId="{61C723DD-3092-4934-B6F0-58BF2DAEC87D}" type="presOf" srcId="{B528B7F2-4D73-4FF2-AC90-5B9173EF798B}" destId="{7EB45878-3C2A-45B4-9725-81DB87DA925F}" srcOrd="1" destOrd="0" presId="urn:microsoft.com/office/officeart/2005/8/layout/hierarchy2"/>
    <dgm:cxn modelId="{BB247255-EE80-4C42-9AED-CCC482DC09E4}" type="presParOf" srcId="{7C48E32E-0F03-4E79-B171-251D410965DE}" destId="{42E8C6F0-0BA0-47C2-8DA9-55B1FB7129E9}" srcOrd="0" destOrd="0" presId="urn:microsoft.com/office/officeart/2005/8/layout/hierarchy2"/>
    <dgm:cxn modelId="{8BE3D4CB-7CD9-44EC-A271-068792E44171}" type="presParOf" srcId="{42E8C6F0-0BA0-47C2-8DA9-55B1FB7129E9}" destId="{F645B4F6-6E7D-44FB-8D4F-C99F563630AF}" srcOrd="0" destOrd="0" presId="urn:microsoft.com/office/officeart/2005/8/layout/hierarchy2"/>
    <dgm:cxn modelId="{A62472C6-1BFB-4AA7-9FE2-1131D2B501FB}" type="presParOf" srcId="{42E8C6F0-0BA0-47C2-8DA9-55B1FB7129E9}" destId="{C2EC38B9-066D-4CB8-9511-114AA8B736F3}" srcOrd="1" destOrd="0" presId="urn:microsoft.com/office/officeart/2005/8/layout/hierarchy2"/>
    <dgm:cxn modelId="{858B5449-2A89-4C49-9CBA-1371E20E385C}" type="presParOf" srcId="{C2EC38B9-066D-4CB8-9511-114AA8B736F3}" destId="{88EB1D6B-0940-4B83-84CB-35BBF181E73F}" srcOrd="0" destOrd="0" presId="urn:microsoft.com/office/officeart/2005/8/layout/hierarchy2"/>
    <dgm:cxn modelId="{EBDFEA52-2AAA-4F07-9C3E-184ED13B0EC5}" type="presParOf" srcId="{88EB1D6B-0940-4B83-84CB-35BBF181E73F}" destId="{7EB45878-3C2A-45B4-9725-81DB87DA925F}" srcOrd="0" destOrd="0" presId="urn:microsoft.com/office/officeart/2005/8/layout/hierarchy2"/>
    <dgm:cxn modelId="{153F7F62-2371-4B63-A9A1-51D4CD8E229C}" type="presParOf" srcId="{C2EC38B9-066D-4CB8-9511-114AA8B736F3}" destId="{3825EC4E-F620-4EDC-A2C0-D6C27DE81F4B}" srcOrd="1" destOrd="0" presId="urn:microsoft.com/office/officeart/2005/8/layout/hierarchy2"/>
    <dgm:cxn modelId="{C030A24B-04A9-4B4A-B7B9-9BAAE237A0DD}" type="presParOf" srcId="{3825EC4E-F620-4EDC-A2C0-D6C27DE81F4B}" destId="{568E3356-1EA3-4FA6-AE7E-FABB2136B9B5}" srcOrd="0" destOrd="0" presId="urn:microsoft.com/office/officeart/2005/8/layout/hierarchy2"/>
    <dgm:cxn modelId="{4585AABE-6EDE-4099-A541-D832E311EEB6}" type="presParOf" srcId="{3825EC4E-F620-4EDC-A2C0-D6C27DE81F4B}" destId="{C9DF0AA7-EB8D-42D8-9D69-FC0A7A61781A}" srcOrd="1" destOrd="0" presId="urn:microsoft.com/office/officeart/2005/8/layout/hierarchy2"/>
    <dgm:cxn modelId="{4274D0E3-22CD-446E-B49A-0ADD065024B2}" type="presParOf" srcId="{C9DF0AA7-EB8D-42D8-9D69-FC0A7A61781A}" destId="{66127E28-D8A5-4832-85F7-AF3E3FD14FC0}" srcOrd="0" destOrd="0" presId="urn:microsoft.com/office/officeart/2005/8/layout/hierarchy2"/>
    <dgm:cxn modelId="{EC252CBB-9928-4E52-A895-2BFFA99A8CE0}" type="presParOf" srcId="{66127E28-D8A5-4832-85F7-AF3E3FD14FC0}" destId="{7EB9A0F8-3071-4446-931C-FEFCB203EB8E}" srcOrd="0" destOrd="0" presId="urn:microsoft.com/office/officeart/2005/8/layout/hierarchy2"/>
    <dgm:cxn modelId="{518D86D1-1B43-4765-A8F5-31531D43F9EB}" type="presParOf" srcId="{C9DF0AA7-EB8D-42D8-9D69-FC0A7A61781A}" destId="{88CAC4F1-94C5-4525-97AA-E2ECFDC4A37B}" srcOrd="1" destOrd="0" presId="urn:microsoft.com/office/officeart/2005/8/layout/hierarchy2"/>
    <dgm:cxn modelId="{5B4D00CC-E83C-44DD-B65B-7796E1C9A9E7}" type="presParOf" srcId="{88CAC4F1-94C5-4525-97AA-E2ECFDC4A37B}" destId="{D57A3203-008C-4D46-BFE4-BECD684CCCBD}" srcOrd="0" destOrd="0" presId="urn:microsoft.com/office/officeart/2005/8/layout/hierarchy2"/>
    <dgm:cxn modelId="{45931834-BA30-43F5-9969-D14FB7D5E3F4}" type="presParOf" srcId="{88CAC4F1-94C5-4525-97AA-E2ECFDC4A37B}" destId="{D9A8D569-A15A-476B-91AF-2B9ACF186ADE}" srcOrd="1" destOrd="0" presId="urn:microsoft.com/office/officeart/2005/8/layout/hierarchy2"/>
    <dgm:cxn modelId="{96A60233-7079-481D-A6F4-2C3738FB8BE0}" type="presParOf" srcId="{C9DF0AA7-EB8D-42D8-9D69-FC0A7A61781A}" destId="{6FE23774-56AC-43B1-A267-305FA3F4AD1F}" srcOrd="2" destOrd="0" presId="urn:microsoft.com/office/officeart/2005/8/layout/hierarchy2"/>
    <dgm:cxn modelId="{6F53E533-39DB-497E-9306-F306108E054F}" type="presParOf" srcId="{6FE23774-56AC-43B1-A267-305FA3F4AD1F}" destId="{73566CC5-DD38-42DC-B522-0B8215AAC66E}" srcOrd="0" destOrd="0" presId="urn:microsoft.com/office/officeart/2005/8/layout/hierarchy2"/>
    <dgm:cxn modelId="{3C78D56F-A30B-4A5E-8E24-14FABAC6D09E}" type="presParOf" srcId="{C9DF0AA7-EB8D-42D8-9D69-FC0A7A61781A}" destId="{F9B95E8A-8826-43EE-BBA5-FC80B5A58FD6}" srcOrd="3" destOrd="0" presId="urn:microsoft.com/office/officeart/2005/8/layout/hierarchy2"/>
    <dgm:cxn modelId="{01191E02-A458-4713-81C8-DFA14A1AE8F1}" type="presParOf" srcId="{F9B95E8A-8826-43EE-BBA5-FC80B5A58FD6}" destId="{04418B58-9CE6-4824-8BC6-A81F3A422E0D}" srcOrd="0" destOrd="0" presId="urn:microsoft.com/office/officeart/2005/8/layout/hierarchy2"/>
    <dgm:cxn modelId="{728D99F1-67A5-44B7-8CD8-3B32E2D601A3}" type="presParOf" srcId="{F9B95E8A-8826-43EE-BBA5-FC80B5A58FD6}" destId="{AA44B2AD-224D-4B7C-8644-424EB7AE0FBE}" srcOrd="1" destOrd="0" presId="urn:microsoft.com/office/officeart/2005/8/layout/hierarchy2"/>
    <dgm:cxn modelId="{12734FB8-7053-46E3-BAB8-EC982A5FBEB4}" type="presParOf" srcId="{C2EC38B9-066D-4CB8-9511-114AA8B736F3}" destId="{4109C306-0A71-45F5-9CF0-BC908E5F1EFB}" srcOrd="2" destOrd="0" presId="urn:microsoft.com/office/officeart/2005/8/layout/hierarchy2"/>
    <dgm:cxn modelId="{81402FD8-6D75-42DA-92B5-04020C5C3600}" type="presParOf" srcId="{4109C306-0A71-45F5-9CF0-BC908E5F1EFB}" destId="{5F6F20F0-8EBA-40D0-A468-F1A930FE4F25}" srcOrd="0" destOrd="0" presId="urn:microsoft.com/office/officeart/2005/8/layout/hierarchy2"/>
    <dgm:cxn modelId="{5EA22487-4570-43E0-9F21-BB9603D2CCF0}" type="presParOf" srcId="{C2EC38B9-066D-4CB8-9511-114AA8B736F3}" destId="{51272214-8E1E-4F87-9542-DFEC5CE11B13}" srcOrd="3" destOrd="0" presId="urn:microsoft.com/office/officeart/2005/8/layout/hierarchy2"/>
    <dgm:cxn modelId="{E342BFA4-2533-4121-96D4-83AC0A31A33A}" type="presParOf" srcId="{51272214-8E1E-4F87-9542-DFEC5CE11B13}" destId="{AD919EED-2D62-4577-BBD0-C7B8448B3AE2}" srcOrd="0" destOrd="0" presId="urn:microsoft.com/office/officeart/2005/8/layout/hierarchy2"/>
    <dgm:cxn modelId="{D13CC3A9-3168-4D72-B935-3497C170BEA5}" type="presParOf" srcId="{51272214-8E1E-4F87-9542-DFEC5CE11B13}" destId="{C227B8DA-C0B4-4338-9C95-743D71DC4D23}" srcOrd="1" destOrd="0" presId="urn:microsoft.com/office/officeart/2005/8/layout/hierarchy2"/>
    <dgm:cxn modelId="{2334A880-423B-4AA3-8C3D-D96765E24991}" type="presParOf" srcId="{C227B8DA-C0B4-4338-9C95-743D71DC4D23}" destId="{49068822-69E5-4CD2-95DA-6D2FE1F49177}" srcOrd="0" destOrd="0" presId="urn:microsoft.com/office/officeart/2005/8/layout/hierarchy2"/>
    <dgm:cxn modelId="{89AB1163-3CDA-41CC-BA74-FDB1946A23E9}" type="presParOf" srcId="{49068822-69E5-4CD2-95DA-6D2FE1F49177}" destId="{D0A108BF-6F71-4F2C-8D06-6986851C7BD0}" srcOrd="0" destOrd="0" presId="urn:microsoft.com/office/officeart/2005/8/layout/hierarchy2"/>
    <dgm:cxn modelId="{CA92BC71-42C6-40C4-A9EF-66B51F6B7C92}" type="presParOf" srcId="{C227B8DA-C0B4-4338-9C95-743D71DC4D23}" destId="{C38CD895-479F-4874-A9E2-7E2CA5A54683}" srcOrd="1" destOrd="0" presId="urn:microsoft.com/office/officeart/2005/8/layout/hierarchy2"/>
    <dgm:cxn modelId="{749357E4-66E8-45B8-B0E3-388F834352AD}" type="presParOf" srcId="{C38CD895-479F-4874-A9E2-7E2CA5A54683}" destId="{C6198300-13C7-4823-A268-F62521ACE269}" srcOrd="0" destOrd="0" presId="urn:microsoft.com/office/officeart/2005/8/layout/hierarchy2"/>
    <dgm:cxn modelId="{20CFA111-7206-411C-8B4B-C03175BA7324}" type="presParOf" srcId="{C38CD895-479F-4874-A9E2-7E2CA5A54683}" destId="{D2C8261E-C0AF-44E9-ADE8-A0350FDCC35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5B4F6-6E7D-44FB-8D4F-C99F563630AF}">
      <dsp:nvSpPr>
        <dsp:cNvPr id="0" name=""/>
        <dsp:cNvSpPr/>
      </dsp:nvSpPr>
      <dsp:spPr>
        <a:xfrm>
          <a:off x="143408" y="753661"/>
          <a:ext cx="1378334" cy="6891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Short inspections (52)</a:t>
          </a:r>
          <a:endParaRPr lang="en-GB" sz="1100" kern="1200" dirty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63593" y="773846"/>
        <a:ext cx="1337964" cy="648797"/>
      </dsp:txXfrm>
    </dsp:sp>
    <dsp:sp modelId="{88EB1D6B-0940-4B83-84CB-35BBF181E73F}">
      <dsp:nvSpPr>
        <dsp:cNvPr id="0" name=""/>
        <dsp:cNvSpPr/>
      </dsp:nvSpPr>
      <dsp:spPr>
        <a:xfrm rot="2387657">
          <a:off x="1433504" y="1314791"/>
          <a:ext cx="76181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61813" y="27246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795366" y="1322992"/>
        <a:ext cx="38090" cy="38090"/>
      </dsp:txXfrm>
    </dsp:sp>
    <dsp:sp modelId="{568E3356-1EA3-4FA6-AE7E-FABB2136B9B5}">
      <dsp:nvSpPr>
        <dsp:cNvPr id="0" name=""/>
        <dsp:cNvSpPr/>
      </dsp:nvSpPr>
      <dsp:spPr>
        <a:xfrm>
          <a:off x="2107080" y="1241247"/>
          <a:ext cx="1378334" cy="6891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Converted (5)</a:t>
          </a:r>
          <a:endParaRPr lang="en-GB" sz="1100" kern="1200" dirty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127265" y="1261432"/>
        <a:ext cx="1337964" cy="648797"/>
      </dsp:txXfrm>
    </dsp:sp>
    <dsp:sp modelId="{66127E28-D8A5-4832-85F7-AF3E3FD14FC0}">
      <dsp:nvSpPr>
        <dsp:cNvPr id="0" name=""/>
        <dsp:cNvSpPr/>
      </dsp:nvSpPr>
      <dsp:spPr>
        <a:xfrm rot="1419573">
          <a:off x="3450963" y="1723068"/>
          <a:ext cx="81975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819750" y="2724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840344" y="1729820"/>
        <a:ext cx="40987" cy="40987"/>
      </dsp:txXfrm>
    </dsp:sp>
    <dsp:sp modelId="{D57A3203-008C-4D46-BFE4-BECD684CCCBD}">
      <dsp:nvSpPr>
        <dsp:cNvPr id="0" name=""/>
        <dsp:cNvSpPr/>
      </dsp:nvSpPr>
      <dsp:spPr>
        <a:xfrm>
          <a:off x="4236262" y="1570214"/>
          <a:ext cx="1378334" cy="689167"/>
        </a:xfrm>
        <a:prstGeom prst="roundRect">
          <a:avLst>
            <a:gd name="adj" fmla="val 10000"/>
          </a:avLst>
        </a:prstGeom>
        <a:solidFill>
          <a:srgbClr val="E7752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Declined to requires improvement (2)</a:t>
          </a:r>
          <a:endParaRPr lang="en-GB" sz="1100" kern="1200" dirty="0">
            <a:solidFill>
              <a:schemeClr val="bg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256447" y="1590399"/>
        <a:ext cx="1337964" cy="648797"/>
      </dsp:txXfrm>
    </dsp:sp>
    <dsp:sp modelId="{6FE23774-56AC-43B1-A267-305FA3F4AD1F}">
      <dsp:nvSpPr>
        <dsp:cNvPr id="0" name=""/>
        <dsp:cNvSpPr/>
      </dsp:nvSpPr>
      <dsp:spPr>
        <a:xfrm rot="19009732">
          <a:off x="3343210" y="1199153"/>
          <a:ext cx="105069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0693" y="2724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842289" y="1200131"/>
        <a:ext cx="52534" cy="52534"/>
      </dsp:txXfrm>
    </dsp:sp>
    <dsp:sp modelId="{04418B58-9CE6-4824-8BC6-A81F3A422E0D}">
      <dsp:nvSpPr>
        <dsp:cNvPr id="0" name=""/>
        <dsp:cNvSpPr/>
      </dsp:nvSpPr>
      <dsp:spPr>
        <a:xfrm>
          <a:off x="4251699" y="522383"/>
          <a:ext cx="1378334" cy="689167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dirty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271884" y="542568"/>
        <a:ext cx="1337964" cy="648797"/>
      </dsp:txXfrm>
    </dsp:sp>
    <dsp:sp modelId="{4109C306-0A71-45F5-9CF0-BC908E5F1EFB}">
      <dsp:nvSpPr>
        <dsp:cNvPr id="0" name=""/>
        <dsp:cNvSpPr/>
      </dsp:nvSpPr>
      <dsp:spPr>
        <a:xfrm rot="19174690">
          <a:off x="1424980" y="808160"/>
          <a:ext cx="81071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810715" y="27246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810070" y="815139"/>
        <a:ext cx="40535" cy="40535"/>
      </dsp:txXfrm>
    </dsp:sp>
    <dsp:sp modelId="{AD919EED-2D62-4577-BBD0-C7B8448B3AE2}">
      <dsp:nvSpPr>
        <dsp:cNvPr id="0" name=""/>
        <dsp:cNvSpPr/>
      </dsp:nvSpPr>
      <dsp:spPr>
        <a:xfrm>
          <a:off x="2138933" y="227985"/>
          <a:ext cx="1378334" cy="6891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Did not convert (47)</a:t>
          </a:r>
          <a:endParaRPr lang="en-GB" sz="1100" kern="1200" dirty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159118" y="248170"/>
        <a:ext cx="1337964" cy="648797"/>
      </dsp:txXfrm>
    </dsp:sp>
    <dsp:sp modelId="{49068822-69E5-4CD2-95DA-6D2FE1F49177}">
      <dsp:nvSpPr>
        <dsp:cNvPr id="0" name=""/>
        <dsp:cNvSpPr/>
      </dsp:nvSpPr>
      <dsp:spPr>
        <a:xfrm rot="1306175">
          <a:off x="3490405" y="685020"/>
          <a:ext cx="75334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53341" y="2724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848242" y="693433"/>
        <a:ext cx="37667" cy="37667"/>
      </dsp:txXfrm>
    </dsp:sp>
    <dsp:sp modelId="{C6198300-13C7-4823-A268-F62521ACE269}">
      <dsp:nvSpPr>
        <dsp:cNvPr id="0" name=""/>
        <dsp:cNvSpPr/>
      </dsp:nvSpPr>
      <dsp:spPr>
        <a:xfrm>
          <a:off x="4216883" y="507380"/>
          <a:ext cx="1378334" cy="689167"/>
        </a:xfrm>
        <a:prstGeom prst="roundRect">
          <a:avLst>
            <a:gd name="adj" fmla="val 10000"/>
          </a:avLst>
        </a:prstGeom>
        <a:solidFill>
          <a:srgbClr val="2093B8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Remained good (50)</a:t>
          </a:r>
          <a:endParaRPr lang="en-GB" sz="1100" kern="1200" dirty="0">
            <a:solidFill>
              <a:schemeClr val="bg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237068" y="527565"/>
        <a:ext cx="1337964" cy="648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sted Base Document" ma:contentTypeID="0x0101002831F5335B3B439B96E1EFE232D05D0E0041EDC1C27377DD448C241B2C9FE7A36A" ma:contentTypeVersion="" ma:contentTypeDescription="Select the most appropriate document type from the list, if none are relevant, use 'Ofsted Base Document' or ask your Site Administrator to add other options." ma:contentTypeScope="" ma:versionID="a4e75a8bc5aa97e3ea5fc458e84cd3fd">
  <xsd:schema xmlns:xsd="http://www.w3.org/2001/XMLSchema" xmlns:p="http://schemas.microsoft.com/office/2006/metadata/properties" xmlns:ns1="http://schemas.microsoft.com/sharepoint/v3" xmlns:ns2="8e5d50da-1286-43a8-878e-ce8f4fbfdde4" xmlns:ns3="http://schemas.microsoft.com/sharepoint/v3/fields" xmlns:ns4="19dcc6b0-78a0-489b-9582-c8937fc8bb05" targetNamespace="http://schemas.microsoft.com/office/2006/metadata/properties" ma:root="true" ma:fieldsID="92865ef4c789408aa860ebcbad787b46" ns1:_="" ns2:_="" ns3:_="" ns4:_="">
    <xsd:import namespace="http://schemas.microsoft.com/sharepoint/v3"/>
    <xsd:import namespace="8e5d50da-1286-43a8-878e-ce8f4fbfdde4"/>
    <xsd:import namespace="http://schemas.microsoft.com/sharepoint/v3/fields"/>
    <xsd:import namespace="19dcc6b0-78a0-489b-9582-c8937fc8bb05"/>
    <xsd:element name="properties">
      <xsd:complexType>
        <xsd:sequence>
          <xsd:element name="documentManagement">
            <xsd:complexType>
              <xsd:all>
                <xsd:element ref="ns2:DatePublished"/>
                <xsd:element ref="ns2:RetentionPolicy"/>
                <xsd:element ref="ns2:RightsManagementText"/>
                <xsd:element ref="ns1:BCS_List"/>
                <xsd:element ref="ns1:Language"/>
                <xsd:element ref="ns3:_DCDateCreated" minOccurs="0"/>
                <xsd:element ref="ns3:_DCDateModified" minOccurs="0"/>
                <xsd:element ref="ns1:Author" minOccurs="0"/>
                <xsd:element ref="ns1:Editor" minOccurs="0"/>
                <xsd:element ref="ns4:Statistical_x0020_content"/>
                <xsd:element ref="ns4:Quarter"/>
                <xsd:element ref="ns4:Document_x0020_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BCS_List" ma:index="11" ma:displayName="Business Classification" ma:default="" ma:description="A broad category for documents - for more information about what falls within each type, see http://teams/sites/help/lists/documents/BCS-Example-documents.xls" ma:internalName="BCS_List">
      <xsd:simpleType>
        <xsd:restriction base="dms:Choice">
          <xsd:enumeration value="Register Providers: Process Applications"/>
          <xsd:enumeration value="Register Providers: Complete Checks"/>
          <xsd:enumeration value="Inspect and Regulate Providers: Develop Framework, Policy and Guidance"/>
          <xsd:enumeration value="Inspect and Regulate Providers: Selection"/>
          <xsd:enumeration value="Inspect and Regulate Providers: Pre-Inspection"/>
          <xsd:enumeration value="Inspect and Regulate Providers: Inspection"/>
          <xsd:enumeration value="Inspect and Regulate Providers: Regulation"/>
          <xsd:enumeration value="Inspect and Regulate Providers: Post Inspection"/>
          <xsd:enumeration value="Inspect and Regulate Providers: Quality Assurance Procedures"/>
          <xsd:enumeration value="Manage Requests, Enquiries and Complaints"/>
          <xsd:enumeration value="Advise on Policy"/>
          <xsd:enumeration value="Gather and Disseminate Knowledge: Inspection and Regulation"/>
          <xsd:enumeration value="Gather and Disseminate Knowledge: Surveys"/>
          <xsd:enumeration value="Gather and Disseminate Knowledge: HMCI Annual Report"/>
          <xsd:enumeration value="Manage the Business: Manage Finance and Procurement"/>
          <xsd:enumeration value="Manage the Business: Manage IS"/>
          <xsd:enumeration value="Manage the Business: Manage HR"/>
          <xsd:enumeration value="Manage the Business: Manage Staff"/>
          <xsd:enumeration value="Manage the Business: Manage and Review Work"/>
          <xsd:enumeration value="Manage the Business: Deliver Projects and Programmes"/>
          <xsd:enumeration value="Manage the Business: Government Statistical Service"/>
        </xsd:restriction>
      </xsd:simpleType>
    </xsd:element>
    <xsd:element name="Language" ma:index="12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Author" ma:index="15" nillable="true" ma:displayName="Creat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e5d50da-1286-43a8-878e-ce8f4fbfdde4" elementFormDefault="qualified">
    <xsd:import namespace="http://schemas.microsoft.com/office/2006/documentManagement/types"/>
    <xsd:element name="DatePublished" ma:index="8" ma:displayName="Date Published" ma:description="This is the most relevant date to the document, can be the date of a meeting for an Agenda" ma:internalName="DatePublished">
      <xsd:simpleType>
        <xsd:restriction base="dms:DateTime"/>
      </xsd:simpleType>
    </xsd:element>
    <xsd:element name="RetentionPolicy" ma:index="9" ma:displayName="Retention Policy" ma:default="3" ma:description="The retention period in years - does not automatically delete" ma:format="Dropdown" ma:internalName="RetentionPolicy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RightsManagementText" ma:index="10" ma:displayName="Rights" ma:default="NOT PROTECTIVELY MARKED" ma:description="Information about rights held in or over this resource" ma:format="Dropdown" ma:internalName="RightsManagementText">
      <xsd:simpleType>
        <xsd:restriction base="dms:Choice">
          <xsd:enumeration value="NOT PROTECTIVELY MARKED"/>
          <xsd:enumeration value="PROTECT"/>
          <xsd:enumeration value="RESTRICTED"/>
          <xsd:enumeration value="PROTECT - APPOINTMENTS"/>
          <xsd:enumeration value="PROTECT - COMMERCIAL"/>
          <xsd:enumeration value="PROTECT - CONTRACTS"/>
          <xsd:enumeration value="PROTECT - DEPARTMENTAL"/>
          <xsd:enumeration value="PROTECT - HONOURS"/>
          <xsd:enumeration value="PROTECT - INSPECTION"/>
          <xsd:enumeration value="PROTECT - INVESTIGATION"/>
          <xsd:enumeration value="PROTECT - LOCSEN"/>
          <xsd:enumeration value="PROTECT - MANAGEMENT"/>
          <xsd:enumeration value="PROTECT - MEDICAL"/>
          <xsd:enumeration value="PROTECT - PERSONAL"/>
          <xsd:enumeration value="PROTECT - PRIVATE"/>
          <xsd:enumeration value="PROTECT - REGULATORY"/>
          <xsd:enumeration value="PROTECT - STAFF"/>
          <xsd:enumeration value="RESTRICTED - COMMERCIAL"/>
          <xsd:enumeration value="RESTRICTED - CONTRACTS"/>
          <xsd:enumeration value="RESTRICTED - INVESTIGATION"/>
          <xsd:enumeration value="RESTRICTED - PRIVATE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9dcc6b0-78a0-489b-9582-c8937fc8bb05" elementFormDefault="qualified">
    <xsd:import namespace="http://schemas.microsoft.com/office/2006/documentManagement/types"/>
    <xsd:element name="Statistical_x0020_content" ma:index="17" ma:displayName="Statistical content" ma:format="Dropdown" ma:internalName="Statistical_x0020_content">
      <xsd:simpleType>
        <xsd:restriction base="dms:Choice">
          <xsd:enumeration value="Children's centres"/>
          <xsd:enumeration value="EY inspection outcomes"/>
          <xsd:enumeration value="EY provider and places"/>
          <xsd:enumeration value="Supplementary statistics"/>
          <xsd:enumeration value="N/A"/>
        </xsd:restriction>
      </xsd:simpleType>
    </xsd:element>
    <xsd:element name="Quarter" ma:index="18" ma:displayName="Quarter" ma:internalName="Quarter">
      <xsd:simpleType>
        <xsd:restriction base="dms:Text">
          <xsd:maxLength value="255"/>
        </xsd:restriction>
      </xsd:simpleType>
    </xsd:element>
    <xsd:element name="Document_x0020_type" ma:index="19" ma:displayName="Document type" ma:format="Dropdown" ma:internalName="Document_x0020_type">
      <xsd:simpleType>
        <xsd:restriction base="dms:Choice">
          <xsd:enumeration value="Admin documents"/>
          <xsd:enumeration value="Briefing paper"/>
          <xsd:enumeration value="CDR report"/>
          <xsd:enumeration value="Desk instructions"/>
          <xsd:enumeration value="Mangement information"/>
          <xsd:enumeration value="Other data"/>
          <xsd:enumeration value="Press Q&amp;A"/>
          <xsd:enumeration value="Pre-release data"/>
          <xsd:enumeration value="QA proforma"/>
          <xsd:enumeration value="Published data"/>
          <xsd:enumeration value="Sign-off briefing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_x0020_type xmlns="19dcc6b0-78a0-489b-9582-c8937fc8bb05">Pre-release data</Document_x0020_type>
    <_DCDateModified xmlns="http://schemas.microsoft.com/sharepoint/v3/fields" xsi:nil="true"/>
    <Statistical_x0020_content xmlns="19dcc6b0-78a0-489b-9582-c8937fc8bb05">Children's centres</Statistical_x0020_content>
    <BCS_List xmlns="http://schemas.microsoft.com/sharepoint/v3"/>
    <RetentionPolicy xmlns="8e5d50da-1286-43a8-878e-ce8f4fbfdde4">3</RetentionPolicy>
    <DatePublished xmlns="8e5d50da-1286-43a8-878e-ce8f4fbfdde4">2012-06-01T17:00:00+00:00</DatePublished>
    <Quarter xmlns="19dcc6b0-78a0-489b-9582-c8937fc8bb05">31 March 2012</Quarter>
    <RightsManagementText xmlns="8e5d50da-1286-43a8-878e-ce8f4fbfdde4">NOT PROTECTIVELY MARKED</RightsManagementText>
    <_DCDateCreated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257B-9BFE-4DE9-8564-BC6E3EDA0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D6E5F-F098-4143-8D80-1590E9B201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D19CAF-04D3-46F9-B449-6DB0F1BA7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d50da-1286-43a8-878e-ce8f4fbfdde4"/>
    <ds:schemaRef ds:uri="http://schemas.microsoft.com/sharepoint/v3/fields"/>
    <ds:schemaRef ds:uri="19dcc6b0-78a0-489b-9582-c8937fc8bb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5D8077-FC31-4758-A56A-AE665861F541}">
  <ds:schemaRefs>
    <ds:schemaRef ds:uri="http://purl.org/dc/elements/1.1/"/>
    <ds:schemaRef ds:uri="http://schemas.microsoft.com/office/2006/metadata/properties"/>
    <ds:schemaRef ds:uri="8e5d50da-1286-43a8-878e-ce8f4fbfdde4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http://schemas.openxmlformats.org/package/2006/metadata/core-properties"/>
    <ds:schemaRef ds:uri="19dcc6b0-78a0-489b-9582-c8937fc8bb05"/>
    <ds:schemaRef ds:uri="http://schemas.microsoft.com/sharepoint/v3/field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58F3EA-4ADB-453E-82EF-A4748905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1844</Words>
  <Characters>11179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centres statistical note (Mar 2012)</vt:lpstr>
    </vt:vector>
  </TitlesOfParts>
  <Company>Ofsted</Company>
  <LinksUpToDate>false</LinksUpToDate>
  <CharactersWithSpaces>12998</CharactersWithSpaces>
  <SharedDoc>false</SharedDoc>
  <HLinks>
    <vt:vector size="60" baseType="variant">
      <vt:variant>
        <vt:i4>3670022</vt:i4>
      </vt:variant>
      <vt:variant>
        <vt:i4>48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6553714</vt:i4>
      </vt:variant>
      <vt:variant>
        <vt:i4>45</vt:i4>
      </vt:variant>
      <vt:variant>
        <vt:i4>0</vt:i4>
      </vt:variant>
      <vt:variant>
        <vt:i4>5</vt:i4>
      </vt:variant>
      <vt:variant>
        <vt:lpwstr>http://www.nationalarchives.gov.uk/doc/open-government-licence/</vt:lpwstr>
      </vt:variant>
      <vt:variant>
        <vt:lpwstr/>
      </vt:variant>
      <vt:variant>
        <vt:i4>4915204</vt:i4>
      </vt:variant>
      <vt:variant>
        <vt:i4>42</vt:i4>
      </vt:variant>
      <vt:variant>
        <vt:i4>0</vt:i4>
      </vt:variant>
      <vt:variant>
        <vt:i4>5</vt:i4>
      </vt:variant>
      <vt:variant>
        <vt:lpwstr>http://webarchive.nationalarchives.gov.uk/20141124154759/http:/www.ofsted.gov.uk/resources/statistics</vt:lpwstr>
      </vt:variant>
      <vt:variant>
        <vt:lpwstr/>
      </vt:variant>
      <vt:variant>
        <vt:i4>7012401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https://www.gov.uk/government/collections/further-education-and-skills-inspection-outcomes</vt:lpwstr>
      </vt:variant>
      <vt:variant>
        <vt:lpwstr/>
      </vt:variant>
      <vt:variant>
        <vt:i4>6226000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https://www.gov.uk/government/publications/common-inspection-framework-for-further-education-and-skills-2012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https://www.gov.uk/government/publications/common-inspection-framework-for-further-education-and-skills-2012</vt:lpwstr>
      </vt:variant>
      <vt:variant>
        <vt:lpwstr/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_Toc417301788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_Toc417301787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_Toc417301786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_Toc417301785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centres statistical note (Mar 2012)</dc:title>
  <dc:creator>Alison Edwards (London)</dc:creator>
  <cp:lastModifiedBy>Ojeda Gomez</cp:lastModifiedBy>
  <cp:revision>13</cp:revision>
  <cp:lastPrinted>2016-06-30T10:46:00Z</cp:lastPrinted>
  <dcterms:created xsi:type="dcterms:W3CDTF">2016-06-20T14:30:00Z</dcterms:created>
  <dcterms:modified xsi:type="dcterms:W3CDTF">2016-06-30T10:46:00Z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stedESD">
    <vt:lpwstr/>
  </property>
  <property fmtid="{D5CDD505-2E9C-101B-9397-08002B2CF9AE}" pid="3" name="ContentType">
    <vt:lpwstr>Ofsted Base 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opapps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_DocHome">
    <vt:i4>92683243</vt:i4>
  </property>
</Properties>
</file>