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8B3" w:rsidRDefault="00CD48B3" w:rsidP="00CD48B3">
      <w:pPr>
        <w:spacing w:after="0" w:line="240" w:lineRule="auto"/>
        <w:jc w:val="center"/>
        <w:rPr>
          <w:rFonts w:ascii="Arial" w:hAnsi="Arial" w:cs="Arial"/>
          <w:b/>
          <w:sz w:val="26"/>
          <w:szCs w:val="24"/>
          <w:u w:val="single"/>
        </w:rPr>
      </w:pPr>
    </w:p>
    <w:p w:rsidR="00CD48B3" w:rsidRPr="00762FCD" w:rsidRDefault="000C5529" w:rsidP="00CD48B3">
      <w:pPr>
        <w:spacing w:after="0" w:line="240" w:lineRule="auto"/>
        <w:jc w:val="center"/>
        <w:rPr>
          <w:rFonts w:ascii="Arial" w:hAnsi="Arial" w:cs="Arial"/>
          <w:b/>
          <w:sz w:val="26"/>
          <w:szCs w:val="24"/>
          <w:u w:val="single"/>
        </w:rPr>
      </w:pPr>
      <w:r>
        <w:rPr>
          <w:rFonts w:ascii="Arial" w:hAnsi="Arial" w:cs="Arial"/>
          <w:b/>
          <w:sz w:val="26"/>
          <w:szCs w:val="24"/>
          <w:u w:val="single"/>
        </w:rPr>
        <w:t>Research Analysts paper</w:t>
      </w:r>
    </w:p>
    <w:p w:rsidR="00CD48B3" w:rsidRDefault="00CD48B3" w:rsidP="00CD48B3">
      <w:pPr>
        <w:spacing w:after="0" w:line="240" w:lineRule="auto"/>
        <w:jc w:val="center"/>
        <w:rPr>
          <w:rFonts w:ascii="Arial" w:hAnsi="Arial" w:cs="Arial"/>
          <w:b/>
          <w:sz w:val="26"/>
          <w:szCs w:val="24"/>
        </w:rPr>
      </w:pPr>
    </w:p>
    <w:p w:rsidR="00CD48B3" w:rsidRPr="00770CDE" w:rsidRDefault="000C5529" w:rsidP="00CD48B3">
      <w:pPr>
        <w:spacing w:after="0" w:line="240" w:lineRule="auto"/>
        <w:rPr>
          <w:rFonts w:ascii="Arial" w:hAnsi="Arial" w:cs="Arial"/>
          <w:b/>
          <w:sz w:val="28"/>
          <w:szCs w:val="28"/>
        </w:rPr>
      </w:pPr>
      <w:r>
        <w:rPr>
          <w:rFonts w:ascii="Arial" w:hAnsi="Arial" w:cs="Arial"/>
          <w:b/>
          <w:sz w:val="28"/>
          <w:szCs w:val="28"/>
        </w:rPr>
        <w:t xml:space="preserve">Legal </w:t>
      </w:r>
      <w:r w:rsidR="001B24D7">
        <w:rPr>
          <w:rFonts w:ascii="Arial" w:hAnsi="Arial" w:cs="Arial"/>
          <w:b/>
          <w:sz w:val="28"/>
          <w:szCs w:val="28"/>
        </w:rPr>
        <w:t>dimensions</w:t>
      </w:r>
      <w:r>
        <w:rPr>
          <w:rFonts w:ascii="Arial" w:hAnsi="Arial" w:cs="Arial"/>
          <w:b/>
          <w:sz w:val="28"/>
          <w:szCs w:val="28"/>
        </w:rPr>
        <w:t xml:space="preserve"> of peace agreements in internal conflicts</w:t>
      </w:r>
    </w:p>
    <w:p w:rsidR="00CD48B3" w:rsidRPr="00762FCD" w:rsidRDefault="00CD48B3" w:rsidP="00CD48B3">
      <w:pPr>
        <w:spacing w:after="0" w:line="240" w:lineRule="auto"/>
        <w:rPr>
          <w:rFonts w:ascii="Arial" w:hAnsi="Arial" w:cs="Arial"/>
        </w:rPr>
      </w:pPr>
    </w:p>
    <w:p w:rsidR="00CD48B3" w:rsidRPr="00762FCD" w:rsidRDefault="00CD48B3" w:rsidP="00CD48B3">
      <w:pPr>
        <w:tabs>
          <w:tab w:val="left" w:pos="709"/>
        </w:tabs>
        <w:spacing w:after="120" w:line="240" w:lineRule="auto"/>
        <w:rPr>
          <w:rFonts w:ascii="Arial" w:hAnsi="Arial" w:cs="Arial"/>
          <w:b/>
        </w:rPr>
      </w:pPr>
      <w:r w:rsidRPr="00762FCD">
        <w:rPr>
          <w:rFonts w:ascii="Arial" w:hAnsi="Arial" w:cs="Arial"/>
          <w:b/>
        </w:rPr>
        <w:t>KEY POINTS</w:t>
      </w:r>
      <w:r>
        <w:rPr>
          <w:rFonts w:ascii="Arial" w:hAnsi="Arial" w:cs="Arial"/>
          <w:b/>
        </w:rPr>
        <w:t xml:space="preserve"> </w:t>
      </w:r>
    </w:p>
    <w:p w:rsidR="00CD48B3" w:rsidRPr="00762FCD" w:rsidRDefault="00177046" w:rsidP="00DF3D8F">
      <w:pPr>
        <w:pStyle w:val="RAbulletedlist"/>
        <w:tabs>
          <w:tab w:val="left" w:pos="709"/>
        </w:tabs>
        <w:spacing w:before="120"/>
        <w:ind w:left="709" w:hanging="709"/>
        <w:rPr>
          <w:sz w:val="22"/>
        </w:rPr>
      </w:pPr>
      <w:r>
        <w:rPr>
          <w:sz w:val="22"/>
        </w:rPr>
        <w:t xml:space="preserve">The legal status of peace agreements </w:t>
      </w:r>
      <w:r w:rsidR="00DF3D8F">
        <w:rPr>
          <w:sz w:val="22"/>
        </w:rPr>
        <w:t>can be</w:t>
      </w:r>
      <w:r>
        <w:rPr>
          <w:sz w:val="22"/>
        </w:rPr>
        <w:t xml:space="preserve"> important, because suggestions that such agreements are not in fact binding can reduce parties’ confidence that the agreement will be implemented.  Which, in turn, can undermine the prospects of reaching agreement.</w:t>
      </w:r>
    </w:p>
    <w:p w:rsidR="00CD48B3" w:rsidRDefault="00592F5A" w:rsidP="00DF3D8F">
      <w:pPr>
        <w:pStyle w:val="RAbulletedlist"/>
        <w:tabs>
          <w:tab w:val="left" w:pos="709"/>
        </w:tabs>
        <w:spacing w:before="120"/>
        <w:ind w:left="709" w:hanging="709"/>
        <w:rPr>
          <w:sz w:val="22"/>
        </w:rPr>
      </w:pPr>
      <w:r>
        <w:rPr>
          <w:sz w:val="22"/>
        </w:rPr>
        <w:t>But the legal status of peace agre</w:t>
      </w:r>
      <w:r w:rsidR="00DF3D8F">
        <w:rPr>
          <w:sz w:val="22"/>
        </w:rPr>
        <w:t>ements in</w:t>
      </w:r>
      <w:bookmarkStart w:id="0" w:name="_GoBack"/>
      <w:bookmarkEnd w:id="0"/>
      <w:r w:rsidR="00DF3D8F">
        <w:rPr>
          <w:sz w:val="22"/>
        </w:rPr>
        <w:t xml:space="preserve"> internal conflicts can be </w:t>
      </w:r>
      <w:r>
        <w:rPr>
          <w:sz w:val="22"/>
        </w:rPr>
        <w:t>problematic.  If the agreement is binding only under domestic law, non-state groups often fear the Government will use its law-making powers to renege on its commitments</w:t>
      </w:r>
      <w:r w:rsidR="00DF3D8F">
        <w:rPr>
          <w:sz w:val="22"/>
        </w:rPr>
        <w:t>, or that an unfair judiciary will not interpret its terms fairly or as intended</w:t>
      </w:r>
      <w:r>
        <w:rPr>
          <w:sz w:val="22"/>
        </w:rPr>
        <w:t>.  While non-state groups’ uncertain ability to conclude international agreements narrows the scope for casting such agreements as treaties.</w:t>
      </w:r>
    </w:p>
    <w:p w:rsidR="00592F5A" w:rsidRPr="00762FCD" w:rsidRDefault="00592F5A" w:rsidP="00DF3D8F">
      <w:pPr>
        <w:pStyle w:val="RAbulletedlist"/>
        <w:tabs>
          <w:tab w:val="left" w:pos="709"/>
        </w:tabs>
        <w:spacing w:before="120"/>
        <w:ind w:left="709" w:hanging="709"/>
        <w:rPr>
          <w:sz w:val="22"/>
        </w:rPr>
      </w:pPr>
      <w:r>
        <w:rPr>
          <w:sz w:val="22"/>
        </w:rPr>
        <w:t>Parties to peace negotiations have nevertheless used a range of devices to provide a legal dimension to their agreements, even if many of these fall short of providing legal certainty and judicial enforceability.</w:t>
      </w:r>
    </w:p>
    <w:p w:rsidR="00CD48B3" w:rsidRDefault="00CD48B3" w:rsidP="00CD48B3">
      <w:pPr>
        <w:pStyle w:val="RAHeading1"/>
        <w:tabs>
          <w:tab w:val="left" w:pos="709"/>
        </w:tabs>
        <w:spacing w:after="0"/>
        <w:rPr>
          <w:sz w:val="22"/>
        </w:rPr>
      </w:pPr>
    </w:p>
    <w:p w:rsidR="00CD48B3" w:rsidRPr="00762FCD" w:rsidRDefault="00CD48B3" w:rsidP="00CD48B3">
      <w:pPr>
        <w:pStyle w:val="RAHeading1"/>
        <w:tabs>
          <w:tab w:val="left" w:pos="709"/>
        </w:tabs>
        <w:spacing w:after="0"/>
        <w:rPr>
          <w:sz w:val="22"/>
        </w:rPr>
      </w:pPr>
    </w:p>
    <w:p w:rsidR="00CD48B3" w:rsidRDefault="000C5529" w:rsidP="00CD48B3">
      <w:pPr>
        <w:pStyle w:val="RAHeading1"/>
        <w:tabs>
          <w:tab w:val="left" w:pos="709"/>
        </w:tabs>
        <w:rPr>
          <w:sz w:val="22"/>
        </w:rPr>
      </w:pPr>
      <w:r>
        <w:rPr>
          <w:sz w:val="22"/>
        </w:rPr>
        <w:t>DETAI</w:t>
      </w:r>
      <w:r w:rsidR="002F7962">
        <w:rPr>
          <w:sz w:val="22"/>
        </w:rPr>
        <w:t>L</w:t>
      </w:r>
    </w:p>
    <w:p w:rsidR="002F7962" w:rsidRDefault="00177046" w:rsidP="00CD48B3">
      <w:pPr>
        <w:pStyle w:val="RAnormal"/>
        <w:tabs>
          <w:tab w:val="left" w:pos="709"/>
        </w:tabs>
        <w:rPr>
          <w:sz w:val="22"/>
        </w:rPr>
      </w:pPr>
      <w:r>
        <w:rPr>
          <w:sz w:val="22"/>
        </w:rPr>
        <w:t>1</w:t>
      </w:r>
      <w:r w:rsidR="002F7962">
        <w:rPr>
          <w:sz w:val="22"/>
        </w:rPr>
        <w:t>.</w:t>
      </w:r>
      <w:r w:rsidR="002F7962">
        <w:rPr>
          <w:sz w:val="22"/>
        </w:rPr>
        <w:tab/>
        <w:t>The legal status of any final agreement is a common question in peace negotiations in internal conflicts.  It is related to parties’ inevitable concerns that their opponents may not honour their commitments under the agreement.  But the legal aspect is particularly problematic as:</w:t>
      </w:r>
    </w:p>
    <w:p w:rsidR="002F7962" w:rsidRDefault="002F7962" w:rsidP="002F7962">
      <w:pPr>
        <w:pStyle w:val="RAnormal"/>
        <w:numPr>
          <w:ilvl w:val="0"/>
          <w:numId w:val="8"/>
        </w:numPr>
        <w:tabs>
          <w:tab w:val="left" w:pos="709"/>
        </w:tabs>
        <w:rPr>
          <w:sz w:val="22"/>
        </w:rPr>
      </w:pPr>
      <w:r>
        <w:rPr>
          <w:sz w:val="22"/>
        </w:rPr>
        <w:t xml:space="preserve">Domestic law provides the most obvious and enforceable vehicle for an agreement, as a contract between the parties.  Yet the Government’s law-making powers can enable it to abrogate </w:t>
      </w:r>
      <w:r w:rsidR="00FD73F1">
        <w:rPr>
          <w:sz w:val="22"/>
        </w:rPr>
        <w:t xml:space="preserve">or vary </w:t>
      </w:r>
      <w:r>
        <w:rPr>
          <w:sz w:val="22"/>
        </w:rPr>
        <w:t>its obligations during the implementation phase</w:t>
      </w:r>
      <w:r w:rsidR="00DF3D8F">
        <w:rPr>
          <w:sz w:val="22"/>
        </w:rPr>
        <w:t>, or a judiciary perceived to be biased may interpret the agreement in the Government’s favour</w:t>
      </w:r>
      <w:r>
        <w:rPr>
          <w:sz w:val="22"/>
        </w:rPr>
        <w:t>.</w:t>
      </w:r>
      <w:r w:rsidR="00DF3D8F">
        <w:rPr>
          <w:sz w:val="22"/>
        </w:rPr>
        <w:t xml:space="preserve">  (All this is in addition to parties’ fears of non-implementation on grounds separate from legal factors.)</w:t>
      </w:r>
    </w:p>
    <w:p w:rsidR="002F7962" w:rsidRDefault="00FD73F1" w:rsidP="002F7962">
      <w:pPr>
        <w:pStyle w:val="RAnormal"/>
        <w:numPr>
          <w:ilvl w:val="0"/>
          <w:numId w:val="8"/>
        </w:numPr>
        <w:tabs>
          <w:tab w:val="left" w:pos="709"/>
        </w:tabs>
        <w:rPr>
          <w:sz w:val="22"/>
        </w:rPr>
      </w:pPr>
      <w:r>
        <w:rPr>
          <w:sz w:val="22"/>
        </w:rPr>
        <w:t>Grounding the agreement in i</w:t>
      </w:r>
      <w:r w:rsidR="002F7962">
        <w:rPr>
          <w:sz w:val="22"/>
        </w:rPr>
        <w:t>nternational law</w:t>
      </w:r>
      <w:r>
        <w:rPr>
          <w:sz w:val="22"/>
        </w:rPr>
        <w:t xml:space="preserve"> can give parties – particularly non-state groups – more confidence that obligations will be maintained and met.  But doing so is made complex by such non-state groups’ </w:t>
      </w:r>
      <w:r w:rsidR="00DF3D8F">
        <w:rPr>
          <w:sz w:val="22"/>
        </w:rPr>
        <w:t xml:space="preserve">potential </w:t>
      </w:r>
      <w:r>
        <w:rPr>
          <w:sz w:val="22"/>
        </w:rPr>
        <w:t>lack of status to conclude international legal agreements.  And, in any case, grounding peace agreements in international law does not in itself guarantee that compliance will be enforced.</w:t>
      </w:r>
    </w:p>
    <w:p w:rsidR="004221EA" w:rsidRDefault="00177046" w:rsidP="004221EA">
      <w:pPr>
        <w:pStyle w:val="RAnormal"/>
        <w:tabs>
          <w:tab w:val="left" w:pos="709"/>
        </w:tabs>
        <w:rPr>
          <w:sz w:val="22"/>
        </w:rPr>
      </w:pPr>
      <w:r>
        <w:rPr>
          <w:sz w:val="22"/>
        </w:rPr>
        <w:t>2</w:t>
      </w:r>
      <w:r w:rsidR="004221EA">
        <w:rPr>
          <w:sz w:val="22"/>
        </w:rPr>
        <w:t>.</w:t>
      </w:r>
      <w:r w:rsidR="004221EA">
        <w:rPr>
          <w:sz w:val="22"/>
        </w:rPr>
        <w:tab/>
        <w:t xml:space="preserve">Whether such peace agreements intrinsically </w:t>
      </w:r>
      <w:r w:rsidR="004221EA">
        <w:rPr>
          <w:i/>
          <w:sz w:val="22"/>
        </w:rPr>
        <w:t xml:space="preserve">are </w:t>
      </w:r>
      <w:r w:rsidR="004221EA">
        <w:rPr>
          <w:sz w:val="22"/>
        </w:rPr>
        <w:t xml:space="preserve">legally binding under international law has begun to receive attention.  Courts have ruled that particular agreements have not been so:  the ICJ in </w:t>
      </w:r>
      <w:r w:rsidR="004221EA">
        <w:rPr>
          <w:i/>
          <w:sz w:val="22"/>
        </w:rPr>
        <w:t>Armed Activities</w:t>
      </w:r>
      <w:r w:rsidR="00782297">
        <w:rPr>
          <w:i/>
          <w:sz w:val="22"/>
        </w:rPr>
        <w:t xml:space="preserve"> </w:t>
      </w:r>
      <w:r w:rsidR="00782297">
        <w:rPr>
          <w:sz w:val="22"/>
        </w:rPr>
        <w:t>(2005)</w:t>
      </w:r>
      <w:r w:rsidR="004221EA">
        <w:rPr>
          <w:sz w:val="22"/>
        </w:rPr>
        <w:t xml:space="preserve">, </w:t>
      </w:r>
      <w:r w:rsidR="00782297">
        <w:rPr>
          <w:sz w:val="22"/>
        </w:rPr>
        <w:t xml:space="preserve">the Permanent Court of Arbitration in ‘Abyei arbitration’ (2009), </w:t>
      </w:r>
      <w:r w:rsidR="004221EA">
        <w:rPr>
          <w:sz w:val="22"/>
        </w:rPr>
        <w:t xml:space="preserve">and the Special Court for Sierra Leone in </w:t>
      </w:r>
      <w:r w:rsidR="004221EA">
        <w:rPr>
          <w:i/>
          <w:sz w:val="22"/>
        </w:rPr>
        <w:t>Kallon</w:t>
      </w:r>
      <w:r w:rsidR="00782297">
        <w:rPr>
          <w:i/>
          <w:sz w:val="22"/>
        </w:rPr>
        <w:t xml:space="preserve"> </w:t>
      </w:r>
      <w:r w:rsidR="00782297">
        <w:rPr>
          <w:sz w:val="22"/>
        </w:rPr>
        <w:t>(2004)</w:t>
      </w:r>
      <w:r w:rsidR="004221EA">
        <w:rPr>
          <w:sz w:val="22"/>
        </w:rPr>
        <w:t xml:space="preserve">.  While some scholars have challenged this view, and have argued that </w:t>
      </w:r>
      <w:r w:rsidR="009C0487">
        <w:rPr>
          <w:sz w:val="22"/>
        </w:rPr>
        <w:t xml:space="preserve">at least some </w:t>
      </w:r>
      <w:r w:rsidR="004221EA">
        <w:rPr>
          <w:sz w:val="22"/>
        </w:rPr>
        <w:t xml:space="preserve">peace agreements can be internationally legally binding even if concluded purely between a Government and a </w:t>
      </w:r>
      <w:r w:rsidR="004221EA">
        <w:rPr>
          <w:sz w:val="22"/>
        </w:rPr>
        <w:lastRenderedPageBreak/>
        <w:t>non-State armed group.</w:t>
      </w:r>
      <w:r w:rsidR="004221EA">
        <w:rPr>
          <w:rStyle w:val="FootnoteReference"/>
          <w:sz w:val="22"/>
        </w:rPr>
        <w:footnoteReference w:id="1"/>
      </w:r>
      <w:r w:rsidR="00DF3D8F">
        <w:rPr>
          <w:sz w:val="22"/>
        </w:rPr>
        <w:t xml:space="preserve">  The central issue remains the competence of non-state groups to enter into international agreements.</w:t>
      </w:r>
    </w:p>
    <w:p w:rsidR="009C0487" w:rsidRDefault="00177046" w:rsidP="004221EA">
      <w:pPr>
        <w:pStyle w:val="RAnormal"/>
        <w:tabs>
          <w:tab w:val="left" w:pos="709"/>
        </w:tabs>
        <w:rPr>
          <w:sz w:val="22"/>
        </w:rPr>
      </w:pPr>
      <w:r>
        <w:rPr>
          <w:sz w:val="22"/>
        </w:rPr>
        <w:t>3</w:t>
      </w:r>
      <w:r w:rsidR="009C0487">
        <w:rPr>
          <w:sz w:val="22"/>
        </w:rPr>
        <w:t>.</w:t>
      </w:r>
      <w:r w:rsidR="009C0487">
        <w:rPr>
          <w:sz w:val="22"/>
        </w:rPr>
        <w:tab/>
        <w:t>For parties involved in peacemaking, however, the greater focus has tended to be less on legal analysis of whether their agreement would or would not ultimately be internationally legally binding, and more on finding and negotiating provisions to give a greater or lesser degree of legalization to their agreement.  The following provides an illustrative list.  But one must appreciate that:</w:t>
      </w:r>
    </w:p>
    <w:p w:rsidR="009C0487" w:rsidRDefault="00D32302" w:rsidP="009C0487">
      <w:pPr>
        <w:pStyle w:val="RAnormal"/>
        <w:numPr>
          <w:ilvl w:val="0"/>
          <w:numId w:val="9"/>
        </w:numPr>
        <w:tabs>
          <w:tab w:val="left" w:pos="709"/>
        </w:tabs>
        <w:rPr>
          <w:sz w:val="22"/>
        </w:rPr>
      </w:pPr>
      <w:r>
        <w:rPr>
          <w:sz w:val="22"/>
        </w:rPr>
        <w:t xml:space="preserve">though they may provide a ‘legal dimension’ to an agreement, </w:t>
      </w:r>
      <w:r w:rsidR="009C0487">
        <w:rPr>
          <w:sz w:val="22"/>
        </w:rPr>
        <w:t xml:space="preserve">many, perhaps most, of these </w:t>
      </w:r>
      <w:r>
        <w:rPr>
          <w:sz w:val="22"/>
        </w:rPr>
        <w:t>devices do not themselves make a peace agreement legally binding.  Their function is more usually to reassure parties of their mutual desire to comply</w:t>
      </w:r>
      <w:r w:rsidR="00DF3D8F">
        <w:rPr>
          <w:sz w:val="22"/>
        </w:rPr>
        <w:t xml:space="preserve"> and to minimise subsequent disputes about interpretation</w:t>
      </w:r>
      <w:r>
        <w:rPr>
          <w:sz w:val="22"/>
        </w:rPr>
        <w:t>, rather than provide legal certainty and judicial enforceability.</w:t>
      </w:r>
    </w:p>
    <w:p w:rsidR="00D32302" w:rsidRPr="004221EA" w:rsidRDefault="00D32302" w:rsidP="009C0487">
      <w:pPr>
        <w:pStyle w:val="RAnormal"/>
        <w:numPr>
          <w:ilvl w:val="0"/>
          <w:numId w:val="9"/>
        </w:numPr>
        <w:tabs>
          <w:tab w:val="left" w:pos="709"/>
        </w:tabs>
        <w:rPr>
          <w:sz w:val="22"/>
        </w:rPr>
      </w:pPr>
      <w:r>
        <w:rPr>
          <w:sz w:val="22"/>
        </w:rPr>
        <w:t xml:space="preserve">the ‘legal dimension’ encompasses more than just whether an agreement is legally binding.  It reaches into other aspects, particularly the role of outside actors in monitoring, assisting and/or enforcing compliance, </w:t>
      </w:r>
      <w:r w:rsidR="00DF3D8F">
        <w:rPr>
          <w:sz w:val="22"/>
        </w:rPr>
        <w:t xml:space="preserve">or granting legitimacy to the process and its actors, </w:t>
      </w:r>
      <w:r>
        <w:rPr>
          <w:sz w:val="22"/>
        </w:rPr>
        <w:t>through means not just legal, but also political and even military.</w:t>
      </w:r>
    </w:p>
    <w:p w:rsidR="002F7962" w:rsidRDefault="00177046" w:rsidP="00CD48B3">
      <w:pPr>
        <w:pStyle w:val="RAnormal"/>
        <w:tabs>
          <w:tab w:val="left" w:pos="709"/>
        </w:tabs>
        <w:rPr>
          <w:sz w:val="22"/>
        </w:rPr>
      </w:pPr>
      <w:r>
        <w:rPr>
          <w:sz w:val="22"/>
        </w:rPr>
        <w:t>4</w:t>
      </w:r>
      <w:r w:rsidR="00D32302">
        <w:rPr>
          <w:sz w:val="22"/>
        </w:rPr>
        <w:t>.</w:t>
      </w:r>
      <w:r w:rsidR="00D32302">
        <w:rPr>
          <w:sz w:val="22"/>
        </w:rPr>
        <w:tab/>
        <w:t>The range of devices used has been wide, and the categories below a</w:t>
      </w:r>
      <w:r w:rsidR="00592F5A">
        <w:rPr>
          <w:sz w:val="22"/>
        </w:rPr>
        <w:t>re suggestive rather than fixed</w:t>
      </w:r>
      <w:r w:rsidR="00D32302">
        <w:rPr>
          <w:sz w:val="22"/>
        </w:rPr>
        <w:t>.  Individual peace agreements have combined many, in varying combinations.  But they may be broadly categorised as:</w:t>
      </w:r>
    </w:p>
    <w:p w:rsidR="00D32302" w:rsidRPr="00D32302" w:rsidRDefault="00D32302" w:rsidP="00D32302">
      <w:pPr>
        <w:pStyle w:val="RAnormal"/>
        <w:tabs>
          <w:tab w:val="left" w:pos="709"/>
        </w:tabs>
        <w:rPr>
          <w:sz w:val="22"/>
        </w:rPr>
      </w:pPr>
      <w:r>
        <w:rPr>
          <w:sz w:val="22"/>
        </w:rPr>
        <w:t xml:space="preserve">a)  </w:t>
      </w:r>
      <w:r w:rsidRPr="00D32302">
        <w:rPr>
          <w:b/>
          <w:sz w:val="22"/>
        </w:rPr>
        <w:t>Witnessing of the agreement</w:t>
      </w:r>
      <w:r>
        <w:rPr>
          <w:sz w:val="22"/>
        </w:rPr>
        <w:t xml:space="preserve">, though signature </w:t>
      </w:r>
      <w:r w:rsidRPr="00D32302">
        <w:rPr>
          <w:sz w:val="22"/>
        </w:rPr>
        <w:t>by one o</w:t>
      </w:r>
      <w:r>
        <w:rPr>
          <w:sz w:val="22"/>
        </w:rPr>
        <w:t>r more of the following groups:</w:t>
      </w:r>
    </w:p>
    <w:p w:rsidR="00D32302" w:rsidRPr="00D32302" w:rsidRDefault="00D32302" w:rsidP="00D32302">
      <w:pPr>
        <w:pStyle w:val="RAnormal"/>
        <w:numPr>
          <w:ilvl w:val="0"/>
          <w:numId w:val="9"/>
        </w:numPr>
        <w:tabs>
          <w:tab w:val="left" w:pos="709"/>
        </w:tabs>
        <w:rPr>
          <w:sz w:val="22"/>
        </w:rPr>
      </w:pPr>
      <w:r w:rsidRPr="00D32302">
        <w:rPr>
          <w:sz w:val="22"/>
        </w:rPr>
        <w:t>external States and/or international organisations (Bosnia, Dayton Agreement, 1995; Somalia, Kampala Agreement, 2011; Sudan, Comprehensive Peace Agreement, 2005)</w:t>
      </w:r>
    </w:p>
    <w:p w:rsidR="00D32302" w:rsidRPr="00D32302" w:rsidRDefault="00D32302" w:rsidP="00D32302">
      <w:pPr>
        <w:pStyle w:val="RAnormal"/>
        <w:numPr>
          <w:ilvl w:val="0"/>
          <w:numId w:val="9"/>
        </w:numPr>
        <w:tabs>
          <w:tab w:val="left" w:pos="709"/>
        </w:tabs>
        <w:rPr>
          <w:sz w:val="22"/>
        </w:rPr>
      </w:pPr>
      <w:r w:rsidRPr="00D32302">
        <w:rPr>
          <w:sz w:val="22"/>
        </w:rPr>
        <w:t>mediators (Mozambique, General Peace Agreement, 1992;</w:t>
      </w:r>
      <w:r>
        <w:rPr>
          <w:sz w:val="22"/>
        </w:rPr>
        <w:t xml:space="preserve"> Burundi, Arusha Accords, 2000</w:t>
      </w:r>
      <w:r w:rsidR="00833E0E">
        <w:rPr>
          <w:sz w:val="22"/>
        </w:rPr>
        <w:t>; Aceh, Memorandum of Understanding, 2005</w:t>
      </w:r>
      <w:r>
        <w:rPr>
          <w:sz w:val="22"/>
        </w:rPr>
        <w:t>)</w:t>
      </w:r>
    </w:p>
    <w:p w:rsidR="00D32302" w:rsidRPr="00D32302" w:rsidRDefault="00D32302" w:rsidP="00D32302">
      <w:pPr>
        <w:pStyle w:val="RAnormal"/>
        <w:numPr>
          <w:ilvl w:val="0"/>
          <w:numId w:val="9"/>
        </w:numPr>
        <w:tabs>
          <w:tab w:val="left" w:pos="709"/>
        </w:tabs>
        <w:rPr>
          <w:sz w:val="22"/>
        </w:rPr>
      </w:pPr>
      <w:r w:rsidRPr="00D32302">
        <w:rPr>
          <w:sz w:val="22"/>
        </w:rPr>
        <w:t>prominent international individuals (Colombia, agreement with M-19, 1990)</w:t>
      </w:r>
    </w:p>
    <w:p w:rsidR="00D32302" w:rsidRPr="00D32302" w:rsidRDefault="00D32302" w:rsidP="00D32302">
      <w:pPr>
        <w:pStyle w:val="RAnormal"/>
        <w:tabs>
          <w:tab w:val="left" w:pos="709"/>
        </w:tabs>
        <w:rPr>
          <w:sz w:val="22"/>
        </w:rPr>
      </w:pPr>
      <w:r>
        <w:rPr>
          <w:sz w:val="22"/>
        </w:rPr>
        <w:t xml:space="preserve">b)  </w:t>
      </w:r>
      <w:r w:rsidRPr="00D32302">
        <w:rPr>
          <w:b/>
          <w:sz w:val="22"/>
        </w:rPr>
        <w:t>Nomination of external actors as “guarantors”</w:t>
      </w:r>
      <w:r>
        <w:rPr>
          <w:sz w:val="22"/>
        </w:rPr>
        <w:t xml:space="preserve"> to the agreement, through:</w:t>
      </w:r>
    </w:p>
    <w:p w:rsidR="00D32302" w:rsidRPr="00D32302" w:rsidRDefault="00D32302" w:rsidP="00D32302">
      <w:pPr>
        <w:pStyle w:val="RAnormal"/>
        <w:numPr>
          <w:ilvl w:val="0"/>
          <w:numId w:val="9"/>
        </w:numPr>
        <w:tabs>
          <w:tab w:val="left" w:pos="709"/>
        </w:tabs>
        <w:rPr>
          <w:sz w:val="22"/>
        </w:rPr>
      </w:pPr>
      <w:r>
        <w:rPr>
          <w:sz w:val="22"/>
        </w:rPr>
        <w:t xml:space="preserve">a </w:t>
      </w:r>
      <w:r w:rsidRPr="00D32302">
        <w:rPr>
          <w:sz w:val="22"/>
        </w:rPr>
        <w:t>standalone protocol or annex elaborating specific modalities for international guarantees for the agreement (Tajikistan peace agreement, 1997; Democratic Republic of the Congo, Sun City Accord, 2002)</w:t>
      </w:r>
    </w:p>
    <w:p w:rsidR="00D32302" w:rsidRPr="00D32302" w:rsidRDefault="00D32302" w:rsidP="00D32302">
      <w:pPr>
        <w:pStyle w:val="RAnormal"/>
        <w:numPr>
          <w:ilvl w:val="0"/>
          <w:numId w:val="9"/>
        </w:numPr>
        <w:tabs>
          <w:tab w:val="left" w:pos="709"/>
        </w:tabs>
        <w:rPr>
          <w:sz w:val="22"/>
        </w:rPr>
      </w:pPr>
      <w:r>
        <w:rPr>
          <w:sz w:val="22"/>
        </w:rPr>
        <w:t xml:space="preserve">an </w:t>
      </w:r>
      <w:r w:rsidRPr="00D32302">
        <w:rPr>
          <w:sz w:val="22"/>
        </w:rPr>
        <w:t>article providing that certain external actors shall stand as “moral guarantors” for the agreement (Sierra Leo</w:t>
      </w:r>
      <w:r>
        <w:rPr>
          <w:sz w:val="22"/>
        </w:rPr>
        <w:t>ne, Lome Peace Agreement, 1999)</w:t>
      </w:r>
    </w:p>
    <w:p w:rsidR="00D32302" w:rsidRPr="00D32302" w:rsidRDefault="00D32302" w:rsidP="00D32302">
      <w:pPr>
        <w:pStyle w:val="RAnormal"/>
        <w:numPr>
          <w:ilvl w:val="0"/>
          <w:numId w:val="9"/>
        </w:numPr>
        <w:tabs>
          <w:tab w:val="left" w:pos="709"/>
        </w:tabs>
        <w:rPr>
          <w:sz w:val="22"/>
        </w:rPr>
      </w:pPr>
      <w:r>
        <w:rPr>
          <w:sz w:val="22"/>
        </w:rPr>
        <w:t xml:space="preserve">simply </w:t>
      </w:r>
      <w:r w:rsidRPr="00D32302">
        <w:rPr>
          <w:sz w:val="22"/>
        </w:rPr>
        <w:t>labelling of one or more external signatories to the agreement as a “guarantor” (South Sudan, Agreement to Resolve the Crisis, 2014)</w:t>
      </w:r>
    </w:p>
    <w:p w:rsidR="00177046" w:rsidRDefault="00177046" w:rsidP="00177046">
      <w:pPr>
        <w:pStyle w:val="RAnormal"/>
        <w:tabs>
          <w:tab w:val="left" w:pos="709"/>
        </w:tabs>
        <w:rPr>
          <w:sz w:val="22"/>
        </w:rPr>
      </w:pPr>
      <w:r>
        <w:rPr>
          <w:sz w:val="22"/>
        </w:rPr>
        <w:t xml:space="preserve">c)  </w:t>
      </w:r>
      <w:r w:rsidRPr="00177046">
        <w:rPr>
          <w:b/>
          <w:sz w:val="22"/>
        </w:rPr>
        <w:t>Giving the agreement some degree of international status</w:t>
      </w:r>
      <w:r>
        <w:rPr>
          <w:sz w:val="22"/>
        </w:rPr>
        <w:t>, such as:</w:t>
      </w:r>
    </w:p>
    <w:p w:rsidR="00D32302" w:rsidRPr="00D32302" w:rsidRDefault="00177046" w:rsidP="00177046">
      <w:pPr>
        <w:pStyle w:val="RAnormal"/>
        <w:numPr>
          <w:ilvl w:val="0"/>
          <w:numId w:val="9"/>
        </w:numPr>
        <w:tabs>
          <w:tab w:val="left" w:pos="709"/>
        </w:tabs>
        <w:rPr>
          <w:sz w:val="22"/>
        </w:rPr>
      </w:pPr>
      <w:r>
        <w:rPr>
          <w:sz w:val="22"/>
        </w:rPr>
        <w:t>casting the agreement as</w:t>
      </w:r>
      <w:r w:rsidR="00D32302" w:rsidRPr="00D32302">
        <w:rPr>
          <w:sz w:val="22"/>
        </w:rPr>
        <w:t xml:space="preserve"> a treaty amongst States, incorporating commitments made by non-state groups </w:t>
      </w:r>
      <w:r w:rsidR="00DF3D8F">
        <w:rPr>
          <w:sz w:val="22"/>
        </w:rPr>
        <w:t>and submitting to the UN in its role as formal treaty depositary</w:t>
      </w:r>
      <w:r w:rsidR="00DF3D8F" w:rsidRPr="00D32302">
        <w:rPr>
          <w:sz w:val="22"/>
        </w:rPr>
        <w:t xml:space="preserve"> </w:t>
      </w:r>
      <w:r w:rsidR="00D32302" w:rsidRPr="00D32302">
        <w:rPr>
          <w:sz w:val="22"/>
        </w:rPr>
        <w:t>(Cambodia, Paris Peace Accord, 1991; Bosnia, Dayton Agreement, 1995; Northern Ir</w:t>
      </w:r>
      <w:r w:rsidR="00D32302">
        <w:rPr>
          <w:sz w:val="22"/>
        </w:rPr>
        <w:t>eland, Belfast Agreement, 1998)</w:t>
      </w:r>
    </w:p>
    <w:p w:rsidR="00177046" w:rsidRDefault="00177046" w:rsidP="00177046">
      <w:pPr>
        <w:pStyle w:val="RAnormal"/>
        <w:numPr>
          <w:ilvl w:val="0"/>
          <w:numId w:val="9"/>
        </w:numPr>
        <w:tabs>
          <w:tab w:val="left" w:pos="709"/>
        </w:tabs>
        <w:rPr>
          <w:sz w:val="22"/>
        </w:rPr>
      </w:pPr>
      <w:r>
        <w:rPr>
          <w:sz w:val="22"/>
        </w:rPr>
        <w:lastRenderedPageBreak/>
        <w:t>using</w:t>
      </w:r>
      <w:r w:rsidRPr="00D32302">
        <w:rPr>
          <w:sz w:val="22"/>
        </w:rPr>
        <w:t xml:space="preserve"> treaty-like language in the text of the agreement, such as “shall”, “obligations”, “agree” etc. (Sudan, Comprehensive Peace Agreement, 2005; Liberia, Comprehensive Peace Agreement, 2003)</w:t>
      </w:r>
    </w:p>
    <w:p w:rsidR="00177046" w:rsidRPr="00D32302" w:rsidRDefault="00177046" w:rsidP="00177046">
      <w:pPr>
        <w:pStyle w:val="RAnormal"/>
        <w:numPr>
          <w:ilvl w:val="0"/>
          <w:numId w:val="9"/>
        </w:numPr>
        <w:tabs>
          <w:tab w:val="left" w:pos="709"/>
        </w:tabs>
        <w:rPr>
          <w:sz w:val="22"/>
        </w:rPr>
      </w:pPr>
      <w:r>
        <w:rPr>
          <w:sz w:val="22"/>
        </w:rPr>
        <w:t xml:space="preserve">seeking </w:t>
      </w:r>
      <w:r w:rsidRPr="00D32302">
        <w:rPr>
          <w:sz w:val="22"/>
        </w:rPr>
        <w:t xml:space="preserve">UN Security Council </w:t>
      </w:r>
      <w:r>
        <w:rPr>
          <w:sz w:val="22"/>
        </w:rPr>
        <w:t xml:space="preserve">actual </w:t>
      </w:r>
      <w:r w:rsidRPr="00D32302">
        <w:rPr>
          <w:sz w:val="22"/>
        </w:rPr>
        <w:t xml:space="preserve">“endorsement” of the agreement (unusual, but </w:t>
      </w:r>
      <w:r w:rsidR="00184D97">
        <w:rPr>
          <w:sz w:val="22"/>
        </w:rPr>
        <w:t xml:space="preserve">Ukraine, Package of measures for the Implementation of the Minsk Agreements, 2015 - UNSCR 2202; </w:t>
      </w:r>
      <w:r w:rsidRPr="00D32302">
        <w:rPr>
          <w:sz w:val="22"/>
        </w:rPr>
        <w:t>Cote d’Ivoire, Li</w:t>
      </w:r>
      <w:r>
        <w:rPr>
          <w:sz w:val="22"/>
        </w:rPr>
        <w:t>nas-Marcoussis Agreement, 2003 -</w:t>
      </w:r>
      <w:r w:rsidRPr="00D32302">
        <w:rPr>
          <w:sz w:val="22"/>
        </w:rPr>
        <w:t xml:space="preserve"> UNSCR 1464; Afg</w:t>
      </w:r>
      <w:r>
        <w:rPr>
          <w:sz w:val="22"/>
        </w:rPr>
        <w:t>hanistan, Bonn Agreement, 2001 -</w:t>
      </w:r>
      <w:r w:rsidRPr="00D32302">
        <w:rPr>
          <w:sz w:val="22"/>
        </w:rPr>
        <w:t xml:space="preserve"> UNSCR 1383)</w:t>
      </w:r>
    </w:p>
    <w:p w:rsidR="00177046" w:rsidRDefault="00177046" w:rsidP="00177046">
      <w:pPr>
        <w:pStyle w:val="RAnormal"/>
        <w:numPr>
          <w:ilvl w:val="0"/>
          <w:numId w:val="9"/>
        </w:numPr>
        <w:tabs>
          <w:tab w:val="left" w:pos="709"/>
        </w:tabs>
        <w:rPr>
          <w:sz w:val="22"/>
        </w:rPr>
      </w:pPr>
      <w:r>
        <w:rPr>
          <w:sz w:val="22"/>
        </w:rPr>
        <w:t xml:space="preserve">including language in a </w:t>
      </w:r>
      <w:r w:rsidRPr="00D32302">
        <w:rPr>
          <w:sz w:val="22"/>
        </w:rPr>
        <w:t xml:space="preserve">UN Security Council </w:t>
      </w:r>
      <w:r>
        <w:rPr>
          <w:sz w:val="22"/>
        </w:rPr>
        <w:t xml:space="preserve">resolution </w:t>
      </w:r>
      <w:r w:rsidRPr="00D32302">
        <w:rPr>
          <w:sz w:val="22"/>
        </w:rPr>
        <w:t>“welcoming” signature of the agreement (</w:t>
      </w:r>
      <w:r w:rsidR="00184D97">
        <w:rPr>
          <w:sz w:val="22"/>
        </w:rPr>
        <w:t xml:space="preserve">Libyan Political Agreement, 2015 - UNSCR 2259; </w:t>
      </w:r>
      <w:r w:rsidRPr="00D32302">
        <w:rPr>
          <w:sz w:val="22"/>
        </w:rPr>
        <w:t>Nepal, Compr</w:t>
      </w:r>
      <w:r>
        <w:rPr>
          <w:sz w:val="22"/>
        </w:rPr>
        <w:t>ehensive Peace Agreement, 2007 -</w:t>
      </w:r>
      <w:r w:rsidR="00184D97">
        <w:rPr>
          <w:sz w:val="22"/>
        </w:rPr>
        <w:t xml:space="preserve"> UNSCR 1740</w:t>
      </w:r>
      <w:r w:rsidRPr="00D32302">
        <w:rPr>
          <w:sz w:val="22"/>
        </w:rPr>
        <w:t xml:space="preserve">; Sudan, Comprehensive Peace </w:t>
      </w:r>
      <w:r>
        <w:rPr>
          <w:sz w:val="22"/>
        </w:rPr>
        <w:t>Agreement, 2005 - UNSCR 1590)</w:t>
      </w:r>
    </w:p>
    <w:p w:rsidR="00D32302" w:rsidRPr="00D32302" w:rsidRDefault="00177046" w:rsidP="00177046">
      <w:pPr>
        <w:pStyle w:val="RAnormal"/>
        <w:numPr>
          <w:ilvl w:val="0"/>
          <w:numId w:val="9"/>
        </w:numPr>
        <w:tabs>
          <w:tab w:val="left" w:pos="709"/>
        </w:tabs>
        <w:rPr>
          <w:sz w:val="22"/>
        </w:rPr>
      </w:pPr>
      <w:r>
        <w:rPr>
          <w:sz w:val="22"/>
        </w:rPr>
        <w:t xml:space="preserve">circulating the </w:t>
      </w:r>
      <w:r w:rsidR="00D32302" w:rsidRPr="00D32302">
        <w:rPr>
          <w:sz w:val="22"/>
        </w:rPr>
        <w:t xml:space="preserve">agreement as an official UN Security Council document (very common, but e.g. </w:t>
      </w:r>
      <w:r w:rsidR="002701EA">
        <w:rPr>
          <w:sz w:val="22"/>
        </w:rPr>
        <w:t>Angola, Lusaka Protocol, 1994; Guatemala, Agreement on the Basis for the Legal Integration of the URNG, 1996</w:t>
      </w:r>
      <w:r w:rsidR="00833E0E">
        <w:rPr>
          <w:sz w:val="22"/>
        </w:rPr>
        <w:t>; Cote d’Ivoire, Ouagadougou Agreement, 2007</w:t>
      </w:r>
      <w:r w:rsidR="00D32302" w:rsidRPr="00D32302">
        <w:rPr>
          <w:sz w:val="22"/>
        </w:rPr>
        <w:t>)</w:t>
      </w:r>
    </w:p>
    <w:p w:rsidR="00177046" w:rsidRPr="00177046" w:rsidRDefault="00177046" w:rsidP="00D32302">
      <w:pPr>
        <w:pStyle w:val="RAnormal"/>
        <w:tabs>
          <w:tab w:val="left" w:pos="709"/>
        </w:tabs>
        <w:rPr>
          <w:sz w:val="22"/>
        </w:rPr>
      </w:pPr>
      <w:r>
        <w:rPr>
          <w:sz w:val="22"/>
        </w:rPr>
        <w:t xml:space="preserve">d)  Requesting </w:t>
      </w:r>
      <w:r>
        <w:rPr>
          <w:b/>
          <w:sz w:val="22"/>
        </w:rPr>
        <w:t>international involvement in the agreement’s implementation</w:t>
      </w:r>
      <w:r>
        <w:rPr>
          <w:sz w:val="22"/>
        </w:rPr>
        <w:t>, through provisions asking for one or more of:</w:t>
      </w:r>
    </w:p>
    <w:p w:rsidR="00177046" w:rsidRDefault="00177046" w:rsidP="00177046">
      <w:pPr>
        <w:pStyle w:val="RAnormal"/>
        <w:numPr>
          <w:ilvl w:val="0"/>
          <w:numId w:val="9"/>
        </w:numPr>
        <w:tabs>
          <w:tab w:val="left" w:pos="709"/>
        </w:tabs>
        <w:rPr>
          <w:sz w:val="22"/>
        </w:rPr>
      </w:pPr>
      <w:r w:rsidRPr="00D32302">
        <w:rPr>
          <w:sz w:val="22"/>
        </w:rPr>
        <w:t xml:space="preserve">external (e.g. UN) </w:t>
      </w:r>
      <w:r w:rsidRPr="00177046">
        <w:rPr>
          <w:sz w:val="22"/>
          <w:u w:val="single"/>
        </w:rPr>
        <w:t>verification</w:t>
      </w:r>
      <w:r w:rsidRPr="00D32302">
        <w:rPr>
          <w:sz w:val="22"/>
        </w:rPr>
        <w:t xml:space="preserve"> of compliance with the agreement or parts of it (El Salvador, Chapultepec Agreement, 1992; Liberia, Comp</w:t>
      </w:r>
      <w:r w:rsidR="00592F5A">
        <w:rPr>
          <w:sz w:val="22"/>
        </w:rPr>
        <w:t>rehensive Peace Agreement, 2003</w:t>
      </w:r>
      <w:r w:rsidR="00227B98">
        <w:rPr>
          <w:sz w:val="22"/>
        </w:rPr>
        <w:t>; Guatemala, Agreement on the Implementation, Compliance and Verification Timetable for the Peace Agreements, 1996</w:t>
      </w:r>
      <w:r w:rsidRPr="00D32302">
        <w:rPr>
          <w:sz w:val="22"/>
        </w:rPr>
        <w:t>)</w:t>
      </w:r>
    </w:p>
    <w:p w:rsidR="00177046" w:rsidRPr="002701EA" w:rsidRDefault="00177046" w:rsidP="00227B98">
      <w:pPr>
        <w:pStyle w:val="RAnormal"/>
        <w:numPr>
          <w:ilvl w:val="0"/>
          <w:numId w:val="9"/>
        </w:numPr>
        <w:tabs>
          <w:tab w:val="left" w:pos="709"/>
        </w:tabs>
      </w:pPr>
      <w:r>
        <w:rPr>
          <w:sz w:val="22"/>
        </w:rPr>
        <w:t xml:space="preserve">international </w:t>
      </w:r>
      <w:r>
        <w:rPr>
          <w:sz w:val="22"/>
          <w:u w:val="single"/>
        </w:rPr>
        <w:t>assistance</w:t>
      </w:r>
      <w:r>
        <w:rPr>
          <w:sz w:val="22"/>
        </w:rPr>
        <w:t xml:space="preserve"> with implementation of the agreement (</w:t>
      </w:r>
      <w:r w:rsidR="00227B98">
        <w:rPr>
          <w:sz w:val="22"/>
        </w:rPr>
        <w:t xml:space="preserve">Cambodia, Paris Peace Accord, 1991; </w:t>
      </w:r>
      <w:r w:rsidR="00592F5A" w:rsidRPr="00227B98">
        <w:rPr>
          <w:sz w:val="22"/>
        </w:rPr>
        <w:t>Bougainville Peace Agreement, 2001</w:t>
      </w:r>
      <w:r w:rsidRPr="00227B98">
        <w:rPr>
          <w:sz w:val="22"/>
        </w:rPr>
        <w:t>)</w:t>
      </w:r>
      <w:r w:rsidR="004C32F8">
        <w:rPr>
          <w:sz w:val="22"/>
        </w:rPr>
        <w:t>, including through ‘good offices’, mediation etc.</w:t>
      </w:r>
    </w:p>
    <w:p w:rsidR="002701EA" w:rsidRPr="00177046" w:rsidRDefault="002701EA" w:rsidP="00227B98">
      <w:pPr>
        <w:pStyle w:val="RAnormal"/>
        <w:numPr>
          <w:ilvl w:val="0"/>
          <w:numId w:val="9"/>
        </w:numPr>
        <w:tabs>
          <w:tab w:val="left" w:pos="709"/>
        </w:tabs>
      </w:pPr>
      <w:r>
        <w:rPr>
          <w:sz w:val="22"/>
        </w:rPr>
        <w:t xml:space="preserve">an international role in </w:t>
      </w:r>
      <w:r>
        <w:rPr>
          <w:sz w:val="22"/>
          <w:u w:val="single"/>
        </w:rPr>
        <w:t>arbitration</w:t>
      </w:r>
      <w:r>
        <w:rPr>
          <w:sz w:val="22"/>
        </w:rPr>
        <w:t xml:space="preserve"> relating to implementation (Comoros, Reconciliation Agreement, 2001</w:t>
      </w:r>
      <w:r w:rsidR="00833E0E">
        <w:rPr>
          <w:sz w:val="22"/>
        </w:rPr>
        <w:t>; Bosnia, Dayton Agreement, 2005</w:t>
      </w:r>
      <w:r w:rsidR="004C32F8">
        <w:rPr>
          <w:sz w:val="22"/>
        </w:rPr>
        <w:t>; Ethiopia-Eritrea, Algiers Agreement, 2000</w:t>
      </w:r>
      <w:r>
        <w:rPr>
          <w:sz w:val="22"/>
        </w:rPr>
        <w:t>)</w:t>
      </w:r>
    </w:p>
    <w:p w:rsidR="002F7962" w:rsidRDefault="00D32302" w:rsidP="00CD48B3">
      <w:pPr>
        <w:pStyle w:val="RAnormal"/>
        <w:numPr>
          <w:ilvl w:val="0"/>
          <w:numId w:val="9"/>
        </w:numPr>
        <w:tabs>
          <w:tab w:val="left" w:pos="709"/>
        </w:tabs>
        <w:rPr>
          <w:sz w:val="22"/>
        </w:rPr>
      </w:pPr>
      <w:r w:rsidRPr="00D32302">
        <w:rPr>
          <w:sz w:val="22"/>
        </w:rPr>
        <w:t xml:space="preserve">an international military presence to </w:t>
      </w:r>
      <w:r w:rsidRPr="00177046">
        <w:rPr>
          <w:sz w:val="22"/>
          <w:u w:val="single"/>
        </w:rPr>
        <w:t>enforce</w:t>
      </w:r>
      <w:r w:rsidRPr="00D32302">
        <w:rPr>
          <w:sz w:val="22"/>
        </w:rPr>
        <w:t xml:space="preserve"> compliance with the agreement, using force if necessary (</w:t>
      </w:r>
      <w:r>
        <w:rPr>
          <w:sz w:val="22"/>
        </w:rPr>
        <w:t>Bosnia, Dayton Agreement, 2005)</w:t>
      </w:r>
      <w:r w:rsidR="00C33EC3">
        <w:rPr>
          <w:sz w:val="22"/>
        </w:rPr>
        <w:t>.</w:t>
      </w:r>
    </w:p>
    <w:p w:rsidR="00C33EC3" w:rsidRDefault="00C33EC3" w:rsidP="00C33EC3">
      <w:pPr>
        <w:pStyle w:val="RAnormal"/>
        <w:tabs>
          <w:tab w:val="left" w:pos="709"/>
        </w:tabs>
        <w:rPr>
          <w:sz w:val="22"/>
        </w:rPr>
      </w:pPr>
      <w:r>
        <w:rPr>
          <w:sz w:val="22"/>
        </w:rPr>
        <w:t>July 2016</w:t>
      </w:r>
    </w:p>
    <w:p w:rsidR="00A45076" w:rsidRDefault="00A45076" w:rsidP="00A45076">
      <w:pPr>
        <w:pStyle w:val="RAnormal"/>
        <w:tabs>
          <w:tab w:val="left" w:pos="709"/>
        </w:tabs>
        <w:rPr>
          <w:sz w:val="22"/>
        </w:rPr>
      </w:pPr>
    </w:p>
    <w:p w:rsidR="004C32F8" w:rsidRDefault="004C32F8" w:rsidP="002F7962">
      <w:pPr>
        <w:pStyle w:val="RAnormal"/>
        <w:tabs>
          <w:tab w:val="left" w:pos="709"/>
        </w:tabs>
        <w:spacing w:after="0"/>
        <w:rPr>
          <w:sz w:val="22"/>
        </w:rPr>
      </w:pPr>
    </w:p>
    <w:sectPr w:rsidR="004C32F8" w:rsidSect="00751AA3">
      <w:headerReference w:type="default" r:id="rId9"/>
      <w:footerReference w:type="default" r:id="rId10"/>
      <w:headerReference w:type="first" r:id="rId11"/>
      <w:footerReference w:type="first" r:id="rId12"/>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A83" w:rsidRDefault="003F7A83" w:rsidP="004854D5">
      <w:pPr>
        <w:spacing w:line="240" w:lineRule="auto"/>
      </w:pPr>
      <w:r>
        <w:separator/>
      </w:r>
    </w:p>
  </w:endnote>
  <w:endnote w:type="continuationSeparator" w:id="0">
    <w:p w:rsidR="003F7A83" w:rsidRDefault="003F7A83"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1EA" w:rsidRPr="004A29CF" w:rsidRDefault="002701EA" w:rsidP="004A29CF">
    <w:pPr>
      <w:pStyle w:val="Footer"/>
      <w:jc w:val="right"/>
      <w:rPr>
        <w:sz w:val="12"/>
        <w:szCs w:val="12"/>
      </w:rPr>
    </w:pPr>
  </w:p>
  <w:p w:rsidR="002701EA" w:rsidRPr="00751AA3" w:rsidRDefault="00E937BC" w:rsidP="0067456E">
    <w:pPr>
      <w:pStyle w:val="Footer"/>
      <w:spacing w:after="0"/>
      <w:rPr>
        <w:sz w:val="16"/>
        <w:szCs w:val="16"/>
      </w:rPr>
    </w:pPr>
    <w:r w:rsidRPr="00436ABF">
      <w:rPr>
        <w:sz w:val="16"/>
        <w:szCs w:val="28"/>
      </w:rPr>
      <w:fldChar w:fldCharType="begin"/>
    </w:r>
    <w:r w:rsidR="002701EA" w:rsidRPr="00436ABF">
      <w:rPr>
        <w:sz w:val="16"/>
        <w:szCs w:val="28"/>
      </w:rPr>
      <w:instrText xml:space="preserve"> DOCPROPERTY PRIVACY \* CHARFORMAT </w:instrText>
    </w:r>
    <w:r w:rsidRPr="00436ABF">
      <w:rPr>
        <w:sz w:val="16"/>
        <w:szCs w:val="28"/>
      </w:rPr>
      <w:fldChar w:fldCharType="end"/>
    </w:r>
    <w:r w:rsidR="002701EA">
      <w:rPr>
        <w:sz w:val="16"/>
        <w:szCs w:val="16"/>
      </w:rPr>
      <w:tab/>
    </w:r>
    <w:r w:rsidR="002701EA">
      <w:rPr>
        <w:sz w:val="16"/>
        <w:szCs w:val="16"/>
      </w:rPr>
      <w:tab/>
    </w:r>
    <w:r w:rsidRPr="00751AA3">
      <w:rPr>
        <w:sz w:val="16"/>
        <w:szCs w:val="16"/>
      </w:rPr>
      <w:fldChar w:fldCharType="begin"/>
    </w:r>
    <w:r w:rsidR="002701EA" w:rsidRPr="00751AA3">
      <w:rPr>
        <w:sz w:val="16"/>
        <w:szCs w:val="16"/>
      </w:rPr>
      <w:instrText xml:space="preserve"> PAGE   \* MERGEFORMAT </w:instrText>
    </w:r>
    <w:r w:rsidRPr="00751AA3">
      <w:rPr>
        <w:sz w:val="16"/>
        <w:szCs w:val="16"/>
      </w:rPr>
      <w:fldChar w:fldCharType="separate"/>
    </w:r>
    <w:r w:rsidR="00116537">
      <w:rPr>
        <w:noProof/>
        <w:sz w:val="16"/>
        <w:szCs w:val="16"/>
      </w:rPr>
      <w:t>2</w:t>
    </w:r>
    <w:r w:rsidRPr="00751AA3">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1EA" w:rsidRPr="006A1DB8" w:rsidRDefault="00E937BC" w:rsidP="0067456E">
    <w:pPr>
      <w:pStyle w:val="Header"/>
      <w:rPr>
        <w:sz w:val="12"/>
        <w:szCs w:val="12"/>
      </w:rPr>
    </w:pPr>
    <w:r w:rsidRPr="00436ABF">
      <w:rPr>
        <w:sz w:val="16"/>
        <w:szCs w:val="28"/>
      </w:rPr>
      <w:fldChar w:fldCharType="begin"/>
    </w:r>
    <w:r w:rsidR="002701EA" w:rsidRPr="00436ABF">
      <w:rPr>
        <w:sz w:val="16"/>
        <w:szCs w:val="28"/>
      </w:rPr>
      <w:instrText xml:space="preserve"> DOCPROPERTY PRIVACY \* CHARFORMAT </w:instrText>
    </w:r>
    <w:r w:rsidRPr="00436ABF">
      <w:rPr>
        <w:sz w:val="16"/>
        <w:szCs w:val="28"/>
      </w:rPr>
      <w:fldChar w:fldCharType="end"/>
    </w:r>
    <w:r w:rsidR="002701EA">
      <w:rPr>
        <w:sz w:val="12"/>
        <w:szCs w:val="12"/>
      </w:rPr>
      <w:tab/>
    </w:r>
    <w:r w:rsidR="002701EA">
      <w:rPr>
        <w:sz w:val="12"/>
        <w:szCs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A83" w:rsidRDefault="003F7A83" w:rsidP="004854D5">
      <w:pPr>
        <w:spacing w:line="240" w:lineRule="auto"/>
      </w:pPr>
      <w:r>
        <w:separator/>
      </w:r>
    </w:p>
  </w:footnote>
  <w:footnote w:type="continuationSeparator" w:id="0">
    <w:p w:rsidR="003F7A83" w:rsidRDefault="003F7A83" w:rsidP="004854D5">
      <w:pPr>
        <w:spacing w:line="240" w:lineRule="auto"/>
      </w:pPr>
      <w:r>
        <w:continuationSeparator/>
      </w:r>
    </w:p>
  </w:footnote>
  <w:footnote w:id="1">
    <w:p w:rsidR="002701EA" w:rsidRPr="00782297" w:rsidRDefault="002701EA">
      <w:pPr>
        <w:pStyle w:val="FootnoteText"/>
        <w:rPr>
          <w:rFonts w:ascii="Arial" w:hAnsi="Arial" w:cs="Arial"/>
          <w:i/>
          <w:sz w:val="18"/>
          <w:szCs w:val="18"/>
        </w:rPr>
      </w:pPr>
      <w:r w:rsidRPr="00782297">
        <w:rPr>
          <w:rStyle w:val="FootnoteReference"/>
          <w:rFonts w:ascii="Arial" w:hAnsi="Arial" w:cs="Arial"/>
          <w:sz w:val="18"/>
          <w:szCs w:val="18"/>
        </w:rPr>
        <w:footnoteRef/>
      </w:r>
      <w:r w:rsidRPr="00782297">
        <w:rPr>
          <w:rFonts w:ascii="Arial" w:hAnsi="Arial" w:cs="Arial"/>
          <w:sz w:val="18"/>
          <w:szCs w:val="18"/>
        </w:rPr>
        <w:t xml:space="preserve"> See e.g. Christine Bell, </w:t>
      </w:r>
      <w:r w:rsidRPr="00782297">
        <w:rPr>
          <w:rFonts w:ascii="Arial" w:hAnsi="Arial" w:cs="Arial"/>
          <w:i/>
          <w:sz w:val="18"/>
          <w:szCs w:val="18"/>
        </w:rPr>
        <w:t xml:space="preserve">On the Law of Peace: Peace Agreements and the Lex Pacificatoria </w:t>
      </w:r>
      <w:r w:rsidRPr="00782297">
        <w:rPr>
          <w:rFonts w:ascii="Arial" w:hAnsi="Arial" w:cs="Arial"/>
          <w:sz w:val="18"/>
          <w:szCs w:val="18"/>
        </w:rPr>
        <w:t xml:space="preserve">(Oxford: 2008).  Also Scott Sheeran, ‘International law, peace agreements and self-determination: the case of the Sudan’, </w:t>
      </w:r>
      <w:r w:rsidRPr="00782297">
        <w:rPr>
          <w:rFonts w:ascii="Arial" w:hAnsi="Arial" w:cs="Arial"/>
          <w:i/>
          <w:sz w:val="18"/>
          <w:szCs w:val="18"/>
        </w:rPr>
        <w:t>International and Comparative Law Quarterly</w:t>
      </w:r>
      <w:r w:rsidRPr="00782297">
        <w:rPr>
          <w:rFonts w:ascii="Arial" w:hAnsi="Arial" w:cs="Arial"/>
          <w:sz w:val="18"/>
          <w:szCs w:val="18"/>
        </w:rPr>
        <w:t xml:space="preserve">, 60/2, April 2011; and Andrej Lang, ‘”Modus operandi”, “Lex pacificatoria” and the ICJ’s appraisal of the Lusaka Ceasefire Agreement in the </w:t>
      </w:r>
      <w:r w:rsidRPr="00782297">
        <w:rPr>
          <w:rFonts w:ascii="Arial" w:hAnsi="Arial" w:cs="Arial"/>
          <w:i/>
          <w:sz w:val="18"/>
          <w:szCs w:val="18"/>
        </w:rPr>
        <w:t xml:space="preserve">Armed Activities on the Territory of the Congo </w:t>
      </w:r>
      <w:r w:rsidRPr="00782297">
        <w:rPr>
          <w:rFonts w:ascii="Arial" w:hAnsi="Arial" w:cs="Arial"/>
          <w:sz w:val="18"/>
          <w:szCs w:val="18"/>
        </w:rPr>
        <w:t>Case’, IILJ Emerging Scholars Paper 2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1EA" w:rsidRPr="0067456E" w:rsidRDefault="002701EA" w:rsidP="0067456E">
    <w:pPr>
      <w:pStyle w:val="Footer"/>
      <w:rPr>
        <w:sz w:val="12"/>
        <w:szCs w:val="12"/>
      </w:rPr>
    </w:pPr>
    <w:r>
      <w:rPr>
        <w:sz w:val="12"/>
        <w:szCs w:val="12"/>
      </w:rPr>
      <w:tab/>
    </w:r>
    <w:r>
      <w:rPr>
        <w:sz w:val="12"/>
        <w:szCs w:val="12"/>
      </w:rPr>
      <w:tab/>
    </w:r>
    <w:r w:rsidR="00E937BC" w:rsidRPr="00436ABF">
      <w:rPr>
        <w:sz w:val="16"/>
        <w:szCs w:val="28"/>
      </w:rPr>
      <w:fldChar w:fldCharType="begin"/>
    </w:r>
    <w:r w:rsidRPr="00436ABF">
      <w:rPr>
        <w:sz w:val="16"/>
        <w:szCs w:val="28"/>
      </w:rPr>
      <w:instrText xml:space="preserve"> DOCPROPERTY PRIVACY \* CHARFORMAT </w:instrText>
    </w:r>
    <w:r w:rsidR="00E937BC" w:rsidRPr="00436ABF">
      <w:rPr>
        <w:sz w:val="16"/>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1EA" w:rsidRPr="006F688E" w:rsidRDefault="00116537">
    <w:pPr>
      <w:pStyle w:val="Header"/>
      <w:rPr>
        <w:sz w:val="16"/>
      </w:rPr>
    </w:pPr>
    <w:r>
      <w:rPr>
        <w:noProof/>
        <w:lang w:eastAsia="en-GB"/>
      </w:rPr>
      <mc:AlternateContent>
        <mc:Choice Requires="wps">
          <w:drawing>
            <wp:anchor distT="0" distB="0" distL="114935" distR="114935" simplePos="0" relativeHeight="251658240" behindDoc="1" locked="0" layoutInCell="1" allowOverlap="1">
              <wp:simplePos x="0" y="0"/>
              <wp:positionH relativeFrom="column">
                <wp:posOffset>4373245</wp:posOffset>
              </wp:positionH>
              <wp:positionV relativeFrom="paragraph">
                <wp:posOffset>220980</wp:posOffset>
              </wp:positionV>
              <wp:extent cx="1716405" cy="1142365"/>
              <wp:effectExtent l="127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1142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01EA" w:rsidRPr="00B14126" w:rsidRDefault="002701EA" w:rsidP="00B14126">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4.35pt;margin-top:17.4pt;width:135.15pt;height:89.9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" stroked="f">
              <v:textbox inset="0,0,0,0">
                <w:txbxContent>
                  <w:p w:rsidR="002701EA" w:rsidRPr="00B14126" w:rsidRDefault="002701EA" w:rsidP="00B14126">
                    <w:pPr>
                      <w:rPr>
                        <w:szCs w:val="16"/>
                      </w:rPr>
                    </w:pPr>
                  </w:p>
                </w:txbxContent>
              </v:textbox>
            </v:shape>
          </w:pict>
        </mc:Fallback>
      </mc:AlternateContent>
    </w:r>
    <w:r w:rsidR="002701EA">
      <w:rPr>
        <w:noProof/>
        <w:lang w:eastAsia="en-GB"/>
      </w:rPr>
      <w:drawing>
        <wp:anchor distT="0" distB="0" distL="114300" distR="114300" simplePos="0" relativeHeight="251657216" behindDoc="0" locked="0" layoutInCell="1" allowOverlap="1">
          <wp:simplePos x="0" y="0"/>
          <wp:positionH relativeFrom="column">
            <wp:posOffset>-38100</wp:posOffset>
          </wp:positionH>
          <wp:positionV relativeFrom="paragraph">
            <wp:posOffset>-130810</wp:posOffset>
          </wp:positionV>
          <wp:extent cx="1645920" cy="1428115"/>
          <wp:effectExtent l="19050" t="0" r="0" b="0"/>
          <wp:wrapTopAndBottom/>
          <wp:docPr id="9" name="Picture 9" descr="FCO_UK_PS_BK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O_UK_PS_BK test"/>
                  <pic:cNvPicPr>
                    <a:picLocks noChangeAspect="1" noChangeArrowheads="1"/>
                  </pic:cNvPicPr>
                </pic:nvPicPr>
                <pic:blipFill>
                  <a:blip r:embed="rId1"/>
                  <a:srcRect/>
                  <a:stretch>
                    <a:fillRect/>
                  </a:stretch>
                </pic:blipFill>
                <pic:spPr bwMode="auto">
                  <a:xfrm>
                    <a:off x="0" y="0"/>
                    <a:ext cx="1645920" cy="1428115"/>
                  </a:xfrm>
                  <a:prstGeom prst="rect">
                    <a:avLst/>
                  </a:prstGeom>
                  <a:noFill/>
                  <a:ln w="9525">
                    <a:noFill/>
                    <a:miter lim="800000"/>
                    <a:headEnd/>
                    <a:tailEnd/>
                  </a:ln>
                </pic:spPr>
              </pic:pic>
            </a:graphicData>
          </a:graphic>
        </wp:anchor>
      </w:drawing>
    </w:r>
    <w:r w:rsidR="002701EA">
      <w:tab/>
    </w:r>
    <w:r w:rsidR="002701E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6598"/>
    <w:multiLevelType w:val="hybridMultilevel"/>
    <w:tmpl w:val="195642C4"/>
    <w:lvl w:ilvl="0" w:tplc="E4BA44F6">
      <w:start w:val="1"/>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C4942C0"/>
    <w:multiLevelType w:val="hybridMultilevel"/>
    <w:tmpl w:val="8F7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8320A9"/>
    <w:multiLevelType w:val="hybridMultilevel"/>
    <w:tmpl w:val="198C5C84"/>
    <w:lvl w:ilvl="0" w:tplc="465CACA4">
      <w:start w:val="1"/>
      <w:numFmt w:val="bullet"/>
      <w:lvlText w:val=""/>
      <w:lvlJc w:val="left"/>
      <w:pPr>
        <w:ind w:left="360" w:hanging="360"/>
      </w:pPr>
      <w:rPr>
        <w:rFonts w:ascii="Symbol" w:hAnsi="Symbol" w:hint="default"/>
        <w:sz w:val="28"/>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442313E"/>
    <w:multiLevelType w:val="hybridMultilevel"/>
    <w:tmpl w:val="9C7A5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BF33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E3E7F12"/>
    <w:multiLevelType w:val="hybridMultilevel"/>
    <w:tmpl w:val="35CC5734"/>
    <w:lvl w:ilvl="0" w:tplc="E4BA44F6">
      <w:start w:val="1"/>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2A6996"/>
    <w:multiLevelType w:val="hybridMultilevel"/>
    <w:tmpl w:val="D88CFF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27208DE"/>
    <w:multiLevelType w:val="hybridMultilevel"/>
    <w:tmpl w:val="96106B70"/>
    <w:lvl w:ilvl="0" w:tplc="E4BA44F6">
      <w:start w:val="1"/>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98777D"/>
    <w:multiLevelType w:val="hybridMultilevel"/>
    <w:tmpl w:val="6C3E1F7C"/>
    <w:lvl w:ilvl="0" w:tplc="E4BA44F6">
      <w:start w:val="1"/>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C37C49"/>
    <w:multiLevelType w:val="hybridMultilevel"/>
    <w:tmpl w:val="F100133C"/>
    <w:lvl w:ilvl="0" w:tplc="559EEB7C">
      <w:start w:val="1"/>
      <w:numFmt w:val="bullet"/>
      <w:pStyle w:val="RAbulleted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D203520"/>
    <w:multiLevelType w:val="hybridMultilevel"/>
    <w:tmpl w:val="80547A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A4A41EC"/>
    <w:multiLevelType w:val="hybridMultilevel"/>
    <w:tmpl w:val="7C6CD8D8"/>
    <w:lvl w:ilvl="0" w:tplc="E4BA44F6">
      <w:start w:val="1"/>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E8F0A0C"/>
    <w:multiLevelType w:val="hybridMultilevel"/>
    <w:tmpl w:val="44B6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8E4D46"/>
    <w:multiLevelType w:val="hybridMultilevel"/>
    <w:tmpl w:val="902ECAF6"/>
    <w:lvl w:ilvl="0" w:tplc="E4BA44F6">
      <w:start w:val="1"/>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
  </w:num>
  <w:num w:numId="4">
    <w:abstractNumId w:val="6"/>
  </w:num>
  <w:num w:numId="5">
    <w:abstractNumId w:val="4"/>
  </w:num>
  <w:num w:numId="6">
    <w:abstractNumId w:val="12"/>
  </w:num>
  <w:num w:numId="7">
    <w:abstractNumId w:val="9"/>
  </w:num>
  <w:num w:numId="8">
    <w:abstractNumId w:val="0"/>
  </w:num>
  <w:num w:numId="9">
    <w:abstractNumId w:val="8"/>
  </w:num>
  <w:num w:numId="10">
    <w:abstractNumId w:val="13"/>
  </w:num>
  <w:num w:numId="11">
    <w:abstractNumId w:val="7"/>
  </w:num>
  <w:num w:numId="12">
    <w:abstractNumId w:val="3"/>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drawingGridHorizontalSpacing w:val="110"/>
  <w:displayHorizontalDrawingGridEvery w:val="2"/>
  <w:characterSpacingControl w:val="doNotCompress"/>
  <w:hdrShapeDefaults>
    <o:shapedefaults v:ext="edit" spidmax="3993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507572"/>
    <w:rsid w:val="00054094"/>
    <w:rsid w:val="00060113"/>
    <w:rsid w:val="000C5529"/>
    <w:rsid w:val="000C777F"/>
    <w:rsid w:val="000F3150"/>
    <w:rsid w:val="00116537"/>
    <w:rsid w:val="001348D0"/>
    <w:rsid w:val="00177046"/>
    <w:rsid w:val="00184D97"/>
    <w:rsid w:val="001A63A9"/>
    <w:rsid w:val="001B24D7"/>
    <w:rsid w:val="00227B98"/>
    <w:rsid w:val="00243947"/>
    <w:rsid w:val="00267799"/>
    <w:rsid w:val="002701EA"/>
    <w:rsid w:val="00276A0C"/>
    <w:rsid w:val="002D79C6"/>
    <w:rsid w:val="002F7962"/>
    <w:rsid w:val="00334350"/>
    <w:rsid w:val="003F7A83"/>
    <w:rsid w:val="004221EA"/>
    <w:rsid w:val="00424D6D"/>
    <w:rsid w:val="00482EE3"/>
    <w:rsid w:val="004854D5"/>
    <w:rsid w:val="004A29CF"/>
    <w:rsid w:val="004B7AD6"/>
    <w:rsid w:val="004C32F8"/>
    <w:rsid w:val="004C7157"/>
    <w:rsid w:val="004E3297"/>
    <w:rsid w:val="004E5332"/>
    <w:rsid w:val="00507572"/>
    <w:rsid w:val="00510DF6"/>
    <w:rsid w:val="00512EB2"/>
    <w:rsid w:val="00537BE7"/>
    <w:rsid w:val="00570DE4"/>
    <w:rsid w:val="00592F5A"/>
    <w:rsid w:val="005B0C32"/>
    <w:rsid w:val="005F36CD"/>
    <w:rsid w:val="005F4ED3"/>
    <w:rsid w:val="005F5985"/>
    <w:rsid w:val="00673F0F"/>
    <w:rsid w:val="0067456E"/>
    <w:rsid w:val="00684ECB"/>
    <w:rsid w:val="006A1DB8"/>
    <w:rsid w:val="006B17E4"/>
    <w:rsid w:val="006C746F"/>
    <w:rsid w:val="006E04CA"/>
    <w:rsid w:val="006F2C52"/>
    <w:rsid w:val="006F688E"/>
    <w:rsid w:val="00751AA3"/>
    <w:rsid w:val="00782297"/>
    <w:rsid w:val="00784222"/>
    <w:rsid w:val="00795CD3"/>
    <w:rsid w:val="007A53E8"/>
    <w:rsid w:val="0081323A"/>
    <w:rsid w:val="0082029E"/>
    <w:rsid w:val="00822498"/>
    <w:rsid w:val="00824A98"/>
    <w:rsid w:val="008252E3"/>
    <w:rsid w:val="00833E0E"/>
    <w:rsid w:val="00845A43"/>
    <w:rsid w:val="00890BC4"/>
    <w:rsid w:val="008955B7"/>
    <w:rsid w:val="008C7302"/>
    <w:rsid w:val="008D4B7C"/>
    <w:rsid w:val="008E4EE0"/>
    <w:rsid w:val="00910BF6"/>
    <w:rsid w:val="009118DB"/>
    <w:rsid w:val="009341AE"/>
    <w:rsid w:val="009430E1"/>
    <w:rsid w:val="00960F57"/>
    <w:rsid w:val="00961D9D"/>
    <w:rsid w:val="009B67C1"/>
    <w:rsid w:val="009C0487"/>
    <w:rsid w:val="009E30FE"/>
    <w:rsid w:val="009E5EFA"/>
    <w:rsid w:val="00A03771"/>
    <w:rsid w:val="00A10792"/>
    <w:rsid w:val="00A22171"/>
    <w:rsid w:val="00A45076"/>
    <w:rsid w:val="00A90D9F"/>
    <w:rsid w:val="00AB1855"/>
    <w:rsid w:val="00B14126"/>
    <w:rsid w:val="00B2215E"/>
    <w:rsid w:val="00B36875"/>
    <w:rsid w:val="00B7243A"/>
    <w:rsid w:val="00B724AD"/>
    <w:rsid w:val="00BC261A"/>
    <w:rsid w:val="00BE6B6B"/>
    <w:rsid w:val="00BF56D2"/>
    <w:rsid w:val="00C011E3"/>
    <w:rsid w:val="00C33EC3"/>
    <w:rsid w:val="00C66A45"/>
    <w:rsid w:val="00C66E3A"/>
    <w:rsid w:val="00C86195"/>
    <w:rsid w:val="00CB7368"/>
    <w:rsid w:val="00CB7E19"/>
    <w:rsid w:val="00CC1F2D"/>
    <w:rsid w:val="00CC394E"/>
    <w:rsid w:val="00CD48B3"/>
    <w:rsid w:val="00D32302"/>
    <w:rsid w:val="00D4581D"/>
    <w:rsid w:val="00D567E3"/>
    <w:rsid w:val="00D7586A"/>
    <w:rsid w:val="00D77DEE"/>
    <w:rsid w:val="00D818BD"/>
    <w:rsid w:val="00DB4912"/>
    <w:rsid w:val="00DE540B"/>
    <w:rsid w:val="00DF3D8F"/>
    <w:rsid w:val="00DF5FC0"/>
    <w:rsid w:val="00E40B2C"/>
    <w:rsid w:val="00E42DE6"/>
    <w:rsid w:val="00E63118"/>
    <w:rsid w:val="00E65301"/>
    <w:rsid w:val="00E74881"/>
    <w:rsid w:val="00E76E8F"/>
    <w:rsid w:val="00E937BC"/>
    <w:rsid w:val="00E967FF"/>
    <w:rsid w:val="00EB341C"/>
    <w:rsid w:val="00ED054E"/>
    <w:rsid w:val="00F30279"/>
    <w:rsid w:val="00F31781"/>
    <w:rsid w:val="00F359F1"/>
    <w:rsid w:val="00F7345D"/>
    <w:rsid w:val="00FB0950"/>
    <w:rsid w:val="00FD7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8B3"/>
    <w:pPr>
      <w:suppressAutoHyphens/>
      <w:spacing w:after="200" w:line="276" w:lineRule="auto"/>
    </w:pPr>
    <w:rPr>
      <w:sz w:val="22"/>
      <w:szCs w:val="22"/>
      <w:lang w:val="en-GB" w:eastAsia="ar-SA"/>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basedOn w:val="Normal"/>
    <w:uiPriority w:val="34"/>
    <w:qFormat/>
    <w:rsid w:val="009E30FE"/>
    <w:pPr>
      <w:ind w:left="720"/>
      <w:contextualSpacing/>
    </w:pPr>
  </w:style>
  <w:style w:type="character" w:styleId="FootnoteReference">
    <w:name w:val="footnote reference"/>
    <w:rsid w:val="00CD48B3"/>
    <w:rPr>
      <w:vertAlign w:val="superscript"/>
    </w:rPr>
  </w:style>
  <w:style w:type="paragraph" w:styleId="FootnoteText">
    <w:name w:val="footnote text"/>
    <w:basedOn w:val="Normal"/>
    <w:link w:val="FootnoteTextChar"/>
    <w:rsid w:val="00CD48B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CD48B3"/>
    <w:rPr>
      <w:rFonts w:ascii="Times New Roman" w:eastAsia="Times New Roman" w:hAnsi="Times New Roman"/>
      <w:lang w:val="en-GB" w:eastAsia="ar-SA"/>
    </w:rPr>
  </w:style>
  <w:style w:type="paragraph" w:customStyle="1" w:styleId="RAnormal">
    <w:name w:val="RA normal"/>
    <w:link w:val="RAnormalChar"/>
    <w:qFormat/>
    <w:rsid w:val="00CD48B3"/>
    <w:pPr>
      <w:spacing w:after="200"/>
    </w:pPr>
    <w:rPr>
      <w:rFonts w:ascii="Arial" w:hAnsi="Arial" w:cs="Arial"/>
      <w:szCs w:val="22"/>
      <w:lang w:val="en-GB" w:eastAsia="ar-SA"/>
    </w:rPr>
  </w:style>
  <w:style w:type="paragraph" w:customStyle="1" w:styleId="RAHeading1">
    <w:name w:val="RA Heading 1"/>
    <w:basedOn w:val="RAnormal"/>
    <w:link w:val="RAHeading1Char"/>
    <w:qFormat/>
    <w:rsid w:val="00CD48B3"/>
    <w:rPr>
      <w:b/>
    </w:rPr>
  </w:style>
  <w:style w:type="character" w:customStyle="1" w:styleId="RAnormalChar">
    <w:name w:val="RA normal Char"/>
    <w:basedOn w:val="DefaultParagraphFont"/>
    <w:link w:val="RAnormal"/>
    <w:rsid w:val="00CD48B3"/>
    <w:rPr>
      <w:rFonts w:ascii="Arial" w:hAnsi="Arial" w:cs="Arial"/>
      <w:szCs w:val="22"/>
      <w:lang w:val="en-GB" w:eastAsia="ar-SA"/>
    </w:rPr>
  </w:style>
  <w:style w:type="paragraph" w:customStyle="1" w:styleId="RASub-head1">
    <w:name w:val="RA Sub-head 1"/>
    <w:basedOn w:val="Normal"/>
    <w:link w:val="RASub-head1Char"/>
    <w:qFormat/>
    <w:rsid w:val="00CD48B3"/>
    <w:pPr>
      <w:spacing w:after="0" w:line="240" w:lineRule="auto"/>
    </w:pPr>
    <w:rPr>
      <w:rFonts w:ascii="Arial" w:hAnsi="Arial" w:cs="Arial"/>
      <w:b/>
      <w:sz w:val="20"/>
      <w:u w:val="single"/>
    </w:rPr>
  </w:style>
  <w:style w:type="character" w:customStyle="1" w:styleId="RAHeading1Char">
    <w:name w:val="RA Heading 1 Char"/>
    <w:basedOn w:val="RAnormalChar"/>
    <w:link w:val="RAHeading1"/>
    <w:rsid w:val="00CD48B3"/>
    <w:rPr>
      <w:rFonts w:ascii="Arial" w:hAnsi="Arial" w:cs="Arial"/>
      <w:b/>
      <w:szCs w:val="22"/>
      <w:lang w:val="en-GB" w:eastAsia="ar-SA"/>
    </w:rPr>
  </w:style>
  <w:style w:type="paragraph" w:customStyle="1" w:styleId="RAbulletedlist">
    <w:name w:val="RA bulleted list"/>
    <w:basedOn w:val="Normal"/>
    <w:link w:val="RAbulletedlistChar"/>
    <w:qFormat/>
    <w:rsid w:val="00CD48B3"/>
    <w:pPr>
      <w:numPr>
        <w:numId w:val="7"/>
      </w:numPr>
      <w:spacing w:before="100" w:after="0" w:line="240" w:lineRule="auto"/>
      <w:ind w:left="357" w:hanging="357"/>
    </w:pPr>
    <w:rPr>
      <w:rFonts w:ascii="Arial" w:hAnsi="Arial" w:cs="Arial"/>
      <w:sz w:val="20"/>
    </w:rPr>
  </w:style>
  <w:style w:type="character" w:customStyle="1" w:styleId="RASub-head1Char">
    <w:name w:val="RA Sub-head 1 Char"/>
    <w:basedOn w:val="DefaultParagraphFont"/>
    <w:link w:val="RASub-head1"/>
    <w:rsid w:val="00CD48B3"/>
    <w:rPr>
      <w:rFonts w:ascii="Arial" w:hAnsi="Arial" w:cs="Arial"/>
      <w:b/>
      <w:szCs w:val="22"/>
      <w:u w:val="single"/>
      <w:lang w:val="en-GB" w:eastAsia="ar-SA"/>
    </w:rPr>
  </w:style>
  <w:style w:type="character" w:customStyle="1" w:styleId="RAbulletedlistChar">
    <w:name w:val="RA bulleted list Char"/>
    <w:basedOn w:val="DefaultParagraphFont"/>
    <w:link w:val="RAbulletedlist"/>
    <w:rsid w:val="00CD48B3"/>
    <w:rPr>
      <w:rFonts w:ascii="Arial" w:hAnsi="Arial" w:cs="Arial"/>
      <w:szCs w:val="22"/>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8B3"/>
    <w:pPr>
      <w:suppressAutoHyphens/>
      <w:spacing w:after="200" w:line="276" w:lineRule="auto"/>
    </w:pPr>
    <w:rPr>
      <w:sz w:val="22"/>
      <w:szCs w:val="22"/>
      <w:lang w:val="en-GB" w:eastAsia="ar-SA"/>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basedOn w:val="Normal"/>
    <w:uiPriority w:val="34"/>
    <w:qFormat/>
    <w:rsid w:val="009E30FE"/>
    <w:pPr>
      <w:ind w:left="720"/>
      <w:contextualSpacing/>
    </w:pPr>
  </w:style>
  <w:style w:type="character" w:styleId="FootnoteReference">
    <w:name w:val="footnote reference"/>
    <w:rsid w:val="00CD48B3"/>
    <w:rPr>
      <w:vertAlign w:val="superscript"/>
    </w:rPr>
  </w:style>
  <w:style w:type="paragraph" w:styleId="FootnoteText">
    <w:name w:val="footnote text"/>
    <w:basedOn w:val="Normal"/>
    <w:link w:val="FootnoteTextChar"/>
    <w:rsid w:val="00CD48B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CD48B3"/>
    <w:rPr>
      <w:rFonts w:ascii="Times New Roman" w:eastAsia="Times New Roman" w:hAnsi="Times New Roman"/>
      <w:lang w:val="en-GB" w:eastAsia="ar-SA"/>
    </w:rPr>
  </w:style>
  <w:style w:type="paragraph" w:customStyle="1" w:styleId="RAnormal">
    <w:name w:val="RA normal"/>
    <w:link w:val="RAnormalChar"/>
    <w:qFormat/>
    <w:rsid w:val="00CD48B3"/>
    <w:pPr>
      <w:spacing w:after="200"/>
    </w:pPr>
    <w:rPr>
      <w:rFonts w:ascii="Arial" w:hAnsi="Arial" w:cs="Arial"/>
      <w:szCs w:val="22"/>
      <w:lang w:val="en-GB" w:eastAsia="ar-SA"/>
    </w:rPr>
  </w:style>
  <w:style w:type="paragraph" w:customStyle="1" w:styleId="RAHeading1">
    <w:name w:val="RA Heading 1"/>
    <w:basedOn w:val="RAnormal"/>
    <w:link w:val="RAHeading1Char"/>
    <w:qFormat/>
    <w:rsid w:val="00CD48B3"/>
    <w:rPr>
      <w:b/>
    </w:rPr>
  </w:style>
  <w:style w:type="character" w:customStyle="1" w:styleId="RAnormalChar">
    <w:name w:val="RA normal Char"/>
    <w:basedOn w:val="DefaultParagraphFont"/>
    <w:link w:val="RAnormal"/>
    <w:rsid w:val="00CD48B3"/>
    <w:rPr>
      <w:rFonts w:ascii="Arial" w:hAnsi="Arial" w:cs="Arial"/>
      <w:szCs w:val="22"/>
      <w:lang w:val="en-GB" w:eastAsia="ar-SA"/>
    </w:rPr>
  </w:style>
  <w:style w:type="paragraph" w:customStyle="1" w:styleId="RASub-head1">
    <w:name w:val="RA Sub-head 1"/>
    <w:basedOn w:val="Normal"/>
    <w:link w:val="RASub-head1Char"/>
    <w:qFormat/>
    <w:rsid w:val="00CD48B3"/>
    <w:pPr>
      <w:spacing w:after="0" w:line="240" w:lineRule="auto"/>
    </w:pPr>
    <w:rPr>
      <w:rFonts w:ascii="Arial" w:hAnsi="Arial" w:cs="Arial"/>
      <w:b/>
      <w:sz w:val="20"/>
      <w:u w:val="single"/>
    </w:rPr>
  </w:style>
  <w:style w:type="character" w:customStyle="1" w:styleId="RAHeading1Char">
    <w:name w:val="RA Heading 1 Char"/>
    <w:basedOn w:val="RAnormalChar"/>
    <w:link w:val="RAHeading1"/>
    <w:rsid w:val="00CD48B3"/>
    <w:rPr>
      <w:rFonts w:ascii="Arial" w:hAnsi="Arial" w:cs="Arial"/>
      <w:b/>
      <w:szCs w:val="22"/>
      <w:lang w:val="en-GB" w:eastAsia="ar-SA"/>
    </w:rPr>
  </w:style>
  <w:style w:type="paragraph" w:customStyle="1" w:styleId="RAbulletedlist">
    <w:name w:val="RA bulleted list"/>
    <w:basedOn w:val="Normal"/>
    <w:link w:val="RAbulletedlistChar"/>
    <w:qFormat/>
    <w:rsid w:val="00CD48B3"/>
    <w:pPr>
      <w:numPr>
        <w:numId w:val="7"/>
      </w:numPr>
      <w:spacing w:before="100" w:after="0" w:line="240" w:lineRule="auto"/>
      <w:ind w:left="357" w:hanging="357"/>
    </w:pPr>
    <w:rPr>
      <w:rFonts w:ascii="Arial" w:hAnsi="Arial" w:cs="Arial"/>
      <w:sz w:val="20"/>
    </w:rPr>
  </w:style>
  <w:style w:type="character" w:customStyle="1" w:styleId="RASub-head1Char">
    <w:name w:val="RA Sub-head 1 Char"/>
    <w:basedOn w:val="DefaultParagraphFont"/>
    <w:link w:val="RASub-head1"/>
    <w:rsid w:val="00CD48B3"/>
    <w:rPr>
      <w:rFonts w:ascii="Arial" w:hAnsi="Arial" w:cs="Arial"/>
      <w:b/>
      <w:szCs w:val="22"/>
      <w:u w:val="single"/>
      <w:lang w:val="en-GB" w:eastAsia="ar-SA"/>
    </w:rPr>
  </w:style>
  <w:style w:type="character" w:customStyle="1" w:styleId="RAbulletedlistChar">
    <w:name w:val="RA bulleted list Char"/>
    <w:basedOn w:val="DefaultParagraphFont"/>
    <w:link w:val="RAbulletedlist"/>
    <w:rsid w:val="00CD48B3"/>
    <w:rPr>
      <w:rFonts w:ascii="Arial" w:hAnsi="Arial" w:cs="Arial"/>
      <w:szCs w:val="2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orabji\AppData\Local\Microsoft\Windows\Temporary%20Internet%20Files\Outlook%20Temp\RA%20template%20FINAL%20January%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708FC-B1BC-4B91-A2FA-E38A9B9DB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 template FINAL January 2016</Template>
  <TotalTime>1</TotalTime>
  <Pages>3</Pages>
  <Words>1107</Words>
  <Characters>6314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Peace agreements</vt:lpstr>
    </vt:vector>
  </TitlesOfParts>
  <Company>FCO</Company>
  <LinksUpToDate>false</LinksUpToDate>
  <CharactersWithSpaces>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agreements</dc:title>
  <dc:creator>Matthew Preston</dc:creator>
  <cp:lastModifiedBy>Gavan Curley</cp:lastModifiedBy>
  <cp:revision>2</cp:revision>
  <cp:lastPrinted>2009-02-19T17:14:00Z</cp:lastPrinted>
  <dcterms:created xsi:type="dcterms:W3CDTF">2016-08-23T11:02:00Z</dcterms:created>
  <dcterms:modified xsi:type="dcterms:W3CDTF">2016-08-23T11:02:00Z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1" name="Created">
    <vt:filetime>2016-01-12T00:00:00Z</vt:filetime>
  </property>
  <property fmtid="{D5CDD505-2E9C-101B-9397-08002B2CF9AE}" pid="12" name="MaintainMarking">
    <vt:lpwstr>False</vt:lpwstr>
  </property>
  <property fmtid="{D5CDD505-2E9C-101B-9397-08002B2CF9AE}" pid="13" name="MaintainPath">
    <vt:lpwstr>True</vt:lpwstr>
  </property>
</Properties>
</file>