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B4" w:rsidRDefault="00CB3443" w:rsidP="00B974BE">
      <w:pPr>
        <w:jc w:val="left"/>
        <w:rPr>
          <w:color w:val="000000"/>
        </w:rPr>
      </w:pPr>
      <w:r>
        <w:rPr>
          <w:bCs/>
          <w:noProof/>
        </w:rPr>
        <mc:AlternateContent>
          <mc:Choice Requires="wps">
            <w:drawing>
              <wp:inline distT="0" distB="0" distL="0" distR="0">
                <wp:extent cx="5720715" cy="1900362"/>
                <wp:effectExtent l="0" t="0" r="13335" b="24130"/>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900362"/>
                        </a:xfrm>
                        <a:prstGeom prst="rect">
                          <a:avLst/>
                        </a:prstGeom>
                        <a:solidFill>
                          <a:srgbClr val="FFFFFF"/>
                        </a:solidFill>
                        <a:ln w="12700">
                          <a:solidFill>
                            <a:srgbClr val="000000"/>
                          </a:solidFill>
                          <a:miter lim="800000"/>
                          <a:headEnd/>
                          <a:tailEnd/>
                        </a:ln>
                      </wps:spPr>
                      <wps:txbx>
                        <w:txbxContent>
                          <w:p w:rsidR="00B326E5" w:rsidRPr="00690C9D" w:rsidRDefault="00585F95" w:rsidP="007E4776">
                            <w:pPr>
                              <w:pStyle w:val="NormalWeb"/>
                              <w:jc w:val="left"/>
                              <w:rPr>
                                <w:rFonts w:ascii="Calibri" w:hAnsi="Calibri"/>
                                <w:b/>
                                <w:bCs/>
                                <w:color w:val="000000"/>
                                <w:sz w:val="40"/>
                                <w:szCs w:val="28"/>
                              </w:rPr>
                            </w:pPr>
                            <w:r>
                              <w:rPr>
                                <w:b/>
                                <w:bCs/>
                                <w:color w:val="000000"/>
                                <w:sz w:val="40"/>
                                <w:szCs w:val="28"/>
                              </w:rPr>
                              <w:t>Serious Incident Notifications from local authority children’s services</w:t>
                            </w:r>
                          </w:p>
                          <w:p w:rsidR="00B326E5" w:rsidRPr="00D04363" w:rsidRDefault="00B326E5" w:rsidP="00771A3A">
                            <w:pPr>
                              <w:pStyle w:val="NormalWeb"/>
                              <w:jc w:val="left"/>
                              <w:rPr>
                                <w:sz w:val="4"/>
                                <w:szCs w:val="4"/>
                              </w:rPr>
                            </w:pPr>
                          </w:p>
                          <w:p w:rsidR="00771A3A" w:rsidRPr="00771A3A" w:rsidRDefault="00771A3A" w:rsidP="00771A3A">
                            <w:pPr>
                              <w:jc w:val="left"/>
                              <w:rPr>
                                <w:rFonts w:ascii="Times New Roman" w:hAnsi="Times New Roman"/>
                                <w:sz w:val="20"/>
                                <w:szCs w:val="20"/>
                              </w:rPr>
                            </w:pPr>
                            <w:r w:rsidRPr="00771A3A">
                              <w:rPr>
                                <w:color w:val="000000"/>
                                <w:sz w:val="20"/>
                                <w:szCs w:val="20"/>
                              </w:rPr>
                              <w:t>This release contains:</w:t>
                            </w:r>
                          </w:p>
                          <w:p w:rsidR="00771A3A" w:rsidRPr="003C5B36" w:rsidRDefault="00585F95" w:rsidP="003C5B36">
                            <w:pPr>
                              <w:pStyle w:val="ListParagraph"/>
                              <w:numPr>
                                <w:ilvl w:val="0"/>
                                <w:numId w:val="47"/>
                              </w:numPr>
                              <w:contextualSpacing/>
                              <w:jc w:val="left"/>
                              <w:rPr>
                                <w:rFonts w:ascii="Times New Roman" w:hAnsi="Times New Roman"/>
                                <w:sz w:val="20"/>
                                <w:szCs w:val="20"/>
                              </w:rPr>
                            </w:pPr>
                            <w:r w:rsidRPr="003C5B36">
                              <w:rPr>
                                <w:rFonts w:eastAsia="Tahoma"/>
                                <w:bCs/>
                                <w:color w:val="000000"/>
                                <w:sz w:val="20"/>
                                <w:szCs w:val="20"/>
                              </w:rPr>
                              <w:t>Statutory notifications of incidents affecting children, aged under 18 years</w:t>
                            </w:r>
                          </w:p>
                          <w:p w:rsidR="00771A3A" w:rsidRPr="003C5B36" w:rsidRDefault="00E65C61" w:rsidP="003C5B36">
                            <w:pPr>
                              <w:pStyle w:val="ListParagraph"/>
                              <w:numPr>
                                <w:ilvl w:val="0"/>
                                <w:numId w:val="47"/>
                              </w:numPr>
                              <w:contextualSpacing/>
                              <w:jc w:val="left"/>
                              <w:rPr>
                                <w:rFonts w:ascii="Times New Roman" w:hAnsi="Times New Roman"/>
                                <w:sz w:val="20"/>
                                <w:szCs w:val="20"/>
                              </w:rPr>
                            </w:pPr>
                            <w:r>
                              <w:rPr>
                                <w:color w:val="000000"/>
                                <w:sz w:val="20"/>
                                <w:szCs w:val="20"/>
                              </w:rPr>
                              <w:t>Data f</w:t>
                            </w:r>
                            <w:r w:rsidR="00585F95" w:rsidRPr="003C5B36">
                              <w:rPr>
                                <w:color w:val="000000"/>
                                <w:sz w:val="20"/>
                                <w:szCs w:val="20"/>
                              </w:rPr>
                              <w:t>or the period between 1 April 2014 to 31 March 2015</w:t>
                            </w:r>
                          </w:p>
                          <w:p w:rsidR="00585F95" w:rsidRPr="003C5B36" w:rsidRDefault="00585F95" w:rsidP="003C5B36">
                            <w:pPr>
                              <w:pStyle w:val="ListParagraph"/>
                              <w:numPr>
                                <w:ilvl w:val="0"/>
                                <w:numId w:val="47"/>
                              </w:numPr>
                              <w:contextualSpacing/>
                              <w:jc w:val="left"/>
                              <w:rPr>
                                <w:rFonts w:ascii="Times New Roman" w:hAnsi="Times New Roman"/>
                                <w:sz w:val="20"/>
                                <w:szCs w:val="20"/>
                              </w:rPr>
                            </w:pPr>
                            <w:r w:rsidRPr="003C5B36">
                              <w:rPr>
                                <w:bCs/>
                                <w:sz w:val="20"/>
                                <w:szCs w:val="20"/>
                              </w:rPr>
                              <w:t>These data only reflect the extent of Ofsted’s current knowledge about all the details relating to the notifications that were received in the relevant period</w:t>
                            </w:r>
                          </w:p>
                          <w:p w:rsidR="00585F95" w:rsidRPr="003C5B36" w:rsidRDefault="00ED6327" w:rsidP="00C01B68">
                            <w:pPr>
                              <w:pStyle w:val="ListParagraph"/>
                              <w:numPr>
                                <w:ilvl w:val="0"/>
                                <w:numId w:val="47"/>
                              </w:numPr>
                              <w:contextualSpacing/>
                              <w:jc w:val="left"/>
                              <w:rPr>
                                <w:rFonts w:ascii="Times New Roman" w:hAnsi="Times New Roman"/>
                                <w:sz w:val="20"/>
                                <w:szCs w:val="20"/>
                              </w:rPr>
                            </w:pPr>
                            <w:r>
                              <w:rPr>
                                <w:rFonts w:cs="Tahoma"/>
                                <w:bCs/>
                                <w:sz w:val="20"/>
                                <w:szCs w:val="20"/>
                              </w:rPr>
                              <w:t xml:space="preserve">These data are </w:t>
                            </w:r>
                            <w:r w:rsidRPr="00C01B68">
                              <w:rPr>
                                <w:rFonts w:cs="Tahoma"/>
                                <w:bCs/>
                                <w:sz w:val="20"/>
                                <w:szCs w:val="20"/>
                              </w:rPr>
                              <w:t>experimental</w:t>
                            </w:r>
                            <w:r w:rsidR="001D7224">
                              <w:rPr>
                                <w:rFonts w:cs="Tahoma"/>
                                <w:bCs/>
                                <w:sz w:val="20"/>
                                <w:szCs w:val="20"/>
                              </w:rPr>
                              <w:t xml:space="preserve">, </w:t>
                            </w:r>
                            <w:r w:rsidR="00C01B68" w:rsidRPr="00C01B68">
                              <w:rPr>
                                <w:rFonts w:cs="Tahoma"/>
                                <w:bCs/>
                                <w:sz w:val="20"/>
                                <w:szCs w:val="20"/>
                              </w:rPr>
                              <w:t>because the statistics do not yet meet the rigorous quality standards of National Statistics</w:t>
                            </w:r>
                            <w:r w:rsidR="00C01B68">
                              <w:rPr>
                                <w:rFonts w:cs="Tahoma"/>
                                <w:bCs/>
                                <w:sz w:val="20"/>
                                <w:szCs w:val="20"/>
                              </w:rPr>
                              <w:t>.</w:t>
                            </w:r>
                          </w:p>
                          <w:p w:rsidR="006B61D1" w:rsidRDefault="006B61D1" w:rsidP="00771A3A">
                            <w:pPr>
                              <w:pStyle w:val="NormalWeb"/>
                              <w:jc w:val="left"/>
                              <w:rPr>
                                <w:color w:val="00000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50.45pt;height:1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" strokeweight="1pt">
                <v:textbox>
                  <w:txbxContent>
                    <w:p w:rsidR="00B326E5" w:rsidRPr="00690C9D" w:rsidRDefault="00585F95" w:rsidP="007E4776">
                      <w:pPr>
                        <w:pStyle w:val="NormalWeb"/>
                        <w:jc w:val="left"/>
                        <w:rPr>
                          <w:rFonts w:ascii="Calibri" w:hAnsi="Calibri"/>
                          <w:b/>
                          <w:bCs/>
                          <w:color w:val="000000"/>
                          <w:sz w:val="40"/>
                          <w:szCs w:val="28"/>
                        </w:rPr>
                      </w:pPr>
                      <w:r>
                        <w:rPr>
                          <w:b/>
                          <w:bCs/>
                          <w:color w:val="000000"/>
                          <w:sz w:val="40"/>
                          <w:szCs w:val="28"/>
                        </w:rPr>
                        <w:t>Serious Incident Notifications from local authority children’s services</w:t>
                      </w:r>
                    </w:p>
                    <w:p w:rsidR="00B326E5" w:rsidRPr="00D04363" w:rsidRDefault="00B326E5" w:rsidP="00771A3A">
                      <w:pPr>
                        <w:pStyle w:val="NormalWeb"/>
                        <w:jc w:val="left"/>
                        <w:rPr>
                          <w:sz w:val="4"/>
                          <w:szCs w:val="4"/>
                        </w:rPr>
                      </w:pPr>
                    </w:p>
                    <w:p w:rsidR="00771A3A" w:rsidRPr="00771A3A" w:rsidRDefault="00771A3A" w:rsidP="00771A3A">
                      <w:pPr>
                        <w:jc w:val="left"/>
                        <w:rPr>
                          <w:rFonts w:ascii="Times New Roman" w:hAnsi="Times New Roman"/>
                          <w:sz w:val="20"/>
                          <w:szCs w:val="20"/>
                        </w:rPr>
                      </w:pPr>
                      <w:r w:rsidRPr="00771A3A">
                        <w:rPr>
                          <w:color w:val="000000"/>
                          <w:sz w:val="20"/>
                          <w:szCs w:val="20"/>
                        </w:rPr>
                        <w:t>This release contains:</w:t>
                      </w:r>
                    </w:p>
                    <w:p w:rsidR="00771A3A" w:rsidRPr="003C5B36" w:rsidRDefault="00585F95" w:rsidP="003C5B36">
                      <w:pPr>
                        <w:pStyle w:val="ListParagraph"/>
                        <w:numPr>
                          <w:ilvl w:val="0"/>
                          <w:numId w:val="47"/>
                        </w:numPr>
                        <w:contextualSpacing/>
                        <w:jc w:val="left"/>
                        <w:rPr>
                          <w:rFonts w:ascii="Times New Roman" w:hAnsi="Times New Roman"/>
                          <w:sz w:val="20"/>
                          <w:szCs w:val="20"/>
                        </w:rPr>
                      </w:pPr>
                      <w:r w:rsidRPr="003C5B36">
                        <w:rPr>
                          <w:rFonts w:eastAsia="Tahoma"/>
                          <w:bCs/>
                          <w:color w:val="000000"/>
                          <w:sz w:val="20"/>
                          <w:szCs w:val="20"/>
                        </w:rPr>
                        <w:t>Statutory notifications of incidents affecting children, aged under 18 years</w:t>
                      </w:r>
                    </w:p>
                    <w:p w:rsidR="00771A3A" w:rsidRPr="003C5B36" w:rsidRDefault="00E65C61" w:rsidP="003C5B36">
                      <w:pPr>
                        <w:pStyle w:val="ListParagraph"/>
                        <w:numPr>
                          <w:ilvl w:val="0"/>
                          <w:numId w:val="47"/>
                        </w:numPr>
                        <w:contextualSpacing/>
                        <w:jc w:val="left"/>
                        <w:rPr>
                          <w:rFonts w:ascii="Times New Roman" w:hAnsi="Times New Roman"/>
                          <w:sz w:val="20"/>
                          <w:szCs w:val="20"/>
                        </w:rPr>
                      </w:pPr>
                      <w:r>
                        <w:rPr>
                          <w:color w:val="000000"/>
                          <w:sz w:val="20"/>
                          <w:szCs w:val="20"/>
                        </w:rPr>
                        <w:t>Data f</w:t>
                      </w:r>
                      <w:r w:rsidR="00585F95" w:rsidRPr="003C5B36">
                        <w:rPr>
                          <w:color w:val="000000"/>
                          <w:sz w:val="20"/>
                          <w:szCs w:val="20"/>
                        </w:rPr>
                        <w:t>or the period between 1 April 2014 to 31 March 2015</w:t>
                      </w:r>
                    </w:p>
                    <w:p w:rsidR="00585F95" w:rsidRPr="003C5B36" w:rsidRDefault="00585F95" w:rsidP="003C5B36">
                      <w:pPr>
                        <w:pStyle w:val="ListParagraph"/>
                        <w:numPr>
                          <w:ilvl w:val="0"/>
                          <w:numId w:val="47"/>
                        </w:numPr>
                        <w:contextualSpacing/>
                        <w:jc w:val="left"/>
                        <w:rPr>
                          <w:rFonts w:ascii="Times New Roman" w:hAnsi="Times New Roman"/>
                          <w:sz w:val="20"/>
                          <w:szCs w:val="20"/>
                        </w:rPr>
                      </w:pPr>
                      <w:r w:rsidRPr="003C5B36">
                        <w:rPr>
                          <w:bCs/>
                          <w:sz w:val="20"/>
                          <w:szCs w:val="20"/>
                        </w:rPr>
                        <w:t>These data only reflect the extent of Ofsted’s current knowledge about all the details relating to the notifications that were received in the relevant period</w:t>
                      </w:r>
                    </w:p>
                    <w:p w:rsidR="00585F95" w:rsidRPr="003C5B36" w:rsidRDefault="00ED6327" w:rsidP="00C01B68">
                      <w:pPr>
                        <w:pStyle w:val="ListParagraph"/>
                        <w:numPr>
                          <w:ilvl w:val="0"/>
                          <w:numId w:val="47"/>
                        </w:numPr>
                        <w:contextualSpacing/>
                        <w:jc w:val="left"/>
                        <w:rPr>
                          <w:rFonts w:ascii="Times New Roman" w:hAnsi="Times New Roman"/>
                          <w:sz w:val="20"/>
                          <w:szCs w:val="20"/>
                        </w:rPr>
                      </w:pPr>
                      <w:r>
                        <w:rPr>
                          <w:rFonts w:cs="Tahoma"/>
                          <w:bCs/>
                          <w:sz w:val="20"/>
                          <w:szCs w:val="20"/>
                        </w:rPr>
                        <w:t xml:space="preserve">These data are </w:t>
                      </w:r>
                      <w:r w:rsidRPr="00C01B68">
                        <w:rPr>
                          <w:rFonts w:cs="Tahoma"/>
                          <w:bCs/>
                          <w:sz w:val="20"/>
                          <w:szCs w:val="20"/>
                        </w:rPr>
                        <w:t>experimental</w:t>
                      </w:r>
                      <w:r w:rsidR="001D7224">
                        <w:rPr>
                          <w:rFonts w:cs="Tahoma"/>
                          <w:bCs/>
                          <w:sz w:val="20"/>
                          <w:szCs w:val="20"/>
                        </w:rPr>
                        <w:t xml:space="preserve">, </w:t>
                      </w:r>
                      <w:r w:rsidR="00C01B68" w:rsidRPr="00C01B68">
                        <w:rPr>
                          <w:rFonts w:cs="Tahoma"/>
                          <w:bCs/>
                          <w:sz w:val="20"/>
                          <w:szCs w:val="20"/>
                        </w:rPr>
                        <w:t>because the statistics do not yet meet the rigorous quality standards of National Statistics</w:t>
                      </w:r>
                      <w:r w:rsidR="00C01B68">
                        <w:rPr>
                          <w:rFonts w:cs="Tahoma"/>
                          <w:bCs/>
                          <w:sz w:val="20"/>
                          <w:szCs w:val="20"/>
                        </w:rPr>
                        <w:t>.</w:t>
                      </w:r>
                    </w:p>
                    <w:p w:rsidR="006B61D1" w:rsidRDefault="006B61D1" w:rsidP="00771A3A">
                      <w:pPr>
                        <w:pStyle w:val="NormalWeb"/>
                        <w:jc w:val="left"/>
                        <w:rPr>
                          <w:color w:val="000000"/>
                        </w:rPr>
                      </w:pPr>
                    </w:p>
                  </w:txbxContent>
                </v:textbox>
                <w10:anchorlock/>
              </v:shape>
            </w:pict>
          </mc:Fallback>
        </mc:AlternateContent>
      </w:r>
    </w:p>
    <w:p w:rsidR="00810AB4" w:rsidRDefault="00810AB4" w:rsidP="00B974BE">
      <w:pPr>
        <w:jc w:val="left"/>
        <w:rPr>
          <w:color w:val="000000"/>
          <w:sz w:val="8"/>
          <w:szCs w:val="8"/>
        </w:rPr>
      </w:pPr>
    </w:p>
    <w:p w:rsidR="00377071" w:rsidRDefault="00377071" w:rsidP="00B974BE">
      <w:pPr>
        <w:jc w:val="left"/>
        <w:rPr>
          <w:color w:val="000000"/>
          <w:sz w:val="8"/>
          <w:szCs w:val="8"/>
        </w:rPr>
      </w:pPr>
    </w:p>
    <w:p w:rsidR="00377071" w:rsidRDefault="00377071" w:rsidP="00B974BE">
      <w:pPr>
        <w:jc w:val="left"/>
        <w:rPr>
          <w:color w:val="000000"/>
          <w:sz w:val="8"/>
          <w:szCs w:val="8"/>
        </w:rPr>
      </w:pPr>
    </w:p>
    <w:p w:rsidR="00377071" w:rsidRDefault="00377071" w:rsidP="00B974BE">
      <w:pPr>
        <w:jc w:val="left"/>
        <w:rPr>
          <w:color w:val="000000"/>
          <w:sz w:val="8"/>
          <w:szCs w:val="8"/>
        </w:rPr>
      </w:pPr>
    </w:p>
    <w:p w:rsidR="00377071" w:rsidRPr="007E785D" w:rsidRDefault="00377071" w:rsidP="00B974BE">
      <w:pPr>
        <w:jc w:val="left"/>
        <w:rPr>
          <w:color w:val="000000"/>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E201B" w:rsidRPr="007B33DD" w:rsidTr="0086719C">
        <w:trPr>
          <w:trHeight w:val="1718"/>
        </w:trPr>
        <w:tc>
          <w:tcPr>
            <w:tcW w:w="2660" w:type="dxa"/>
            <w:tcBorders>
              <w:top w:val="single" w:sz="12" w:space="0" w:color="A6A6A6"/>
              <w:left w:val="single" w:sz="12" w:space="0" w:color="FFFFFF"/>
              <w:bottom w:val="single" w:sz="8" w:space="0" w:color="000000"/>
              <w:right w:val="single" w:sz="12" w:space="0" w:color="FFFFFF"/>
            </w:tcBorders>
            <w:shd w:val="clear" w:color="auto" w:fill="auto"/>
          </w:tcPr>
          <w:p w:rsidR="00FC5157" w:rsidRPr="007E785D" w:rsidRDefault="00FC5157" w:rsidP="00FC5157">
            <w:pPr>
              <w:jc w:val="left"/>
              <w:rPr>
                <w:rFonts w:cs="Tahoma"/>
                <w:sz w:val="8"/>
                <w:szCs w:val="8"/>
              </w:rPr>
            </w:pPr>
          </w:p>
          <w:p w:rsidR="00ED6327" w:rsidRPr="000134CE" w:rsidRDefault="00ED6327" w:rsidP="00ED6327">
            <w:pPr>
              <w:jc w:val="left"/>
              <w:rPr>
                <w:rFonts w:cs="Tahoma"/>
                <w:szCs w:val="26"/>
              </w:rPr>
            </w:pPr>
            <w:r>
              <w:rPr>
                <w:rFonts w:cs="Tahoma"/>
                <w:szCs w:val="26"/>
              </w:rPr>
              <w:t>Increase in the number of local authorities reporting a serious incident notification.</w:t>
            </w:r>
          </w:p>
          <w:p w:rsidR="00730187" w:rsidRPr="00FC49B8" w:rsidRDefault="00730187" w:rsidP="00FC5157">
            <w:pPr>
              <w:jc w:val="left"/>
              <w:rPr>
                <w:rFonts w:cs="Tahoma"/>
                <w:color w:val="FF0000"/>
                <w:sz w:val="20"/>
                <w:szCs w:val="20"/>
              </w:rPr>
            </w:pPr>
          </w:p>
          <w:p w:rsidR="00FA3A01" w:rsidRPr="00C24294" w:rsidRDefault="00B56A3B" w:rsidP="00FC5157">
            <w:pPr>
              <w:jc w:val="left"/>
              <w:rPr>
                <w:rFonts w:cs="Tahoma"/>
                <w:sz w:val="16"/>
                <w:szCs w:val="16"/>
              </w:rPr>
            </w:pPr>
            <w:r>
              <w:rPr>
                <w:rFonts w:cs="Tahoma"/>
                <w:sz w:val="26"/>
                <w:szCs w:val="26"/>
              </w:rPr>
              <w:t xml:space="preserve"> </w:t>
            </w:r>
          </w:p>
        </w:tc>
        <w:tc>
          <w:tcPr>
            <w:tcW w:w="6662" w:type="dxa"/>
            <w:tcBorders>
              <w:top w:val="single" w:sz="12" w:space="0" w:color="A6A6A6"/>
              <w:left w:val="single" w:sz="12" w:space="0" w:color="FFFFFF"/>
              <w:bottom w:val="single" w:sz="8" w:space="0" w:color="000000"/>
              <w:right w:val="single" w:sz="12" w:space="0" w:color="FFFFFF"/>
            </w:tcBorders>
            <w:shd w:val="clear" w:color="auto" w:fill="auto"/>
          </w:tcPr>
          <w:p w:rsidR="007E785D" w:rsidRPr="007E785D" w:rsidRDefault="007E785D" w:rsidP="00BD29E2">
            <w:pPr>
              <w:jc w:val="left"/>
              <w:rPr>
                <w:sz w:val="8"/>
                <w:szCs w:val="8"/>
              </w:rPr>
            </w:pPr>
          </w:p>
          <w:p w:rsidR="00DC161D" w:rsidRPr="007E785D" w:rsidRDefault="00ED6327" w:rsidP="00BD29E2">
            <w:pPr>
              <w:jc w:val="left"/>
              <w:rPr>
                <w:rFonts w:cs="Tahoma"/>
                <w:sz w:val="8"/>
                <w:szCs w:val="8"/>
              </w:rPr>
            </w:pPr>
            <w:r>
              <w:rPr>
                <w:sz w:val="22"/>
                <w:szCs w:val="22"/>
              </w:rPr>
              <w:t>A total of 117 local authorities reported serious incident notifications to Ofsted between 1 April 2014 and 31 March 2015, an increase of 14% on the number in the previous year (103).</w:t>
            </w:r>
          </w:p>
        </w:tc>
      </w:tr>
      <w:tr w:rsidR="00730187" w:rsidRPr="007B33DD" w:rsidTr="0086719C">
        <w:trPr>
          <w:trHeight w:val="1794"/>
        </w:trPr>
        <w:tc>
          <w:tcPr>
            <w:tcW w:w="2660" w:type="dxa"/>
            <w:tcBorders>
              <w:top w:val="single" w:sz="8" w:space="0" w:color="000000"/>
              <w:left w:val="single" w:sz="12" w:space="0" w:color="FFFFFF"/>
              <w:bottom w:val="single" w:sz="12" w:space="0" w:color="A6A6A6"/>
              <w:right w:val="single" w:sz="12" w:space="0" w:color="FFFFFF"/>
            </w:tcBorders>
            <w:shd w:val="clear" w:color="auto" w:fill="auto"/>
          </w:tcPr>
          <w:p w:rsidR="00730187" w:rsidRPr="007E785D" w:rsidRDefault="00730187" w:rsidP="00EF4710">
            <w:pPr>
              <w:jc w:val="left"/>
              <w:rPr>
                <w:rFonts w:cs="Tahoma"/>
                <w:sz w:val="8"/>
                <w:szCs w:val="8"/>
              </w:rPr>
            </w:pPr>
          </w:p>
          <w:p w:rsidR="00ED6327" w:rsidRPr="00FC49B8" w:rsidRDefault="00ED6327" w:rsidP="00ED6327">
            <w:pPr>
              <w:jc w:val="left"/>
              <w:rPr>
                <w:rFonts w:cs="Tahoma"/>
                <w:color w:val="FF0000"/>
                <w:sz w:val="20"/>
                <w:szCs w:val="20"/>
              </w:rPr>
            </w:pPr>
            <w:r>
              <w:rPr>
                <w:rFonts w:cs="Tahoma"/>
                <w:szCs w:val="26"/>
              </w:rPr>
              <w:t>Increase in the overall number of serious incident notifications received by Ofsted.</w:t>
            </w:r>
          </w:p>
          <w:p w:rsidR="00730187" w:rsidRPr="00C24294" w:rsidRDefault="00730187" w:rsidP="00EF4710">
            <w:pPr>
              <w:jc w:val="left"/>
              <w:rPr>
                <w:rFonts w:cs="Tahoma"/>
                <w:sz w:val="16"/>
                <w:szCs w:val="16"/>
              </w:rPr>
            </w:pPr>
            <w:r>
              <w:rPr>
                <w:rFonts w:cs="Tahoma"/>
                <w:sz w:val="26"/>
                <w:szCs w:val="26"/>
              </w:rPr>
              <w:t xml:space="preserve"> </w:t>
            </w:r>
          </w:p>
        </w:tc>
        <w:tc>
          <w:tcPr>
            <w:tcW w:w="6662" w:type="dxa"/>
            <w:tcBorders>
              <w:top w:val="single" w:sz="8" w:space="0" w:color="000000"/>
              <w:left w:val="single" w:sz="12" w:space="0" w:color="FFFFFF"/>
              <w:bottom w:val="single" w:sz="12" w:space="0" w:color="A6A6A6"/>
              <w:right w:val="single" w:sz="12" w:space="0" w:color="FFFFFF"/>
            </w:tcBorders>
            <w:shd w:val="clear" w:color="auto" w:fill="auto"/>
          </w:tcPr>
          <w:p w:rsidR="00730187" w:rsidRPr="007E785D" w:rsidRDefault="00730187" w:rsidP="00EF4710">
            <w:pPr>
              <w:jc w:val="left"/>
              <w:rPr>
                <w:sz w:val="8"/>
                <w:szCs w:val="8"/>
              </w:rPr>
            </w:pPr>
          </w:p>
          <w:p w:rsidR="00730187" w:rsidRPr="0026196E" w:rsidRDefault="00ED6327" w:rsidP="003A2CF7">
            <w:pPr>
              <w:pStyle w:val="NoSpacing"/>
              <w:jc w:val="left"/>
              <w:rPr>
                <w:sz w:val="22"/>
                <w:szCs w:val="22"/>
              </w:rPr>
            </w:pPr>
            <w:r>
              <w:rPr>
                <w:sz w:val="22"/>
                <w:szCs w:val="22"/>
              </w:rPr>
              <w:t>In 2014-15 there were 385 serious incident notifications received by Ofsted, an increase of 29% on the previous year (298).</w:t>
            </w:r>
          </w:p>
        </w:tc>
      </w:tr>
      <w:tr w:rsidR="00730187" w:rsidRPr="002F7BBC" w:rsidTr="0086719C">
        <w:trPr>
          <w:trHeight w:val="1600"/>
        </w:trPr>
        <w:tc>
          <w:tcPr>
            <w:tcW w:w="2660" w:type="dxa"/>
            <w:tcBorders>
              <w:top w:val="single" w:sz="12" w:space="0" w:color="A6A6A6"/>
              <w:left w:val="single" w:sz="12" w:space="0" w:color="FFFFFF"/>
              <w:bottom w:val="single" w:sz="12" w:space="0" w:color="FFFFFF"/>
              <w:right w:val="single" w:sz="12" w:space="0" w:color="FFFFFF"/>
            </w:tcBorders>
            <w:shd w:val="clear" w:color="auto" w:fill="auto"/>
          </w:tcPr>
          <w:p w:rsidR="00730187" w:rsidRPr="000134CE" w:rsidRDefault="00730187" w:rsidP="00FC5157">
            <w:pPr>
              <w:jc w:val="left"/>
              <w:rPr>
                <w:rFonts w:cs="Tahoma"/>
                <w:sz w:val="12"/>
                <w:szCs w:val="16"/>
              </w:rPr>
            </w:pPr>
            <w:r w:rsidRPr="000134CE">
              <w:rPr>
                <w:rFonts w:cs="Tahoma"/>
                <w:sz w:val="16"/>
                <w:szCs w:val="16"/>
              </w:rPr>
              <w:t xml:space="preserve"> </w:t>
            </w:r>
          </w:p>
          <w:p w:rsidR="00730187" w:rsidRPr="000134CE" w:rsidRDefault="00ED6327" w:rsidP="00FC5157">
            <w:pPr>
              <w:jc w:val="left"/>
              <w:rPr>
                <w:rFonts w:cs="Tahoma"/>
                <w:szCs w:val="26"/>
              </w:rPr>
            </w:pPr>
            <w:r>
              <w:rPr>
                <w:rFonts w:cs="Tahoma"/>
                <w:szCs w:val="26"/>
              </w:rPr>
              <w:t>Increase in the nu</w:t>
            </w:r>
            <w:r w:rsidR="00FA075E">
              <w:rPr>
                <w:rFonts w:cs="Tahoma"/>
                <w:szCs w:val="26"/>
              </w:rPr>
              <w:t>mber of serious case reviews initiat</w:t>
            </w:r>
            <w:r>
              <w:rPr>
                <w:rFonts w:cs="Tahoma"/>
                <w:szCs w:val="26"/>
              </w:rPr>
              <w:t>ed, but a fall in the percentage of notifications resulting in a serious case review.</w:t>
            </w:r>
          </w:p>
          <w:p w:rsidR="00730187" w:rsidRPr="000134CE" w:rsidRDefault="00730187" w:rsidP="00FC5157">
            <w:pPr>
              <w:jc w:val="left"/>
              <w:rPr>
                <w:rFonts w:cs="Tahoma"/>
                <w:szCs w:val="26"/>
              </w:rPr>
            </w:pPr>
          </w:p>
          <w:p w:rsidR="00730187" w:rsidRPr="000134CE" w:rsidRDefault="00730187" w:rsidP="00FC5157">
            <w:pPr>
              <w:jc w:val="left"/>
              <w:rPr>
                <w:rFonts w:cs="Tahoma"/>
                <w:szCs w:val="26"/>
              </w:rPr>
            </w:pPr>
          </w:p>
          <w:p w:rsidR="002F7BBC" w:rsidRPr="000134CE" w:rsidRDefault="002F7BBC" w:rsidP="00FC5157">
            <w:pPr>
              <w:jc w:val="left"/>
              <w:rPr>
                <w:rFonts w:cs="Tahoma"/>
                <w:szCs w:val="26"/>
              </w:rPr>
            </w:pPr>
          </w:p>
          <w:p w:rsidR="002F7BBC" w:rsidRPr="000134CE" w:rsidRDefault="002F7BBC" w:rsidP="00FC5157">
            <w:pPr>
              <w:jc w:val="left"/>
              <w:rPr>
                <w:rFonts w:cs="Tahoma"/>
                <w:szCs w:val="26"/>
              </w:rPr>
            </w:pPr>
          </w:p>
          <w:p w:rsidR="002F7BBC" w:rsidRPr="000134CE" w:rsidRDefault="002F7BBC" w:rsidP="00FC5157">
            <w:pPr>
              <w:jc w:val="left"/>
              <w:rPr>
                <w:rFonts w:cs="Tahoma"/>
                <w:szCs w:val="26"/>
              </w:rPr>
            </w:pPr>
          </w:p>
          <w:p w:rsidR="002F7BBC" w:rsidRPr="000134CE" w:rsidRDefault="002F7BBC" w:rsidP="00FC5157">
            <w:pPr>
              <w:jc w:val="left"/>
              <w:rPr>
                <w:rFonts w:cs="Tahoma"/>
                <w:szCs w:val="26"/>
              </w:rPr>
            </w:pPr>
          </w:p>
          <w:p w:rsidR="00730187" w:rsidRPr="000134CE" w:rsidRDefault="00730187" w:rsidP="00FC5157">
            <w:pPr>
              <w:jc w:val="left"/>
              <w:rPr>
                <w:rFonts w:cs="Tahoma"/>
                <w:szCs w:val="26"/>
              </w:rPr>
            </w:pPr>
          </w:p>
          <w:p w:rsidR="00730187" w:rsidRPr="000134CE" w:rsidRDefault="00730187" w:rsidP="00FC5157">
            <w:pPr>
              <w:jc w:val="left"/>
              <w:rPr>
                <w:rFonts w:cs="Tahoma"/>
                <w:szCs w:val="26"/>
              </w:rPr>
            </w:pPr>
          </w:p>
        </w:tc>
        <w:tc>
          <w:tcPr>
            <w:tcW w:w="6662" w:type="dxa"/>
            <w:tcBorders>
              <w:top w:val="single" w:sz="12" w:space="0" w:color="A6A6A6"/>
              <w:left w:val="single" w:sz="12" w:space="0" w:color="FFFFFF"/>
              <w:bottom w:val="single" w:sz="12" w:space="0" w:color="FFFFFF"/>
              <w:right w:val="single" w:sz="12" w:space="0" w:color="FFFFFF"/>
            </w:tcBorders>
            <w:shd w:val="clear" w:color="auto" w:fill="auto"/>
          </w:tcPr>
          <w:p w:rsidR="00730187" w:rsidRPr="000134CE" w:rsidRDefault="00730187" w:rsidP="00EF4710">
            <w:pPr>
              <w:jc w:val="left"/>
              <w:rPr>
                <w:sz w:val="8"/>
                <w:szCs w:val="8"/>
              </w:rPr>
            </w:pPr>
          </w:p>
          <w:p w:rsidR="00ED6327" w:rsidRDefault="00ED6327" w:rsidP="00ED6327">
            <w:pPr>
              <w:pStyle w:val="NoSpacing"/>
              <w:jc w:val="left"/>
              <w:rPr>
                <w:sz w:val="22"/>
                <w:szCs w:val="22"/>
              </w:rPr>
            </w:pPr>
            <w:r>
              <w:rPr>
                <w:sz w:val="22"/>
                <w:szCs w:val="22"/>
              </w:rPr>
              <w:t>There were 166 serious case reviews in</w:t>
            </w:r>
            <w:r w:rsidR="00FA075E">
              <w:rPr>
                <w:sz w:val="22"/>
                <w:szCs w:val="22"/>
              </w:rPr>
              <w:t>itiated</w:t>
            </w:r>
            <w:r>
              <w:rPr>
                <w:sz w:val="22"/>
                <w:szCs w:val="22"/>
              </w:rPr>
              <w:t xml:space="preserve"> in 2014-15, an increase of 16% from the previous year (143).</w:t>
            </w:r>
          </w:p>
          <w:p w:rsidR="009A0125" w:rsidRDefault="009A0125" w:rsidP="00ED6327">
            <w:pPr>
              <w:pStyle w:val="NoSpacing"/>
              <w:jc w:val="left"/>
              <w:rPr>
                <w:sz w:val="22"/>
                <w:szCs w:val="22"/>
              </w:rPr>
            </w:pPr>
          </w:p>
          <w:p w:rsidR="00730187" w:rsidRPr="000134CE" w:rsidRDefault="00ED6327" w:rsidP="00EF4710">
            <w:pPr>
              <w:jc w:val="left"/>
              <w:rPr>
                <w:rFonts w:cs="Tahoma"/>
                <w:sz w:val="8"/>
                <w:szCs w:val="8"/>
              </w:rPr>
            </w:pPr>
            <w:r>
              <w:rPr>
                <w:sz w:val="22"/>
                <w:szCs w:val="22"/>
              </w:rPr>
              <w:t>The percentage of serious incident notifications resulting in a serious case review fell from 48%, in the year 2013-14, to 43%, in the year 2014-15.</w:t>
            </w:r>
          </w:p>
        </w:tc>
      </w:tr>
    </w:tbl>
    <w:p w:rsidR="001D7224" w:rsidRDefault="001D7224" w:rsidP="00C32705">
      <w:pPr>
        <w:spacing w:after="240"/>
        <w:jc w:val="left"/>
        <w:rPr>
          <w:b/>
          <w:noProof/>
          <w:color w:val="000000"/>
          <w:kern w:val="28"/>
          <w:sz w:val="28"/>
          <w:szCs w:val="28"/>
          <w:lang w:eastAsia="en-US"/>
        </w:rPr>
      </w:pPr>
      <w:bookmarkStart w:id="0" w:name="_Toc280878080"/>
      <w:bookmarkStart w:id="1" w:name="_Toc296347484"/>
      <w:bookmarkStart w:id="2" w:name="_Toc327345065"/>
    </w:p>
    <w:p w:rsidR="002C192D" w:rsidRPr="00BB7E81" w:rsidRDefault="00CC5FEB" w:rsidP="00C32705">
      <w:pPr>
        <w:spacing w:after="240"/>
        <w:jc w:val="left"/>
        <w:rPr>
          <w:b/>
          <w:noProof/>
          <w:color w:val="000000"/>
          <w:kern w:val="28"/>
          <w:sz w:val="28"/>
          <w:szCs w:val="28"/>
          <w:lang w:eastAsia="en-US"/>
        </w:rPr>
      </w:pPr>
      <w:r w:rsidRPr="00BB7E81">
        <w:rPr>
          <w:b/>
          <w:noProof/>
          <w:color w:val="000000"/>
          <w:kern w:val="28"/>
          <w:sz w:val="28"/>
          <w:szCs w:val="28"/>
          <w:lang w:eastAsia="en-US"/>
        </w:rPr>
        <w:lastRenderedPageBreak/>
        <w:t>Contents</w:t>
      </w:r>
    </w:p>
    <w:p w:rsidR="0096205E" w:rsidRDefault="002C192D">
      <w:pPr>
        <w:pStyle w:val="TOC2"/>
        <w:rPr>
          <w:rFonts w:asciiTheme="minorHAnsi" w:eastAsiaTheme="minorEastAsia" w:hAnsiTheme="minorHAnsi" w:cstheme="minorBidi"/>
          <w:sz w:val="22"/>
          <w:szCs w:val="22"/>
          <w:lang w:val="en-GB" w:eastAsia="en-GB"/>
        </w:rPr>
      </w:pPr>
      <w:r w:rsidRPr="002C192D">
        <w:fldChar w:fldCharType="begin"/>
      </w:r>
      <w:r w:rsidRPr="002C192D">
        <w:instrText xml:space="preserve"> TOC \o "1-3" \h \z \u </w:instrText>
      </w:r>
      <w:r w:rsidRPr="002C192D">
        <w:fldChar w:fldCharType="separate"/>
      </w:r>
      <w:hyperlink w:anchor="_Toc433719519" w:history="1">
        <w:r w:rsidR="0096205E" w:rsidRPr="00B9779E">
          <w:rPr>
            <w:rStyle w:val="Hyperlink"/>
          </w:rPr>
          <w:t>Key findings</w:t>
        </w:r>
        <w:bookmarkStart w:id="3" w:name="_GoBack"/>
        <w:bookmarkEnd w:id="3"/>
        <w:r w:rsidR="0096205E">
          <w:rPr>
            <w:webHidden/>
          </w:rPr>
          <w:tab/>
        </w:r>
        <w:r w:rsidR="0096205E">
          <w:rPr>
            <w:webHidden/>
          </w:rPr>
          <w:fldChar w:fldCharType="begin"/>
        </w:r>
        <w:r w:rsidR="0096205E">
          <w:rPr>
            <w:webHidden/>
          </w:rPr>
          <w:instrText xml:space="preserve"> PAGEREF _Toc433719519 \h </w:instrText>
        </w:r>
        <w:r w:rsidR="0096205E">
          <w:rPr>
            <w:webHidden/>
          </w:rPr>
        </w:r>
        <w:r w:rsidR="0096205E">
          <w:rPr>
            <w:webHidden/>
          </w:rPr>
          <w:fldChar w:fldCharType="separate"/>
        </w:r>
        <w:r w:rsidR="0096205E">
          <w:rPr>
            <w:webHidden/>
          </w:rPr>
          <w:t>3</w:t>
        </w:r>
        <w:r w:rsidR="0096205E">
          <w:rPr>
            <w:webHidden/>
          </w:rPr>
          <w:fldChar w:fldCharType="end"/>
        </w:r>
      </w:hyperlink>
    </w:p>
    <w:p w:rsidR="0096205E" w:rsidRDefault="0096205E">
      <w:pPr>
        <w:pStyle w:val="TOC3"/>
        <w:tabs>
          <w:tab w:val="right" w:leader="dot" w:pos="9016"/>
        </w:tabs>
        <w:rPr>
          <w:rFonts w:asciiTheme="minorHAnsi" w:eastAsiaTheme="minorEastAsia" w:hAnsiTheme="minorHAnsi" w:cstheme="minorBidi"/>
          <w:noProof/>
          <w:lang w:val="en-GB" w:eastAsia="en-GB"/>
        </w:rPr>
      </w:pPr>
      <w:hyperlink w:anchor="_Toc433719520" w:history="1">
        <w:r w:rsidRPr="00B9779E">
          <w:rPr>
            <w:rStyle w:val="Hyperlink"/>
            <w:noProof/>
          </w:rPr>
          <w:t>Notifications</w:t>
        </w:r>
        <w:r>
          <w:rPr>
            <w:noProof/>
            <w:webHidden/>
          </w:rPr>
          <w:tab/>
        </w:r>
        <w:r>
          <w:rPr>
            <w:noProof/>
            <w:webHidden/>
          </w:rPr>
          <w:fldChar w:fldCharType="begin"/>
        </w:r>
        <w:r>
          <w:rPr>
            <w:noProof/>
            <w:webHidden/>
          </w:rPr>
          <w:instrText xml:space="preserve"> PAGEREF _Toc433719520 \h </w:instrText>
        </w:r>
        <w:r>
          <w:rPr>
            <w:noProof/>
            <w:webHidden/>
          </w:rPr>
        </w:r>
        <w:r>
          <w:rPr>
            <w:noProof/>
            <w:webHidden/>
          </w:rPr>
          <w:fldChar w:fldCharType="separate"/>
        </w:r>
        <w:r>
          <w:rPr>
            <w:noProof/>
            <w:webHidden/>
          </w:rPr>
          <w:t>3</w:t>
        </w:r>
        <w:r>
          <w:rPr>
            <w:noProof/>
            <w:webHidden/>
          </w:rPr>
          <w:fldChar w:fldCharType="end"/>
        </w:r>
      </w:hyperlink>
    </w:p>
    <w:p w:rsidR="0096205E" w:rsidRDefault="0096205E">
      <w:pPr>
        <w:pStyle w:val="TOC3"/>
        <w:tabs>
          <w:tab w:val="right" w:leader="dot" w:pos="9016"/>
        </w:tabs>
        <w:rPr>
          <w:rFonts w:asciiTheme="minorHAnsi" w:eastAsiaTheme="minorEastAsia" w:hAnsiTheme="minorHAnsi" w:cstheme="minorBidi"/>
          <w:noProof/>
          <w:lang w:val="en-GB" w:eastAsia="en-GB"/>
        </w:rPr>
      </w:pPr>
      <w:hyperlink w:anchor="_Toc433719521" w:history="1">
        <w:r w:rsidRPr="00B9779E">
          <w:rPr>
            <w:rStyle w:val="Hyperlink"/>
            <w:noProof/>
          </w:rPr>
          <w:t>Child deaths</w:t>
        </w:r>
        <w:r>
          <w:rPr>
            <w:noProof/>
            <w:webHidden/>
          </w:rPr>
          <w:tab/>
        </w:r>
        <w:r>
          <w:rPr>
            <w:noProof/>
            <w:webHidden/>
          </w:rPr>
          <w:fldChar w:fldCharType="begin"/>
        </w:r>
        <w:r>
          <w:rPr>
            <w:noProof/>
            <w:webHidden/>
          </w:rPr>
          <w:instrText xml:space="preserve"> PAGEREF _Toc433719521 \h </w:instrText>
        </w:r>
        <w:r>
          <w:rPr>
            <w:noProof/>
            <w:webHidden/>
          </w:rPr>
        </w:r>
        <w:r>
          <w:rPr>
            <w:noProof/>
            <w:webHidden/>
          </w:rPr>
          <w:fldChar w:fldCharType="separate"/>
        </w:r>
        <w:r>
          <w:rPr>
            <w:noProof/>
            <w:webHidden/>
          </w:rPr>
          <w:t>4</w:t>
        </w:r>
        <w:r>
          <w:rPr>
            <w:noProof/>
            <w:webHidden/>
          </w:rPr>
          <w:fldChar w:fldCharType="end"/>
        </w:r>
      </w:hyperlink>
    </w:p>
    <w:p w:rsidR="0096205E" w:rsidRDefault="0096205E">
      <w:pPr>
        <w:pStyle w:val="TOC3"/>
        <w:tabs>
          <w:tab w:val="right" w:leader="dot" w:pos="9016"/>
        </w:tabs>
        <w:rPr>
          <w:rFonts w:asciiTheme="minorHAnsi" w:eastAsiaTheme="minorEastAsia" w:hAnsiTheme="minorHAnsi" w:cstheme="minorBidi"/>
          <w:noProof/>
          <w:lang w:val="en-GB" w:eastAsia="en-GB"/>
        </w:rPr>
      </w:pPr>
      <w:hyperlink w:anchor="_Toc433719522" w:history="1">
        <w:r w:rsidRPr="00B9779E">
          <w:rPr>
            <w:rStyle w:val="Hyperlink"/>
            <w:noProof/>
          </w:rPr>
          <w:t>Serious harm</w:t>
        </w:r>
        <w:r>
          <w:rPr>
            <w:noProof/>
            <w:webHidden/>
          </w:rPr>
          <w:tab/>
        </w:r>
        <w:r>
          <w:rPr>
            <w:noProof/>
            <w:webHidden/>
          </w:rPr>
          <w:fldChar w:fldCharType="begin"/>
        </w:r>
        <w:r>
          <w:rPr>
            <w:noProof/>
            <w:webHidden/>
          </w:rPr>
          <w:instrText xml:space="preserve"> PAGEREF _Toc433719522 \h </w:instrText>
        </w:r>
        <w:r>
          <w:rPr>
            <w:noProof/>
            <w:webHidden/>
          </w:rPr>
        </w:r>
        <w:r>
          <w:rPr>
            <w:noProof/>
            <w:webHidden/>
          </w:rPr>
          <w:fldChar w:fldCharType="separate"/>
        </w:r>
        <w:r>
          <w:rPr>
            <w:noProof/>
            <w:webHidden/>
          </w:rPr>
          <w:t>5</w:t>
        </w:r>
        <w:r>
          <w:rPr>
            <w:noProof/>
            <w:webHidden/>
          </w:rPr>
          <w:fldChar w:fldCharType="end"/>
        </w:r>
      </w:hyperlink>
    </w:p>
    <w:p w:rsidR="0096205E" w:rsidRDefault="0096205E">
      <w:pPr>
        <w:pStyle w:val="TOC3"/>
        <w:tabs>
          <w:tab w:val="right" w:leader="dot" w:pos="9016"/>
        </w:tabs>
        <w:rPr>
          <w:rFonts w:asciiTheme="minorHAnsi" w:eastAsiaTheme="minorEastAsia" w:hAnsiTheme="minorHAnsi" w:cstheme="minorBidi"/>
          <w:noProof/>
          <w:lang w:val="en-GB" w:eastAsia="en-GB"/>
        </w:rPr>
      </w:pPr>
      <w:hyperlink w:anchor="_Toc433719523" w:history="1">
        <w:r w:rsidRPr="00B9779E">
          <w:rPr>
            <w:rStyle w:val="Hyperlink"/>
            <w:noProof/>
          </w:rPr>
          <w:t>Serious case reviews</w:t>
        </w:r>
        <w:r>
          <w:rPr>
            <w:noProof/>
            <w:webHidden/>
          </w:rPr>
          <w:tab/>
        </w:r>
        <w:r>
          <w:rPr>
            <w:noProof/>
            <w:webHidden/>
          </w:rPr>
          <w:fldChar w:fldCharType="begin"/>
        </w:r>
        <w:r>
          <w:rPr>
            <w:noProof/>
            <w:webHidden/>
          </w:rPr>
          <w:instrText xml:space="preserve"> PAGEREF _Toc433719523 \h </w:instrText>
        </w:r>
        <w:r>
          <w:rPr>
            <w:noProof/>
            <w:webHidden/>
          </w:rPr>
        </w:r>
        <w:r>
          <w:rPr>
            <w:noProof/>
            <w:webHidden/>
          </w:rPr>
          <w:fldChar w:fldCharType="separate"/>
        </w:r>
        <w:r>
          <w:rPr>
            <w:noProof/>
            <w:webHidden/>
          </w:rPr>
          <w:t>5</w:t>
        </w:r>
        <w:r>
          <w:rPr>
            <w:noProof/>
            <w:webHidden/>
          </w:rPr>
          <w:fldChar w:fldCharType="end"/>
        </w:r>
      </w:hyperlink>
    </w:p>
    <w:p w:rsidR="0096205E" w:rsidRDefault="0096205E">
      <w:pPr>
        <w:pStyle w:val="TOC2"/>
        <w:rPr>
          <w:rFonts w:asciiTheme="minorHAnsi" w:eastAsiaTheme="minorEastAsia" w:hAnsiTheme="minorHAnsi" w:cstheme="minorBidi"/>
          <w:sz w:val="22"/>
          <w:szCs w:val="22"/>
          <w:lang w:val="en-GB" w:eastAsia="en-GB"/>
        </w:rPr>
      </w:pPr>
      <w:hyperlink w:anchor="_Toc433719524" w:history="1">
        <w:r w:rsidRPr="00B9779E">
          <w:rPr>
            <w:rStyle w:val="Hyperlink"/>
          </w:rPr>
          <w:t>Revisions to previous release</w:t>
        </w:r>
        <w:r>
          <w:rPr>
            <w:webHidden/>
          </w:rPr>
          <w:tab/>
        </w:r>
        <w:r>
          <w:rPr>
            <w:webHidden/>
          </w:rPr>
          <w:fldChar w:fldCharType="begin"/>
        </w:r>
        <w:r>
          <w:rPr>
            <w:webHidden/>
          </w:rPr>
          <w:instrText xml:space="preserve"> PAGEREF _Toc433719524 \h </w:instrText>
        </w:r>
        <w:r>
          <w:rPr>
            <w:webHidden/>
          </w:rPr>
        </w:r>
        <w:r>
          <w:rPr>
            <w:webHidden/>
          </w:rPr>
          <w:fldChar w:fldCharType="separate"/>
        </w:r>
        <w:r>
          <w:rPr>
            <w:webHidden/>
          </w:rPr>
          <w:t>6</w:t>
        </w:r>
        <w:r>
          <w:rPr>
            <w:webHidden/>
          </w:rPr>
          <w:fldChar w:fldCharType="end"/>
        </w:r>
      </w:hyperlink>
    </w:p>
    <w:p w:rsidR="0096205E" w:rsidRDefault="0096205E">
      <w:pPr>
        <w:pStyle w:val="TOC2"/>
        <w:rPr>
          <w:rFonts w:asciiTheme="minorHAnsi" w:eastAsiaTheme="minorEastAsia" w:hAnsiTheme="minorHAnsi" w:cstheme="minorBidi"/>
          <w:sz w:val="22"/>
          <w:szCs w:val="22"/>
          <w:lang w:val="en-GB" w:eastAsia="en-GB"/>
        </w:rPr>
      </w:pPr>
      <w:hyperlink w:anchor="_Toc433719525" w:history="1">
        <w:r w:rsidRPr="00B9779E">
          <w:rPr>
            <w:rStyle w:val="Hyperlink"/>
          </w:rPr>
          <w:t>Notes</w:t>
        </w:r>
        <w:r>
          <w:rPr>
            <w:webHidden/>
          </w:rPr>
          <w:tab/>
        </w:r>
        <w:r>
          <w:rPr>
            <w:webHidden/>
          </w:rPr>
          <w:fldChar w:fldCharType="begin"/>
        </w:r>
        <w:r>
          <w:rPr>
            <w:webHidden/>
          </w:rPr>
          <w:instrText xml:space="preserve"> PAGEREF _Toc433719525 \h </w:instrText>
        </w:r>
        <w:r>
          <w:rPr>
            <w:webHidden/>
          </w:rPr>
        </w:r>
        <w:r>
          <w:rPr>
            <w:webHidden/>
          </w:rPr>
          <w:fldChar w:fldCharType="separate"/>
        </w:r>
        <w:r>
          <w:rPr>
            <w:webHidden/>
          </w:rPr>
          <w:t>6</w:t>
        </w:r>
        <w:r>
          <w:rPr>
            <w:webHidden/>
          </w:rPr>
          <w:fldChar w:fldCharType="end"/>
        </w:r>
      </w:hyperlink>
    </w:p>
    <w:p w:rsidR="0096205E" w:rsidRDefault="0096205E">
      <w:pPr>
        <w:pStyle w:val="TOC3"/>
        <w:tabs>
          <w:tab w:val="right" w:leader="dot" w:pos="9016"/>
        </w:tabs>
        <w:rPr>
          <w:rFonts w:asciiTheme="minorHAnsi" w:eastAsiaTheme="minorEastAsia" w:hAnsiTheme="minorHAnsi" w:cstheme="minorBidi"/>
          <w:noProof/>
          <w:lang w:val="en-GB" w:eastAsia="en-GB"/>
        </w:rPr>
      </w:pPr>
      <w:hyperlink w:anchor="_Toc433719526" w:history="1">
        <w:r w:rsidRPr="00B9779E">
          <w:rPr>
            <w:rStyle w:val="Hyperlink"/>
            <w:noProof/>
          </w:rPr>
          <w:t>Requirement for local authorities to notify Ofsted</w:t>
        </w:r>
        <w:r>
          <w:rPr>
            <w:noProof/>
            <w:webHidden/>
          </w:rPr>
          <w:tab/>
        </w:r>
        <w:r>
          <w:rPr>
            <w:noProof/>
            <w:webHidden/>
          </w:rPr>
          <w:fldChar w:fldCharType="begin"/>
        </w:r>
        <w:r>
          <w:rPr>
            <w:noProof/>
            <w:webHidden/>
          </w:rPr>
          <w:instrText xml:space="preserve"> PAGEREF _Toc433719526 \h </w:instrText>
        </w:r>
        <w:r>
          <w:rPr>
            <w:noProof/>
            <w:webHidden/>
          </w:rPr>
        </w:r>
        <w:r>
          <w:rPr>
            <w:noProof/>
            <w:webHidden/>
          </w:rPr>
          <w:fldChar w:fldCharType="separate"/>
        </w:r>
        <w:r>
          <w:rPr>
            <w:noProof/>
            <w:webHidden/>
          </w:rPr>
          <w:t>6</w:t>
        </w:r>
        <w:r>
          <w:rPr>
            <w:noProof/>
            <w:webHidden/>
          </w:rPr>
          <w:fldChar w:fldCharType="end"/>
        </w:r>
      </w:hyperlink>
    </w:p>
    <w:p w:rsidR="0096205E" w:rsidRDefault="0096205E">
      <w:pPr>
        <w:pStyle w:val="TOC3"/>
        <w:tabs>
          <w:tab w:val="right" w:leader="dot" w:pos="9016"/>
        </w:tabs>
        <w:rPr>
          <w:rFonts w:asciiTheme="minorHAnsi" w:eastAsiaTheme="minorEastAsia" w:hAnsiTheme="minorHAnsi" w:cstheme="minorBidi"/>
          <w:noProof/>
          <w:lang w:val="en-GB" w:eastAsia="en-GB"/>
        </w:rPr>
      </w:pPr>
      <w:hyperlink w:anchor="_Toc433719527" w:history="1">
        <w:r w:rsidRPr="00B9779E">
          <w:rPr>
            <w:rStyle w:val="Hyperlink"/>
            <w:noProof/>
          </w:rPr>
          <w:t>Serious case reviews</w:t>
        </w:r>
        <w:r>
          <w:rPr>
            <w:noProof/>
            <w:webHidden/>
          </w:rPr>
          <w:tab/>
        </w:r>
        <w:r>
          <w:rPr>
            <w:noProof/>
            <w:webHidden/>
          </w:rPr>
          <w:fldChar w:fldCharType="begin"/>
        </w:r>
        <w:r>
          <w:rPr>
            <w:noProof/>
            <w:webHidden/>
          </w:rPr>
          <w:instrText xml:space="preserve"> PAGEREF _Toc433719527 \h </w:instrText>
        </w:r>
        <w:r>
          <w:rPr>
            <w:noProof/>
            <w:webHidden/>
          </w:rPr>
        </w:r>
        <w:r>
          <w:rPr>
            <w:noProof/>
            <w:webHidden/>
          </w:rPr>
          <w:fldChar w:fldCharType="separate"/>
        </w:r>
        <w:r>
          <w:rPr>
            <w:noProof/>
            <w:webHidden/>
          </w:rPr>
          <w:t>7</w:t>
        </w:r>
        <w:r>
          <w:rPr>
            <w:noProof/>
            <w:webHidden/>
          </w:rPr>
          <w:fldChar w:fldCharType="end"/>
        </w:r>
      </w:hyperlink>
    </w:p>
    <w:p w:rsidR="0096205E" w:rsidRDefault="0096205E">
      <w:pPr>
        <w:pStyle w:val="TOC2"/>
        <w:rPr>
          <w:rFonts w:asciiTheme="minorHAnsi" w:eastAsiaTheme="minorEastAsia" w:hAnsiTheme="minorHAnsi" w:cstheme="minorBidi"/>
          <w:sz w:val="22"/>
          <w:szCs w:val="22"/>
          <w:lang w:val="en-GB" w:eastAsia="en-GB"/>
        </w:rPr>
      </w:pPr>
      <w:hyperlink w:anchor="_Toc433719528" w:history="1">
        <w:r w:rsidRPr="00B9779E">
          <w:rPr>
            <w:rStyle w:val="Hyperlink"/>
          </w:rPr>
          <w:t>Methodology</w:t>
        </w:r>
        <w:r>
          <w:rPr>
            <w:webHidden/>
          </w:rPr>
          <w:tab/>
        </w:r>
        <w:r>
          <w:rPr>
            <w:webHidden/>
          </w:rPr>
          <w:fldChar w:fldCharType="begin"/>
        </w:r>
        <w:r>
          <w:rPr>
            <w:webHidden/>
          </w:rPr>
          <w:instrText xml:space="preserve"> PAGEREF _Toc433719528 \h </w:instrText>
        </w:r>
        <w:r>
          <w:rPr>
            <w:webHidden/>
          </w:rPr>
        </w:r>
        <w:r>
          <w:rPr>
            <w:webHidden/>
          </w:rPr>
          <w:fldChar w:fldCharType="separate"/>
        </w:r>
        <w:r>
          <w:rPr>
            <w:webHidden/>
          </w:rPr>
          <w:t>7</w:t>
        </w:r>
        <w:r>
          <w:rPr>
            <w:webHidden/>
          </w:rPr>
          <w:fldChar w:fldCharType="end"/>
        </w:r>
      </w:hyperlink>
    </w:p>
    <w:p w:rsidR="00724D6B" w:rsidRDefault="002C192D" w:rsidP="009A6870">
      <w:pPr>
        <w:spacing w:after="120"/>
        <w:rPr>
          <w:noProof/>
        </w:rPr>
      </w:pPr>
      <w:r w:rsidRPr="002C192D">
        <w:rPr>
          <w:noProof/>
        </w:rPr>
        <w:fldChar w:fldCharType="end"/>
      </w:r>
      <w:bookmarkStart w:id="4" w:name="Key_findings"/>
      <w:bookmarkEnd w:id="0"/>
      <w:bookmarkEnd w:id="1"/>
      <w:bookmarkEnd w:id="2"/>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724D6B" w:rsidRDefault="00724D6B" w:rsidP="009A6870">
      <w:pPr>
        <w:spacing w:after="120"/>
        <w:rPr>
          <w:noProof/>
        </w:rPr>
      </w:pPr>
    </w:p>
    <w:p w:rsidR="001D7224" w:rsidRDefault="001D7224">
      <w:pPr>
        <w:jc w:val="left"/>
        <w:rPr>
          <w:b/>
          <w:sz w:val="28"/>
        </w:rPr>
      </w:pPr>
      <w:r>
        <w:br w:type="page"/>
      </w:r>
    </w:p>
    <w:p w:rsidR="00F158AC" w:rsidRPr="002C192D" w:rsidRDefault="002C192D" w:rsidP="009A6870">
      <w:pPr>
        <w:pStyle w:val="Heading2"/>
        <w:spacing w:after="120"/>
        <w:jc w:val="left"/>
      </w:pPr>
      <w:bookmarkStart w:id="5" w:name="_Toc433719519"/>
      <w:r w:rsidRPr="002C192D">
        <w:lastRenderedPageBreak/>
        <w:t>Key findings</w:t>
      </w:r>
      <w:bookmarkEnd w:id="5"/>
      <w:r w:rsidRPr="002C192D">
        <w:t xml:space="preserve"> </w:t>
      </w:r>
    </w:p>
    <w:bookmarkEnd w:id="4"/>
    <w:p w:rsidR="009A0125" w:rsidRDefault="009A0125" w:rsidP="00585F95">
      <w:pPr>
        <w:pStyle w:val="Heading3"/>
      </w:pPr>
    </w:p>
    <w:p w:rsidR="00585F95" w:rsidRPr="00585F95" w:rsidRDefault="00585F95" w:rsidP="00585F95">
      <w:pPr>
        <w:pStyle w:val="Heading3"/>
      </w:pPr>
      <w:bookmarkStart w:id="6" w:name="_Toc433719520"/>
      <w:r w:rsidRPr="00585F95">
        <w:t>Notifications</w:t>
      </w:r>
      <w:bookmarkEnd w:id="6"/>
    </w:p>
    <w:p w:rsidR="00935014" w:rsidRDefault="00A317C2" w:rsidP="00585F95">
      <w:pPr>
        <w:widowControl w:val="0"/>
        <w:overflowPunct w:val="0"/>
        <w:autoSpaceDE w:val="0"/>
        <w:autoSpaceDN w:val="0"/>
        <w:adjustRightInd w:val="0"/>
        <w:jc w:val="left"/>
        <w:textAlignment w:val="baseline"/>
        <w:rPr>
          <w:rFonts w:cs="Tahoma"/>
        </w:rPr>
      </w:pPr>
      <w:r>
        <w:rPr>
          <w:rFonts w:cs="Tahoma"/>
        </w:rPr>
        <w:t>When considering the key findings</w:t>
      </w:r>
      <w:r w:rsidR="009A0125">
        <w:rPr>
          <w:rFonts w:cs="Tahoma"/>
        </w:rPr>
        <w:t>,</w:t>
      </w:r>
      <w:r>
        <w:rPr>
          <w:rFonts w:cs="Tahoma"/>
        </w:rPr>
        <w:t xml:space="preserve"> below</w:t>
      </w:r>
      <w:r w:rsidR="009A0125">
        <w:rPr>
          <w:rFonts w:cs="Tahoma"/>
        </w:rPr>
        <w:t>,</w:t>
      </w:r>
      <w:r>
        <w:rPr>
          <w:rFonts w:cs="Tahoma"/>
        </w:rPr>
        <w:t xml:space="preserve"> it is important that the reader is aware of </w:t>
      </w:r>
      <w:r w:rsidR="00C744BA">
        <w:rPr>
          <w:rFonts w:cs="Tahoma"/>
        </w:rPr>
        <w:t>the circumstances whe</w:t>
      </w:r>
      <w:r w:rsidR="009A0125">
        <w:rPr>
          <w:rFonts w:cs="Tahoma"/>
        </w:rPr>
        <w:t>re</w:t>
      </w:r>
      <w:r w:rsidR="00C744BA">
        <w:rPr>
          <w:rFonts w:cs="Tahoma"/>
        </w:rPr>
        <w:t xml:space="preserve"> </w:t>
      </w:r>
      <w:r>
        <w:rPr>
          <w:rFonts w:cs="Tahoma"/>
        </w:rPr>
        <w:t xml:space="preserve">local authorities </w:t>
      </w:r>
      <w:r w:rsidR="00C744BA">
        <w:rPr>
          <w:rFonts w:cs="Tahoma"/>
        </w:rPr>
        <w:t xml:space="preserve">are required </w:t>
      </w:r>
      <w:r>
        <w:rPr>
          <w:rFonts w:cs="Tahoma"/>
        </w:rPr>
        <w:t xml:space="preserve">to notify </w:t>
      </w:r>
      <w:r w:rsidR="00DC2177">
        <w:rPr>
          <w:rFonts w:cs="Tahoma"/>
        </w:rPr>
        <w:t>Ofsted of serious incidents. Full details of the requirements are included in the Notes section</w:t>
      </w:r>
      <w:r w:rsidR="009A0125">
        <w:rPr>
          <w:rFonts w:cs="Tahoma"/>
        </w:rPr>
        <w:t>, on p.</w:t>
      </w:r>
      <w:r w:rsidR="007E4776">
        <w:rPr>
          <w:rFonts w:cs="Tahoma"/>
        </w:rPr>
        <w:t>6</w:t>
      </w:r>
      <w:r w:rsidR="00DC2177">
        <w:rPr>
          <w:rFonts w:cs="Tahoma"/>
        </w:rPr>
        <w:t xml:space="preserve"> </w:t>
      </w:r>
      <w:r w:rsidR="009A0125">
        <w:rPr>
          <w:rFonts w:cs="Tahoma"/>
        </w:rPr>
        <w:t xml:space="preserve">of </w:t>
      </w:r>
      <w:r w:rsidR="00DC2177">
        <w:rPr>
          <w:rFonts w:cs="Tahoma"/>
        </w:rPr>
        <w:t xml:space="preserve">this release. </w:t>
      </w:r>
    </w:p>
    <w:p w:rsidR="00935014" w:rsidRDefault="00935014" w:rsidP="00585F95">
      <w:pPr>
        <w:widowControl w:val="0"/>
        <w:overflowPunct w:val="0"/>
        <w:autoSpaceDE w:val="0"/>
        <w:autoSpaceDN w:val="0"/>
        <w:adjustRightInd w:val="0"/>
        <w:jc w:val="left"/>
        <w:textAlignment w:val="baseline"/>
        <w:rPr>
          <w:rFonts w:cs="Tahoma"/>
        </w:rPr>
      </w:pPr>
    </w:p>
    <w:p w:rsidR="00585F95" w:rsidRDefault="00585F95" w:rsidP="00585F95">
      <w:pPr>
        <w:jc w:val="left"/>
        <w:rPr>
          <w:rFonts w:cs="Tahoma"/>
        </w:rPr>
      </w:pPr>
      <w:r>
        <w:rPr>
          <w:rFonts w:cs="Tahoma"/>
        </w:rPr>
        <w:t>From 1 April 2014 to 31 March 2015</w:t>
      </w:r>
      <w:r w:rsidRPr="00876462">
        <w:rPr>
          <w:rFonts w:cs="Tahoma"/>
        </w:rPr>
        <w:t xml:space="preserve">, Ofsted received </w:t>
      </w:r>
      <w:r w:rsidR="00E52898">
        <w:rPr>
          <w:rFonts w:cs="Tahoma"/>
        </w:rPr>
        <w:t>385</w:t>
      </w:r>
      <w:r w:rsidR="00CE5642">
        <w:rPr>
          <w:rStyle w:val="FootnoteReference"/>
          <w:rFonts w:cs="Tahoma"/>
        </w:rPr>
        <w:footnoteReference w:id="1"/>
      </w:r>
      <w:r w:rsidR="00E52898" w:rsidRPr="00876462">
        <w:rPr>
          <w:rFonts w:cs="Tahoma"/>
        </w:rPr>
        <w:t xml:space="preserve"> </w:t>
      </w:r>
      <w:r>
        <w:rPr>
          <w:rFonts w:cs="Tahoma"/>
        </w:rPr>
        <w:t>s</w:t>
      </w:r>
      <w:r w:rsidRPr="00876462">
        <w:rPr>
          <w:rFonts w:cs="Tahoma"/>
        </w:rPr>
        <w:t xml:space="preserve">erious </w:t>
      </w:r>
      <w:r>
        <w:rPr>
          <w:rFonts w:cs="Tahoma"/>
        </w:rPr>
        <w:t>i</w:t>
      </w:r>
      <w:r w:rsidRPr="00876462">
        <w:rPr>
          <w:rFonts w:cs="Tahoma"/>
        </w:rPr>
        <w:t xml:space="preserve">ncident </w:t>
      </w:r>
      <w:r>
        <w:rPr>
          <w:rFonts w:cs="Tahoma"/>
        </w:rPr>
        <w:t>n</w:t>
      </w:r>
      <w:r w:rsidRPr="00876462">
        <w:rPr>
          <w:rFonts w:cs="Tahoma"/>
        </w:rPr>
        <w:t>otifications</w:t>
      </w:r>
      <w:r>
        <w:rPr>
          <w:rFonts w:cs="Tahoma"/>
        </w:rPr>
        <w:t xml:space="preserve"> from local authorities</w:t>
      </w:r>
      <w:r w:rsidR="00935014">
        <w:rPr>
          <w:rFonts w:cs="Tahoma"/>
        </w:rPr>
        <w:t xml:space="preserve">, </w:t>
      </w:r>
      <w:r w:rsidR="007E4776">
        <w:rPr>
          <w:rFonts w:cs="Tahoma"/>
        </w:rPr>
        <w:t xml:space="preserve">a 29% </w:t>
      </w:r>
      <w:r w:rsidR="00935014">
        <w:rPr>
          <w:rFonts w:cs="Tahoma"/>
        </w:rPr>
        <w:t>increase in the number of notifications from the previous year</w:t>
      </w:r>
      <w:r w:rsidR="00E52898">
        <w:rPr>
          <w:rFonts w:cs="Tahoma"/>
        </w:rPr>
        <w:t xml:space="preserve"> (298)</w:t>
      </w:r>
      <w:r>
        <w:rPr>
          <w:rFonts w:cs="Tahoma"/>
        </w:rPr>
        <w:t>.</w:t>
      </w:r>
      <w:r w:rsidR="00DA415C">
        <w:rPr>
          <w:rFonts w:cs="Tahoma"/>
        </w:rPr>
        <w:t xml:space="preserve"> </w:t>
      </w:r>
    </w:p>
    <w:p w:rsidR="00585F95" w:rsidRDefault="00585F95" w:rsidP="00585F95">
      <w:pPr>
        <w:jc w:val="left"/>
        <w:rPr>
          <w:rFonts w:cs="Tahoma"/>
        </w:rPr>
      </w:pPr>
    </w:p>
    <w:p w:rsidR="009A0125" w:rsidRDefault="009A0125" w:rsidP="009A0125">
      <w:pPr>
        <w:jc w:val="left"/>
        <w:rPr>
          <w:rFonts w:cs="Tahoma"/>
        </w:rPr>
      </w:pPr>
      <w:r w:rsidRPr="00876462">
        <w:rPr>
          <w:rFonts w:cs="Tahoma"/>
        </w:rPr>
        <w:t>The number of notifications received during the time period covered in this statistical release does not necessarily equate to the number of incidents which have occurred within that time period. Some notifications relate to incidents which occurred before 1 April 201</w:t>
      </w:r>
      <w:r>
        <w:rPr>
          <w:rFonts w:cs="Tahoma"/>
        </w:rPr>
        <w:t>4</w:t>
      </w:r>
      <w:r w:rsidRPr="00876462">
        <w:rPr>
          <w:rFonts w:cs="Tahoma"/>
        </w:rPr>
        <w:t>, but about which Ofsted was not notified until after 1 April</w:t>
      </w:r>
      <w:r>
        <w:rPr>
          <w:rFonts w:cs="Tahoma"/>
        </w:rPr>
        <w:t xml:space="preserve"> 2014</w:t>
      </w:r>
      <w:r w:rsidRPr="00876462">
        <w:rPr>
          <w:rFonts w:cs="Tahoma"/>
        </w:rPr>
        <w:t xml:space="preserve">. </w:t>
      </w:r>
    </w:p>
    <w:p w:rsidR="009A0125" w:rsidRDefault="009A0125" w:rsidP="00585F95">
      <w:pPr>
        <w:jc w:val="left"/>
        <w:rPr>
          <w:rFonts w:cs="Tahoma"/>
        </w:rPr>
      </w:pPr>
    </w:p>
    <w:p w:rsidR="001A456F" w:rsidRDefault="001A456F" w:rsidP="00585F95">
      <w:pPr>
        <w:jc w:val="left"/>
        <w:rPr>
          <w:rFonts w:cs="Tahoma"/>
        </w:rPr>
      </w:pPr>
      <w:r>
        <w:rPr>
          <w:rFonts w:cs="Tahoma"/>
        </w:rPr>
        <w:t xml:space="preserve">The increase in the number of notifications could be as a result of a number of factors, such as the impact of the move of Ofsted social care work to </w:t>
      </w:r>
      <w:r w:rsidR="00FA075E">
        <w:rPr>
          <w:rFonts w:cs="Tahoma"/>
        </w:rPr>
        <w:t>eight</w:t>
      </w:r>
      <w:r>
        <w:rPr>
          <w:rFonts w:cs="Tahoma"/>
        </w:rPr>
        <w:t xml:space="preserve"> regions</w:t>
      </w:r>
      <w:r w:rsidR="00FA075E">
        <w:rPr>
          <w:rFonts w:cs="Tahoma"/>
        </w:rPr>
        <w:t xml:space="preserve"> in England. This has led to</w:t>
      </w:r>
      <w:r>
        <w:rPr>
          <w:rFonts w:cs="Tahoma"/>
        </w:rPr>
        <w:t xml:space="preserve"> increased engagement </w:t>
      </w:r>
      <w:r w:rsidR="00FA075E">
        <w:rPr>
          <w:rFonts w:cs="Tahoma"/>
        </w:rPr>
        <w:t>between Ofsted and</w:t>
      </w:r>
      <w:r>
        <w:rPr>
          <w:rFonts w:cs="Tahoma"/>
        </w:rPr>
        <w:t xml:space="preserve"> local authorities</w:t>
      </w:r>
      <w:r w:rsidR="00FA075E">
        <w:rPr>
          <w:rFonts w:cs="Tahoma"/>
        </w:rPr>
        <w:t>, which may have contributed to</w:t>
      </w:r>
      <w:r>
        <w:rPr>
          <w:rFonts w:cs="Tahoma"/>
        </w:rPr>
        <w:t xml:space="preserve"> a more effective and </w:t>
      </w:r>
      <w:r w:rsidR="00E65C61">
        <w:rPr>
          <w:rFonts w:cs="Tahoma"/>
        </w:rPr>
        <w:t>timely</w:t>
      </w:r>
      <w:r>
        <w:rPr>
          <w:rFonts w:cs="Tahoma"/>
        </w:rPr>
        <w:t xml:space="preserve"> reporting of </w:t>
      </w:r>
      <w:r w:rsidR="00FA075E">
        <w:rPr>
          <w:rFonts w:cs="Tahoma"/>
        </w:rPr>
        <w:t>notifiable</w:t>
      </w:r>
      <w:r>
        <w:rPr>
          <w:rFonts w:cs="Tahoma"/>
        </w:rPr>
        <w:t xml:space="preserve"> incidents by local authorities.</w:t>
      </w:r>
    </w:p>
    <w:p w:rsidR="001A456F" w:rsidRDefault="001A456F" w:rsidP="00585F95">
      <w:pPr>
        <w:jc w:val="left"/>
        <w:rPr>
          <w:rFonts w:cs="Tahoma"/>
        </w:rPr>
      </w:pPr>
      <w:r>
        <w:rPr>
          <w:rFonts w:cs="Tahoma"/>
        </w:rPr>
        <w:t xml:space="preserve"> </w:t>
      </w:r>
    </w:p>
    <w:p w:rsidR="00585F95" w:rsidRPr="00876462" w:rsidRDefault="00585F95" w:rsidP="00585F95">
      <w:pPr>
        <w:jc w:val="left"/>
        <w:rPr>
          <w:rFonts w:cs="Tahoma"/>
        </w:rPr>
      </w:pPr>
      <w:r>
        <w:rPr>
          <w:rFonts w:cs="Tahoma"/>
        </w:rPr>
        <w:t xml:space="preserve">Just under half of the </w:t>
      </w:r>
      <w:r w:rsidRPr="00876462">
        <w:rPr>
          <w:rFonts w:cs="Tahoma"/>
        </w:rPr>
        <w:t>notifications</w:t>
      </w:r>
      <w:r>
        <w:rPr>
          <w:rFonts w:cs="Tahoma"/>
        </w:rPr>
        <w:t xml:space="preserve"> </w:t>
      </w:r>
      <w:r w:rsidR="001A456F">
        <w:rPr>
          <w:rFonts w:cs="Tahoma"/>
        </w:rPr>
        <w:t>received</w:t>
      </w:r>
      <w:r w:rsidR="009A0125">
        <w:rPr>
          <w:rFonts w:cs="Tahoma"/>
        </w:rPr>
        <w:t xml:space="preserve"> in the period </w:t>
      </w:r>
      <w:r w:rsidRPr="00876462">
        <w:rPr>
          <w:rFonts w:cs="Tahoma"/>
        </w:rPr>
        <w:t>related to child deaths</w:t>
      </w:r>
      <w:r>
        <w:rPr>
          <w:rFonts w:cs="Tahoma"/>
        </w:rPr>
        <w:t xml:space="preserve"> </w:t>
      </w:r>
      <w:r w:rsidR="008D4C2C">
        <w:rPr>
          <w:rFonts w:cs="Tahoma"/>
        </w:rPr>
        <w:t>(190), which was an increase of 17% from the previous year</w:t>
      </w:r>
      <w:r w:rsidR="001A0CA0">
        <w:rPr>
          <w:rFonts w:cs="Tahoma"/>
        </w:rPr>
        <w:t xml:space="preserve"> (163)</w:t>
      </w:r>
      <w:r w:rsidR="007E4776">
        <w:rPr>
          <w:rFonts w:cs="Tahoma"/>
        </w:rPr>
        <w:t>. Of all notifications,</w:t>
      </w:r>
      <w:r>
        <w:rPr>
          <w:rFonts w:cs="Tahoma"/>
        </w:rPr>
        <w:t xml:space="preserve"> 195 related to </w:t>
      </w:r>
      <w:r w:rsidRPr="00876462">
        <w:rPr>
          <w:rFonts w:cs="Tahoma"/>
        </w:rPr>
        <w:t>incidents</w:t>
      </w:r>
      <w:r>
        <w:rPr>
          <w:rFonts w:cs="Tahoma"/>
        </w:rPr>
        <w:t xml:space="preserve"> of serious harm</w:t>
      </w:r>
      <w:r w:rsidR="008D4C2C">
        <w:rPr>
          <w:rFonts w:cs="Tahoma"/>
        </w:rPr>
        <w:t xml:space="preserve">, an increase of </w:t>
      </w:r>
      <w:r w:rsidR="00DC2177">
        <w:rPr>
          <w:rFonts w:cs="Tahoma"/>
        </w:rPr>
        <w:t xml:space="preserve">44% on the </w:t>
      </w:r>
      <w:r w:rsidR="008D4C2C">
        <w:rPr>
          <w:rFonts w:cs="Tahoma"/>
        </w:rPr>
        <w:t>previous year</w:t>
      </w:r>
      <w:r w:rsidR="00E52898">
        <w:rPr>
          <w:rFonts w:cs="Tahoma"/>
        </w:rPr>
        <w:t xml:space="preserve"> (</w:t>
      </w:r>
      <w:r w:rsidR="001A0CA0">
        <w:rPr>
          <w:rFonts w:cs="Tahoma"/>
        </w:rPr>
        <w:t>135)</w:t>
      </w:r>
      <w:r>
        <w:rPr>
          <w:rFonts w:cs="Tahoma"/>
        </w:rPr>
        <w:t xml:space="preserve">. </w:t>
      </w:r>
    </w:p>
    <w:p w:rsidR="00585F95" w:rsidRPr="00876462" w:rsidRDefault="00585F95" w:rsidP="00585F95">
      <w:pPr>
        <w:jc w:val="left"/>
        <w:rPr>
          <w:rFonts w:cs="Tahoma"/>
        </w:rPr>
      </w:pPr>
    </w:p>
    <w:p w:rsidR="00585F95" w:rsidRPr="00876462" w:rsidRDefault="00585F95" w:rsidP="00585F95">
      <w:pPr>
        <w:jc w:val="left"/>
        <w:rPr>
          <w:rFonts w:cs="Tahoma"/>
        </w:rPr>
      </w:pPr>
      <w:r w:rsidRPr="00876462">
        <w:rPr>
          <w:rFonts w:cs="Tahoma"/>
        </w:rPr>
        <w:t xml:space="preserve">Although each child death has its own, separate, notification, the </w:t>
      </w:r>
      <w:r>
        <w:rPr>
          <w:rFonts w:cs="Tahoma"/>
        </w:rPr>
        <w:t xml:space="preserve">overall </w:t>
      </w:r>
      <w:r w:rsidRPr="00876462">
        <w:rPr>
          <w:rFonts w:cs="Tahoma"/>
        </w:rPr>
        <w:t xml:space="preserve">number of notifications does not equate to the number of children involved in the incidents notified. Notifications involving incidents </w:t>
      </w:r>
      <w:r>
        <w:rPr>
          <w:rFonts w:cs="Tahoma"/>
        </w:rPr>
        <w:t>of serious harm</w:t>
      </w:r>
      <w:r w:rsidR="009A0125">
        <w:rPr>
          <w:rFonts w:cs="Tahoma"/>
        </w:rPr>
        <w:t xml:space="preserve"> –</w:t>
      </w:r>
      <w:r>
        <w:rPr>
          <w:rFonts w:cs="Tahoma"/>
        </w:rPr>
        <w:t xml:space="preserve"> that is</w:t>
      </w:r>
      <w:r w:rsidR="007E7452">
        <w:rPr>
          <w:rFonts w:cs="Tahoma"/>
        </w:rPr>
        <w:t>,</w:t>
      </w:r>
      <w:r>
        <w:rPr>
          <w:rFonts w:cs="Tahoma"/>
        </w:rPr>
        <w:t xml:space="preserve"> other than child death</w:t>
      </w:r>
      <w:r w:rsidRPr="00876462">
        <w:rPr>
          <w:rFonts w:cs="Tahoma"/>
        </w:rPr>
        <w:t xml:space="preserve"> </w:t>
      </w:r>
      <w:r w:rsidR="009A0125">
        <w:rPr>
          <w:rFonts w:cs="Tahoma"/>
        </w:rPr>
        <w:t xml:space="preserve">– </w:t>
      </w:r>
      <w:r w:rsidRPr="00876462">
        <w:rPr>
          <w:rFonts w:cs="Tahoma"/>
        </w:rPr>
        <w:t>sometimes include information on family or non-related groups.</w:t>
      </w:r>
      <w:r w:rsidR="00DA415C">
        <w:rPr>
          <w:rFonts w:cs="Tahoma"/>
        </w:rPr>
        <w:t xml:space="preserve"> </w:t>
      </w:r>
      <w:r w:rsidRPr="00876462">
        <w:rPr>
          <w:rFonts w:cs="Tahoma"/>
        </w:rPr>
        <w:t xml:space="preserve">The </w:t>
      </w:r>
      <w:r>
        <w:rPr>
          <w:rFonts w:cs="Tahoma"/>
        </w:rPr>
        <w:t>195</w:t>
      </w:r>
      <w:r w:rsidRPr="00876462">
        <w:rPr>
          <w:rFonts w:cs="Tahoma"/>
        </w:rPr>
        <w:t xml:space="preserve"> notifications </w:t>
      </w:r>
      <w:r>
        <w:rPr>
          <w:rFonts w:cs="Tahoma"/>
        </w:rPr>
        <w:t xml:space="preserve">of serious harm </w:t>
      </w:r>
      <w:r w:rsidRPr="00876462">
        <w:rPr>
          <w:rFonts w:cs="Tahoma"/>
        </w:rPr>
        <w:t>relate</w:t>
      </w:r>
      <w:r>
        <w:rPr>
          <w:rFonts w:cs="Tahoma"/>
        </w:rPr>
        <w:t>d</w:t>
      </w:r>
      <w:r w:rsidRPr="00876462">
        <w:rPr>
          <w:rFonts w:cs="Tahoma"/>
        </w:rPr>
        <w:t xml:space="preserve"> to </w:t>
      </w:r>
      <w:r w:rsidRPr="00150CBC">
        <w:rPr>
          <w:rFonts w:cs="Tahoma"/>
        </w:rPr>
        <w:t>215</w:t>
      </w:r>
      <w:r>
        <w:rPr>
          <w:rFonts w:cs="Tahoma"/>
        </w:rPr>
        <w:t xml:space="preserve"> </w:t>
      </w:r>
      <w:r w:rsidRPr="00BF1EF8">
        <w:rPr>
          <w:rFonts w:cs="Tahoma"/>
        </w:rPr>
        <w:t>children</w:t>
      </w:r>
      <w:r w:rsidR="00DC2177">
        <w:rPr>
          <w:rFonts w:cs="Tahoma"/>
        </w:rPr>
        <w:t xml:space="preserve"> in the year 2014-15. This compares to </w:t>
      </w:r>
      <w:r w:rsidR="00691566">
        <w:rPr>
          <w:rFonts w:cs="Tahoma"/>
        </w:rPr>
        <w:t xml:space="preserve">135 notifications and 150 children in the </w:t>
      </w:r>
      <w:r w:rsidR="008D4C2C">
        <w:rPr>
          <w:rFonts w:cs="Tahoma"/>
        </w:rPr>
        <w:t>previous year</w:t>
      </w:r>
      <w:r w:rsidR="00691566">
        <w:rPr>
          <w:rFonts w:cs="Tahoma"/>
        </w:rPr>
        <w:t xml:space="preserve"> 2013-14</w:t>
      </w:r>
      <w:r>
        <w:rPr>
          <w:rFonts w:cs="Tahoma"/>
        </w:rPr>
        <w:t xml:space="preserve">. </w:t>
      </w:r>
      <w:r w:rsidRPr="00876462">
        <w:rPr>
          <w:rFonts w:cs="Tahoma"/>
        </w:rPr>
        <w:t>The underlying data for these cases, where it relates to the age range of the child, gives the age range of the child who is identified first in the notification.</w:t>
      </w:r>
    </w:p>
    <w:p w:rsidR="00585F95" w:rsidRPr="00876462" w:rsidRDefault="00585F95" w:rsidP="00585F95">
      <w:pPr>
        <w:jc w:val="left"/>
        <w:rPr>
          <w:rFonts w:cs="Tahoma"/>
        </w:rPr>
      </w:pPr>
    </w:p>
    <w:p w:rsidR="00585F95" w:rsidRDefault="00E17D58" w:rsidP="00585F95">
      <w:pPr>
        <w:jc w:val="left"/>
        <w:rPr>
          <w:rFonts w:cs="Tahoma"/>
        </w:rPr>
      </w:pPr>
      <w:r>
        <w:rPr>
          <w:rFonts w:cs="Tahoma"/>
        </w:rPr>
        <w:t xml:space="preserve">Between 1 April 2014 and </w:t>
      </w:r>
      <w:r w:rsidR="00CE5642">
        <w:rPr>
          <w:rFonts w:cs="Tahoma"/>
        </w:rPr>
        <w:t xml:space="preserve">31 March 2015 </w:t>
      </w:r>
      <w:r>
        <w:rPr>
          <w:rFonts w:cs="Tahoma"/>
        </w:rPr>
        <w:t xml:space="preserve">Ofsted received serious incident notifications from </w:t>
      </w:r>
      <w:r w:rsidR="001208F4">
        <w:rPr>
          <w:rFonts w:cs="Tahoma"/>
        </w:rPr>
        <w:t xml:space="preserve">117 </w:t>
      </w:r>
      <w:r w:rsidR="00F70B21">
        <w:rPr>
          <w:rFonts w:cs="Tahoma"/>
        </w:rPr>
        <w:t>local</w:t>
      </w:r>
      <w:r>
        <w:rPr>
          <w:rFonts w:cs="Tahoma"/>
        </w:rPr>
        <w:t xml:space="preserve"> authorities</w:t>
      </w:r>
      <w:r w:rsidR="001208F4">
        <w:rPr>
          <w:rFonts w:cs="Tahoma"/>
        </w:rPr>
        <w:t>, an</w:t>
      </w:r>
      <w:r w:rsidR="004C3DFF">
        <w:rPr>
          <w:rFonts w:cs="Tahoma"/>
        </w:rPr>
        <w:t xml:space="preserve"> increase </w:t>
      </w:r>
      <w:r w:rsidR="00260F21">
        <w:rPr>
          <w:rFonts w:cs="Tahoma"/>
        </w:rPr>
        <w:t xml:space="preserve">of 14 on </w:t>
      </w:r>
      <w:r w:rsidR="004C3DFF">
        <w:rPr>
          <w:rFonts w:cs="Tahoma"/>
        </w:rPr>
        <w:t xml:space="preserve">the 103 </w:t>
      </w:r>
      <w:r w:rsidR="001208F4">
        <w:rPr>
          <w:rFonts w:cs="Tahoma"/>
        </w:rPr>
        <w:t xml:space="preserve">local authorities </w:t>
      </w:r>
      <w:r w:rsidR="001551A8">
        <w:rPr>
          <w:rFonts w:cs="Tahoma"/>
        </w:rPr>
        <w:t>that</w:t>
      </w:r>
      <w:r>
        <w:rPr>
          <w:rFonts w:cs="Tahoma"/>
        </w:rPr>
        <w:t xml:space="preserve"> reported serious incidents i</w:t>
      </w:r>
      <w:r w:rsidR="001208F4">
        <w:rPr>
          <w:rFonts w:cs="Tahoma"/>
        </w:rPr>
        <w:t>n the</w:t>
      </w:r>
      <w:r w:rsidR="004C3DFF">
        <w:rPr>
          <w:rFonts w:cs="Tahoma"/>
        </w:rPr>
        <w:t xml:space="preserve"> previous year</w:t>
      </w:r>
      <w:r w:rsidR="00F70B21">
        <w:rPr>
          <w:rFonts w:cs="Tahoma"/>
        </w:rPr>
        <w:t>.</w:t>
      </w:r>
    </w:p>
    <w:p w:rsidR="00FA075E" w:rsidRDefault="00FA075E" w:rsidP="00585F95">
      <w:pPr>
        <w:pStyle w:val="Heading3"/>
      </w:pPr>
    </w:p>
    <w:p w:rsidR="00585F95" w:rsidRPr="00876462" w:rsidRDefault="00585F95" w:rsidP="00585F95">
      <w:pPr>
        <w:pStyle w:val="Heading3"/>
      </w:pPr>
      <w:bookmarkStart w:id="7" w:name="_Toc433719521"/>
      <w:r w:rsidRPr="00876462">
        <w:t>Child deaths</w:t>
      </w:r>
      <w:bookmarkEnd w:id="7"/>
    </w:p>
    <w:p w:rsidR="00585F95" w:rsidRPr="00876462" w:rsidRDefault="00585F95" w:rsidP="00585F95">
      <w:pPr>
        <w:jc w:val="left"/>
        <w:rPr>
          <w:rFonts w:cs="Tahoma"/>
        </w:rPr>
      </w:pPr>
      <w:r w:rsidRPr="00876462">
        <w:rPr>
          <w:rFonts w:cs="Tahoma"/>
        </w:rPr>
        <w:t>At the time of a notification being made to Ofsted, the local authority may not have had full information about the cause of a child’s death.</w:t>
      </w:r>
      <w:r w:rsidR="00DA415C">
        <w:rPr>
          <w:rFonts w:cs="Tahoma"/>
        </w:rPr>
        <w:t xml:space="preserve"> </w:t>
      </w:r>
      <w:r w:rsidRPr="00876462">
        <w:rPr>
          <w:rFonts w:cs="Tahoma"/>
        </w:rPr>
        <w:t>Consequently, the authority may not have been able to provide complete information to Ofsted.</w:t>
      </w:r>
    </w:p>
    <w:p w:rsidR="00585F95" w:rsidRPr="00876462" w:rsidRDefault="00585F95" w:rsidP="00585F95">
      <w:pPr>
        <w:jc w:val="left"/>
        <w:rPr>
          <w:rFonts w:cs="Tahoma"/>
        </w:rPr>
      </w:pPr>
    </w:p>
    <w:p w:rsidR="00585F95" w:rsidRDefault="00585F95" w:rsidP="00585F95">
      <w:pPr>
        <w:jc w:val="left"/>
        <w:rPr>
          <w:rFonts w:cs="Tahoma"/>
        </w:rPr>
      </w:pPr>
      <w:proofErr w:type="gramStart"/>
      <w:r w:rsidRPr="00876462">
        <w:rPr>
          <w:rFonts w:cs="Tahoma"/>
        </w:rPr>
        <w:t xml:space="preserve">Where </w:t>
      </w:r>
      <w:r>
        <w:rPr>
          <w:rFonts w:cs="Tahoma"/>
        </w:rPr>
        <w:t xml:space="preserve">further </w:t>
      </w:r>
      <w:r w:rsidRPr="00876462">
        <w:rPr>
          <w:rFonts w:cs="Tahoma"/>
        </w:rPr>
        <w:t>information has be</w:t>
      </w:r>
      <w:r>
        <w:rPr>
          <w:rFonts w:cs="Tahoma"/>
        </w:rPr>
        <w:t>en provided to Ofsted by the local authority since the original notification, for example about</w:t>
      </w:r>
      <w:r w:rsidRPr="00876462">
        <w:rPr>
          <w:rFonts w:cs="Tahoma"/>
        </w:rPr>
        <w:t xml:space="preserve"> post-mortem or inquest findings</w:t>
      </w:r>
      <w:r>
        <w:rPr>
          <w:rFonts w:cs="Tahoma"/>
        </w:rPr>
        <w:t xml:space="preserve"> or</w:t>
      </w:r>
      <w:r w:rsidRPr="00876462">
        <w:rPr>
          <w:rFonts w:cs="Tahoma"/>
        </w:rPr>
        <w:t xml:space="preserve"> criminal convictions</w:t>
      </w:r>
      <w:r>
        <w:rPr>
          <w:rFonts w:cs="Tahoma"/>
        </w:rPr>
        <w:t xml:space="preserve">, </w:t>
      </w:r>
      <w:r w:rsidRPr="00876462">
        <w:rPr>
          <w:rFonts w:cs="Tahoma"/>
        </w:rPr>
        <w:t>Ofsted has used this information to inform the data in the table</w:t>
      </w:r>
      <w:r>
        <w:rPr>
          <w:rFonts w:cs="Tahoma"/>
        </w:rPr>
        <w:t>s</w:t>
      </w:r>
      <w:r w:rsidRPr="00876462">
        <w:rPr>
          <w:rFonts w:cs="Tahoma"/>
        </w:rPr>
        <w:t xml:space="preserve"> below.</w:t>
      </w:r>
      <w:proofErr w:type="gramEnd"/>
      <w:r w:rsidR="00DA415C">
        <w:rPr>
          <w:rFonts w:cs="Tahoma"/>
        </w:rPr>
        <w:t xml:space="preserve"> </w:t>
      </w:r>
      <w:r w:rsidRPr="00876462">
        <w:rPr>
          <w:rFonts w:cs="Tahoma"/>
        </w:rPr>
        <w:t xml:space="preserve">As stated above, the figures for child deaths do not all relate to deaths which occurred during the </w:t>
      </w:r>
      <w:proofErr w:type="gramStart"/>
      <w:r w:rsidRPr="00876462">
        <w:rPr>
          <w:rFonts w:cs="Tahoma"/>
        </w:rPr>
        <w:t>period.</w:t>
      </w:r>
      <w:proofErr w:type="gramEnd"/>
    </w:p>
    <w:p w:rsidR="00585F95" w:rsidRDefault="00585F95" w:rsidP="00585F95">
      <w:pPr>
        <w:jc w:val="left"/>
        <w:rPr>
          <w:rFonts w:cs="Tahoma"/>
        </w:rPr>
      </w:pPr>
    </w:p>
    <w:p w:rsidR="00585F95" w:rsidRDefault="00585F95" w:rsidP="00517FC2">
      <w:pPr>
        <w:pStyle w:val="Subtitle"/>
        <w:rPr>
          <w:sz w:val="22"/>
          <w:szCs w:val="22"/>
        </w:rPr>
      </w:pPr>
      <w:r w:rsidRPr="00585F95">
        <w:rPr>
          <w:sz w:val="22"/>
          <w:szCs w:val="22"/>
        </w:rPr>
        <w:t xml:space="preserve">Table 1: </w:t>
      </w:r>
      <w:r w:rsidR="00D771E8">
        <w:rPr>
          <w:sz w:val="22"/>
          <w:szCs w:val="22"/>
        </w:rPr>
        <w:t xml:space="preserve">Priority </w:t>
      </w:r>
      <w:r w:rsidR="00517FC2">
        <w:rPr>
          <w:sz w:val="22"/>
          <w:szCs w:val="22"/>
        </w:rPr>
        <w:t>c</w:t>
      </w:r>
      <w:r w:rsidRPr="00585F95">
        <w:rPr>
          <w:sz w:val="22"/>
          <w:szCs w:val="22"/>
        </w:rPr>
        <w:t>ause of death for deaths notified to Ofsted between 1 April 2014 and 31 March 2015</w:t>
      </w:r>
    </w:p>
    <w:p w:rsidR="00517FC2" w:rsidRPr="00517FC2" w:rsidRDefault="00517FC2" w:rsidP="00517FC2"/>
    <w:tbl>
      <w:tblPr>
        <w:tblW w:w="8237" w:type="dxa"/>
        <w:tblInd w:w="93" w:type="dxa"/>
        <w:tblLook w:val="04A0" w:firstRow="1" w:lastRow="0" w:firstColumn="1" w:lastColumn="0" w:noHBand="0" w:noVBand="1"/>
      </w:tblPr>
      <w:tblGrid>
        <w:gridCol w:w="5969"/>
        <w:gridCol w:w="1134"/>
        <w:gridCol w:w="1134"/>
      </w:tblGrid>
      <w:tr w:rsidR="00D771E8" w:rsidRPr="00D771E8" w:rsidTr="00D771E8">
        <w:trPr>
          <w:trHeight w:val="255"/>
        </w:trPr>
        <w:tc>
          <w:tcPr>
            <w:tcW w:w="5969" w:type="dxa"/>
            <w:tcBorders>
              <w:top w:val="single" w:sz="4" w:space="0" w:color="auto"/>
              <w:left w:val="nil"/>
              <w:bottom w:val="single" w:sz="4" w:space="0" w:color="auto"/>
              <w:right w:val="nil"/>
            </w:tcBorders>
            <w:shd w:val="clear" w:color="auto" w:fill="auto"/>
            <w:noWrap/>
            <w:vAlign w:val="bottom"/>
            <w:hideMark/>
          </w:tcPr>
          <w:p w:rsidR="00D771E8" w:rsidRPr="00824D50" w:rsidRDefault="00517FC2" w:rsidP="00D771E8">
            <w:pPr>
              <w:jc w:val="left"/>
              <w:rPr>
                <w:rFonts w:cs="Tahoma"/>
                <w:color w:val="000000"/>
                <w:szCs w:val="20"/>
              </w:rPr>
            </w:pPr>
            <w:r>
              <w:rPr>
                <w:rFonts w:cs="Tahoma"/>
                <w:color w:val="000000"/>
                <w:szCs w:val="20"/>
              </w:rPr>
              <w:t>Priority Cau</w:t>
            </w:r>
            <w:r w:rsidR="00D771E8" w:rsidRPr="00824D50">
              <w:rPr>
                <w:rFonts w:cs="Tahoma"/>
                <w:color w:val="000000"/>
                <w:szCs w:val="20"/>
              </w:rPr>
              <w:t>se</w:t>
            </w:r>
          </w:p>
        </w:tc>
        <w:tc>
          <w:tcPr>
            <w:tcW w:w="1134"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Number</w:t>
            </w:r>
          </w:p>
        </w:tc>
        <w:tc>
          <w:tcPr>
            <w:tcW w:w="1134"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Killing/non-accidental injury by parent or carer</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39</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20.5</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Unknown or unascertained</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38</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20.0</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Dangerous behaviour (incl. substance misuse)</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34</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17.9</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Natural causes (incl. life limiting disability and illness)</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31</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16.3</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Accidents (including possible overlay)</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31</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16.3</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Killing/non-accidental injury by unrelated person</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12</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6.3</w:t>
            </w:r>
          </w:p>
        </w:tc>
      </w:tr>
      <w:tr w:rsidR="00D771E8" w:rsidRPr="00D771E8" w:rsidTr="00D771E8">
        <w:trPr>
          <w:trHeight w:val="255"/>
        </w:trPr>
        <w:tc>
          <w:tcPr>
            <w:tcW w:w="5969"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Neglect</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5</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2.6</w:t>
            </w:r>
          </w:p>
        </w:tc>
      </w:tr>
      <w:tr w:rsidR="00D771E8" w:rsidRPr="00D771E8" w:rsidTr="00D771E8">
        <w:trPr>
          <w:trHeight w:val="255"/>
        </w:trPr>
        <w:tc>
          <w:tcPr>
            <w:tcW w:w="5969" w:type="dxa"/>
            <w:tcBorders>
              <w:top w:val="single" w:sz="4" w:space="0" w:color="auto"/>
              <w:left w:val="nil"/>
              <w:bottom w:val="single" w:sz="4" w:space="0" w:color="auto"/>
              <w:right w:val="nil"/>
            </w:tcBorders>
            <w:shd w:val="clear" w:color="auto" w:fill="auto"/>
            <w:noWrap/>
            <w:vAlign w:val="bottom"/>
            <w:hideMark/>
          </w:tcPr>
          <w:p w:rsidR="00D771E8" w:rsidRPr="00824D50" w:rsidRDefault="00D771E8" w:rsidP="00FA075E">
            <w:pPr>
              <w:jc w:val="left"/>
              <w:rPr>
                <w:rFonts w:cs="Tahoma"/>
                <w:color w:val="000000"/>
                <w:szCs w:val="20"/>
              </w:rPr>
            </w:pPr>
            <w:r w:rsidRPr="00824D50">
              <w:rPr>
                <w:rFonts w:cs="Tahoma"/>
                <w:color w:val="000000"/>
                <w:szCs w:val="20"/>
              </w:rPr>
              <w:t xml:space="preserve">Total </w:t>
            </w:r>
            <w:r w:rsidR="00FA075E">
              <w:rPr>
                <w:rFonts w:cs="Tahoma"/>
                <w:color w:val="000000"/>
                <w:szCs w:val="20"/>
              </w:rPr>
              <w:t>cause of death</w:t>
            </w:r>
          </w:p>
        </w:tc>
        <w:tc>
          <w:tcPr>
            <w:tcW w:w="1134"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190</w:t>
            </w:r>
          </w:p>
        </w:tc>
        <w:tc>
          <w:tcPr>
            <w:tcW w:w="1134"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100</w:t>
            </w:r>
          </w:p>
        </w:tc>
      </w:tr>
    </w:tbl>
    <w:p w:rsidR="00D771E8" w:rsidRDefault="00D771E8" w:rsidP="00585F95">
      <w:pPr>
        <w:widowControl w:val="0"/>
        <w:overflowPunct w:val="0"/>
        <w:autoSpaceDE w:val="0"/>
        <w:autoSpaceDN w:val="0"/>
        <w:adjustRightInd w:val="0"/>
        <w:jc w:val="left"/>
        <w:textAlignment w:val="baseline"/>
        <w:rPr>
          <w:rFonts w:cs="Tahoma"/>
        </w:rPr>
      </w:pPr>
    </w:p>
    <w:p w:rsidR="00585F95" w:rsidRPr="00876462" w:rsidRDefault="00585F95" w:rsidP="00585F95">
      <w:pPr>
        <w:jc w:val="left"/>
        <w:rPr>
          <w:rFonts w:cs="Tahoma"/>
        </w:rPr>
      </w:pPr>
      <w:r>
        <w:rPr>
          <w:rFonts w:cs="Tahoma"/>
        </w:rPr>
        <w:t>Child death notifications have been categorised according to the latest information provided to Ofsted by</w:t>
      </w:r>
      <w:r w:rsidR="007E7452">
        <w:rPr>
          <w:rFonts w:cs="Tahoma"/>
        </w:rPr>
        <w:t xml:space="preserve"> the</w:t>
      </w:r>
      <w:r>
        <w:rPr>
          <w:rFonts w:cs="Tahoma"/>
        </w:rPr>
        <w:t xml:space="preserve"> local authority about what was understood to be the cause of the child’s death.</w:t>
      </w:r>
    </w:p>
    <w:p w:rsidR="00585F95" w:rsidRPr="00F614F6" w:rsidRDefault="00585F95" w:rsidP="00585F95">
      <w:pPr>
        <w:jc w:val="left"/>
        <w:rPr>
          <w:rFonts w:cs="Tahoma"/>
        </w:rPr>
      </w:pPr>
    </w:p>
    <w:p w:rsidR="00585F95" w:rsidRDefault="00585F95" w:rsidP="00585F95">
      <w:pPr>
        <w:jc w:val="left"/>
        <w:rPr>
          <w:rFonts w:cs="Tahoma"/>
        </w:rPr>
      </w:pPr>
      <w:r w:rsidRPr="00F614F6">
        <w:rPr>
          <w:rFonts w:cs="Tahoma"/>
        </w:rPr>
        <w:t xml:space="preserve">The term ‘dangerous behaviour’ has been used to signify actions by a child or young person </w:t>
      </w:r>
      <w:proofErr w:type="gramStart"/>
      <w:r w:rsidRPr="00F614F6">
        <w:rPr>
          <w:rFonts w:cs="Tahoma"/>
        </w:rPr>
        <w:t>which</w:t>
      </w:r>
      <w:proofErr w:type="gramEnd"/>
      <w:r w:rsidRPr="00F614F6">
        <w:rPr>
          <w:rFonts w:cs="Tahoma"/>
        </w:rPr>
        <w:t xml:space="preserve"> put them at risk of injury or death, including suspected suicides.</w:t>
      </w:r>
    </w:p>
    <w:p w:rsidR="00585F95" w:rsidRPr="00F614F6" w:rsidRDefault="00DA415C" w:rsidP="00585F95">
      <w:pPr>
        <w:jc w:val="left"/>
        <w:rPr>
          <w:rFonts w:cs="Tahoma"/>
        </w:rPr>
      </w:pPr>
      <w:r>
        <w:rPr>
          <w:rFonts w:cs="Tahoma"/>
        </w:rPr>
        <w:t xml:space="preserve"> </w:t>
      </w:r>
    </w:p>
    <w:p w:rsidR="00585F95" w:rsidRPr="00F614F6" w:rsidRDefault="00585F95" w:rsidP="00585F95">
      <w:pPr>
        <w:jc w:val="left"/>
        <w:rPr>
          <w:rFonts w:cs="Tahoma"/>
        </w:rPr>
      </w:pPr>
      <w:r>
        <w:rPr>
          <w:rFonts w:cs="Tahoma"/>
        </w:rPr>
        <w:t xml:space="preserve">Of the 31 children who were reported as dying from natural causes, </w:t>
      </w:r>
      <w:r w:rsidRPr="00150CBC">
        <w:rPr>
          <w:rFonts w:cs="Tahoma"/>
        </w:rPr>
        <w:t>18</w:t>
      </w:r>
      <w:r>
        <w:rPr>
          <w:rFonts w:cs="Tahoma"/>
        </w:rPr>
        <w:t xml:space="preserve"> were children looked after. </w:t>
      </w:r>
    </w:p>
    <w:p w:rsidR="00585F95" w:rsidRPr="00F614F6" w:rsidRDefault="00585F95" w:rsidP="00585F95">
      <w:pPr>
        <w:jc w:val="left"/>
        <w:rPr>
          <w:rFonts w:cs="Tahoma"/>
        </w:rPr>
      </w:pPr>
    </w:p>
    <w:p w:rsidR="00585F95" w:rsidRPr="00F614F6" w:rsidRDefault="00585F95" w:rsidP="00585F95">
      <w:pPr>
        <w:jc w:val="left"/>
        <w:rPr>
          <w:rFonts w:cs="Tahoma"/>
        </w:rPr>
      </w:pPr>
      <w:r w:rsidRPr="00F614F6">
        <w:rPr>
          <w:rFonts w:cs="Tahoma"/>
        </w:rPr>
        <w:t>There are some deaths that remain unexplained or where the cause of death is not known.</w:t>
      </w:r>
      <w:r w:rsidR="00DA415C">
        <w:rPr>
          <w:rFonts w:cs="Tahoma"/>
        </w:rPr>
        <w:t xml:space="preserve"> </w:t>
      </w:r>
      <w:r w:rsidRPr="00F614F6">
        <w:rPr>
          <w:rFonts w:cs="Tahoma"/>
        </w:rPr>
        <w:t>This occurs where, for example, the results of a post-mortem may be inconclusive or where it has not been possible for the agencies investigating the death to fully ascertain the circumstances.</w:t>
      </w:r>
      <w:r w:rsidR="00DA415C">
        <w:rPr>
          <w:rFonts w:cs="Tahoma"/>
        </w:rPr>
        <w:t xml:space="preserve"> </w:t>
      </w:r>
    </w:p>
    <w:p w:rsidR="00585F95" w:rsidRPr="00F614F6" w:rsidRDefault="00585F95" w:rsidP="00585F95">
      <w:pPr>
        <w:jc w:val="left"/>
        <w:rPr>
          <w:rFonts w:cs="Tahoma"/>
        </w:rPr>
      </w:pPr>
      <w:r w:rsidRPr="00F614F6">
        <w:rPr>
          <w:rFonts w:cs="Tahoma"/>
        </w:rPr>
        <w:t xml:space="preserve"> </w:t>
      </w:r>
    </w:p>
    <w:p w:rsidR="00585F95" w:rsidRPr="00F614F6" w:rsidRDefault="00585F95" w:rsidP="00585F95">
      <w:pPr>
        <w:pStyle w:val="Heading3"/>
      </w:pPr>
      <w:r w:rsidRPr="003E1F25">
        <w:br w:type="page"/>
      </w:r>
      <w:bookmarkStart w:id="8" w:name="_Toc433719522"/>
      <w:r w:rsidRPr="00F614F6">
        <w:t xml:space="preserve">Serious </w:t>
      </w:r>
      <w:r>
        <w:t>harm</w:t>
      </w:r>
      <w:bookmarkEnd w:id="8"/>
    </w:p>
    <w:p w:rsidR="00585F95" w:rsidRDefault="00585F95" w:rsidP="00585F95">
      <w:pPr>
        <w:jc w:val="left"/>
        <w:rPr>
          <w:rFonts w:cs="Tahoma"/>
        </w:rPr>
      </w:pPr>
      <w:r w:rsidRPr="00F614F6">
        <w:rPr>
          <w:rFonts w:cs="Tahoma"/>
        </w:rPr>
        <w:t>From 1 April 201</w:t>
      </w:r>
      <w:r>
        <w:rPr>
          <w:rFonts w:cs="Tahoma"/>
        </w:rPr>
        <w:t>4</w:t>
      </w:r>
      <w:r w:rsidRPr="00F614F6">
        <w:rPr>
          <w:rFonts w:cs="Tahoma"/>
        </w:rPr>
        <w:t xml:space="preserve"> to 31 March 201</w:t>
      </w:r>
      <w:r>
        <w:rPr>
          <w:rFonts w:cs="Tahoma"/>
        </w:rPr>
        <w:t>5</w:t>
      </w:r>
      <w:r w:rsidRPr="00F614F6">
        <w:rPr>
          <w:rFonts w:cs="Tahoma"/>
        </w:rPr>
        <w:t xml:space="preserve">, </w:t>
      </w:r>
      <w:r>
        <w:rPr>
          <w:rFonts w:cs="Tahoma"/>
        </w:rPr>
        <w:t>Ofsted received 195</w:t>
      </w:r>
      <w:r w:rsidRPr="00F614F6">
        <w:rPr>
          <w:rFonts w:cs="Tahoma"/>
        </w:rPr>
        <w:t xml:space="preserve"> notifications of incidents</w:t>
      </w:r>
      <w:r>
        <w:rPr>
          <w:rFonts w:cs="Tahoma"/>
        </w:rPr>
        <w:t xml:space="preserve"> of serious harm that did not involve </w:t>
      </w:r>
      <w:r w:rsidRPr="00F614F6">
        <w:rPr>
          <w:rFonts w:cs="Tahoma"/>
        </w:rPr>
        <w:t xml:space="preserve">the death of a child. These </w:t>
      </w:r>
      <w:r w:rsidRPr="00070E60">
        <w:rPr>
          <w:rFonts w:cs="Tahoma"/>
        </w:rPr>
        <w:t xml:space="preserve">related to </w:t>
      </w:r>
      <w:r w:rsidRPr="00150CBC">
        <w:rPr>
          <w:rFonts w:cs="Tahoma"/>
        </w:rPr>
        <w:t>215</w:t>
      </w:r>
      <w:r w:rsidRPr="00070E60">
        <w:rPr>
          <w:rFonts w:cs="Tahoma"/>
        </w:rPr>
        <w:t xml:space="preserve"> children</w:t>
      </w:r>
      <w:r w:rsidR="000A56A4">
        <w:rPr>
          <w:rFonts w:cs="Tahoma"/>
        </w:rPr>
        <w:t>. In the previous year</w:t>
      </w:r>
      <w:r w:rsidR="006E5B0C">
        <w:rPr>
          <w:rFonts w:cs="Tahoma"/>
        </w:rPr>
        <w:t>,</w:t>
      </w:r>
      <w:r w:rsidR="000A56A4">
        <w:rPr>
          <w:rFonts w:cs="Tahoma"/>
        </w:rPr>
        <w:t xml:space="preserve"> 2013-14</w:t>
      </w:r>
      <w:r w:rsidR="006E5B0C">
        <w:rPr>
          <w:rFonts w:cs="Tahoma"/>
        </w:rPr>
        <w:t>,</w:t>
      </w:r>
      <w:r w:rsidR="000A56A4">
        <w:rPr>
          <w:rFonts w:cs="Tahoma"/>
        </w:rPr>
        <w:t xml:space="preserve"> Ofsted received 130 notifications which related to 150 children.</w:t>
      </w:r>
      <w:r w:rsidR="006D41FF">
        <w:rPr>
          <w:rFonts w:cs="Tahoma"/>
        </w:rPr>
        <w:t xml:space="preserve"> </w:t>
      </w:r>
    </w:p>
    <w:p w:rsidR="00585F95" w:rsidRPr="00F614F6" w:rsidRDefault="00585F95" w:rsidP="00585F95">
      <w:pPr>
        <w:jc w:val="left"/>
        <w:rPr>
          <w:rFonts w:cs="Tahoma"/>
        </w:rPr>
      </w:pPr>
    </w:p>
    <w:p w:rsidR="00585F95" w:rsidRPr="00F614F6" w:rsidRDefault="00585F95" w:rsidP="00585F95">
      <w:pPr>
        <w:jc w:val="left"/>
        <w:rPr>
          <w:rFonts w:cs="Tahoma"/>
        </w:rPr>
      </w:pPr>
      <w:r w:rsidRPr="00F614F6">
        <w:rPr>
          <w:rFonts w:cs="Tahoma"/>
        </w:rPr>
        <w:t>At the time of a notification being made to Ofsted, the local authority may not have had full information about the serious incident.</w:t>
      </w:r>
      <w:r w:rsidR="00DA415C">
        <w:rPr>
          <w:rFonts w:cs="Tahoma"/>
        </w:rPr>
        <w:t xml:space="preserve"> </w:t>
      </w:r>
      <w:r w:rsidRPr="00F614F6">
        <w:rPr>
          <w:rFonts w:cs="Tahoma"/>
        </w:rPr>
        <w:t>Consequently, the authority may not have been able to provide complete information to Ofsted.</w:t>
      </w:r>
      <w:r w:rsidR="00DA415C">
        <w:rPr>
          <w:rFonts w:cs="Tahoma"/>
        </w:rPr>
        <w:t xml:space="preserve"> </w:t>
      </w:r>
    </w:p>
    <w:p w:rsidR="00585F95" w:rsidRPr="00F614F6" w:rsidRDefault="00585F95" w:rsidP="00585F95">
      <w:pPr>
        <w:jc w:val="left"/>
        <w:rPr>
          <w:rFonts w:cs="Tahoma"/>
        </w:rPr>
      </w:pPr>
    </w:p>
    <w:p w:rsidR="00585F95" w:rsidRPr="00F614F6" w:rsidRDefault="00585F95" w:rsidP="00585F95">
      <w:pPr>
        <w:jc w:val="left"/>
        <w:rPr>
          <w:rFonts w:cs="Tahoma"/>
        </w:rPr>
      </w:pPr>
      <w:r w:rsidRPr="00F614F6">
        <w:rPr>
          <w:rFonts w:cs="Tahoma"/>
        </w:rPr>
        <w:t>Where information has become available subsequent to the notification being made, such as criminal convictions or further information from the local authority, Ofsted has used this information to inform the data in the table below. The table categorises the incidents by numbers of notifications and not numbers of children.</w:t>
      </w:r>
    </w:p>
    <w:p w:rsidR="00585F95" w:rsidRPr="00F614F6" w:rsidRDefault="00DA415C" w:rsidP="00585F95">
      <w:pPr>
        <w:jc w:val="left"/>
        <w:rPr>
          <w:rFonts w:cs="Tahoma"/>
        </w:rPr>
      </w:pPr>
      <w:r>
        <w:rPr>
          <w:rFonts w:cs="Tahoma"/>
        </w:rPr>
        <w:t xml:space="preserve"> </w:t>
      </w:r>
    </w:p>
    <w:p w:rsidR="00585F95" w:rsidRPr="00585F95" w:rsidRDefault="00585F95" w:rsidP="00585F95">
      <w:pPr>
        <w:pStyle w:val="Subtitle"/>
        <w:rPr>
          <w:sz w:val="22"/>
          <w:szCs w:val="22"/>
        </w:rPr>
      </w:pPr>
      <w:r w:rsidRPr="00585F95">
        <w:rPr>
          <w:sz w:val="22"/>
          <w:szCs w:val="22"/>
        </w:rPr>
        <w:t xml:space="preserve">Table 2: </w:t>
      </w:r>
      <w:r w:rsidR="00D771E8">
        <w:rPr>
          <w:sz w:val="22"/>
          <w:szCs w:val="22"/>
        </w:rPr>
        <w:t xml:space="preserve">Priority cause of </w:t>
      </w:r>
      <w:r w:rsidRPr="00585F95">
        <w:rPr>
          <w:sz w:val="22"/>
          <w:szCs w:val="22"/>
        </w:rPr>
        <w:t xml:space="preserve">serious harm </w:t>
      </w:r>
      <w:r w:rsidR="00D771E8">
        <w:rPr>
          <w:sz w:val="22"/>
          <w:szCs w:val="22"/>
        </w:rPr>
        <w:t xml:space="preserve">for incidents </w:t>
      </w:r>
      <w:r w:rsidRPr="00585F95">
        <w:rPr>
          <w:sz w:val="22"/>
          <w:szCs w:val="22"/>
        </w:rPr>
        <w:t>notified to Ofsted between 1 April 2014 and 31 March 2015</w:t>
      </w:r>
    </w:p>
    <w:p w:rsidR="00585F95" w:rsidRDefault="00585F95" w:rsidP="00585F95">
      <w:pPr>
        <w:widowControl w:val="0"/>
        <w:overflowPunct w:val="0"/>
        <w:autoSpaceDE w:val="0"/>
        <w:autoSpaceDN w:val="0"/>
        <w:adjustRightInd w:val="0"/>
        <w:jc w:val="left"/>
        <w:textAlignment w:val="baseline"/>
        <w:rPr>
          <w:rFonts w:cs="Tahoma"/>
        </w:rPr>
      </w:pPr>
    </w:p>
    <w:tbl>
      <w:tblPr>
        <w:tblW w:w="8095" w:type="dxa"/>
        <w:tblInd w:w="93" w:type="dxa"/>
        <w:tblLook w:val="04A0" w:firstRow="1" w:lastRow="0" w:firstColumn="1" w:lastColumn="0" w:noHBand="0" w:noVBand="1"/>
      </w:tblPr>
      <w:tblGrid>
        <w:gridCol w:w="5544"/>
        <w:gridCol w:w="1134"/>
        <w:gridCol w:w="1417"/>
      </w:tblGrid>
      <w:tr w:rsidR="00D771E8" w:rsidRPr="00D771E8" w:rsidTr="00824D50">
        <w:trPr>
          <w:trHeight w:val="255"/>
        </w:trPr>
        <w:tc>
          <w:tcPr>
            <w:tcW w:w="5544" w:type="dxa"/>
            <w:tcBorders>
              <w:top w:val="single" w:sz="4" w:space="0" w:color="auto"/>
              <w:left w:val="nil"/>
              <w:bottom w:val="single" w:sz="4" w:space="0" w:color="auto"/>
              <w:right w:val="nil"/>
            </w:tcBorders>
            <w:shd w:val="clear" w:color="auto" w:fill="auto"/>
            <w:noWrap/>
            <w:vAlign w:val="bottom"/>
            <w:hideMark/>
          </w:tcPr>
          <w:p w:rsidR="00D771E8" w:rsidRPr="00824D50" w:rsidRDefault="000A56A4" w:rsidP="00D771E8">
            <w:pPr>
              <w:jc w:val="left"/>
              <w:rPr>
                <w:rFonts w:cs="Tahoma"/>
                <w:color w:val="000000"/>
                <w:szCs w:val="20"/>
              </w:rPr>
            </w:pPr>
            <w:r>
              <w:rPr>
                <w:rFonts w:cs="Tahoma"/>
                <w:color w:val="000000"/>
                <w:szCs w:val="20"/>
              </w:rPr>
              <w:t>Priority Cau</w:t>
            </w:r>
            <w:r w:rsidR="00D771E8" w:rsidRPr="00824D50">
              <w:rPr>
                <w:rFonts w:cs="Tahoma"/>
                <w:color w:val="000000"/>
                <w:szCs w:val="20"/>
              </w:rPr>
              <w:t>se</w:t>
            </w:r>
          </w:p>
        </w:tc>
        <w:tc>
          <w:tcPr>
            <w:tcW w:w="1134"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Number</w:t>
            </w:r>
          </w:p>
        </w:tc>
        <w:tc>
          <w:tcPr>
            <w:tcW w:w="1417"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Sexual abuse/CSE by unrelated person</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61</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31.3</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Non-accidental injury by parent or carer</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55</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28.2</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Neglect by parent or carer</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25</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12.8</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Other (incl. unknown or unascertained)</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24</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12.3</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Sexual abuse by family member</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13</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6.7</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Self-harm/Dangerous behaviour</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8</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4.1</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Non-accidental injury by unrelated person</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6</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3.1</w:t>
            </w:r>
          </w:p>
        </w:tc>
      </w:tr>
      <w:tr w:rsidR="00D771E8" w:rsidRPr="00D771E8" w:rsidTr="00824D50">
        <w:trPr>
          <w:trHeight w:val="255"/>
        </w:trPr>
        <w:tc>
          <w:tcPr>
            <w:tcW w:w="5544" w:type="dxa"/>
            <w:tcBorders>
              <w:top w:val="nil"/>
              <w:left w:val="nil"/>
              <w:bottom w:val="nil"/>
              <w:right w:val="nil"/>
            </w:tcBorders>
            <w:shd w:val="clear" w:color="auto" w:fill="auto"/>
            <w:noWrap/>
            <w:vAlign w:val="bottom"/>
            <w:hideMark/>
          </w:tcPr>
          <w:p w:rsidR="00D771E8" w:rsidRPr="00824D50" w:rsidRDefault="00D771E8" w:rsidP="00D771E8">
            <w:pPr>
              <w:jc w:val="left"/>
              <w:rPr>
                <w:rFonts w:cs="Tahoma"/>
                <w:color w:val="000000"/>
                <w:szCs w:val="20"/>
              </w:rPr>
            </w:pPr>
            <w:r w:rsidRPr="00824D50">
              <w:rPr>
                <w:rFonts w:cs="Tahoma"/>
                <w:color w:val="000000"/>
                <w:szCs w:val="20"/>
              </w:rPr>
              <w:t>Accidents</w:t>
            </w:r>
          </w:p>
        </w:tc>
        <w:tc>
          <w:tcPr>
            <w:tcW w:w="1134"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3</w:t>
            </w:r>
          </w:p>
        </w:tc>
        <w:tc>
          <w:tcPr>
            <w:tcW w:w="1417" w:type="dxa"/>
            <w:tcBorders>
              <w:top w:val="nil"/>
              <w:left w:val="nil"/>
              <w:bottom w:val="nil"/>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1.5</w:t>
            </w:r>
          </w:p>
        </w:tc>
      </w:tr>
      <w:tr w:rsidR="00D771E8" w:rsidRPr="00D771E8" w:rsidTr="00824D50">
        <w:trPr>
          <w:trHeight w:val="255"/>
        </w:trPr>
        <w:tc>
          <w:tcPr>
            <w:tcW w:w="5544" w:type="dxa"/>
            <w:tcBorders>
              <w:top w:val="single" w:sz="4" w:space="0" w:color="auto"/>
              <w:left w:val="nil"/>
              <w:bottom w:val="single" w:sz="4" w:space="0" w:color="auto"/>
              <w:right w:val="nil"/>
            </w:tcBorders>
            <w:shd w:val="clear" w:color="auto" w:fill="auto"/>
            <w:noWrap/>
            <w:vAlign w:val="bottom"/>
            <w:hideMark/>
          </w:tcPr>
          <w:p w:rsidR="00D771E8" w:rsidRPr="00824D50" w:rsidRDefault="00D771E8" w:rsidP="00FA075E">
            <w:pPr>
              <w:jc w:val="left"/>
              <w:rPr>
                <w:rFonts w:cs="Tahoma"/>
                <w:color w:val="000000"/>
                <w:szCs w:val="20"/>
              </w:rPr>
            </w:pPr>
            <w:r w:rsidRPr="00824D50">
              <w:rPr>
                <w:rFonts w:cs="Tahoma"/>
                <w:color w:val="000000"/>
                <w:szCs w:val="20"/>
              </w:rPr>
              <w:t xml:space="preserve">Total </w:t>
            </w:r>
            <w:r w:rsidR="00FA075E">
              <w:rPr>
                <w:rFonts w:cs="Tahoma"/>
                <w:color w:val="000000"/>
                <w:szCs w:val="20"/>
              </w:rPr>
              <w:t xml:space="preserve">cause of </w:t>
            </w:r>
            <w:r w:rsidR="006E5B0C">
              <w:rPr>
                <w:rFonts w:cs="Tahoma"/>
                <w:color w:val="000000"/>
                <w:szCs w:val="20"/>
              </w:rPr>
              <w:t>serious harm</w:t>
            </w:r>
          </w:p>
        </w:tc>
        <w:tc>
          <w:tcPr>
            <w:tcW w:w="1134"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195</w:t>
            </w:r>
          </w:p>
        </w:tc>
        <w:tc>
          <w:tcPr>
            <w:tcW w:w="1417" w:type="dxa"/>
            <w:tcBorders>
              <w:top w:val="single" w:sz="4" w:space="0" w:color="auto"/>
              <w:left w:val="nil"/>
              <w:bottom w:val="single" w:sz="4" w:space="0" w:color="auto"/>
              <w:right w:val="nil"/>
            </w:tcBorders>
            <w:shd w:val="clear" w:color="auto" w:fill="auto"/>
            <w:noWrap/>
            <w:vAlign w:val="center"/>
            <w:hideMark/>
          </w:tcPr>
          <w:p w:rsidR="00D771E8" w:rsidRPr="00824D50" w:rsidRDefault="00D771E8" w:rsidP="00D771E8">
            <w:pPr>
              <w:jc w:val="center"/>
              <w:rPr>
                <w:rFonts w:cs="Tahoma"/>
                <w:color w:val="000000"/>
                <w:szCs w:val="20"/>
              </w:rPr>
            </w:pPr>
            <w:r w:rsidRPr="00824D50">
              <w:rPr>
                <w:rFonts w:cs="Tahoma"/>
                <w:color w:val="000000"/>
                <w:szCs w:val="20"/>
              </w:rPr>
              <w:t>100</w:t>
            </w:r>
          </w:p>
        </w:tc>
      </w:tr>
    </w:tbl>
    <w:p w:rsidR="00585F95" w:rsidRDefault="00585F95" w:rsidP="00585F95">
      <w:pPr>
        <w:jc w:val="left"/>
        <w:rPr>
          <w:rFonts w:cs="Tahoma"/>
          <w:b/>
        </w:rPr>
      </w:pPr>
    </w:p>
    <w:p w:rsidR="00585F95" w:rsidRPr="00F614F6" w:rsidRDefault="00585F95" w:rsidP="00585F95">
      <w:pPr>
        <w:pStyle w:val="Heading3"/>
      </w:pPr>
      <w:bookmarkStart w:id="9" w:name="_Toc433719523"/>
      <w:r w:rsidRPr="00F614F6">
        <w:t>Serious case reviews</w:t>
      </w:r>
      <w:bookmarkEnd w:id="9"/>
    </w:p>
    <w:p w:rsidR="00585F95" w:rsidRPr="00F614F6" w:rsidRDefault="00585F95" w:rsidP="00585F95">
      <w:pPr>
        <w:jc w:val="left"/>
        <w:rPr>
          <w:rFonts w:cs="Tahoma"/>
        </w:rPr>
      </w:pPr>
      <w:r w:rsidRPr="00F614F6">
        <w:rPr>
          <w:rFonts w:cs="Tahoma"/>
        </w:rPr>
        <w:t xml:space="preserve">The Local Safeguarding Children Board (LSCB) in a local authority area has the responsibility for deciding whether a serious incident meets the criteria for </w:t>
      </w:r>
      <w:r w:rsidR="00EB27E6">
        <w:rPr>
          <w:rFonts w:cs="Tahoma"/>
        </w:rPr>
        <w:t>instig</w:t>
      </w:r>
      <w:r>
        <w:rPr>
          <w:rFonts w:cs="Tahoma"/>
        </w:rPr>
        <w:t xml:space="preserve">ating </w:t>
      </w:r>
      <w:r w:rsidRPr="00F614F6">
        <w:rPr>
          <w:rFonts w:cs="Tahoma"/>
        </w:rPr>
        <w:t xml:space="preserve">a serious case review. </w:t>
      </w:r>
    </w:p>
    <w:p w:rsidR="00585F95" w:rsidRPr="00F614F6" w:rsidRDefault="00585F95" w:rsidP="00585F95">
      <w:pPr>
        <w:jc w:val="left"/>
        <w:rPr>
          <w:rFonts w:cs="Tahoma"/>
        </w:rPr>
      </w:pPr>
    </w:p>
    <w:p w:rsidR="006D41FF" w:rsidRDefault="00585F95" w:rsidP="00585F95">
      <w:pPr>
        <w:jc w:val="left"/>
        <w:rPr>
          <w:rFonts w:cs="Tahoma"/>
        </w:rPr>
      </w:pPr>
      <w:r>
        <w:rPr>
          <w:rFonts w:cs="Tahoma"/>
        </w:rPr>
        <w:t>For</w:t>
      </w:r>
      <w:r w:rsidRPr="00BF1EF8">
        <w:rPr>
          <w:rFonts w:cs="Tahoma"/>
        </w:rPr>
        <w:t xml:space="preserve"> 1</w:t>
      </w:r>
      <w:r>
        <w:rPr>
          <w:rFonts w:cs="Tahoma"/>
        </w:rPr>
        <w:t>66</w:t>
      </w:r>
      <w:r w:rsidRPr="00BF1EF8">
        <w:rPr>
          <w:rFonts w:cs="Tahoma"/>
        </w:rPr>
        <w:t xml:space="preserve"> </w:t>
      </w:r>
      <w:r w:rsidR="00077D40">
        <w:rPr>
          <w:rFonts w:cs="Tahoma"/>
        </w:rPr>
        <w:t xml:space="preserve">(43%) </w:t>
      </w:r>
      <w:r w:rsidRPr="00BF1EF8">
        <w:rPr>
          <w:rFonts w:cs="Tahoma"/>
        </w:rPr>
        <w:t xml:space="preserve">of the </w:t>
      </w:r>
      <w:r>
        <w:rPr>
          <w:rFonts w:cs="Tahoma"/>
        </w:rPr>
        <w:t>385</w:t>
      </w:r>
      <w:r w:rsidRPr="00BF1EF8">
        <w:rPr>
          <w:rFonts w:cs="Tahoma"/>
        </w:rPr>
        <w:t xml:space="preserve"> </w:t>
      </w:r>
      <w:r>
        <w:rPr>
          <w:rFonts w:cs="Tahoma"/>
        </w:rPr>
        <w:t xml:space="preserve">incidents </w:t>
      </w:r>
      <w:r w:rsidR="00EB27E6">
        <w:rPr>
          <w:rFonts w:cs="Tahoma"/>
        </w:rPr>
        <w:t>notified to Ofsted in 2014-15</w:t>
      </w:r>
      <w:r w:rsidRPr="00BF1EF8">
        <w:rPr>
          <w:rFonts w:cs="Tahoma"/>
        </w:rPr>
        <w:t xml:space="preserve">, the relevant LSCB decided to </w:t>
      </w:r>
      <w:r w:rsidR="00EB27E6">
        <w:rPr>
          <w:rFonts w:cs="Tahoma"/>
        </w:rPr>
        <w:t>in</w:t>
      </w:r>
      <w:r w:rsidR="00FA075E">
        <w:rPr>
          <w:rFonts w:cs="Tahoma"/>
        </w:rPr>
        <w:t>itiate</w:t>
      </w:r>
      <w:r w:rsidR="00EB27E6">
        <w:rPr>
          <w:rFonts w:cs="Tahoma"/>
        </w:rPr>
        <w:t xml:space="preserve"> </w:t>
      </w:r>
      <w:r>
        <w:rPr>
          <w:rFonts w:cs="Tahoma"/>
        </w:rPr>
        <w:t xml:space="preserve">a serious case review. </w:t>
      </w:r>
      <w:r w:rsidR="006D41FF">
        <w:rPr>
          <w:rFonts w:cs="Tahoma"/>
        </w:rPr>
        <w:t xml:space="preserve">This compares to 143 serious case reviews </w:t>
      </w:r>
      <w:r w:rsidR="008C30AF">
        <w:rPr>
          <w:rFonts w:cs="Tahoma"/>
        </w:rPr>
        <w:t>initiated</w:t>
      </w:r>
      <w:r w:rsidR="006D41FF">
        <w:rPr>
          <w:rFonts w:cs="Tahoma"/>
        </w:rPr>
        <w:t xml:space="preserve"> from 298 notifications in the previous year</w:t>
      </w:r>
      <w:r w:rsidR="00EB27E6">
        <w:rPr>
          <w:rFonts w:cs="Tahoma"/>
        </w:rPr>
        <w:t xml:space="preserve"> (48%)</w:t>
      </w:r>
      <w:r w:rsidR="006D41FF">
        <w:rPr>
          <w:rFonts w:cs="Tahoma"/>
        </w:rPr>
        <w:t xml:space="preserve">. </w:t>
      </w:r>
    </w:p>
    <w:p w:rsidR="006D41FF" w:rsidRDefault="006D41FF" w:rsidP="00585F95">
      <w:pPr>
        <w:jc w:val="left"/>
        <w:rPr>
          <w:rFonts w:cs="Tahoma"/>
        </w:rPr>
      </w:pPr>
    </w:p>
    <w:p w:rsidR="00585F95" w:rsidRPr="00BF1EF8" w:rsidRDefault="006D41FF" w:rsidP="00585F95">
      <w:pPr>
        <w:jc w:val="left"/>
        <w:rPr>
          <w:rFonts w:cs="Tahoma"/>
        </w:rPr>
      </w:pPr>
      <w:r w:rsidRPr="006D41FF">
        <w:rPr>
          <w:rFonts w:cs="Tahoma"/>
        </w:rPr>
        <w:t xml:space="preserve">Of the 166 serious case reviews </w:t>
      </w:r>
      <w:r w:rsidR="008C30AF">
        <w:rPr>
          <w:rFonts w:cs="Tahoma"/>
        </w:rPr>
        <w:t>initiated</w:t>
      </w:r>
      <w:r w:rsidR="00EB27E6">
        <w:rPr>
          <w:rFonts w:cs="Tahoma"/>
        </w:rPr>
        <w:t xml:space="preserve"> in 2014-15</w:t>
      </w:r>
      <w:r w:rsidRPr="006D41FF">
        <w:rPr>
          <w:rFonts w:cs="Tahoma"/>
        </w:rPr>
        <w:t xml:space="preserve">, 90 were </w:t>
      </w:r>
      <w:r w:rsidR="008C30AF">
        <w:rPr>
          <w:rFonts w:cs="Tahoma"/>
        </w:rPr>
        <w:t>initiated</w:t>
      </w:r>
      <w:r w:rsidRPr="006D41FF">
        <w:rPr>
          <w:rFonts w:cs="Tahoma"/>
        </w:rPr>
        <w:t xml:space="preserve"> in response to the death of a child or young person, compared to 74 </w:t>
      </w:r>
      <w:r w:rsidR="008C30AF">
        <w:rPr>
          <w:rFonts w:cs="Tahoma"/>
        </w:rPr>
        <w:t>initiated</w:t>
      </w:r>
      <w:r w:rsidRPr="006D41FF">
        <w:rPr>
          <w:rFonts w:cs="Tahoma"/>
        </w:rPr>
        <w:t xml:space="preserve"> in the previous year. The number of </w:t>
      </w:r>
      <w:r w:rsidR="001A456F">
        <w:rPr>
          <w:rFonts w:cs="Tahoma"/>
        </w:rPr>
        <w:t>serious case reviews</w:t>
      </w:r>
      <w:r w:rsidRPr="006D41FF">
        <w:rPr>
          <w:rFonts w:cs="Tahoma"/>
        </w:rPr>
        <w:t xml:space="preserve"> that were </w:t>
      </w:r>
      <w:r w:rsidR="008C30AF">
        <w:rPr>
          <w:rFonts w:cs="Tahoma"/>
        </w:rPr>
        <w:t>initiated</w:t>
      </w:r>
      <w:r w:rsidRPr="006D41FF">
        <w:rPr>
          <w:rFonts w:cs="Tahoma"/>
        </w:rPr>
        <w:t xml:space="preserve"> concerning an incident o</w:t>
      </w:r>
      <w:r w:rsidR="00EB27E6">
        <w:rPr>
          <w:rFonts w:cs="Tahoma"/>
        </w:rPr>
        <w:t xml:space="preserve">f serious harm increased </w:t>
      </w:r>
      <w:r w:rsidRPr="006D41FF">
        <w:rPr>
          <w:rFonts w:cs="Tahoma"/>
        </w:rPr>
        <w:t>from 69 in the year 2013-14, to 76 in 2014-15.</w:t>
      </w:r>
    </w:p>
    <w:p w:rsidR="000B3535" w:rsidRDefault="000B3535" w:rsidP="000B3535">
      <w:pPr>
        <w:pStyle w:val="NoSpacing"/>
        <w:jc w:val="left"/>
        <w:rPr>
          <w:rFonts w:cs="Tahoma"/>
          <w:bCs/>
        </w:rPr>
      </w:pPr>
    </w:p>
    <w:p w:rsidR="00AC096B" w:rsidRDefault="00AC096B" w:rsidP="000B3535">
      <w:pPr>
        <w:pStyle w:val="NoSpacing"/>
        <w:jc w:val="left"/>
        <w:rPr>
          <w:rFonts w:cs="Tahoma"/>
          <w:bCs/>
        </w:rPr>
      </w:pPr>
    </w:p>
    <w:p w:rsidR="00416DE7" w:rsidRDefault="002E0506" w:rsidP="00730187">
      <w:pPr>
        <w:pStyle w:val="Heading2"/>
        <w:spacing w:after="120"/>
        <w:jc w:val="left"/>
      </w:pPr>
      <w:bookmarkStart w:id="10" w:name="_Toc433719524"/>
      <w:r w:rsidRPr="00730187">
        <w:t>Revisions to previous release</w:t>
      </w:r>
      <w:bookmarkEnd w:id="10"/>
      <w:r w:rsidRPr="00730187">
        <w:t xml:space="preserve"> </w:t>
      </w:r>
    </w:p>
    <w:p w:rsidR="00730187" w:rsidRPr="00585F95" w:rsidRDefault="00585F95" w:rsidP="00585F95">
      <w:r w:rsidRPr="00585F95">
        <w:t xml:space="preserve">This is the first release of </w:t>
      </w:r>
      <w:r w:rsidR="00E66BDD">
        <w:t>these</w:t>
      </w:r>
      <w:r w:rsidR="00E66BDD" w:rsidRPr="00585F95">
        <w:t xml:space="preserve"> </w:t>
      </w:r>
      <w:r w:rsidRPr="00585F95">
        <w:t>data for the period 1 April 2014 – 31 March 2015.</w:t>
      </w:r>
    </w:p>
    <w:p w:rsidR="008A6861" w:rsidRPr="00730187" w:rsidRDefault="008A6861" w:rsidP="0086166B">
      <w:pPr>
        <w:ind w:left="360"/>
        <w:rPr>
          <w:sz w:val="22"/>
          <w:szCs w:val="22"/>
        </w:rPr>
      </w:pPr>
    </w:p>
    <w:p w:rsidR="009E6F79" w:rsidRDefault="00730187" w:rsidP="00C32705">
      <w:pPr>
        <w:pStyle w:val="Heading2"/>
        <w:spacing w:after="120"/>
        <w:jc w:val="left"/>
      </w:pPr>
      <w:bookmarkStart w:id="11" w:name="_Methodology"/>
      <w:bookmarkStart w:id="12" w:name="_Toc433719525"/>
      <w:bookmarkEnd w:id="11"/>
      <w:r>
        <w:t>Notes</w:t>
      </w:r>
      <w:bookmarkEnd w:id="12"/>
    </w:p>
    <w:p w:rsidR="00585F95" w:rsidRPr="00585F95" w:rsidRDefault="00585F95" w:rsidP="00585F95">
      <w:pPr>
        <w:pStyle w:val="Heading3"/>
      </w:pPr>
      <w:bookmarkStart w:id="13" w:name="_Toc410906453"/>
      <w:bookmarkStart w:id="14" w:name="_Toc413415068"/>
      <w:bookmarkStart w:id="15" w:name="_Toc433719526"/>
      <w:r w:rsidRPr="00585F95">
        <w:t>Requirement for local authorities to notify Ofsted</w:t>
      </w:r>
      <w:bookmarkEnd w:id="15"/>
    </w:p>
    <w:p w:rsidR="00585F95" w:rsidRPr="00585F95" w:rsidRDefault="00585F95" w:rsidP="00585F95">
      <w:pPr>
        <w:jc w:val="left"/>
      </w:pPr>
    </w:p>
    <w:p w:rsidR="00585F95" w:rsidRPr="00585F95" w:rsidRDefault="00585F95" w:rsidP="00585F95">
      <w:pPr>
        <w:jc w:val="left"/>
      </w:pPr>
      <w:r w:rsidRPr="00585F95">
        <w:t>Local authorities are required to provide statutory notifications to Ofsted of certain categories of serious incidents affecting children. Until late March 2015, the criteria for these notifications were set out in Local Authority Circular LAC (2007)25.</w:t>
      </w:r>
      <w:r w:rsidR="00DA415C">
        <w:t xml:space="preserve"> </w:t>
      </w:r>
    </w:p>
    <w:p w:rsidR="00585F95" w:rsidRPr="00585F95" w:rsidRDefault="00585F95" w:rsidP="00585F95">
      <w:pPr>
        <w:jc w:val="left"/>
      </w:pPr>
    </w:p>
    <w:p w:rsidR="00585F95" w:rsidRPr="00585F95" w:rsidRDefault="00585F95" w:rsidP="00585F95">
      <w:pPr>
        <w:jc w:val="left"/>
      </w:pPr>
      <w:r w:rsidRPr="00585F95">
        <w:t xml:space="preserve">According to this Local Authority Circular, </w:t>
      </w:r>
      <w:r w:rsidR="00AC096B">
        <w:t>l</w:t>
      </w:r>
      <w:r w:rsidRPr="00585F95">
        <w:t>ocal authorities were required to notify Ofsted of serious incidents involving children which:</w:t>
      </w:r>
    </w:p>
    <w:p w:rsidR="00585F95" w:rsidRPr="00585F95" w:rsidRDefault="00585F95" w:rsidP="00585F95">
      <w:pPr>
        <w:jc w:val="left"/>
      </w:pPr>
    </w:p>
    <w:p w:rsidR="00585F95" w:rsidRPr="00585F95" w:rsidRDefault="00585F95" w:rsidP="00585F95">
      <w:pPr>
        <w:numPr>
          <w:ilvl w:val="0"/>
          <w:numId w:val="45"/>
        </w:numPr>
        <w:jc w:val="left"/>
      </w:pPr>
      <w:r w:rsidRPr="00585F95">
        <w:t>are serious enough that they may lead to a Serious Case Review, including where a child has sustained a potentially life-threatening injury through abuse or neglect, serious sexual abuse, or sustained serious and permanent impairment of health or development through abuse or neglect; or</w:t>
      </w:r>
    </w:p>
    <w:p w:rsidR="00585F95" w:rsidRPr="00585F95" w:rsidRDefault="00585F95" w:rsidP="00585F95">
      <w:pPr>
        <w:jc w:val="left"/>
      </w:pPr>
    </w:p>
    <w:p w:rsidR="00585F95" w:rsidRPr="00585F95" w:rsidRDefault="00585F95" w:rsidP="00585F95">
      <w:pPr>
        <w:numPr>
          <w:ilvl w:val="0"/>
          <w:numId w:val="45"/>
        </w:numPr>
        <w:jc w:val="left"/>
      </w:pPr>
      <w:r w:rsidRPr="00585F95">
        <w:t>involve a child death and will automatically lead to a Serious Case Review (when a child dies (including death by suicide) and abuse or neglect is known or suspected to be a factor in the child’s death); or</w:t>
      </w:r>
    </w:p>
    <w:p w:rsidR="00585F95" w:rsidRPr="00585F95" w:rsidRDefault="00585F95" w:rsidP="00585F95">
      <w:pPr>
        <w:jc w:val="left"/>
      </w:pPr>
    </w:p>
    <w:p w:rsidR="00585F95" w:rsidRPr="00585F95" w:rsidRDefault="00585F95" w:rsidP="00585F95">
      <w:pPr>
        <w:numPr>
          <w:ilvl w:val="0"/>
          <w:numId w:val="45"/>
        </w:numPr>
        <w:jc w:val="left"/>
      </w:pPr>
      <w:r w:rsidRPr="00585F95">
        <w:t>should be brought to the attention of Ofsted and the Government because of concern about professional practice or implications for Government policy; or</w:t>
      </w:r>
    </w:p>
    <w:p w:rsidR="00585F95" w:rsidRPr="00585F95" w:rsidRDefault="00585F95" w:rsidP="00585F95">
      <w:pPr>
        <w:jc w:val="left"/>
      </w:pPr>
    </w:p>
    <w:p w:rsidR="00585F95" w:rsidRPr="00585F95" w:rsidRDefault="00585F95" w:rsidP="00585F95">
      <w:pPr>
        <w:numPr>
          <w:ilvl w:val="0"/>
          <w:numId w:val="45"/>
        </w:numPr>
        <w:jc w:val="left"/>
      </w:pPr>
      <w:r w:rsidRPr="00585F95">
        <w:t>raise issues about a council’s professional practice that may need to be considered further in the context of performance assessment; or</w:t>
      </w:r>
    </w:p>
    <w:p w:rsidR="00585F95" w:rsidRPr="00585F95" w:rsidRDefault="00585F95" w:rsidP="00585F95">
      <w:pPr>
        <w:jc w:val="left"/>
      </w:pPr>
    </w:p>
    <w:p w:rsidR="00585F95" w:rsidRPr="00585F95" w:rsidRDefault="00585F95" w:rsidP="00585F95">
      <w:pPr>
        <w:numPr>
          <w:ilvl w:val="0"/>
          <w:numId w:val="45"/>
        </w:numPr>
        <w:jc w:val="left"/>
      </w:pPr>
      <w:r w:rsidRPr="00585F95">
        <w:t>have attracted or are likely to attract media attention.</w:t>
      </w:r>
    </w:p>
    <w:p w:rsidR="00585F95" w:rsidRPr="00585F95" w:rsidRDefault="00585F95" w:rsidP="00585F95">
      <w:pPr>
        <w:jc w:val="left"/>
      </w:pPr>
    </w:p>
    <w:p w:rsidR="00585F95" w:rsidRPr="00585F95" w:rsidRDefault="00585F95" w:rsidP="00585F95">
      <w:pPr>
        <w:jc w:val="left"/>
      </w:pPr>
      <w:r w:rsidRPr="00585F95">
        <w:t>Local authorities were also required to inform Ofsted of the death of a child looked after and of every case that became the subject of a serious case review.</w:t>
      </w:r>
      <w:r w:rsidR="00DA415C">
        <w:t xml:space="preserve"> </w:t>
      </w:r>
    </w:p>
    <w:p w:rsidR="00585F95" w:rsidRPr="00585F95" w:rsidRDefault="00585F95" w:rsidP="00585F95">
      <w:pPr>
        <w:jc w:val="left"/>
      </w:pPr>
    </w:p>
    <w:p w:rsidR="00585F95" w:rsidRPr="00585F95" w:rsidRDefault="00585F95" w:rsidP="00585F95">
      <w:pPr>
        <w:jc w:val="left"/>
      </w:pPr>
      <w:r w:rsidRPr="00585F95">
        <w:t>On 26 March 2015</w:t>
      </w:r>
      <w:r w:rsidR="00FA075E">
        <w:t>,</w:t>
      </w:r>
      <w:r w:rsidRPr="00585F95">
        <w:t xml:space="preserve"> the Department for Education published amended criteria for serious incident notifications in the revised statutory guidance Working together to safeguard children.</w:t>
      </w:r>
      <w:r w:rsidR="00DA415C">
        <w:t xml:space="preserve"> </w:t>
      </w:r>
      <w:r w:rsidRPr="00585F95">
        <w:t>The revised guidance states that:</w:t>
      </w:r>
    </w:p>
    <w:p w:rsidR="00585F95" w:rsidRPr="00585F95" w:rsidRDefault="00585F95" w:rsidP="00585F95">
      <w:pPr>
        <w:jc w:val="left"/>
      </w:pPr>
    </w:p>
    <w:p w:rsidR="00585F95" w:rsidRPr="00585F95" w:rsidRDefault="00585F95" w:rsidP="00585F95">
      <w:pPr>
        <w:jc w:val="left"/>
      </w:pPr>
      <w:r w:rsidRPr="00585F95">
        <w:t xml:space="preserve">‘A notifiable incident is an incident involving the care of a child which meets any of the following criteria: </w:t>
      </w:r>
    </w:p>
    <w:p w:rsidR="00585F95" w:rsidRPr="00585F95" w:rsidRDefault="00585F95" w:rsidP="00585F95">
      <w:pPr>
        <w:numPr>
          <w:ilvl w:val="0"/>
          <w:numId w:val="46"/>
        </w:numPr>
        <w:jc w:val="left"/>
      </w:pPr>
      <w:r w:rsidRPr="00585F95">
        <w:t xml:space="preserve">a child has died (including cases of suspected suicide), and abuse or neglect is known or suspected; </w:t>
      </w:r>
    </w:p>
    <w:p w:rsidR="00585F95" w:rsidRPr="00585F95" w:rsidRDefault="00585F95" w:rsidP="00585F95">
      <w:pPr>
        <w:numPr>
          <w:ilvl w:val="0"/>
          <w:numId w:val="46"/>
        </w:numPr>
        <w:jc w:val="left"/>
      </w:pPr>
      <w:r w:rsidRPr="00585F95">
        <w:t>a child has been seriously harmed and abuse or neglect is known or suspected</w:t>
      </w:r>
    </w:p>
    <w:p w:rsidR="00585F95" w:rsidRPr="00585F95" w:rsidRDefault="00585F95" w:rsidP="00585F95">
      <w:pPr>
        <w:numPr>
          <w:ilvl w:val="0"/>
          <w:numId w:val="46"/>
        </w:numPr>
        <w:jc w:val="left"/>
      </w:pPr>
      <w:r w:rsidRPr="00585F95">
        <w:t xml:space="preserve">a looked after child has died (including cases where abuse or neglect is not known or suspected); or </w:t>
      </w:r>
    </w:p>
    <w:p w:rsidR="00585F95" w:rsidRPr="00585F95" w:rsidRDefault="00585F95" w:rsidP="00585F95">
      <w:pPr>
        <w:numPr>
          <w:ilvl w:val="0"/>
          <w:numId w:val="46"/>
        </w:numPr>
        <w:jc w:val="left"/>
      </w:pPr>
      <w:r w:rsidRPr="00585F95">
        <w:t>a child in a regulated setting or service has died (including cases where abuse or neglect is not known or suspected).’</w:t>
      </w:r>
    </w:p>
    <w:p w:rsidR="00585F95" w:rsidRPr="00585F95" w:rsidRDefault="00585F95" w:rsidP="00585F95">
      <w:pPr>
        <w:jc w:val="left"/>
      </w:pPr>
    </w:p>
    <w:p w:rsidR="00585F95" w:rsidRPr="00585F95" w:rsidRDefault="00585F95" w:rsidP="00585F95">
      <w:pPr>
        <w:pStyle w:val="Heading3"/>
      </w:pPr>
      <w:bookmarkStart w:id="16" w:name="_Toc433719527"/>
      <w:r w:rsidRPr="00585F95">
        <w:t>Serious case reviews</w:t>
      </w:r>
      <w:bookmarkEnd w:id="16"/>
    </w:p>
    <w:p w:rsidR="00585F95" w:rsidRPr="00585F95" w:rsidRDefault="00585F95" w:rsidP="00585F95">
      <w:pPr>
        <w:jc w:val="left"/>
      </w:pPr>
    </w:p>
    <w:p w:rsidR="00C45CEC" w:rsidRPr="00585F95" w:rsidRDefault="00585F95" w:rsidP="00585F95">
      <w:pPr>
        <w:jc w:val="left"/>
      </w:pPr>
      <w:r w:rsidRPr="00585F95">
        <w:t>The revised statutory guidance also clarified the responsibility of Local Safeguarding Children Boards for informing Ofsted, the Department for Education and the National panel of independent experts on Serious Case Reviews of their decisions regarding initiation of serious case reviews.</w:t>
      </w:r>
    </w:p>
    <w:p w:rsidR="00585F95" w:rsidRDefault="00585F95" w:rsidP="00C32705">
      <w:pPr>
        <w:pStyle w:val="Heading2"/>
        <w:spacing w:after="120"/>
        <w:jc w:val="left"/>
      </w:pPr>
    </w:p>
    <w:p w:rsidR="00676FBD" w:rsidRPr="009E6F79" w:rsidRDefault="00585F95" w:rsidP="00C32705">
      <w:pPr>
        <w:pStyle w:val="Heading2"/>
        <w:spacing w:after="120"/>
        <w:jc w:val="left"/>
      </w:pPr>
      <w:bookmarkStart w:id="17" w:name="_Toc433719528"/>
      <w:bookmarkEnd w:id="13"/>
      <w:bookmarkEnd w:id="14"/>
      <w:r>
        <w:t>Methodology</w:t>
      </w:r>
      <w:bookmarkEnd w:id="17"/>
      <w:r w:rsidR="00676FBD" w:rsidRPr="009E6F79">
        <w:t xml:space="preserve"> </w:t>
      </w:r>
    </w:p>
    <w:p w:rsidR="00585F95" w:rsidRPr="00F614F6" w:rsidRDefault="00585F95" w:rsidP="00585F95">
      <w:pPr>
        <w:jc w:val="left"/>
        <w:rPr>
          <w:rFonts w:cs="Tahoma"/>
        </w:rPr>
      </w:pPr>
      <w:r w:rsidRPr="00F614F6">
        <w:rPr>
          <w:rFonts w:cs="Tahoma"/>
        </w:rPr>
        <w:t>The data in the release are from serious incident notifications received by Ofsted between 1 April 201</w:t>
      </w:r>
      <w:r>
        <w:rPr>
          <w:rFonts w:cs="Tahoma"/>
        </w:rPr>
        <w:t>4</w:t>
      </w:r>
      <w:r w:rsidRPr="00F614F6">
        <w:rPr>
          <w:rFonts w:cs="Tahoma"/>
        </w:rPr>
        <w:t xml:space="preserve"> and 31 March 201</w:t>
      </w:r>
      <w:r>
        <w:rPr>
          <w:rFonts w:cs="Tahoma"/>
        </w:rPr>
        <w:t>5</w:t>
      </w:r>
      <w:r w:rsidRPr="00F614F6">
        <w:rPr>
          <w:rFonts w:cs="Tahoma"/>
        </w:rPr>
        <w:t>.</w:t>
      </w:r>
    </w:p>
    <w:p w:rsidR="00585F95" w:rsidRPr="00F614F6" w:rsidRDefault="00585F95" w:rsidP="00585F95">
      <w:pPr>
        <w:jc w:val="left"/>
        <w:rPr>
          <w:rFonts w:cs="Tahoma"/>
        </w:rPr>
      </w:pPr>
    </w:p>
    <w:p w:rsidR="00585F95" w:rsidRPr="00F614F6" w:rsidRDefault="00585F95" w:rsidP="00585F95">
      <w:pPr>
        <w:jc w:val="left"/>
        <w:rPr>
          <w:rFonts w:cs="Tahoma"/>
        </w:rPr>
      </w:pPr>
      <w:r w:rsidRPr="00F614F6">
        <w:rPr>
          <w:rFonts w:cs="Tahoma"/>
        </w:rPr>
        <w:t>The numbers of notifications received during the time period covered in this statistical release are not, necessarily, the number of incidents which have occurred during 1 April 201</w:t>
      </w:r>
      <w:r>
        <w:rPr>
          <w:rFonts w:cs="Tahoma"/>
        </w:rPr>
        <w:t>4</w:t>
      </w:r>
      <w:r w:rsidRPr="00F614F6">
        <w:rPr>
          <w:rFonts w:cs="Tahoma"/>
        </w:rPr>
        <w:t xml:space="preserve"> and 31 March 201</w:t>
      </w:r>
      <w:r>
        <w:rPr>
          <w:rFonts w:cs="Tahoma"/>
        </w:rPr>
        <w:t>5</w:t>
      </w:r>
      <w:r w:rsidRPr="00F614F6">
        <w:rPr>
          <w:rFonts w:cs="Tahoma"/>
        </w:rPr>
        <w:t>.</w:t>
      </w:r>
      <w:r w:rsidR="00DA415C">
        <w:rPr>
          <w:rFonts w:cs="Tahoma"/>
        </w:rPr>
        <w:t xml:space="preserve"> </w:t>
      </w:r>
    </w:p>
    <w:p w:rsidR="00585F95" w:rsidRPr="00F614F6" w:rsidRDefault="00585F95" w:rsidP="00585F95">
      <w:pPr>
        <w:jc w:val="left"/>
        <w:rPr>
          <w:rFonts w:cs="Tahoma"/>
        </w:rPr>
      </w:pPr>
    </w:p>
    <w:p w:rsidR="00585F95" w:rsidRDefault="00585F95" w:rsidP="00585F95">
      <w:pPr>
        <w:jc w:val="left"/>
        <w:rPr>
          <w:rFonts w:cs="Tahoma"/>
        </w:rPr>
      </w:pPr>
      <w:r w:rsidRPr="00F614F6">
        <w:rPr>
          <w:rFonts w:cs="Tahoma"/>
        </w:rPr>
        <w:t>Some notifications relate to incidents which occurred before 1 April 201</w:t>
      </w:r>
      <w:r>
        <w:rPr>
          <w:rFonts w:cs="Tahoma"/>
        </w:rPr>
        <w:t>4</w:t>
      </w:r>
      <w:r w:rsidRPr="00F614F6">
        <w:rPr>
          <w:rFonts w:cs="Tahoma"/>
        </w:rPr>
        <w:t>, but about which Ofsted was not notified until after 1 April</w:t>
      </w:r>
      <w:r>
        <w:rPr>
          <w:rFonts w:cs="Tahoma"/>
        </w:rPr>
        <w:t xml:space="preserve"> 2014</w:t>
      </w:r>
      <w:r w:rsidRPr="00F614F6">
        <w:rPr>
          <w:rFonts w:cs="Tahoma"/>
        </w:rPr>
        <w:t xml:space="preserve">. </w:t>
      </w:r>
    </w:p>
    <w:p w:rsidR="00585F95" w:rsidRPr="00BF1EF8" w:rsidRDefault="00585F95" w:rsidP="00585F95">
      <w:pPr>
        <w:jc w:val="left"/>
        <w:rPr>
          <w:rFonts w:cs="Tahoma"/>
        </w:rPr>
      </w:pPr>
    </w:p>
    <w:p w:rsidR="00724D6B" w:rsidRDefault="00585F95" w:rsidP="00585F95">
      <w:pPr>
        <w:autoSpaceDE w:val="0"/>
        <w:autoSpaceDN w:val="0"/>
        <w:adjustRightInd w:val="0"/>
        <w:jc w:val="left"/>
        <w:rPr>
          <w:rFonts w:cs="Tahoma"/>
          <w:color w:val="000000"/>
        </w:rPr>
      </w:pPr>
      <w:r w:rsidRPr="00BF1EF8">
        <w:rPr>
          <w:rFonts w:cs="Tahoma"/>
        </w:rPr>
        <w:t>The number of notifications do not equate to the number of children involved in those incidents.</w:t>
      </w:r>
      <w:r w:rsidR="00DA415C">
        <w:rPr>
          <w:rFonts w:cs="Tahoma"/>
        </w:rPr>
        <w:t xml:space="preserve"> </w:t>
      </w:r>
      <w:r w:rsidRPr="00BF1EF8">
        <w:rPr>
          <w:rFonts w:cs="Tahoma"/>
        </w:rPr>
        <w:t>Each child death had its own, separate, notification.</w:t>
      </w:r>
      <w:r w:rsidR="00DA415C">
        <w:rPr>
          <w:rFonts w:cs="Tahoma"/>
        </w:rPr>
        <w:t xml:space="preserve"> </w:t>
      </w:r>
      <w:r w:rsidRPr="00BF1EF8">
        <w:rPr>
          <w:rFonts w:cs="Tahoma"/>
        </w:rPr>
        <w:t>Those notifications involving incidents other than child death sometimes included family or non-related groups in one notification document.</w:t>
      </w:r>
      <w:r w:rsidR="00DA415C">
        <w:rPr>
          <w:rFonts w:cs="Tahoma"/>
        </w:rPr>
        <w:t xml:space="preserve"> </w:t>
      </w:r>
      <w:r w:rsidRPr="00BF1EF8">
        <w:rPr>
          <w:rFonts w:cs="Tahoma"/>
        </w:rPr>
        <w:t>The 1</w:t>
      </w:r>
      <w:r>
        <w:rPr>
          <w:rFonts w:cs="Tahoma"/>
        </w:rPr>
        <w:t>95</w:t>
      </w:r>
      <w:r w:rsidRPr="00BF1EF8">
        <w:rPr>
          <w:rFonts w:cs="Tahoma"/>
        </w:rPr>
        <w:t xml:space="preserve"> incidents </w:t>
      </w:r>
      <w:r>
        <w:rPr>
          <w:rFonts w:cs="Tahoma"/>
        </w:rPr>
        <w:t xml:space="preserve">of serious harm </w:t>
      </w:r>
      <w:r w:rsidRPr="00BF1EF8">
        <w:rPr>
          <w:rFonts w:cs="Tahoma"/>
        </w:rPr>
        <w:t xml:space="preserve">relate to </w:t>
      </w:r>
      <w:r w:rsidRPr="00150CBC">
        <w:rPr>
          <w:rFonts w:cs="Tahoma"/>
        </w:rPr>
        <w:t>215</w:t>
      </w:r>
      <w:r w:rsidRPr="00BF1EF8">
        <w:rPr>
          <w:rFonts w:cs="Tahoma"/>
        </w:rPr>
        <w:t xml:space="preserve"> children.</w:t>
      </w:r>
      <w:r w:rsidR="00DA415C">
        <w:rPr>
          <w:rFonts w:cs="Tahoma"/>
        </w:rPr>
        <w:t xml:space="preserve"> </w:t>
      </w:r>
      <w:r w:rsidRPr="00BF1EF8">
        <w:rPr>
          <w:rFonts w:cs="Tahoma"/>
        </w:rPr>
        <w:t>The underlying data, where it relates to age band, relate to the child that is referenced first in the document sent to Ofsted.</w:t>
      </w:r>
    </w:p>
    <w:p w:rsidR="00724D6B" w:rsidRDefault="00724D6B" w:rsidP="00724D6B">
      <w:pPr>
        <w:autoSpaceDE w:val="0"/>
        <w:autoSpaceDN w:val="0"/>
        <w:adjustRightInd w:val="0"/>
        <w:jc w:val="left"/>
        <w:rPr>
          <w:rFonts w:cs="Tahoma"/>
          <w:color w:val="000000"/>
        </w:rPr>
      </w:pPr>
    </w:p>
    <w:p w:rsidR="009A0125" w:rsidRDefault="009A0125" w:rsidP="009A0125">
      <w:pPr>
        <w:spacing w:after="120"/>
        <w:rPr>
          <w:noProof/>
        </w:rPr>
      </w:pPr>
      <w:r w:rsidRPr="00FA075E">
        <w:rPr>
          <w:b/>
          <w:noProof/>
        </w:rPr>
        <w:t>Acknowledgements</w:t>
      </w:r>
    </w:p>
    <w:p w:rsidR="009A0125" w:rsidRDefault="009A0125" w:rsidP="009A0125">
      <w:pPr>
        <w:spacing w:after="120"/>
        <w:rPr>
          <w:noProof/>
        </w:rPr>
      </w:pPr>
      <w:r>
        <w:rPr>
          <w:noProof/>
        </w:rPr>
        <w:t>Thanks to the following for their contribution to this statistical release: Peter McLaughlin and Stewart Hartshorne.</w:t>
      </w:r>
    </w:p>
    <w:p w:rsidR="00FA075E" w:rsidRDefault="00FA075E" w:rsidP="00B974BE">
      <w:pPr>
        <w:jc w:val="left"/>
        <w:rPr>
          <w:rFonts w:cs="Tahoma"/>
        </w:rPr>
      </w:pPr>
    </w:p>
    <w:p w:rsidR="00D449F5" w:rsidRDefault="00D449F5" w:rsidP="00B974BE">
      <w:pPr>
        <w:jc w:val="left"/>
        <w:rPr>
          <w:rFonts w:cs="Tahoma"/>
        </w:rPr>
      </w:pPr>
      <w:r w:rsidRPr="00F779A5">
        <w:rPr>
          <w:rFonts w:cs="Tahoma"/>
        </w:rPr>
        <w:t>© Crown copyright</w:t>
      </w:r>
    </w:p>
    <w:p w:rsidR="00B974BE" w:rsidRDefault="00D449F5" w:rsidP="00B974BE">
      <w:pPr>
        <w:jc w:val="left"/>
        <w:rPr>
          <w:rFonts w:cs="Tahoma"/>
        </w:rPr>
      </w:pPr>
      <w:r w:rsidRPr="00F779A5">
        <w:rPr>
          <w:rFonts w:cs="Tahoma"/>
          <w:sz w:val="20"/>
          <w:szCs w:val="20"/>
        </w:rPr>
        <w:t>You may re-use this information (not including logos) free of charge in any format or medium, under the terms of the Open Government Licen</w:t>
      </w:r>
      <w:r>
        <w:rPr>
          <w:rFonts w:cs="Tahoma"/>
          <w:sz w:val="20"/>
          <w:szCs w:val="20"/>
        </w:rPr>
        <w:t xml:space="preserve">ce. To view this licence, visit </w:t>
      </w:r>
      <w:hyperlink r:id="rId13" w:history="1">
        <w:r w:rsidR="00724D6B" w:rsidRPr="00731D0E">
          <w:rPr>
            <w:rStyle w:val="Hyperlink"/>
            <w:rFonts w:cs="Tahoma"/>
            <w:sz w:val="20"/>
            <w:szCs w:val="20"/>
          </w:rPr>
          <w:t>http://www.nationalarchives.gov.uk/doc/open-government-licence/</w:t>
        </w:r>
      </w:hyperlink>
      <w:r w:rsidRPr="00F779A5">
        <w:rPr>
          <w:rFonts w:cs="Tahoma"/>
          <w:sz w:val="20"/>
          <w:szCs w:val="20"/>
        </w:rPr>
        <w:t xml:space="preserve"> or write to the Information Policy Team, The National Archives, Kew, London, TW9 4DU</w:t>
      </w:r>
      <w:r>
        <w:rPr>
          <w:rFonts w:cs="Tahoma"/>
          <w:sz w:val="20"/>
          <w:szCs w:val="20"/>
        </w:rPr>
        <w:t xml:space="preserve"> </w:t>
      </w:r>
      <w:r w:rsidRPr="00F779A5">
        <w:rPr>
          <w:rFonts w:cs="Tahoma"/>
          <w:sz w:val="20"/>
          <w:szCs w:val="20"/>
        </w:rPr>
        <w:t xml:space="preserve">or e-mail: </w:t>
      </w:r>
      <w:hyperlink r:id="rId14" w:history="1">
        <w:r w:rsidR="00B974BE" w:rsidRPr="00E72D01">
          <w:rPr>
            <w:rStyle w:val="Hyperlink"/>
            <w:rFonts w:cs="Tahoma"/>
            <w:sz w:val="20"/>
            <w:szCs w:val="20"/>
          </w:rPr>
          <w:t>psi@nationalarchives.gsi.gov.uk</w:t>
        </w:r>
      </w:hyperlink>
    </w:p>
    <w:sectPr w:rsidR="00B974BE" w:rsidSect="00FA075E">
      <w:headerReference w:type="even" r:id="rId15"/>
      <w:headerReference w:type="default" r:id="rId16"/>
      <w:footerReference w:type="even" r:id="rId17"/>
      <w:footerReference w:type="default" r:id="rId18"/>
      <w:headerReference w:type="first" r:id="rId19"/>
      <w:footerReference w:type="first" r:id="rId20"/>
      <w:pgSz w:w="11906" w:h="16838" w:code="9"/>
      <w:pgMar w:top="356" w:right="1440" w:bottom="1440" w:left="1440" w:header="284"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59" w:rsidRDefault="00832559">
      <w:r>
        <w:separator/>
      </w:r>
    </w:p>
  </w:endnote>
  <w:endnote w:type="continuationSeparator" w:id="0">
    <w:p w:rsidR="00832559" w:rsidRDefault="0083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5E" w:rsidRDefault="00962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CF" w:rsidRPr="001460CF" w:rsidRDefault="001460CF" w:rsidP="001460CF">
    <w:pPr>
      <w:pStyle w:val="Footer-RHSOdd"/>
      <w:tabs>
        <w:tab w:val="right" w:pos="8460"/>
      </w:tabs>
      <w:rPr>
        <w:b w:val="0"/>
        <w:sz w:val="20"/>
      </w:rPr>
    </w:pPr>
    <w:r w:rsidRPr="001460CF">
      <w:rPr>
        <w:b w:val="0"/>
        <w:sz w:val="20"/>
      </w:rPr>
      <w:t xml:space="preserve">Responsible Statistician: </w:t>
    </w:r>
    <w:r w:rsidR="00585F95">
      <w:rPr>
        <w:b w:val="0"/>
        <w:sz w:val="20"/>
      </w:rPr>
      <w:t>Adam King</w:t>
    </w:r>
    <w:r w:rsidRPr="001460CF">
      <w:rPr>
        <w:b w:val="0"/>
        <w:sz w:val="20"/>
      </w:rPr>
      <w:t xml:space="preserve">, </w:t>
    </w:r>
    <w:r w:rsidR="00585F95">
      <w:rPr>
        <w:b w:val="0"/>
        <w:color w:val="0000FF"/>
        <w:sz w:val="20"/>
        <w:u w:val="single"/>
      </w:rPr>
      <w:t>socialcaredata@ofsted.gov.uk</w:t>
    </w:r>
  </w:p>
  <w:p w:rsidR="00243CDA" w:rsidRPr="001460CF" w:rsidRDefault="001460CF" w:rsidP="001460CF">
    <w:pPr>
      <w:pStyle w:val="Footer-RHSOdd"/>
      <w:tabs>
        <w:tab w:val="right" w:pos="8460"/>
      </w:tabs>
      <w:rPr>
        <w:b w:val="0"/>
        <w:sz w:val="20"/>
      </w:rPr>
    </w:pPr>
    <w:r w:rsidRPr="001460CF">
      <w:rPr>
        <w:b w:val="0"/>
        <w:sz w:val="20"/>
      </w:rPr>
      <w:t xml:space="preserve">Published on: </w:t>
    </w:r>
    <w:r w:rsidR="00A317C2">
      <w:rPr>
        <w:b w:val="0"/>
        <w:sz w:val="20"/>
      </w:rPr>
      <w:t>29 October</w:t>
    </w:r>
    <w:r w:rsidR="00585F95">
      <w:rPr>
        <w:b w:val="0"/>
        <w:sz w:val="20"/>
      </w:rPr>
      <w:t xml:space="preserve"> 2015</w:t>
    </w:r>
    <w:r w:rsidR="001361F5">
      <w:rPr>
        <w:b w:val="0"/>
        <w:sz w:val="20"/>
      </w:rPr>
      <w:t xml:space="preserve">. Next publication: </w:t>
    </w:r>
    <w:r w:rsidR="00585F95">
      <w:rPr>
        <w:b w:val="0"/>
        <w:sz w:val="20"/>
      </w:rPr>
      <w:t>October 2016</w:t>
    </w:r>
    <w:r w:rsidR="001361F5">
      <w:rPr>
        <w:b w:val="0"/>
        <w:sz w:val="20"/>
      </w:rPr>
      <w:t>.</w:t>
    </w:r>
    <w:r w:rsidR="00243CDA">
      <w:rPr>
        <w:b w:val="0"/>
        <w:sz w:val="20"/>
      </w:rPr>
      <w:tab/>
    </w:r>
    <w:r w:rsidR="00243CDA" w:rsidRPr="00243CDA">
      <w:rPr>
        <w:b w:val="0"/>
        <w:sz w:val="20"/>
      </w:rPr>
      <w:fldChar w:fldCharType="begin"/>
    </w:r>
    <w:r w:rsidR="00243CDA" w:rsidRPr="00243CDA">
      <w:rPr>
        <w:b w:val="0"/>
        <w:sz w:val="20"/>
      </w:rPr>
      <w:instrText xml:space="preserve"> PAGE   \* MERGEFORMAT </w:instrText>
    </w:r>
    <w:r w:rsidR="00243CDA" w:rsidRPr="00243CDA">
      <w:rPr>
        <w:b w:val="0"/>
        <w:sz w:val="20"/>
      </w:rPr>
      <w:fldChar w:fldCharType="separate"/>
    </w:r>
    <w:r w:rsidR="0096205E" w:rsidRPr="0096205E">
      <w:rPr>
        <w:b w:val="0"/>
        <w:bCs/>
        <w:noProof/>
        <w:sz w:val="20"/>
      </w:rPr>
      <w:t>2</w:t>
    </w:r>
    <w:r w:rsidR="00243CDA" w:rsidRPr="00243CDA">
      <w:rPr>
        <w:b w:val="0"/>
        <w:bCs/>
        <w:noProof/>
        <w:sz w:val="20"/>
      </w:rPr>
      <w:fldChar w:fldCharType="end"/>
    </w:r>
    <w:r w:rsidR="00243CDA" w:rsidRPr="00243CDA">
      <w:rPr>
        <w:b w:val="0"/>
        <w:bCs/>
        <w:sz w:val="20"/>
      </w:rPr>
      <w:t xml:space="preserve"> </w:t>
    </w:r>
    <w:r w:rsidR="00243CDA" w:rsidRPr="00243CDA">
      <w:rPr>
        <w:b w:val="0"/>
        <w:sz w:val="20"/>
      </w:rPr>
      <w:t>|</w:t>
    </w:r>
    <w:r w:rsidR="00243CDA" w:rsidRPr="00243CDA">
      <w:rPr>
        <w:b w:val="0"/>
        <w:bCs/>
        <w:sz w:val="20"/>
      </w:rPr>
      <w:t xml:space="preserve"> </w:t>
    </w:r>
    <w:r w:rsidR="00243CDA" w:rsidRPr="00243CDA">
      <w:rPr>
        <w:b w:val="0"/>
        <w:color w:val="808080"/>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5E" w:rsidRDefault="0096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59" w:rsidRDefault="00832559">
      <w:r>
        <w:separator/>
      </w:r>
    </w:p>
  </w:footnote>
  <w:footnote w:type="continuationSeparator" w:id="0">
    <w:p w:rsidR="00832559" w:rsidRDefault="00832559">
      <w:r>
        <w:continuationSeparator/>
      </w:r>
    </w:p>
  </w:footnote>
  <w:footnote w:id="1">
    <w:p w:rsidR="00CE5642" w:rsidRPr="007E7452" w:rsidRDefault="00CE5642">
      <w:pPr>
        <w:pStyle w:val="FootnoteText"/>
        <w:rPr>
          <w:sz w:val="15"/>
          <w:szCs w:val="15"/>
        </w:rPr>
      </w:pPr>
      <w:r w:rsidRPr="007E7452">
        <w:rPr>
          <w:rStyle w:val="FootnoteReference"/>
          <w:sz w:val="15"/>
          <w:szCs w:val="15"/>
        </w:rPr>
        <w:footnoteRef/>
      </w:r>
      <w:r w:rsidRPr="007E7452">
        <w:rPr>
          <w:sz w:val="15"/>
          <w:szCs w:val="15"/>
        </w:rPr>
        <w:t xml:space="preserve"> In total there were 390 serious incident notific</w:t>
      </w:r>
      <w:r w:rsidR="000A56A4" w:rsidRPr="007E7452">
        <w:rPr>
          <w:sz w:val="15"/>
          <w:szCs w:val="15"/>
        </w:rPr>
        <w:t>a</w:t>
      </w:r>
      <w:r w:rsidRPr="007E7452">
        <w:rPr>
          <w:sz w:val="15"/>
          <w:szCs w:val="15"/>
        </w:rPr>
        <w:t xml:space="preserve">tions </w:t>
      </w:r>
      <w:r w:rsidR="000A56A4" w:rsidRPr="007E7452">
        <w:rPr>
          <w:sz w:val="15"/>
          <w:szCs w:val="15"/>
        </w:rPr>
        <w:t xml:space="preserve">received </w:t>
      </w:r>
      <w:r w:rsidRPr="007E7452">
        <w:rPr>
          <w:sz w:val="15"/>
          <w:szCs w:val="15"/>
        </w:rPr>
        <w:t>during this time</w:t>
      </w:r>
      <w:r w:rsidR="007E4776" w:rsidRPr="007E7452">
        <w:rPr>
          <w:sz w:val="15"/>
          <w:szCs w:val="15"/>
        </w:rPr>
        <w:t>;</w:t>
      </w:r>
      <w:r w:rsidRPr="007E7452">
        <w:rPr>
          <w:sz w:val="15"/>
          <w:szCs w:val="15"/>
        </w:rPr>
        <w:t xml:space="preserve"> however f</w:t>
      </w:r>
      <w:r w:rsidRPr="007E7452">
        <w:rPr>
          <w:rFonts w:cs="Tahoma"/>
          <w:sz w:val="15"/>
          <w:szCs w:val="15"/>
        </w:rPr>
        <w:t xml:space="preserve">ive of these related to incidents that were not directly linked with harm to a particular child, so </w:t>
      </w:r>
      <w:r w:rsidR="000A56A4" w:rsidRPr="007E7452">
        <w:rPr>
          <w:rFonts w:cs="Tahoma"/>
          <w:sz w:val="15"/>
          <w:szCs w:val="15"/>
        </w:rPr>
        <w:t>details from these incidents are not included in this release</w:t>
      </w:r>
      <w:r w:rsidR="001A456F" w:rsidRPr="007E7452">
        <w:rPr>
          <w:rFonts w:cs="Tahoma"/>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5E" w:rsidRDefault="00962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706"/>
      <w:gridCol w:w="2536"/>
    </w:tblGrid>
    <w:tr w:rsidR="000A288A" w:rsidTr="007E785D">
      <w:trPr>
        <w:trHeight w:val="1986"/>
      </w:trPr>
      <w:tc>
        <w:tcPr>
          <w:tcW w:w="3628" w:type="pct"/>
          <w:shd w:val="clear" w:color="auto" w:fill="auto"/>
        </w:tcPr>
        <w:p w:rsidR="000A288A" w:rsidRDefault="00CB3443" w:rsidP="00F953E2">
          <w:pPr>
            <w:pStyle w:val="Header"/>
            <w:jc w:val="left"/>
          </w:pPr>
          <w:r>
            <w:rPr>
              <w:noProof/>
            </w:rPr>
            <mc:AlternateContent>
              <mc:Choice Requires="wps">
                <w:drawing>
                  <wp:anchor distT="0" distB="0" distL="114300" distR="114300" simplePos="0" relativeHeight="251657728" behindDoc="0" locked="0" layoutInCell="1" allowOverlap="1" wp14:anchorId="7F60483D" wp14:editId="2BC0483E">
                    <wp:simplePos x="0" y="0"/>
                    <wp:positionH relativeFrom="column">
                      <wp:posOffset>-71120</wp:posOffset>
                    </wp:positionH>
                    <wp:positionV relativeFrom="paragraph">
                      <wp:posOffset>114935</wp:posOffset>
                    </wp:positionV>
                    <wp:extent cx="1709420" cy="347980"/>
                    <wp:effectExtent l="14605" t="1016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rsidR="00F953E2" w:rsidRPr="00033909" w:rsidRDefault="00F953E2" w:rsidP="00F953E2">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pt;margin-top:9.05pt;width:134.6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" strokeweight="1pt">
                    <v:textbox>
                      <w:txbxContent>
                        <w:p w:rsidR="00F953E2" w:rsidRPr="00033909" w:rsidRDefault="00F953E2" w:rsidP="00F953E2">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rsidR="00F953E2" w:rsidRDefault="00F953E2" w:rsidP="00490F9F">
          <w:pPr>
            <w:pStyle w:val="Header"/>
            <w:jc w:val="right"/>
          </w:pPr>
        </w:p>
      </w:tc>
      <w:tc>
        <w:tcPr>
          <w:tcW w:w="1372" w:type="pct"/>
          <w:shd w:val="clear" w:color="auto" w:fill="auto"/>
        </w:tcPr>
        <w:p w:rsidR="001460CF" w:rsidRDefault="001460CF" w:rsidP="00490F9F">
          <w:pPr>
            <w:pStyle w:val="Header"/>
            <w:jc w:val="right"/>
          </w:pPr>
        </w:p>
        <w:p w:rsidR="000A288A" w:rsidRDefault="00CB3443" w:rsidP="00490F9F">
          <w:pPr>
            <w:pStyle w:val="Header"/>
            <w:jc w:val="right"/>
          </w:pPr>
          <w:r>
            <w:rPr>
              <w:noProof/>
            </w:rPr>
            <w:drawing>
              <wp:inline distT="0" distB="0" distL="0" distR="0" wp14:anchorId="0AA04493" wp14:editId="41736AE8">
                <wp:extent cx="1343025" cy="1143000"/>
                <wp:effectExtent l="0" t="0" r="9525" b="0"/>
                <wp:docPr id="6" name="Picture 6"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tc>
    </w:tr>
  </w:tbl>
  <w:p w:rsidR="007E785D" w:rsidRPr="007E785D" w:rsidRDefault="007E785D" w:rsidP="007E785D">
    <w:pPr>
      <w:pStyle w:val="Header"/>
      <w:rPr>
        <w:sz w:val="14"/>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5E" w:rsidRDefault="0096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840"/>
    <w:multiLevelType w:val="hybridMultilevel"/>
    <w:tmpl w:val="CFF8E974"/>
    <w:lvl w:ilvl="0" w:tplc="4B649690">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02790"/>
    <w:multiLevelType w:val="hybridMultilevel"/>
    <w:tmpl w:val="559A782A"/>
    <w:lvl w:ilvl="0" w:tplc="20E0B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984189"/>
    <w:multiLevelType w:val="hybridMultilevel"/>
    <w:tmpl w:val="F09E91C0"/>
    <w:lvl w:ilvl="0" w:tplc="AC549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115AD0"/>
    <w:multiLevelType w:val="hybridMultilevel"/>
    <w:tmpl w:val="72440A72"/>
    <w:lvl w:ilvl="0" w:tplc="BA78210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6994CEA"/>
    <w:multiLevelType w:val="hybridMultilevel"/>
    <w:tmpl w:val="7264F4FC"/>
    <w:lvl w:ilvl="0" w:tplc="8104ED0C">
      <w:start w:val="1"/>
      <w:numFmt w:val="decimal"/>
      <w:lvlText w:val="%1."/>
      <w:lvlJc w:val="left"/>
      <w:pPr>
        <w:tabs>
          <w:tab w:val="num" w:pos="720"/>
        </w:tabs>
        <w:ind w:left="720" w:hanging="360"/>
      </w:pPr>
      <w:rPr>
        <w:b w:val="0"/>
        <w:sz w:val="24"/>
        <w:szCs w:val="24"/>
      </w:rPr>
    </w:lvl>
    <w:lvl w:ilvl="1" w:tplc="0809000F">
      <w:start w:val="1"/>
      <w:numFmt w:val="decimal"/>
      <w:lvlText w:val="%2."/>
      <w:lvlJc w:val="left"/>
      <w:pPr>
        <w:tabs>
          <w:tab w:val="num" w:pos="1440"/>
        </w:tabs>
        <w:ind w:left="1440" w:hanging="360"/>
      </w:pPr>
      <w:rPr>
        <w:b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6">
    <w:nsid w:val="0C1C3330"/>
    <w:multiLevelType w:val="hybridMultilevel"/>
    <w:tmpl w:val="603AF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DEA0431"/>
    <w:multiLevelType w:val="hybridMultilevel"/>
    <w:tmpl w:val="16CCD28C"/>
    <w:lvl w:ilvl="0" w:tplc="E822DE34">
      <w:start w:val="1"/>
      <w:numFmt w:val="bullet"/>
      <w:lvlText w:val=""/>
      <w:lvlJc w:val="left"/>
      <w:pPr>
        <w:tabs>
          <w:tab w:val="num" w:pos="-790"/>
        </w:tabs>
        <w:ind w:left="-790" w:hanging="360"/>
      </w:pPr>
      <w:rPr>
        <w:rFonts w:ascii="Symbol" w:hAnsi="Symbol" w:hint="default"/>
      </w:rPr>
    </w:lvl>
    <w:lvl w:ilvl="1" w:tplc="024C9834" w:tentative="1">
      <w:start w:val="1"/>
      <w:numFmt w:val="bullet"/>
      <w:lvlText w:val=""/>
      <w:lvlJc w:val="left"/>
      <w:pPr>
        <w:tabs>
          <w:tab w:val="num" w:pos="-70"/>
        </w:tabs>
        <w:ind w:left="-70" w:hanging="360"/>
      </w:pPr>
      <w:rPr>
        <w:rFonts w:ascii="Symbol" w:hAnsi="Symbol" w:hint="default"/>
      </w:rPr>
    </w:lvl>
    <w:lvl w:ilvl="2" w:tplc="A1B64292" w:tentative="1">
      <w:start w:val="1"/>
      <w:numFmt w:val="bullet"/>
      <w:lvlText w:val=""/>
      <w:lvlJc w:val="left"/>
      <w:pPr>
        <w:tabs>
          <w:tab w:val="num" w:pos="650"/>
        </w:tabs>
        <w:ind w:left="650" w:hanging="360"/>
      </w:pPr>
      <w:rPr>
        <w:rFonts w:ascii="Symbol" w:hAnsi="Symbol" w:hint="default"/>
      </w:rPr>
    </w:lvl>
    <w:lvl w:ilvl="3" w:tplc="55841EB4" w:tentative="1">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8">
    <w:nsid w:val="10E2506A"/>
    <w:multiLevelType w:val="hybridMultilevel"/>
    <w:tmpl w:val="B2AA94E6"/>
    <w:lvl w:ilvl="0" w:tplc="DE1A0CA4">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267288"/>
    <w:multiLevelType w:val="hybridMultilevel"/>
    <w:tmpl w:val="B2AE5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9A1900"/>
    <w:multiLevelType w:val="hybridMultilevel"/>
    <w:tmpl w:val="B4E4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1711C"/>
    <w:multiLevelType w:val="hybridMultilevel"/>
    <w:tmpl w:val="268C513A"/>
    <w:lvl w:ilvl="0" w:tplc="8104ED0C">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2333381"/>
    <w:multiLevelType w:val="hybridMultilevel"/>
    <w:tmpl w:val="0CB4CDA4"/>
    <w:lvl w:ilvl="0" w:tplc="348439EA">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3FB0FDF"/>
    <w:multiLevelType w:val="hybridMultilevel"/>
    <w:tmpl w:val="3F6EE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3C5AA7"/>
    <w:multiLevelType w:val="hybridMultilevel"/>
    <w:tmpl w:val="B2AE5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05F60CE"/>
    <w:multiLevelType w:val="hybridMultilevel"/>
    <w:tmpl w:val="F4527C6E"/>
    <w:lvl w:ilvl="0" w:tplc="43684072">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A26BFD"/>
    <w:multiLevelType w:val="hybridMultilevel"/>
    <w:tmpl w:val="5DBE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6E7485"/>
    <w:multiLevelType w:val="hybridMultilevel"/>
    <w:tmpl w:val="990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97217"/>
    <w:multiLevelType w:val="hybridMultilevel"/>
    <w:tmpl w:val="429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D7057"/>
    <w:multiLevelType w:val="hybridMultilevel"/>
    <w:tmpl w:val="2EACFB7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2451BEB"/>
    <w:multiLevelType w:val="hybridMultilevel"/>
    <w:tmpl w:val="681A36DC"/>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28366BE"/>
    <w:multiLevelType w:val="hybridMultilevel"/>
    <w:tmpl w:val="95241CCE"/>
    <w:lvl w:ilvl="0" w:tplc="20E0B478">
      <w:start w:val="1"/>
      <w:numFmt w:val="bullet"/>
      <w:lvlText w:val=""/>
      <w:lvlJc w:val="left"/>
      <w:pPr>
        <w:tabs>
          <w:tab w:val="num" w:pos="720"/>
        </w:tabs>
        <w:ind w:left="720" w:hanging="360"/>
      </w:pPr>
      <w:rPr>
        <w:rFonts w:ascii="Wingdings" w:hAnsi="Wingding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38F7DDB"/>
    <w:multiLevelType w:val="hybridMultilevel"/>
    <w:tmpl w:val="5992A6B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EF3FCB"/>
    <w:multiLevelType w:val="hybridMultilevel"/>
    <w:tmpl w:val="28360D7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665BCA"/>
    <w:multiLevelType w:val="hybridMultilevel"/>
    <w:tmpl w:val="579C6C62"/>
    <w:lvl w:ilvl="0" w:tplc="20E0B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826411"/>
    <w:multiLevelType w:val="hybridMultilevel"/>
    <w:tmpl w:val="69521084"/>
    <w:lvl w:ilvl="0" w:tplc="8104ED0C">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49110AF"/>
    <w:multiLevelType w:val="hybridMultilevel"/>
    <w:tmpl w:val="B2AE5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79B2B62"/>
    <w:multiLevelType w:val="hybridMultilevel"/>
    <w:tmpl w:val="8CD2DFF2"/>
    <w:lvl w:ilvl="0" w:tplc="BEFE90C0">
      <w:start w:val="1"/>
      <w:numFmt w:val="bullet"/>
      <w:lvlText w:val="-"/>
      <w:lvlJc w:val="left"/>
      <w:pPr>
        <w:ind w:left="1353" w:hanging="360"/>
      </w:pPr>
      <w:rPr>
        <w:rFonts w:ascii="Tahoma" w:eastAsia="Times New Roman" w:hAnsi="Tahoma" w:cs="Tahoma"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nsid w:val="59F01B87"/>
    <w:multiLevelType w:val="hybridMultilevel"/>
    <w:tmpl w:val="9BE8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A6FBC"/>
    <w:multiLevelType w:val="hybridMultilevel"/>
    <w:tmpl w:val="6514415E"/>
    <w:lvl w:ilvl="0" w:tplc="BB3699F2">
      <w:start w:val="1"/>
      <w:numFmt w:val="bullet"/>
      <w:lvlText w:val=""/>
      <w:lvlJc w:val="left"/>
      <w:pPr>
        <w:tabs>
          <w:tab w:val="num" w:pos="720"/>
        </w:tabs>
        <w:ind w:left="720" w:hanging="360"/>
      </w:pPr>
      <w:rPr>
        <w:rFonts w:ascii="Symbol" w:hAnsi="Symbol" w:hint="default"/>
      </w:rPr>
    </w:lvl>
    <w:lvl w:ilvl="1" w:tplc="BF2C6B10"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392267F"/>
    <w:multiLevelType w:val="multilevel"/>
    <w:tmpl w:val="2C0E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D05385"/>
    <w:multiLevelType w:val="hybridMultilevel"/>
    <w:tmpl w:val="9E7C84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5CF1454"/>
    <w:multiLevelType w:val="hybridMultilevel"/>
    <w:tmpl w:val="7D1878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9E69AA"/>
    <w:multiLevelType w:val="hybridMultilevel"/>
    <w:tmpl w:val="D708038A"/>
    <w:lvl w:ilvl="0" w:tplc="8104ED0C">
      <w:start w:val="1"/>
      <w:numFmt w:val="decimal"/>
      <w:lvlText w:val="%1."/>
      <w:lvlJc w:val="left"/>
      <w:pPr>
        <w:tabs>
          <w:tab w:val="num" w:pos="360"/>
        </w:tabs>
        <w:ind w:left="360" w:hanging="360"/>
      </w:pPr>
      <w:rPr>
        <w:b w:val="0"/>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E2E3146"/>
    <w:multiLevelType w:val="hybridMultilevel"/>
    <w:tmpl w:val="A768BE48"/>
    <w:lvl w:ilvl="0" w:tplc="348439EA">
      <w:start w:val="1"/>
      <w:numFmt w:val="bullet"/>
      <w:lvlText w:val=""/>
      <w:lvlJc w:val="left"/>
      <w:pPr>
        <w:tabs>
          <w:tab w:val="num" w:pos="720"/>
        </w:tabs>
        <w:ind w:left="720"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6F404AE0"/>
    <w:multiLevelType w:val="hybridMultilevel"/>
    <w:tmpl w:val="77989C42"/>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6F5D0E03"/>
    <w:multiLevelType w:val="hybridMultilevel"/>
    <w:tmpl w:val="857672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49A7DC9"/>
    <w:multiLevelType w:val="hybridMultilevel"/>
    <w:tmpl w:val="A528892E"/>
    <w:lvl w:ilvl="0" w:tplc="20E0B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F27C48"/>
    <w:multiLevelType w:val="hybridMultilevel"/>
    <w:tmpl w:val="99D64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D3C33B1"/>
    <w:multiLevelType w:val="hybridMultilevel"/>
    <w:tmpl w:val="AE744F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0"/>
  </w:num>
  <w:num w:numId="3">
    <w:abstractNumId w:val="34"/>
  </w:num>
  <w:num w:numId="4">
    <w:abstractNumId w:val="32"/>
  </w:num>
  <w:num w:numId="5">
    <w:abstractNumId w:val="25"/>
  </w:num>
  <w:num w:numId="6">
    <w:abstractNumId w:val="22"/>
  </w:num>
  <w:num w:numId="7">
    <w:abstractNumId w:val="3"/>
  </w:num>
  <w:num w:numId="8">
    <w:abstractNumId w:val="4"/>
  </w:num>
  <w:num w:numId="9">
    <w:abstractNumId w:val="0"/>
  </w:num>
  <w:num w:numId="10">
    <w:abstractNumId w:val="33"/>
  </w:num>
  <w:num w:numId="11">
    <w:abstractNumId w:val="36"/>
  </w:num>
  <w:num w:numId="12">
    <w:abstractNumId w:val="12"/>
  </w:num>
  <w:num w:numId="13">
    <w:abstractNumId w:val="27"/>
  </w:num>
  <w:num w:numId="14">
    <w:abstractNumId w:val="42"/>
  </w:num>
  <w:num w:numId="15">
    <w:abstractNumId w:val="6"/>
  </w:num>
  <w:num w:numId="16">
    <w:abstractNumId w:val="9"/>
  </w:num>
  <w:num w:numId="17">
    <w:abstractNumId w:val="5"/>
  </w:num>
  <w:num w:numId="1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1"/>
  </w:num>
  <w:num w:numId="25">
    <w:abstractNumId w:val="16"/>
  </w:num>
  <w:num w:numId="26">
    <w:abstractNumId w:val="17"/>
  </w:num>
  <w:num w:numId="27">
    <w:abstractNumId w:val="14"/>
  </w:num>
  <w:num w:numId="28">
    <w:abstractNumId w:val="13"/>
  </w:num>
  <w:num w:numId="29">
    <w:abstractNumId w:val="37"/>
  </w:num>
  <w:num w:numId="30">
    <w:abstractNumId w:val="8"/>
  </w:num>
  <w:num w:numId="31">
    <w:abstractNumId w:val="29"/>
  </w:num>
  <w:num w:numId="32">
    <w:abstractNumId w:val="24"/>
  </w:num>
  <w:num w:numId="33">
    <w:abstractNumId w:val="35"/>
  </w:num>
  <w:num w:numId="34">
    <w:abstractNumId w:val="28"/>
  </w:num>
  <w:num w:numId="35">
    <w:abstractNumId w:val="18"/>
  </w:num>
  <w:num w:numId="36">
    <w:abstractNumId w:val="7"/>
  </w:num>
  <w:num w:numId="37">
    <w:abstractNumId w:val="43"/>
  </w:num>
  <w:num w:numId="38">
    <w:abstractNumId w:val="20"/>
  </w:num>
  <w:num w:numId="39">
    <w:abstractNumId w:val="31"/>
  </w:num>
  <w:num w:numId="40">
    <w:abstractNumId w:val="21"/>
  </w:num>
  <w:num w:numId="41">
    <w:abstractNumId w:val="15"/>
  </w:num>
  <w:num w:numId="42">
    <w:abstractNumId w:val="10"/>
  </w:num>
  <w:num w:numId="43">
    <w:abstractNumId w:val="19"/>
  </w:num>
  <w:num w:numId="44">
    <w:abstractNumId w:val="2"/>
  </w:num>
  <w:num w:numId="45">
    <w:abstractNumId w:val="11"/>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9C"/>
    <w:rsid w:val="00000EC5"/>
    <w:rsid w:val="000019C5"/>
    <w:rsid w:val="00002335"/>
    <w:rsid w:val="000037E8"/>
    <w:rsid w:val="00003FC8"/>
    <w:rsid w:val="0000509C"/>
    <w:rsid w:val="00007378"/>
    <w:rsid w:val="00007588"/>
    <w:rsid w:val="000101BB"/>
    <w:rsid w:val="00010456"/>
    <w:rsid w:val="00010F5F"/>
    <w:rsid w:val="0001126C"/>
    <w:rsid w:val="000124BD"/>
    <w:rsid w:val="00013403"/>
    <w:rsid w:val="000134CE"/>
    <w:rsid w:val="00013BD7"/>
    <w:rsid w:val="00020412"/>
    <w:rsid w:val="000206B1"/>
    <w:rsid w:val="00022E6C"/>
    <w:rsid w:val="00023D41"/>
    <w:rsid w:val="000246BA"/>
    <w:rsid w:val="00026F4E"/>
    <w:rsid w:val="00032234"/>
    <w:rsid w:val="00032C49"/>
    <w:rsid w:val="000339BC"/>
    <w:rsid w:val="00033E4E"/>
    <w:rsid w:val="00034A89"/>
    <w:rsid w:val="00035B5F"/>
    <w:rsid w:val="00036C7B"/>
    <w:rsid w:val="00037A56"/>
    <w:rsid w:val="00040A8F"/>
    <w:rsid w:val="000414E0"/>
    <w:rsid w:val="000431F4"/>
    <w:rsid w:val="0004366A"/>
    <w:rsid w:val="00045B29"/>
    <w:rsid w:val="00050AB1"/>
    <w:rsid w:val="0005636C"/>
    <w:rsid w:val="000576BF"/>
    <w:rsid w:val="000620CB"/>
    <w:rsid w:val="00062188"/>
    <w:rsid w:val="000635E4"/>
    <w:rsid w:val="00064279"/>
    <w:rsid w:val="0006764D"/>
    <w:rsid w:val="000678F1"/>
    <w:rsid w:val="000704DC"/>
    <w:rsid w:val="000704E8"/>
    <w:rsid w:val="0007232D"/>
    <w:rsid w:val="0007240C"/>
    <w:rsid w:val="00074F2D"/>
    <w:rsid w:val="00076AAF"/>
    <w:rsid w:val="000773D9"/>
    <w:rsid w:val="00077CA7"/>
    <w:rsid w:val="00077D40"/>
    <w:rsid w:val="00082CA3"/>
    <w:rsid w:val="00082E77"/>
    <w:rsid w:val="000830D8"/>
    <w:rsid w:val="00083898"/>
    <w:rsid w:val="00083D53"/>
    <w:rsid w:val="00085784"/>
    <w:rsid w:val="00085DBB"/>
    <w:rsid w:val="00087CCE"/>
    <w:rsid w:val="0009188C"/>
    <w:rsid w:val="000930D3"/>
    <w:rsid w:val="00094070"/>
    <w:rsid w:val="00094BA6"/>
    <w:rsid w:val="00096AC8"/>
    <w:rsid w:val="0009754B"/>
    <w:rsid w:val="000A288A"/>
    <w:rsid w:val="000A4824"/>
    <w:rsid w:val="000A543D"/>
    <w:rsid w:val="000A56A4"/>
    <w:rsid w:val="000A5A02"/>
    <w:rsid w:val="000A6AA9"/>
    <w:rsid w:val="000A742E"/>
    <w:rsid w:val="000A7EFC"/>
    <w:rsid w:val="000B3535"/>
    <w:rsid w:val="000B62AA"/>
    <w:rsid w:val="000B6B87"/>
    <w:rsid w:val="000B6C5F"/>
    <w:rsid w:val="000B7802"/>
    <w:rsid w:val="000C0259"/>
    <w:rsid w:val="000C2291"/>
    <w:rsid w:val="000C2B36"/>
    <w:rsid w:val="000C35DE"/>
    <w:rsid w:val="000C3C23"/>
    <w:rsid w:val="000C5360"/>
    <w:rsid w:val="000C5FDC"/>
    <w:rsid w:val="000D0BC9"/>
    <w:rsid w:val="000D10C5"/>
    <w:rsid w:val="000D16D5"/>
    <w:rsid w:val="000D47EB"/>
    <w:rsid w:val="000D69B3"/>
    <w:rsid w:val="000D6FA8"/>
    <w:rsid w:val="000E1171"/>
    <w:rsid w:val="000E131D"/>
    <w:rsid w:val="000E2E01"/>
    <w:rsid w:val="000E3D6F"/>
    <w:rsid w:val="000E3FBC"/>
    <w:rsid w:val="000E4290"/>
    <w:rsid w:val="000E5040"/>
    <w:rsid w:val="000E5A94"/>
    <w:rsid w:val="000E5D39"/>
    <w:rsid w:val="000F12C7"/>
    <w:rsid w:val="000F5070"/>
    <w:rsid w:val="000F60FF"/>
    <w:rsid w:val="000F7D0F"/>
    <w:rsid w:val="001023CB"/>
    <w:rsid w:val="001029FB"/>
    <w:rsid w:val="00103AB3"/>
    <w:rsid w:val="00105CB4"/>
    <w:rsid w:val="00106622"/>
    <w:rsid w:val="001103E0"/>
    <w:rsid w:val="0011080D"/>
    <w:rsid w:val="001116EF"/>
    <w:rsid w:val="00111EC2"/>
    <w:rsid w:val="001123ED"/>
    <w:rsid w:val="00114E22"/>
    <w:rsid w:val="00115671"/>
    <w:rsid w:val="00116FD0"/>
    <w:rsid w:val="001208F4"/>
    <w:rsid w:val="00121519"/>
    <w:rsid w:val="00125D2E"/>
    <w:rsid w:val="00126A7B"/>
    <w:rsid w:val="00127728"/>
    <w:rsid w:val="00131A47"/>
    <w:rsid w:val="00133EBC"/>
    <w:rsid w:val="00134FB2"/>
    <w:rsid w:val="0013565B"/>
    <w:rsid w:val="001361F5"/>
    <w:rsid w:val="0013726E"/>
    <w:rsid w:val="00142792"/>
    <w:rsid w:val="00145C08"/>
    <w:rsid w:val="001460CF"/>
    <w:rsid w:val="00146CB5"/>
    <w:rsid w:val="00147CE0"/>
    <w:rsid w:val="00147F03"/>
    <w:rsid w:val="0015055C"/>
    <w:rsid w:val="00150815"/>
    <w:rsid w:val="001523BE"/>
    <w:rsid w:val="0015345F"/>
    <w:rsid w:val="00153DAC"/>
    <w:rsid w:val="001551A8"/>
    <w:rsid w:val="0016186A"/>
    <w:rsid w:val="0016524B"/>
    <w:rsid w:val="0016772A"/>
    <w:rsid w:val="00174E1B"/>
    <w:rsid w:val="00174F0C"/>
    <w:rsid w:val="001750E1"/>
    <w:rsid w:val="00175D17"/>
    <w:rsid w:val="00176843"/>
    <w:rsid w:val="00177114"/>
    <w:rsid w:val="00177AB6"/>
    <w:rsid w:val="00180F43"/>
    <w:rsid w:val="00182A1C"/>
    <w:rsid w:val="00184023"/>
    <w:rsid w:val="00184562"/>
    <w:rsid w:val="00184B1F"/>
    <w:rsid w:val="00184B5B"/>
    <w:rsid w:val="00186741"/>
    <w:rsid w:val="00186FD8"/>
    <w:rsid w:val="00187EA8"/>
    <w:rsid w:val="001949D7"/>
    <w:rsid w:val="00194D27"/>
    <w:rsid w:val="00194EDD"/>
    <w:rsid w:val="0019565E"/>
    <w:rsid w:val="00197915"/>
    <w:rsid w:val="001A0CA0"/>
    <w:rsid w:val="001A1D68"/>
    <w:rsid w:val="001A456F"/>
    <w:rsid w:val="001A4C55"/>
    <w:rsid w:val="001A5174"/>
    <w:rsid w:val="001B0D18"/>
    <w:rsid w:val="001B2C55"/>
    <w:rsid w:val="001B2EF8"/>
    <w:rsid w:val="001B3DD8"/>
    <w:rsid w:val="001B3F8F"/>
    <w:rsid w:val="001B566E"/>
    <w:rsid w:val="001B5791"/>
    <w:rsid w:val="001B599A"/>
    <w:rsid w:val="001B6F28"/>
    <w:rsid w:val="001C3B27"/>
    <w:rsid w:val="001C3C2F"/>
    <w:rsid w:val="001C5127"/>
    <w:rsid w:val="001C5A46"/>
    <w:rsid w:val="001C5FE4"/>
    <w:rsid w:val="001D158C"/>
    <w:rsid w:val="001D19C8"/>
    <w:rsid w:val="001D22E5"/>
    <w:rsid w:val="001D5791"/>
    <w:rsid w:val="001D6D90"/>
    <w:rsid w:val="001D7224"/>
    <w:rsid w:val="001E0617"/>
    <w:rsid w:val="001E500B"/>
    <w:rsid w:val="001E5D6B"/>
    <w:rsid w:val="001F0F18"/>
    <w:rsid w:val="001F31DF"/>
    <w:rsid w:val="001F33E2"/>
    <w:rsid w:val="001F364D"/>
    <w:rsid w:val="001F433B"/>
    <w:rsid w:val="001F6922"/>
    <w:rsid w:val="00200B9E"/>
    <w:rsid w:val="0020413B"/>
    <w:rsid w:val="00204609"/>
    <w:rsid w:val="00204997"/>
    <w:rsid w:val="002049F0"/>
    <w:rsid w:val="00206FF7"/>
    <w:rsid w:val="00207B0C"/>
    <w:rsid w:val="00210AF8"/>
    <w:rsid w:val="00212A16"/>
    <w:rsid w:val="002131E4"/>
    <w:rsid w:val="0021438C"/>
    <w:rsid w:val="00223F0C"/>
    <w:rsid w:val="002314EB"/>
    <w:rsid w:val="00231CC7"/>
    <w:rsid w:val="00234E46"/>
    <w:rsid w:val="00234E8F"/>
    <w:rsid w:val="00235C76"/>
    <w:rsid w:val="00236F6A"/>
    <w:rsid w:val="00237AF7"/>
    <w:rsid w:val="00242A1E"/>
    <w:rsid w:val="00243709"/>
    <w:rsid w:val="00243CDA"/>
    <w:rsid w:val="00244BC8"/>
    <w:rsid w:val="00245FE3"/>
    <w:rsid w:val="00246C22"/>
    <w:rsid w:val="00246CCB"/>
    <w:rsid w:val="00247A8E"/>
    <w:rsid w:val="00247AE3"/>
    <w:rsid w:val="00247CBB"/>
    <w:rsid w:val="00250C3C"/>
    <w:rsid w:val="00252421"/>
    <w:rsid w:val="00252D8E"/>
    <w:rsid w:val="00254E34"/>
    <w:rsid w:val="0025609B"/>
    <w:rsid w:val="00256A42"/>
    <w:rsid w:val="00256F63"/>
    <w:rsid w:val="002603E0"/>
    <w:rsid w:val="00260F21"/>
    <w:rsid w:val="0026196E"/>
    <w:rsid w:val="00263D0B"/>
    <w:rsid w:val="00267AAE"/>
    <w:rsid w:val="0027116D"/>
    <w:rsid w:val="00271BE7"/>
    <w:rsid w:val="00272AC7"/>
    <w:rsid w:val="00273B53"/>
    <w:rsid w:val="00274DF6"/>
    <w:rsid w:val="0027523F"/>
    <w:rsid w:val="0027593C"/>
    <w:rsid w:val="00275EC6"/>
    <w:rsid w:val="0028013D"/>
    <w:rsid w:val="002801CF"/>
    <w:rsid w:val="00280C2E"/>
    <w:rsid w:val="002817B1"/>
    <w:rsid w:val="00282AD7"/>
    <w:rsid w:val="00282E8F"/>
    <w:rsid w:val="00285C51"/>
    <w:rsid w:val="00286E47"/>
    <w:rsid w:val="00290F2B"/>
    <w:rsid w:val="002913EB"/>
    <w:rsid w:val="00291D8A"/>
    <w:rsid w:val="0029399E"/>
    <w:rsid w:val="002978A6"/>
    <w:rsid w:val="002A1F22"/>
    <w:rsid w:val="002A2129"/>
    <w:rsid w:val="002A2E83"/>
    <w:rsid w:val="002A33E7"/>
    <w:rsid w:val="002A3C45"/>
    <w:rsid w:val="002A57E8"/>
    <w:rsid w:val="002A5AAF"/>
    <w:rsid w:val="002A6D1E"/>
    <w:rsid w:val="002B0E60"/>
    <w:rsid w:val="002B318F"/>
    <w:rsid w:val="002B343A"/>
    <w:rsid w:val="002B358D"/>
    <w:rsid w:val="002B3783"/>
    <w:rsid w:val="002C05CF"/>
    <w:rsid w:val="002C117A"/>
    <w:rsid w:val="002C192D"/>
    <w:rsid w:val="002C3210"/>
    <w:rsid w:val="002C3534"/>
    <w:rsid w:val="002C36B5"/>
    <w:rsid w:val="002C4A9F"/>
    <w:rsid w:val="002C5989"/>
    <w:rsid w:val="002C79E2"/>
    <w:rsid w:val="002C7E75"/>
    <w:rsid w:val="002D229D"/>
    <w:rsid w:val="002D2911"/>
    <w:rsid w:val="002D2CC6"/>
    <w:rsid w:val="002E032E"/>
    <w:rsid w:val="002E0506"/>
    <w:rsid w:val="002E0928"/>
    <w:rsid w:val="002E31C7"/>
    <w:rsid w:val="002E3925"/>
    <w:rsid w:val="002E3AC4"/>
    <w:rsid w:val="002F1240"/>
    <w:rsid w:val="002F1622"/>
    <w:rsid w:val="002F2D93"/>
    <w:rsid w:val="002F32C5"/>
    <w:rsid w:val="002F379E"/>
    <w:rsid w:val="002F4945"/>
    <w:rsid w:val="002F6CFF"/>
    <w:rsid w:val="002F6F16"/>
    <w:rsid w:val="002F7BBC"/>
    <w:rsid w:val="003004E6"/>
    <w:rsid w:val="00300F12"/>
    <w:rsid w:val="00302780"/>
    <w:rsid w:val="003032DC"/>
    <w:rsid w:val="003042DA"/>
    <w:rsid w:val="003068F4"/>
    <w:rsid w:val="003113C0"/>
    <w:rsid w:val="00311C80"/>
    <w:rsid w:val="00314FF6"/>
    <w:rsid w:val="003164EF"/>
    <w:rsid w:val="00322350"/>
    <w:rsid w:val="00322A08"/>
    <w:rsid w:val="00325C6F"/>
    <w:rsid w:val="0032720F"/>
    <w:rsid w:val="00327517"/>
    <w:rsid w:val="00327717"/>
    <w:rsid w:val="003304E1"/>
    <w:rsid w:val="00331C35"/>
    <w:rsid w:val="00332E10"/>
    <w:rsid w:val="00332F3B"/>
    <w:rsid w:val="003359EC"/>
    <w:rsid w:val="00335DBD"/>
    <w:rsid w:val="003364FF"/>
    <w:rsid w:val="00340AD1"/>
    <w:rsid w:val="00341410"/>
    <w:rsid w:val="00342603"/>
    <w:rsid w:val="00342FA0"/>
    <w:rsid w:val="00343E72"/>
    <w:rsid w:val="00344E78"/>
    <w:rsid w:val="00347676"/>
    <w:rsid w:val="00351690"/>
    <w:rsid w:val="003526EC"/>
    <w:rsid w:val="0035544D"/>
    <w:rsid w:val="003559FA"/>
    <w:rsid w:val="00356B62"/>
    <w:rsid w:val="00356C3D"/>
    <w:rsid w:val="00360C9A"/>
    <w:rsid w:val="00362B4A"/>
    <w:rsid w:val="0036371C"/>
    <w:rsid w:val="00363E91"/>
    <w:rsid w:val="00365276"/>
    <w:rsid w:val="0036632F"/>
    <w:rsid w:val="003668C1"/>
    <w:rsid w:val="00366F95"/>
    <w:rsid w:val="0036704B"/>
    <w:rsid w:val="00367AC5"/>
    <w:rsid w:val="0037094D"/>
    <w:rsid w:val="00371365"/>
    <w:rsid w:val="00371B1F"/>
    <w:rsid w:val="003736F1"/>
    <w:rsid w:val="00376E24"/>
    <w:rsid w:val="00377071"/>
    <w:rsid w:val="00381A18"/>
    <w:rsid w:val="0038214B"/>
    <w:rsid w:val="00382389"/>
    <w:rsid w:val="003846CB"/>
    <w:rsid w:val="00385A09"/>
    <w:rsid w:val="00385BA5"/>
    <w:rsid w:val="00387F6C"/>
    <w:rsid w:val="00390ED8"/>
    <w:rsid w:val="0039108E"/>
    <w:rsid w:val="00392BBF"/>
    <w:rsid w:val="00393494"/>
    <w:rsid w:val="00393CE6"/>
    <w:rsid w:val="00395794"/>
    <w:rsid w:val="00395A74"/>
    <w:rsid w:val="00395AA4"/>
    <w:rsid w:val="00397807"/>
    <w:rsid w:val="003978C9"/>
    <w:rsid w:val="003A03C1"/>
    <w:rsid w:val="003A2CF7"/>
    <w:rsid w:val="003A454F"/>
    <w:rsid w:val="003A6923"/>
    <w:rsid w:val="003A6D78"/>
    <w:rsid w:val="003B32DF"/>
    <w:rsid w:val="003B3526"/>
    <w:rsid w:val="003B3E99"/>
    <w:rsid w:val="003B44F5"/>
    <w:rsid w:val="003B5D6A"/>
    <w:rsid w:val="003C2154"/>
    <w:rsid w:val="003C5B36"/>
    <w:rsid w:val="003E0B75"/>
    <w:rsid w:val="003E186F"/>
    <w:rsid w:val="003E18D5"/>
    <w:rsid w:val="003E1D72"/>
    <w:rsid w:val="003E34BF"/>
    <w:rsid w:val="003E4731"/>
    <w:rsid w:val="003E4982"/>
    <w:rsid w:val="003E5DE8"/>
    <w:rsid w:val="003E6BB4"/>
    <w:rsid w:val="003E7013"/>
    <w:rsid w:val="003F14A0"/>
    <w:rsid w:val="003F4E20"/>
    <w:rsid w:val="003F56A6"/>
    <w:rsid w:val="003F6F13"/>
    <w:rsid w:val="00402E62"/>
    <w:rsid w:val="00404E1B"/>
    <w:rsid w:val="00405382"/>
    <w:rsid w:val="00406D07"/>
    <w:rsid w:val="00410C0B"/>
    <w:rsid w:val="0041316F"/>
    <w:rsid w:val="0041459B"/>
    <w:rsid w:val="004154DE"/>
    <w:rsid w:val="00415EC4"/>
    <w:rsid w:val="00416733"/>
    <w:rsid w:val="00416DE7"/>
    <w:rsid w:val="00417D99"/>
    <w:rsid w:val="00423E30"/>
    <w:rsid w:val="004244EA"/>
    <w:rsid w:val="00424FCF"/>
    <w:rsid w:val="0042733D"/>
    <w:rsid w:val="004307DE"/>
    <w:rsid w:val="00432031"/>
    <w:rsid w:val="00432B4F"/>
    <w:rsid w:val="004336D5"/>
    <w:rsid w:val="00435B07"/>
    <w:rsid w:val="0043683B"/>
    <w:rsid w:val="00437192"/>
    <w:rsid w:val="0044350F"/>
    <w:rsid w:val="00443696"/>
    <w:rsid w:val="00443B8E"/>
    <w:rsid w:val="004472FD"/>
    <w:rsid w:val="0044746B"/>
    <w:rsid w:val="00447F2C"/>
    <w:rsid w:val="0045047C"/>
    <w:rsid w:val="00452D8E"/>
    <w:rsid w:val="00453023"/>
    <w:rsid w:val="00453403"/>
    <w:rsid w:val="0045384D"/>
    <w:rsid w:val="004549E0"/>
    <w:rsid w:val="004629C0"/>
    <w:rsid w:val="004632F4"/>
    <w:rsid w:val="004639F7"/>
    <w:rsid w:val="00463B81"/>
    <w:rsid w:val="00465A7E"/>
    <w:rsid w:val="00467B2F"/>
    <w:rsid w:val="00470674"/>
    <w:rsid w:val="00471BC2"/>
    <w:rsid w:val="0047236D"/>
    <w:rsid w:val="00472FC3"/>
    <w:rsid w:val="0047347C"/>
    <w:rsid w:val="00474C84"/>
    <w:rsid w:val="00474D2E"/>
    <w:rsid w:val="00474FE9"/>
    <w:rsid w:val="0047544D"/>
    <w:rsid w:val="00475C7E"/>
    <w:rsid w:val="004760D2"/>
    <w:rsid w:val="0047797E"/>
    <w:rsid w:val="00481827"/>
    <w:rsid w:val="00482720"/>
    <w:rsid w:val="00482DAF"/>
    <w:rsid w:val="004830B8"/>
    <w:rsid w:val="00483B3E"/>
    <w:rsid w:val="004857FD"/>
    <w:rsid w:val="00485FB1"/>
    <w:rsid w:val="00490F9F"/>
    <w:rsid w:val="00495258"/>
    <w:rsid w:val="00495D21"/>
    <w:rsid w:val="004970A8"/>
    <w:rsid w:val="00497819"/>
    <w:rsid w:val="004A00C2"/>
    <w:rsid w:val="004A1543"/>
    <w:rsid w:val="004A1577"/>
    <w:rsid w:val="004A2BC9"/>
    <w:rsid w:val="004A3B89"/>
    <w:rsid w:val="004A5E5F"/>
    <w:rsid w:val="004A670B"/>
    <w:rsid w:val="004A794B"/>
    <w:rsid w:val="004B14AF"/>
    <w:rsid w:val="004B2983"/>
    <w:rsid w:val="004B3FB5"/>
    <w:rsid w:val="004B4861"/>
    <w:rsid w:val="004B7EB4"/>
    <w:rsid w:val="004B7F5C"/>
    <w:rsid w:val="004C0A95"/>
    <w:rsid w:val="004C2B28"/>
    <w:rsid w:val="004C2E83"/>
    <w:rsid w:val="004C3DFF"/>
    <w:rsid w:val="004C52C0"/>
    <w:rsid w:val="004C55FB"/>
    <w:rsid w:val="004C5D93"/>
    <w:rsid w:val="004C5EAA"/>
    <w:rsid w:val="004C6A05"/>
    <w:rsid w:val="004C7D8C"/>
    <w:rsid w:val="004D0224"/>
    <w:rsid w:val="004D0821"/>
    <w:rsid w:val="004D25C0"/>
    <w:rsid w:val="004D4E9D"/>
    <w:rsid w:val="004D513C"/>
    <w:rsid w:val="004D5D82"/>
    <w:rsid w:val="004D6195"/>
    <w:rsid w:val="004D785F"/>
    <w:rsid w:val="004E066E"/>
    <w:rsid w:val="004E0B53"/>
    <w:rsid w:val="004E1B55"/>
    <w:rsid w:val="004E1FAF"/>
    <w:rsid w:val="004E201B"/>
    <w:rsid w:val="004E441B"/>
    <w:rsid w:val="004E447A"/>
    <w:rsid w:val="004E48C7"/>
    <w:rsid w:val="004E4B81"/>
    <w:rsid w:val="004E6F29"/>
    <w:rsid w:val="004F001B"/>
    <w:rsid w:val="004F074E"/>
    <w:rsid w:val="004F083A"/>
    <w:rsid w:val="004F1A79"/>
    <w:rsid w:val="004F4942"/>
    <w:rsid w:val="004F648B"/>
    <w:rsid w:val="004F7098"/>
    <w:rsid w:val="00500601"/>
    <w:rsid w:val="0050337D"/>
    <w:rsid w:val="00503E09"/>
    <w:rsid w:val="005052F1"/>
    <w:rsid w:val="00505C59"/>
    <w:rsid w:val="005069A1"/>
    <w:rsid w:val="005070BA"/>
    <w:rsid w:val="00512197"/>
    <w:rsid w:val="005124B5"/>
    <w:rsid w:val="00512643"/>
    <w:rsid w:val="005126FE"/>
    <w:rsid w:val="00512A25"/>
    <w:rsid w:val="00512E51"/>
    <w:rsid w:val="00513C1E"/>
    <w:rsid w:val="00516975"/>
    <w:rsid w:val="00516A3B"/>
    <w:rsid w:val="005178F7"/>
    <w:rsid w:val="00517FC2"/>
    <w:rsid w:val="00520EF8"/>
    <w:rsid w:val="00521A76"/>
    <w:rsid w:val="00521B38"/>
    <w:rsid w:val="00522454"/>
    <w:rsid w:val="00523E5C"/>
    <w:rsid w:val="00530E00"/>
    <w:rsid w:val="005310D8"/>
    <w:rsid w:val="005328AE"/>
    <w:rsid w:val="0053336C"/>
    <w:rsid w:val="00535C7E"/>
    <w:rsid w:val="00536C4B"/>
    <w:rsid w:val="00536FE8"/>
    <w:rsid w:val="0053700F"/>
    <w:rsid w:val="005374F0"/>
    <w:rsid w:val="00541383"/>
    <w:rsid w:val="005437C7"/>
    <w:rsid w:val="00545689"/>
    <w:rsid w:val="00547442"/>
    <w:rsid w:val="005515CB"/>
    <w:rsid w:val="00552A96"/>
    <w:rsid w:val="00554985"/>
    <w:rsid w:val="00554AED"/>
    <w:rsid w:val="00555249"/>
    <w:rsid w:val="0055612F"/>
    <w:rsid w:val="00557BD0"/>
    <w:rsid w:val="00561737"/>
    <w:rsid w:val="00561A20"/>
    <w:rsid w:val="00562BB4"/>
    <w:rsid w:val="005630E9"/>
    <w:rsid w:val="00564B76"/>
    <w:rsid w:val="005655A1"/>
    <w:rsid w:val="00566A95"/>
    <w:rsid w:val="005707C5"/>
    <w:rsid w:val="00573E4E"/>
    <w:rsid w:val="00575757"/>
    <w:rsid w:val="005757BA"/>
    <w:rsid w:val="00577040"/>
    <w:rsid w:val="00581849"/>
    <w:rsid w:val="00581898"/>
    <w:rsid w:val="00581D6D"/>
    <w:rsid w:val="00583980"/>
    <w:rsid w:val="00584292"/>
    <w:rsid w:val="00585F95"/>
    <w:rsid w:val="005879F7"/>
    <w:rsid w:val="005904B9"/>
    <w:rsid w:val="0059662E"/>
    <w:rsid w:val="005A119E"/>
    <w:rsid w:val="005A3B90"/>
    <w:rsid w:val="005A5C17"/>
    <w:rsid w:val="005A5C72"/>
    <w:rsid w:val="005A7185"/>
    <w:rsid w:val="005B1ED3"/>
    <w:rsid w:val="005B1F2C"/>
    <w:rsid w:val="005B362D"/>
    <w:rsid w:val="005B6BBA"/>
    <w:rsid w:val="005B7350"/>
    <w:rsid w:val="005B7DF8"/>
    <w:rsid w:val="005C1268"/>
    <w:rsid w:val="005C2D27"/>
    <w:rsid w:val="005C79C8"/>
    <w:rsid w:val="005D1966"/>
    <w:rsid w:val="005D2461"/>
    <w:rsid w:val="005D3F81"/>
    <w:rsid w:val="005D559F"/>
    <w:rsid w:val="005D7036"/>
    <w:rsid w:val="005D7322"/>
    <w:rsid w:val="005D7B09"/>
    <w:rsid w:val="005D7FFE"/>
    <w:rsid w:val="005E16A3"/>
    <w:rsid w:val="005E18A9"/>
    <w:rsid w:val="005E1FDD"/>
    <w:rsid w:val="005E2BE4"/>
    <w:rsid w:val="005E3FB2"/>
    <w:rsid w:val="005E4D08"/>
    <w:rsid w:val="005E66ED"/>
    <w:rsid w:val="005E6AA8"/>
    <w:rsid w:val="005F0D41"/>
    <w:rsid w:val="005F1461"/>
    <w:rsid w:val="005F3821"/>
    <w:rsid w:val="005F515D"/>
    <w:rsid w:val="005F600A"/>
    <w:rsid w:val="005F6E1E"/>
    <w:rsid w:val="005F7F36"/>
    <w:rsid w:val="005F7F5A"/>
    <w:rsid w:val="00602D25"/>
    <w:rsid w:val="00606F80"/>
    <w:rsid w:val="006104EA"/>
    <w:rsid w:val="00610BEB"/>
    <w:rsid w:val="0061232C"/>
    <w:rsid w:val="00614DFB"/>
    <w:rsid w:val="006162F6"/>
    <w:rsid w:val="0061764E"/>
    <w:rsid w:val="00620960"/>
    <w:rsid w:val="0062509D"/>
    <w:rsid w:val="00626FB0"/>
    <w:rsid w:val="00627184"/>
    <w:rsid w:val="00627B79"/>
    <w:rsid w:val="00630B20"/>
    <w:rsid w:val="00631DF7"/>
    <w:rsid w:val="00632760"/>
    <w:rsid w:val="00632C37"/>
    <w:rsid w:val="006352E6"/>
    <w:rsid w:val="006357CD"/>
    <w:rsid w:val="00636CC5"/>
    <w:rsid w:val="00641C2A"/>
    <w:rsid w:val="006428E7"/>
    <w:rsid w:val="006463F0"/>
    <w:rsid w:val="00652231"/>
    <w:rsid w:val="006526E0"/>
    <w:rsid w:val="00652845"/>
    <w:rsid w:val="00654ECA"/>
    <w:rsid w:val="006551CC"/>
    <w:rsid w:val="006574E6"/>
    <w:rsid w:val="0066436B"/>
    <w:rsid w:val="00665833"/>
    <w:rsid w:val="00671A97"/>
    <w:rsid w:val="00671F4D"/>
    <w:rsid w:val="00676FBD"/>
    <w:rsid w:val="006776B2"/>
    <w:rsid w:val="00681244"/>
    <w:rsid w:val="006848F2"/>
    <w:rsid w:val="0068529E"/>
    <w:rsid w:val="00686753"/>
    <w:rsid w:val="006869E8"/>
    <w:rsid w:val="00690C9D"/>
    <w:rsid w:val="00691127"/>
    <w:rsid w:val="00691566"/>
    <w:rsid w:val="00691658"/>
    <w:rsid w:val="00692591"/>
    <w:rsid w:val="006927D0"/>
    <w:rsid w:val="00693812"/>
    <w:rsid w:val="00693AA1"/>
    <w:rsid w:val="00697681"/>
    <w:rsid w:val="0069785B"/>
    <w:rsid w:val="006A1805"/>
    <w:rsid w:val="006A2B7B"/>
    <w:rsid w:val="006A3E73"/>
    <w:rsid w:val="006A77AE"/>
    <w:rsid w:val="006A78D7"/>
    <w:rsid w:val="006B4AB2"/>
    <w:rsid w:val="006B4D10"/>
    <w:rsid w:val="006B5561"/>
    <w:rsid w:val="006B61D1"/>
    <w:rsid w:val="006C0232"/>
    <w:rsid w:val="006C21D9"/>
    <w:rsid w:val="006C3BE6"/>
    <w:rsid w:val="006C555E"/>
    <w:rsid w:val="006C6608"/>
    <w:rsid w:val="006C6C3A"/>
    <w:rsid w:val="006C7620"/>
    <w:rsid w:val="006C79C2"/>
    <w:rsid w:val="006C7A94"/>
    <w:rsid w:val="006C7AB2"/>
    <w:rsid w:val="006D1752"/>
    <w:rsid w:val="006D23A6"/>
    <w:rsid w:val="006D41FF"/>
    <w:rsid w:val="006D4F90"/>
    <w:rsid w:val="006D5B18"/>
    <w:rsid w:val="006D665A"/>
    <w:rsid w:val="006D67CC"/>
    <w:rsid w:val="006E05D6"/>
    <w:rsid w:val="006E3A59"/>
    <w:rsid w:val="006E5B0C"/>
    <w:rsid w:val="006E79C6"/>
    <w:rsid w:val="006F18B4"/>
    <w:rsid w:val="006F1DF6"/>
    <w:rsid w:val="006F23FB"/>
    <w:rsid w:val="006F27B7"/>
    <w:rsid w:val="006F2973"/>
    <w:rsid w:val="006F30C7"/>
    <w:rsid w:val="006F3779"/>
    <w:rsid w:val="006F3B6D"/>
    <w:rsid w:val="006F7641"/>
    <w:rsid w:val="006F76ED"/>
    <w:rsid w:val="006F7AA8"/>
    <w:rsid w:val="006F7B15"/>
    <w:rsid w:val="00700E3F"/>
    <w:rsid w:val="00702379"/>
    <w:rsid w:val="0070258A"/>
    <w:rsid w:val="00702ACA"/>
    <w:rsid w:val="00703E3E"/>
    <w:rsid w:val="007045C1"/>
    <w:rsid w:val="00705F74"/>
    <w:rsid w:val="00706452"/>
    <w:rsid w:val="007064D6"/>
    <w:rsid w:val="007067E3"/>
    <w:rsid w:val="00710A77"/>
    <w:rsid w:val="007136DA"/>
    <w:rsid w:val="00713B61"/>
    <w:rsid w:val="00717A4A"/>
    <w:rsid w:val="00724519"/>
    <w:rsid w:val="00724CAB"/>
    <w:rsid w:val="00724D6B"/>
    <w:rsid w:val="00726708"/>
    <w:rsid w:val="00730187"/>
    <w:rsid w:val="007333C8"/>
    <w:rsid w:val="007346E3"/>
    <w:rsid w:val="0073487C"/>
    <w:rsid w:val="0073565A"/>
    <w:rsid w:val="007441CE"/>
    <w:rsid w:val="0074669A"/>
    <w:rsid w:val="00750A3B"/>
    <w:rsid w:val="00751881"/>
    <w:rsid w:val="00751A37"/>
    <w:rsid w:val="00752502"/>
    <w:rsid w:val="0075695E"/>
    <w:rsid w:val="0076052E"/>
    <w:rsid w:val="00762ED2"/>
    <w:rsid w:val="0076510C"/>
    <w:rsid w:val="0076792C"/>
    <w:rsid w:val="00770D25"/>
    <w:rsid w:val="00771A3A"/>
    <w:rsid w:val="00771CE6"/>
    <w:rsid w:val="00771E6A"/>
    <w:rsid w:val="0077251E"/>
    <w:rsid w:val="007728DF"/>
    <w:rsid w:val="00772CB9"/>
    <w:rsid w:val="00773095"/>
    <w:rsid w:val="007733C6"/>
    <w:rsid w:val="0077483D"/>
    <w:rsid w:val="00775812"/>
    <w:rsid w:val="00776932"/>
    <w:rsid w:val="00777701"/>
    <w:rsid w:val="00777815"/>
    <w:rsid w:val="00781776"/>
    <w:rsid w:val="00781F86"/>
    <w:rsid w:val="00782A21"/>
    <w:rsid w:val="00783D42"/>
    <w:rsid w:val="00783FBE"/>
    <w:rsid w:val="007851D2"/>
    <w:rsid w:val="0078569A"/>
    <w:rsid w:val="0078678C"/>
    <w:rsid w:val="00787CFC"/>
    <w:rsid w:val="00790BD4"/>
    <w:rsid w:val="00791299"/>
    <w:rsid w:val="00791575"/>
    <w:rsid w:val="007926F7"/>
    <w:rsid w:val="0079430F"/>
    <w:rsid w:val="00794C4A"/>
    <w:rsid w:val="007977B6"/>
    <w:rsid w:val="007A102E"/>
    <w:rsid w:val="007A492E"/>
    <w:rsid w:val="007A54D2"/>
    <w:rsid w:val="007A6344"/>
    <w:rsid w:val="007A6507"/>
    <w:rsid w:val="007A7707"/>
    <w:rsid w:val="007B0B83"/>
    <w:rsid w:val="007B26FA"/>
    <w:rsid w:val="007B33DD"/>
    <w:rsid w:val="007B42A8"/>
    <w:rsid w:val="007B4B1B"/>
    <w:rsid w:val="007B76F7"/>
    <w:rsid w:val="007C2A22"/>
    <w:rsid w:val="007C3391"/>
    <w:rsid w:val="007C3735"/>
    <w:rsid w:val="007C6692"/>
    <w:rsid w:val="007D0B46"/>
    <w:rsid w:val="007D3046"/>
    <w:rsid w:val="007D4B7E"/>
    <w:rsid w:val="007E239E"/>
    <w:rsid w:val="007E4402"/>
    <w:rsid w:val="007E4776"/>
    <w:rsid w:val="007E4EFA"/>
    <w:rsid w:val="007E4F49"/>
    <w:rsid w:val="007E6F05"/>
    <w:rsid w:val="007E7452"/>
    <w:rsid w:val="007E785D"/>
    <w:rsid w:val="007F3651"/>
    <w:rsid w:val="007F486B"/>
    <w:rsid w:val="007F756B"/>
    <w:rsid w:val="00800A8C"/>
    <w:rsid w:val="008031C1"/>
    <w:rsid w:val="00803CA7"/>
    <w:rsid w:val="008056ED"/>
    <w:rsid w:val="00806C05"/>
    <w:rsid w:val="008071CA"/>
    <w:rsid w:val="00807D3D"/>
    <w:rsid w:val="008103C9"/>
    <w:rsid w:val="00810AB4"/>
    <w:rsid w:val="00812948"/>
    <w:rsid w:val="008154B9"/>
    <w:rsid w:val="00816124"/>
    <w:rsid w:val="008174B0"/>
    <w:rsid w:val="008175FA"/>
    <w:rsid w:val="00817730"/>
    <w:rsid w:val="0082227C"/>
    <w:rsid w:val="008239A6"/>
    <w:rsid w:val="00824D50"/>
    <w:rsid w:val="00825384"/>
    <w:rsid w:val="00825DC2"/>
    <w:rsid w:val="00826611"/>
    <w:rsid w:val="00827653"/>
    <w:rsid w:val="00830565"/>
    <w:rsid w:val="00832099"/>
    <w:rsid w:val="00832559"/>
    <w:rsid w:val="00832E0A"/>
    <w:rsid w:val="00835B13"/>
    <w:rsid w:val="00835F0A"/>
    <w:rsid w:val="00836627"/>
    <w:rsid w:val="00836778"/>
    <w:rsid w:val="008414CE"/>
    <w:rsid w:val="0084225B"/>
    <w:rsid w:val="008429BE"/>
    <w:rsid w:val="00842CD2"/>
    <w:rsid w:val="00843F01"/>
    <w:rsid w:val="00845750"/>
    <w:rsid w:val="00846660"/>
    <w:rsid w:val="008501FF"/>
    <w:rsid w:val="00851441"/>
    <w:rsid w:val="00851EBC"/>
    <w:rsid w:val="00851FA3"/>
    <w:rsid w:val="008538AB"/>
    <w:rsid w:val="0086024F"/>
    <w:rsid w:val="00861330"/>
    <w:rsid w:val="0086166B"/>
    <w:rsid w:val="008626BF"/>
    <w:rsid w:val="00864842"/>
    <w:rsid w:val="0086719C"/>
    <w:rsid w:val="008715E1"/>
    <w:rsid w:val="00871E22"/>
    <w:rsid w:val="00872459"/>
    <w:rsid w:val="00873330"/>
    <w:rsid w:val="00874F95"/>
    <w:rsid w:val="00874FA6"/>
    <w:rsid w:val="00876290"/>
    <w:rsid w:val="00876AAD"/>
    <w:rsid w:val="00876DF6"/>
    <w:rsid w:val="00876F87"/>
    <w:rsid w:val="00880D85"/>
    <w:rsid w:val="00883D10"/>
    <w:rsid w:val="00884AF0"/>
    <w:rsid w:val="00891255"/>
    <w:rsid w:val="008916D5"/>
    <w:rsid w:val="00892019"/>
    <w:rsid w:val="00892C78"/>
    <w:rsid w:val="00895882"/>
    <w:rsid w:val="008960CD"/>
    <w:rsid w:val="008A5D0B"/>
    <w:rsid w:val="008A6861"/>
    <w:rsid w:val="008A74DB"/>
    <w:rsid w:val="008A7E63"/>
    <w:rsid w:val="008B2D70"/>
    <w:rsid w:val="008B2F00"/>
    <w:rsid w:val="008B6403"/>
    <w:rsid w:val="008B6A94"/>
    <w:rsid w:val="008B7872"/>
    <w:rsid w:val="008C076F"/>
    <w:rsid w:val="008C109D"/>
    <w:rsid w:val="008C12E4"/>
    <w:rsid w:val="008C30AF"/>
    <w:rsid w:val="008C3173"/>
    <w:rsid w:val="008C3327"/>
    <w:rsid w:val="008C4DB0"/>
    <w:rsid w:val="008C7274"/>
    <w:rsid w:val="008C73BC"/>
    <w:rsid w:val="008C7454"/>
    <w:rsid w:val="008C77C2"/>
    <w:rsid w:val="008D014D"/>
    <w:rsid w:val="008D0657"/>
    <w:rsid w:val="008D38EF"/>
    <w:rsid w:val="008D4C2C"/>
    <w:rsid w:val="008D5116"/>
    <w:rsid w:val="008D51D3"/>
    <w:rsid w:val="008D64EB"/>
    <w:rsid w:val="008E16EA"/>
    <w:rsid w:val="008E24F6"/>
    <w:rsid w:val="008E5D72"/>
    <w:rsid w:val="008F1079"/>
    <w:rsid w:val="008F2833"/>
    <w:rsid w:val="00904101"/>
    <w:rsid w:val="009073CC"/>
    <w:rsid w:val="00910D2E"/>
    <w:rsid w:val="00910ECA"/>
    <w:rsid w:val="00911305"/>
    <w:rsid w:val="00911676"/>
    <w:rsid w:val="009118E4"/>
    <w:rsid w:val="00916E97"/>
    <w:rsid w:val="009204AC"/>
    <w:rsid w:val="009205FF"/>
    <w:rsid w:val="0092126C"/>
    <w:rsid w:val="00923560"/>
    <w:rsid w:val="00924393"/>
    <w:rsid w:val="009252F2"/>
    <w:rsid w:val="0092552C"/>
    <w:rsid w:val="009310B3"/>
    <w:rsid w:val="00931913"/>
    <w:rsid w:val="00934303"/>
    <w:rsid w:val="0093463E"/>
    <w:rsid w:val="00935014"/>
    <w:rsid w:val="00935ABA"/>
    <w:rsid w:val="0093763A"/>
    <w:rsid w:val="00941650"/>
    <w:rsid w:val="00941AAC"/>
    <w:rsid w:val="00941D13"/>
    <w:rsid w:val="00941D37"/>
    <w:rsid w:val="00943248"/>
    <w:rsid w:val="00943E45"/>
    <w:rsid w:val="00945ADB"/>
    <w:rsid w:val="00945E01"/>
    <w:rsid w:val="009467C9"/>
    <w:rsid w:val="00947B90"/>
    <w:rsid w:val="00951450"/>
    <w:rsid w:val="0095259B"/>
    <w:rsid w:val="0095456A"/>
    <w:rsid w:val="009547B0"/>
    <w:rsid w:val="00955D0D"/>
    <w:rsid w:val="009577E0"/>
    <w:rsid w:val="00957DED"/>
    <w:rsid w:val="009607BA"/>
    <w:rsid w:val="009608B7"/>
    <w:rsid w:val="0096205E"/>
    <w:rsid w:val="00966FD6"/>
    <w:rsid w:val="009671F0"/>
    <w:rsid w:val="0097215C"/>
    <w:rsid w:val="00975C28"/>
    <w:rsid w:val="00976FC1"/>
    <w:rsid w:val="0097764C"/>
    <w:rsid w:val="0098031A"/>
    <w:rsid w:val="0098137A"/>
    <w:rsid w:val="009834D1"/>
    <w:rsid w:val="00984C52"/>
    <w:rsid w:val="00985A2C"/>
    <w:rsid w:val="0098689D"/>
    <w:rsid w:val="00987F15"/>
    <w:rsid w:val="009906BD"/>
    <w:rsid w:val="00992663"/>
    <w:rsid w:val="00994C2C"/>
    <w:rsid w:val="009A0125"/>
    <w:rsid w:val="009A0C27"/>
    <w:rsid w:val="009A0DD3"/>
    <w:rsid w:val="009A1321"/>
    <w:rsid w:val="009A208E"/>
    <w:rsid w:val="009A26F2"/>
    <w:rsid w:val="009A29ED"/>
    <w:rsid w:val="009A4000"/>
    <w:rsid w:val="009A6708"/>
    <w:rsid w:val="009A6870"/>
    <w:rsid w:val="009B0037"/>
    <w:rsid w:val="009B0284"/>
    <w:rsid w:val="009B1AD4"/>
    <w:rsid w:val="009B2435"/>
    <w:rsid w:val="009B291A"/>
    <w:rsid w:val="009C00D0"/>
    <w:rsid w:val="009C0A83"/>
    <w:rsid w:val="009C1770"/>
    <w:rsid w:val="009C18CC"/>
    <w:rsid w:val="009C2323"/>
    <w:rsid w:val="009C4669"/>
    <w:rsid w:val="009C678A"/>
    <w:rsid w:val="009C67C0"/>
    <w:rsid w:val="009D0533"/>
    <w:rsid w:val="009D18CC"/>
    <w:rsid w:val="009D1F2D"/>
    <w:rsid w:val="009D43EF"/>
    <w:rsid w:val="009D60F3"/>
    <w:rsid w:val="009D6172"/>
    <w:rsid w:val="009E11B8"/>
    <w:rsid w:val="009E2368"/>
    <w:rsid w:val="009E3979"/>
    <w:rsid w:val="009E412F"/>
    <w:rsid w:val="009E4A75"/>
    <w:rsid w:val="009E50FE"/>
    <w:rsid w:val="009E5674"/>
    <w:rsid w:val="009E60E4"/>
    <w:rsid w:val="009E6893"/>
    <w:rsid w:val="009E6F79"/>
    <w:rsid w:val="009E7825"/>
    <w:rsid w:val="009F130C"/>
    <w:rsid w:val="009F66D4"/>
    <w:rsid w:val="009F74B1"/>
    <w:rsid w:val="00A00BB9"/>
    <w:rsid w:val="00A01941"/>
    <w:rsid w:val="00A021A7"/>
    <w:rsid w:val="00A0303C"/>
    <w:rsid w:val="00A05039"/>
    <w:rsid w:val="00A0522A"/>
    <w:rsid w:val="00A06B33"/>
    <w:rsid w:val="00A07972"/>
    <w:rsid w:val="00A10434"/>
    <w:rsid w:val="00A11415"/>
    <w:rsid w:val="00A11E27"/>
    <w:rsid w:val="00A17710"/>
    <w:rsid w:val="00A177B8"/>
    <w:rsid w:val="00A17971"/>
    <w:rsid w:val="00A20534"/>
    <w:rsid w:val="00A2346A"/>
    <w:rsid w:val="00A23A35"/>
    <w:rsid w:val="00A2566A"/>
    <w:rsid w:val="00A26F99"/>
    <w:rsid w:val="00A27CE6"/>
    <w:rsid w:val="00A30828"/>
    <w:rsid w:val="00A30A4F"/>
    <w:rsid w:val="00A30EDC"/>
    <w:rsid w:val="00A317C2"/>
    <w:rsid w:val="00A31B57"/>
    <w:rsid w:val="00A32CEF"/>
    <w:rsid w:val="00A33E71"/>
    <w:rsid w:val="00A3400B"/>
    <w:rsid w:val="00A34576"/>
    <w:rsid w:val="00A416B9"/>
    <w:rsid w:val="00A41CDA"/>
    <w:rsid w:val="00A42291"/>
    <w:rsid w:val="00A43A70"/>
    <w:rsid w:val="00A5059B"/>
    <w:rsid w:val="00A51694"/>
    <w:rsid w:val="00A529BF"/>
    <w:rsid w:val="00A551C0"/>
    <w:rsid w:val="00A566D6"/>
    <w:rsid w:val="00A56DA3"/>
    <w:rsid w:val="00A56E19"/>
    <w:rsid w:val="00A573AE"/>
    <w:rsid w:val="00A57DED"/>
    <w:rsid w:val="00A6125B"/>
    <w:rsid w:val="00A613AB"/>
    <w:rsid w:val="00A61622"/>
    <w:rsid w:val="00A6549C"/>
    <w:rsid w:val="00A657C4"/>
    <w:rsid w:val="00A6591F"/>
    <w:rsid w:val="00A65F5A"/>
    <w:rsid w:val="00A66441"/>
    <w:rsid w:val="00A706FB"/>
    <w:rsid w:val="00A70DB1"/>
    <w:rsid w:val="00A73FDB"/>
    <w:rsid w:val="00A74FD6"/>
    <w:rsid w:val="00A753F1"/>
    <w:rsid w:val="00A75537"/>
    <w:rsid w:val="00A778BC"/>
    <w:rsid w:val="00A81920"/>
    <w:rsid w:val="00A81BA6"/>
    <w:rsid w:val="00A84EA8"/>
    <w:rsid w:val="00A90112"/>
    <w:rsid w:val="00A90E67"/>
    <w:rsid w:val="00A90EA0"/>
    <w:rsid w:val="00A91D9A"/>
    <w:rsid w:val="00A93D27"/>
    <w:rsid w:val="00A94A89"/>
    <w:rsid w:val="00A94AB4"/>
    <w:rsid w:val="00A94BF4"/>
    <w:rsid w:val="00A96900"/>
    <w:rsid w:val="00A97664"/>
    <w:rsid w:val="00A978C2"/>
    <w:rsid w:val="00AA05C2"/>
    <w:rsid w:val="00AA21D4"/>
    <w:rsid w:val="00AA6CD8"/>
    <w:rsid w:val="00AB0572"/>
    <w:rsid w:val="00AB1190"/>
    <w:rsid w:val="00AB315F"/>
    <w:rsid w:val="00AB4A1A"/>
    <w:rsid w:val="00AB507F"/>
    <w:rsid w:val="00AB7FCC"/>
    <w:rsid w:val="00AC096B"/>
    <w:rsid w:val="00AC1D8A"/>
    <w:rsid w:val="00AC2B49"/>
    <w:rsid w:val="00AC2C10"/>
    <w:rsid w:val="00AC2E94"/>
    <w:rsid w:val="00AC3770"/>
    <w:rsid w:val="00AC4091"/>
    <w:rsid w:val="00AC4C46"/>
    <w:rsid w:val="00AC5171"/>
    <w:rsid w:val="00AC57F9"/>
    <w:rsid w:val="00AC7BD8"/>
    <w:rsid w:val="00AD0250"/>
    <w:rsid w:val="00AD1DC3"/>
    <w:rsid w:val="00AD3A62"/>
    <w:rsid w:val="00AD55D3"/>
    <w:rsid w:val="00AE14E2"/>
    <w:rsid w:val="00AE2E8D"/>
    <w:rsid w:val="00AE2EB4"/>
    <w:rsid w:val="00AE3260"/>
    <w:rsid w:val="00AE3A96"/>
    <w:rsid w:val="00AE5077"/>
    <w:rsid w:val="00AE5581"/>
    <w:rsid w:val="00AF0293"/>
    <w:rsid w:val="00AF0C19"/>
    <w:rsid w:val="00AF0E6E"/>
    <w:rsid w:val="00AF205E"/>
    <w:rsid w:val="00AF25AA"/>
    <w:rsid w:val="00AF27A4"/>
    <w:rsid w:val="00AF3F2C"/>
    <w:rsid w:val="00AF5235"/>
    <w:rsid w:val="00AF5707"/>
    <w:rsid w:val="00AF5AAE"/>
    <w:rsid w:val="00AF74C0"/>
    <w:rsid w:val="00B00BAD"/>
    <w:rsid w:val="00B02298"/>
    <w:rsid w:val="00B03F46"/>
    <w:rsid w:val="00B03F5E"/>
    <w:rsid w:val="00B0420E"/>
    <w:rsid w:val="00B057D2"/>
    <w:rsid w:val="00B0728F"/>
    <w:rsid w:val="00B07683"/>
    <w:rsid w:val="00B104A2"/>
    <w:rsid w:val="00B108CC"/>
    <w:rsid w:val="00B109E2"/>
    <w:rsid w:val="00B12D63"/>
    <w:rsid w:val="00B173E7"/>
    <w:rsid w:val="00B177D5"/>
    <w:rsid w:val="00B1786A"/>
    <w:rsid w:val="00B20861"/>
    <w:rsid w:val="00B20CC7"/>
    <w:rsid w:val="00B211F3"/>
    <w:rsid w:val="00B21294"/>
    <w:rsid w:val="00B243D9"/>
    <w:rsid w:val="00B248B4"/>
    <w:rsid w:val="00B25DF5"/>
    <w:rsid w:val="00B326E5"/>
    <w:rsid w:val="00B32C8C"/>
    <w:rsid w:val="00B32E41"/>
    <w:rsid w:val="00B33291"/>
    <w:rsid w:val="00B334AC"/>
    <w:rsid w:val="00B345C2"/>
    <w:rsid w:val="00B36BFA"/>
    <w:rsid w:val="00B42D18"/>
    <w:rsid w:val="00B451AF"/>
    <w:rsid w:val="00B46327"/>
    <w:rsid w:val="00B46442"/>
    <w:rsid w:val="00B502FF"/>
    <w:rsid w:val="00B525D5"/>
    <w:rsid w:val="00B53040"/>
    <w:rsid w:val="00B54332"/>
    <w:rsid w:val="00B54763"/>
    <w:rsid w:val="00B56A3B"/>
    <w:rsid w:val="00B56F6A"/>
    <w:rsid w:val="00B602AC"/>
    <w:rsid w:val="00B604A2"/>
    <w:rsid w:val="00B61FFD"/>
    <w:rsid w:val="00B63213"/>
    <w:rsid w:val="00B633D1"/>
    <w:rsid w:val="00B63986"/>
    <w:rsid w:val="00B63D8C"/>
    <w:rsid w:val="00B6472F"/>
    <w:rsid w:val="00B65164"/>
    <w:rsid w:val="00B656F5"/>
    <w:rsid w:val="00B70196"/>
    <w:rsid w:val="00B7213F"/>
    <w:rsid w:val="00B727A6"/>
    <w:rsid w:val="00B74DB3"/>
    <w:rsid w:val="00B757B4"/>
    <w:rsid w:val="00B75F3D"/>
    <w:rsid w:val="00B76E00"/>
    <w:rsid w:val="00B7730A"/>
    <w:rsid w:val="00B77A46"/>
    <w:rsid w:val="00B81E56"/>
    <w:rsid w:val="00B843DB"/>
    <w:rsid w:val="00B844DE"/>
    <w:rsid w:val="00B8468E"/>
    <w:rsid w:val="00B84ABA"/>
    <w:rsid w:val="00B871FD"/>
    <w:rsid w:val="00B914A1"/>
    <w:rsid w:val="00B939D5"/>
    <w:rsid w:val="00B9567A"/>
    <w:rsid w:val="00B9738E"/>
    <w:rsid w:val="00B974BE"/>
    <w:rsid w:val="00BA02D6"/>
    <w:rsid w:val="00BA0C1A"/>
    <w:rsid w:val="00BA2429"/>
    <w:rsid w:val="00BA2767"/>
    <w:rsid w:val="00BA283F"/>
    <w:rsid w:val="00BA628A"/>
    <w:rsid w:val="00BB09CD"/>
    <w:rsid w:val="00BB2904"/>
    <w:rsid w:val="00BB3E06"/>
    <w:rsid w:val="00BB4251"/>
    <w:rsid w:val="00BB427D"/>
    <w:rsid w:val="00BB548C"/>
    <w:rsid w:val="00BB5710"/>
    <w:rsid w:val="00BB6EED"/>
    <w:rsid w:val="00BB7452"/>
    <w:rsid w:val="00BB7E81"/>
    <w:rsid w:val="00BC075F"/>
    <w:rsid w:val="00BC0DFD"/>
    <w:rsid w:val="00BC23E8"/>
    <w:rsid w:val="00BC274B"/>
    <w:rsid w:val="00BC299B"/>
    <w:rsid w:val="00BC370A"/>
    <w:rsid w:val="00BC4F01"/>
    <w:rsid w:val="00BD0C49"/>
    <w:rsid w:val="00BD29E2"/>
    <w:rsid w:val="00BD6C6C"/>
    <w:rsid w:val="00BE1168"/>
    <w:rsid w:val="00BE1C8B"/>
    <w:rsid w:val="00BE56E3"/>
    <w:rsid w:val="00BF3E43"/>
    <w:rsid w:val="00BF452A"/>
    <w:rsid w:val="00BF4825"/>
    <w:rsid w:val="00BF5865"/>
    <w:rsid w:val="00BF5FA7"/>
    <w:rsid w:val="00C009EB"/>
    <w:rsid w:val="00C00FCB"/>
    <w:rsid w:val="00C01B68"/>
    <w:rsid w:val="00C048BC"/>
    <w:rsid w:val="00C06748"/>
    <w:rsid w:val="00C108E0"/>
    <w:rsid w:val="00C10C10"/>
    <w:rsid w:val="00C126FE"/>
    <w:rsid w:val="00C133A4"/>
    <w:rsid w:val="00C16FD9"/>
    <w:rsid w:val="00C17C32"/>
    <w:rsid w:val="00C201D5"/>
    <w:rsid w:val="00C2029A"/>
    <w:rsid w:val="00C20594"/>
    <w:rsid w:val="00C20896"/>
    <w:rsid w:val="00C21211"/>
    <w:rsid w:val="00C22375"/>
    <w:rsid w:val="00C24294"/>
    <w:rsid w:val="00C243D5"/>
    <w:rsid w:val="00C278FE"/>
    <w:rsid w:val="00C27A6E"/>
    <w:rsid w:val="00C31064"/>
    <w:rsid w:val="00C31F17"/>
    <w:rsid w:val="00C32705"/>
    <w:rsid w:val="00C330BD"/>
    <w:rsid w:val="00C344FF"/>
    <w:rsid w:val="00C345D5"/>
    <w:rsid w:val="00C361E1"/>
    <w:rsid w:val="00C3630B"/>
    <w:rsid w:val="00C36C4F"/>
    <w:rsid w:val="00C37796"/>
    <w:rsid w:val="00C40840"/>
    <w:rsid w:val="00C41091"/>
    <w:rsid w:val="00C411F5"/>
    <w:rsid w:val="00C4149D"/>
    <w:rsid w:val="00C41EBE"/>
    <w:rsid w:val="00C430B7"/>
    <w:rsid w:val="00C45682"/>
    <w:rsid w:val="00C45757"/>
    <w:rsid w:val="00C45CEC"/>
    <w:rsid w:val="00C4628A"/>
    <w:rsid w:val="00C47920"/>
    <w:rsid w:val="00C502E7"/>
    <w:rsid w:val="00C503C2"/>
    <w:rsid w:val="00C515D2"/>
    <w:rsid w:val="00C51FF9"/>
    <w:rsid w:val="00C52321"/>
    <w:rsid w:val="00C5509E"/>
    <w:rsid w:val="00C55E33"/>
    <w:rsid w:val="00C5624C"/>
    <w:rsid w:val="00C60AD6"/>
    <w:rsid w:val="00C646CA"/>
    <w:rsid w:val="00C67436"/>
    <w:rsid w:val="00C67C40"/>
    <w:rsid w:val="00C70F5A"/>
    <w:rsid w:val="00C71B99"/>
    <w:rsid w:val="00C71DAF"/>
    <w:rsid w:val="00C74033"/>
    <w:rsid w:val="00C741D6"/>
    <w:rsid w:val="00C74212"/>
    <w:rsid w:val="00C744BA"/>
    <w:rsid w:val="00C80481"/>
    <w:rsid w:val="00C81434"/>
    <w:rsid w:val="00C8148F"/>
    <w:rsid w:val="00C82F80"/>
    <w:rsid w:val="00C86799"/>
    <w:rsid w:val="00C8733B"/>
    <w:rsid w:val="00C87593"/>
    <w:rsid w:val="00C9320B"/>
    <w:rsid w:val="00C9392A"/>
    <w:rsid w:val="00C955E8"/>
    <w:rsid w:val="00C95DDD"/>
    <w:rsid w:val="00C96603"/>
    <w:rsid w:val="00C971F6"/>
    <w:rsid w:val="00CA122D"/>
    <w:rsid w:val="00CA20F0"/>
    <w:rsid w:val="00CA2987"/>
    <w:rsid w:val="00CA329A"/>
    <w:rsid w:val="00CA3A59"/>
    <w:rsid w:val="00CA3F22"/>
    <w:rsid w:val="00CA4D72"/>
    <w:rsid w:val="00CA528B"/>
    <w:rsid w:val="00CA5F65"/>
    <w:rsid w:val="00CA6BC0"/>
    <w:rsid w:val="00CA70E1"/>
    <w:rsid w:val="00CB011B"/>
    <w:rsid w:val="00CB0352"/>
    <w:rsid w:val="00CB1A55"/>
    <w:rsid w:val="00CB1CEA"/>
    <w:rsid w:val="00CB2C78"/>
    <w:rsid w:val="00CB3443"/>
    <w:rsid w:val="00CB3E0A"/>
    <w:rsid w:val="00CB7249"/>
    <w:rsid w:val="00CB7D65"/>
    <w:rsid w:val="00CC051A"/>
    <w:rsid w:val="00CC18FC"/>
    <w:rsid w:val="00CC1B00"/>
    <w:rsid w:val="00CC2F61"/>
    <w:rsid w:val="00CC5FEB"/>
    <w:rsid w:val="00CC6154"/>
    <w:rsid w:val="00CC7F28"/>
    <w:rsid w:val="00CD0AA4"/>
    <w:rsid w:val="00CD53F8"/>
    <w:rsid w:val="00CE082B"/>
    <w:rsid w:val="00CE416D"/>
    <w:rsid w:val="00CE431B"/>
    <w:rsid w:val="00CE5642"/>
    <w:rsid w:val="00CE6459"/>
    <w:rsid w:val="00CE7328"/>
    <w:rsid w:val="00CF139D"/>
    <w:rsid w:val="00CF33F4"/>
    <w:rsid w:val="00CF33F7"/>
    <w:rsid w:val="00CF409F"/>
    <w:rsid w:val="00CF669C"/>
    <w:rsid w:val="00CF7E3E"/>
    <w:rsid w:val="00D04363"/>
    <w:rsid w:val="00D045D2"/>
    <w:rsid w:val="00D05B41"/>
    <w:rsid w:val="00D06CF6"/>
    <w:rsid w:val="00D07515"/>
    <w:rsid w:val="00D07737"/>
    <w:rsid w:val="00D1089B"/>
    <w:rsid w:val="00D11E41"/>
    <w:rsid w:val="00D132AB"/>
    <w:rsid w:val="00D15472"/>
    <w:rsid w:val="00D16D9B"/>
    <w:rsid w:val="00D20FDA"/>
    <w:rsid w:val="00D214B1"/>
    <w:rsid w:val="00D223B8"/>
    <w:rsid w:val="00D22936"/>
    <w:rsid w:val="00D23F2C"/>
    <w:rsid w:val="00D24880"/>
    <w:rsid w:val="00D24C0E"/>
    <w:rsid w:val="00D258E2"/>
    <w:rsid w:val="00D25EF9"/>
    <w:rsid w:val="00D261F5"/>
    <w:rsid w:val="00D2720C"/>
    <w:rsid w:val="00D278B5"/>
    <w:rsid w:val="00D31586"/>
    <w:rsid w:val="00D32673"/>
    <w:rsid w:val="00D333D5"/>
    <w:rsid w:val="00D34402"/>
    <w:rsid w:val="00D36455"/>
    <w:rsid w:val="00D36F92"/>
    <w:rsid w:val="00D41060"/>
    <w:rsid w:val="00D428C6"/>
    <w:rsid w:val="00D44071"/>
    <w:rsid w:val="00D444E3"/>
    <w:rsid w:val="00D44711"/>
    <w:rsid w:val="00D449F5"/>
    <w:rsid w:val="00D44F6C"/>
    <w:rsid w:val="00D463B3"/>
    <w:rsid w:val="00D46C14"/>
    <w:rsid w:val="00D47381"/>
    <w:rsid w:val="00D502C6"/>
    <w:rsid w:val="00D51CCB"/>
    <w:rsid w:val="00D521BE"/>
    <w:rsid w:val="00D541ED"/>
    <w:rsid w:val="00D54B53"/>
    <w:rsid w:val="00D56FFB"/>
    <w:rsid w:val="00D615EF"/>
    <w:rsid w:val="00D62DB6"/>
    <w:rsid w:val="00D63D80"/>
    <w:rsid w:val="00D64ABF"/>
    <w:rsid w:val="00D662FF"/>
    <w:rsid w:val="00D66906"/>
    <w:rsid w:val="00D676DD"/>
    <w:rsid w:val="00D736CC"/>
    <w:rsid w:val="00D74128"/>
    <w:rsid w:val="00D74CA6"/>
    <w:rsid w:val="00D771E8"/>
    <w:rsid w:val="00D8053C"/>
    <w:rsid w:val="00D825A3"/>
    <w:rsid w:val="00D83A99"/>
    <w:rsid w:val="00D84949"/>
    <w:rsid w:val="00D853C3"/>
    <w:rsid w:val="00D87EE7"/>
    <w:rsid w:val="00D900DE"/>
    <w:rsid w:val="00D90D85"/>
    <w:rsid w:val="00D91D47"/>
    <w:rsid w:val="00D92C43"/>
    <w:rsid w:val="00D94108"/>
    <w:rsid w:val="00D94E62"/>
    <w:rsid w:val="00D957AC"/>
    <w:rsid w:val="00D96325"/>
    <w:rsid w:val="00D965F8"/>
    <w:rsid w:val="00DA17A8"/>
    <w:rsid w:val="00DA1EA2"/>
    <w:rsid w:val="00DA28A9"/>
    <w:rsid w:val="00DA3CEB"/>
    <w:rsid w:val="00DA415C"/>
    <w:rsid w:val="00DA47F5"/>
    <w:rsid w:val="00DA6143"/>
    <w:rsid w:val="00DA699A"/>
    <w:rsid w:val="00DA7F7F"/>
    <w:rsid w:val="00DB1BBF"/>
    <w:rsid w:val="00DB2D35"/>
    <w:rsid w:val="00DB42C3"/>
    <w:rsid w:val="00DB48B3"/>
    <w:rsid w:val="00DB4B20"/>
    <w:rsid w:val="00DB6404"/>
    <w:rsid w:val="00DB6FD1"/>
    <w:rsid w:val="00DC161D"/>
    <w:rsid w:val="00DC2177"/>
    <w:rsid w:val="00DC3215"/>
    <w:rsid w:val="00DC45A4"/>
    <w:rsid w:val="00DC576F"/>
    <w:rsid w:val="00DD3DCD"/>
    <w:rsid w:val="00DD3E14"/>
    <w:rsid w:val="00DD6358"/>
    <w:rsid w:val="00DD63F0"/>
    <w:rsid w:val="00DD6724"/>
    <w:rsid w:val="00DD7AC6"/>
    <w:rsid w:val="00DE123A"/>
    <w:rsid w:val="00DE1F0B"/>
    <w:rsid w:val="00DE20D5"/>
    <w:rsid w:val="00DE31FC"/>
    <w:rsid w:val="00DE598F"/>
    <w:rsid w:val="00DE633E"/>
    <w:rsid w:val="00DF0A66"/>
    <w:rsid w:val="00DF0B58"/>
    <w:rsid w:val="00DF1304"/>
    <w:rsid w:val="00DF297D"/>
    <w:rsid w:val="00DF3180"/>
    <w:rsid w:val="00DF3314"/>
    <w:rsid w:val="00DF7DD9"/>
    <w:rsid w:val="00E004D4"/>
    <w:rsid w:val="00E00FEC"/>
    <w:rsid w:val="00E02E2E"/>
    <w:rsid w:val="00E05E03"/>
    <w:rsid w:val="00E104B0"/>
    <w:rsid w:val="00E12A65"/>
    <w:rsid w:val="00E12BBC"/>
    <w:rsid w:val="00E12FA9"/>
    <w:rsid w:val="00E138DB"/>
    <w:rsid w:val="00E15F98"/>
    <w:rsid w:val="00E15FCD"/>
    <w:rsid w:val="00E16EAD"/>
    <w:rsid w:val="00E17D58"/>
    <w:rsid w:val="00E208FF"/>
    <w:rsid w:val="00E252A2"/>
    <w:rsid w:val="00E30D9A"/>
    <w:rsid w:val="00E318B7"/>
    <w:rsid w:val="00E33126"/>
    <w:rsid w:val="00E34CE1"/>
    <w:rsid w:val="00E37881"/>
    <w:rsid w:val="00E40747"/>
    <w:rsid w:val="00E42AED"/>
    <w:rsid w:val="00E45451"/>
    <w:rsid w:val="00E46748"/>
    <w:rsid w:val="00E473C3"/>
    <w:rsid w:val="00E4788A"/>
    <w:rsid w:val="00E50124"/>
    <w:rsid w:val="00E50292"/>
    <w:rsid w:val="00E502B1"/>
    <w:rsid w:val="00E516FC"/>
    <w:rsid w:val="00E51997"/>
    <w:rsid w:val="00E52497"/>
    <w:rsid w:val="00E524A6"/>
    <w:rsid w:val="00E52898"/>
    <w:rsid w:val="00E52E8D"/>
    <w:rsid w:val="00E54284"/>
    <w:rsid w:val="00E54E12"/>
    <w:rsid w:val="00E556AE"/>
    <w:rsid w:val="00E55C10"/>
    <w:rsid w:val="00E56087"/>
    <w:rsid w:val="00E569DD"/>
    <w:rsid w:val="00E56BA1"/>
    <w:rsid w:val="00E57127"/>
    <w:rsid w:val="00E5748F"/>
    <w:rsid w:val="00E57E36"/>
    <w:rsid w:val="00E63218"/>
    <w:rsid w:val="00E64065"/>
    <w:rsid w:val="00E65C61"/>
    <w:rsid w:val="00E66BDD"/>
    <w:rsid w:val="00E66F6A"/>
    <w:rsid w:val="00E67F1C"/>
    <w:rsid w:val="00E7016C"/>
    <w:rsid w:val="00E704F7"/>
    <w:rsid w:val="00E71319"/>
    <w:rsid w:val="00E73399"/>
    <w:rsid w:val="00E74939"/>
    <w:rsid w:val="00E80BF6"/>
    <w:rsid w:val="00E80E6D"/>
    <w:rsid w:val="00E81486"/>
    <w:rsid w:val="00E81588"/>
    <w:rsid w:val="00E82F22"/>
    <w:rsid w:val="00E83CDF"/>
    <w:rsid w:val="00E85108"/>
    <w:rsid w:val="00E90452"/>
    <w:rsid w:val="00E909A6"/>
    <w:rsid w:val="00E90C9F"/>
    <w:rsid w:val="00E911D9"/>
    <w:rsid w:val="00E9125E"/>
    <w:rsid w:val="00E91580"/>
    <w:rsid w:val="00E91A73"/>
    <w:rsid w:val="00E927FF"/>
    <w:rsid w:val="00E92BF0"/>
    <w:rsid w:val="00E92C48"/>
    <w:rsid w:val="00E938C0"/>
    <w:rsid w:val="00E94091"/>
    <w:rsid w:val="00E941AE"/>
    <w:rsid w:val="00E968BE"/>
    <w:rsid w:val="00E97D64"/>
    <w:rsid w:val="00EA4840"/>
    <w:rsid w:val="00EA7677"/>
    <w:rsid w:val="00EB27E6"/>
    <w:rsid w:val="00EB31E8"/>
    <w:rsid w:val="00EB568C"/>
    <w:rsid w:val="00EB6336"/>
    <w:rsid w:val="00EB700B"/>
    <w:rsid w:val="00EB7FD4"/>
    <w:rsid w:val="00EC0484"/>
    <w:rsid w:val="00EC0549"/>
    <w:rsid w:val="00EC1956"/>
    <w:rsid w:val="00EC1B4F"/>
    <w:rsid w:val="00EC3425"/>
    <w:rsid w:val="00EC39F4"/>
    <w:rsid w:val="00EC4FB6"/>
    <w:rsid w:val="00EC6243"/>
    <w:rsid w:val="00EC6311"/>
    <w:rsid w:val="00EC773B"/>
    <w:rsid w:val="00ED13A1"/>
    <w:rsid w:val="00ED14A9"/>
    <w:rsid w:val="00ED20D9"/>
    <w:rsid w:val="00ED28ED"/>
    <w:rsid w:val="00ED418B"/>
    <w:rsid w:val="00ED5E89"/>
    <w:rsid w:val="00ED6327"/>
    <w:rsid w:val="00ED68BC"/>
    <w:rsid w:val="00ED75A7"/>
    <w:rsid w:val="00ED7D7E"/>
    <w:rsid w:val="00EE15B4"/>
    <w:rsid w:val="00EE1CCE"/>
    <w:rsid w:val="00EE207F"/>
    <w:rsid w:val="00EE3860"/>
    <w:rsid w:val="00EE5ABE"/>
    <w:rsid w:val="00EE5F06"/>
    <w:rsid w:val="00EF1FF1"/>
    <w:rsid w:val="00EF20EA"/>
    <w:rsid w:val="00EF4710"/>
    <w:rsid w:val="00EF64DD"/>
    <w:rsid w:val="00EF6C3E"/>
    <w:rsid w:val="00EF7C9A"/>
    <w:rsid w:val="00F03940"/>
    <w:rsid w:val="00F05610"/>
    <w:rsid w:val="00F0598C"/>
    <w:rsid w:val="00F10985"/>
    <w:rsid w:val="00F10B44"/>
    <w:rsid w:val="00F158AC"/>
    <w:rsid w:val="00F1766B"/>
    <w:rsid w:val="00F2020F"/>
    <w:rsid w:val="00F2142E"/>
    <w:rsid w:val="00F2486D"/>
    <w:rsid w:val="00F270BF"/>
    <w:rsid w:val="00F27609"/>
    <w:rsid w:val="00F302C2"/>
    <w:rsid w:val="00F313DD"/>
    <w:rsid w:val="00F31734"/>
    <w:rsid w:val="00F321F6"/>
    <w:rsid w:val="00F330B2"/>
    <w:rsid w:val="00F3349C"/>
    <w:rsid w:val="00F34DE2"/>
    <w:rsid w:val="00F37244"/>
    <w:rsid w:val="00F43FD4"/>
    <w:rsid w:val="00F457C7"/>
    <w:rsid w:val="00F46C77"/>
    <w:rsid w:val="00F532B3"/>
    <w:rsid w:val="00F53D08"/>
    <w:rsid w:val="00F55B4E"/>
    <w:rsid w:val="00F57228"/>
    <w:rsid w:val="00F62911"/>
    <w:rsid w:val="00F649FB"/>
    <w:rsid w:val="00F65CC4"/>
    <w:rsid w:val="00F65CCB"/>
    <w:rsid w:val="00F661F4"/>
    <w:rsid w:val="00F67D9F"/>
    <w:rsid w:val="00F70B21"/>
    <w:rsid w:val="00F70E71"/>
    <w:rsid w:val="00F71D3C"/>
    <w:rsid w:val="00F72498"/>
    <w:rsid w:val="00F72C44"/>
    <w:rsid w:val="00F73237"/>
    <w:rsid w:val="00F73A5A"/>
    <w:rsid w:val="00F73E9A"/>
    <w:rsid w:val="00F747E6"/>
    <w:rsid w:val="00F75B3F"/>
    <w:rsid w:val="00F763AB"/>
    <w:rsid w:val="00F76F7D"/>
    <w:rsid w:val="00F770F8"/>
    <w:rsid w:val="00F770FA"/>
    <w:rsid w:val="00F779A5"/>
    <w:rsid w:val="00F8109E"/>
    <w:rsid w:val="00F83151"/>
    <w:rsid w:val="00F83897"/>
    <w:rsid w:val="00F8501C"/>
    <w:rsid w:val="00F854B3"/>
    <w:rsid w:val="00F85C94"/>
    <w:rsid w:val="00F8683E"/>
    <w:rsid w:val="00F869E3"/>
    <w:rsid w:val="00F8736C"/>
    <w:rsid w:val="00F8749C"/>
    <w:rsid w:val="00F87983"/>
    <w:rsid w:val="00F90F48"/>
    <w:rsid w:val="00F916BB"/>
    <w:rsid w:val="00F91AFF"/>
    <w:rsid w:val="00F937DF"/>
    <w:rsid w:val="00F953E2"/>
    <w:rsid w:val="00F955EE"/>
    <w:rsid w:val="00F9571D"/>
    <w:rsid w:val="00F957D0"/>
    <w:rsid w:val="00F964E6"/>
    <w:rsid w:val="00F97890"/>
    <w:rsid w:val="00FA075E"/>
    <w:rsid w:val="00FA2C80"/>
    <w:rsid w:val="00FA2CEC"/>
    <w:rsid w:val="00FA3A01"/>
    <w:rsid w:val="00FA43E7"/>
    <w:rsid w:val="00FA52C0"/>
    <w:rsid w:val="00FA52FB"/>
    <w:rsid w:val="00FA532D"/>
    <w:rsid w:val="00FA6AE5"/>
    <w:rsid w:val="00FA7641"/>
    <w:rsid w:val="00FB06F9"/>
    <w:rsid w:val="00FB5CF8"/>
    <w:rsid w:val="00FC0815"/>
    <w:rsid w:val="00FC0B63"/>
    <w:rsid w:val="00FC0CB7"/>
    <w:rsid w:val="00FC1F87"/>
    <w:rsid w:val="00FC4238"/>
    <w:rsid w:val="00FC49B8"/>
    <w:rsid w:val="00FC5157"/>
    <w:rsid w:val="00FC6369"/>
    <w:rsid w:val="00FC7CA3"/>
    <w:rsid w:val="00FD0EB4"/>
    <w:rsid w:val="00FD3679"/>
    <w:rsid w:val="00FD788F"/>
    <w:rsid w:val="00FE12D2"/>
    <w:rsid w:val="00FE1504"/>
    <w:rsid w:val="00FE2F44"/>
    <w:rsid w:val="00FE4B22"/>
    <w:rsid w:val="00FE63A6"/>
    <w:rsid w:val="00FE67F3"/>
    <w:rsid w:val="00FE7595"/>
    <w:rsid w:val="00FE7EBF"/>
    <w:rsid w:val="00FF07D4"/>
    <w:rsid w:val="00FF0FCD"/>
    <w:rsid w:val="00FF60C9"/>
    <w:rsid w:val="00FF7053"/>
    <w:rsid w:val="00FF711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qFormat/>
    <w:rsid w:val="002C192D"/>
    <w:pPr>
      <w:keepNext/>
      <w:spacing w:after="240"/>
      <w:outlineLvl w:val="1"/>
    </w:pPr>
    <w:rPr>
      <w:b/>
      <w:sz w:val="28"/>
    </w:rPr>
  </w:style>
  <w:style w:type="paragraph" w:styleId="Heading3">
    <w:name w:val="heading 3"/>
    <w:basedOn w:val="Normal"/>
    <w:next w:val="Normal"/>
    <w:qFormat/>
    <w:rsid w:val="00585F95"/>
    <w:pPr>
      <w:widowControl w:val="0"/>
      <w:overflowPunct w:val="0"/>
      <w:autoSpaceDE w:val="0"/>
      <w:autoSpaceDN w:val="0"/>
      <w:adjustRightInd w:val="0"/>
      <w:ind w:left="720" w:hanging="720"/>
      <w:jc w:val="left"/>
      <w:textAlignment w:val="baseline"/>
      <w:outlineLvl w:val="2"/>
    </w:pPr>
    <w:rPr>
      <w:rFonts w:cs="Tahoma"/>
      <w:b/>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uiPriority w:val="99"/>
    <w:rsid w:val="00C87593"/>
    <w:rPr>
      <w:sz w:val="16"/>
      <w:szCs w:val="16"/>
    </w:rPr>
  </w:style>
  <w:style w:type="paragraph" w:styleId="CommentText">
    <w:name w:val="annotation text"/>
    <w:basedOn w:val="Normal"/>
    <w:link w:val="CommentTextChar"/>
    <w:uiPriority w:val="99"/>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rsid w:val="002C3210"/>
    <w:rPr>
      <w:vertAlign w:val="superscript"/>
    </w:rPr>
  </w:style>
  <w:style w:type="paragraph" w:styleId="FootnoteText">
    <w:name w:val="footnote text"/>
    <w:basedOn w:val="Normal"/>
    <w:link w:val="FootnoteTextChar"/>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val="en-GB" w:eastAsia="en-US" w:bidi="ar-SA"/>
    </w:rPr>
  </w:style>
  <w:style w:type="paragraph" w:customStyle="1" w:styleId="Bulletsspaced">
    <w:name w:val="Bullets (spaced)"/>
    <w:basedOn w:val="Normal"/>
    <w:link w:val="BulletsspacedChar"/>
    <w:autoRedefine/>
    <w:rsid w:val="00231CC7"/>
    <w:pPr>
      <w:numPr>
        <w:numId w:val="17"/>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6"/>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2C192D"/>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character" w:customStyle="1" w:styleId="CommentTextChar">
    <w:name w:val="Comment Text Char"/>
    <w:link w:val="CommentText"/>
    <w:uiPriority w:val="99"/>
    <w:rsid w:val="00585F95"/>
    <w:rPr>
      <w:rFonts w:ascii="Tahoma" w:hAnsi="Tahoma"/>
    </w:rPr>
  </w:style>
  <w:style w:type="paragraph" w:styleId="Subtitle">
    <w:name w:val="Subtitle"/>
    <w:basedOn w:val="Normal"/>
    <w:next w:val="Normal"/>
    <w:link w:val="SubtitleChar"/>
    <w:qFormat/>
    <w:rsid w:val="00585F95"/>
    <w:pPr>
      <w:jc w:val="left"/>
    </w:pPr>
    <w:rPr>
      <w:rFonts w:cs="Tahoma"/>
      <w:b/>
    </w:rPr>
  </w:style>
  <w:style w:type="character" w:customStyle="1" w:styleId="SubtitleChar">
    <w:name w:val="Subtitle Char"/>
    <w:link w:val="Subtitle"/>
    <w:rsid w:val="00585F95"/>
    <w:rPr>
      <w:rFonts w:ascii="Tahoma" w:hAnsi="Tahoma" w:cs="Tahom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qFormat/>
    <w:rsid w:val="002C192D"/>
    <w:pPr>
      <w:keepNext/>
      <w:spacing w:after="240"/>
      <w:outlineLvl w:val="1"/>
    </w:pPr>
    <w:rPr>
      <w:b/>
      <w:sz w:val="28"/>
    </w:rPr>
  </w:style>
  <w:style w:type="paragraph" w:styleId="Heading3">
    <w:name w:val="heading 3"/>
    <w:basedOn w:val="Normal"/>
    <w:next w:val="Normal"/>
    <w:qFormat/>
    <w:rsid w:val="00585F95"/>
    <w:pPr>
      <w:widowControl w:val="0"/>
      <w:overflowPunct w:val="0"/>
      <w:autoSpaceDE w:val="0"/>
      <w:autoSpaceDN w:val="0"/>
      <w:adjustRightInd w:val="0"/>
      <w:ind w:left="720" w:hanging="720"/>
      <w:jc w:val="left"/>
      <w:textAlignment w:val="baseline"/>
      <w:outlineLvl w:val="2"/>
    </w:pPr>
    <w:rPr>
      <w:rFonts w:cs="Tahoma"/>
      <w:b/>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uiPriority w:val="99"/>
    <w:rsid w:val="00C87593"/>
    <w:rPr>
      <w:sz w:val="16"/>
      <w:szCs w:val="16"/>
    </w:rPr>
  </w:style>
  <w:style w:type="paragraph" w:styleId="CommentText">
    <w:name w:val="annotation text"/>
    <w:basedOn w:val="Normal"/>
    <w:link w:val="CommentTextChar"/>
    <w:uiPriority w:val="99"/>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rsid w:val="002C3210"/>
    <w:rPr>
      <w:vertAlign w:val="superscript"/>
    </w:rPr>
  </w:style>
  <w:style w:type="paragraph" w:styleId="FootnoteText">
    <w:name w:val="footnote text"/>
    <w:basedOn w:val="Normal"/>
    <w:link w:val="FootnoteTextChar"/>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val="en-GB" w:eastAsia="en-US" w:bidi="ar-SA"/>
    </w:rPr>
  </w:style>
  <w:style w:type="paragraph" w:customStyle="1" w:styleId="Bulletsspaced">
    <w:name w:val="Bullets (spaced)"/>
    <w:basedOn w:val="Normal"/>
    <w:link w:val="BulletsspacedChar"/>
    <w:autoRedefine/>
    <w:rsid w:val="00231CC7"/>
    <w:pPr>
      <w:numPr>
        <w:numId w:val="17"/>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6"/>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2C192D"/>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character" w:customStyle="1" w:styleId="CommentTextChar">
    <w:name w:val="Comment Text Char"/>
    <w:link w:val="CommentText"/>
    <w:uiPriority w:val="99"/>
    <w:rsid w:val="00585F95"/>
    <w:rPr>
      <w:rFonts w:ascii="Tahoma" w:hAnsi="Tahoma"/>
    </w:rPr>
  </w:style>
  <w:style w:type="paragraph" w:styleId="Subtitle">
    <w:name w:val="Subtitle"/>
    <w:basedOn w:val="Normal"/>
    <w:next w:val="Normal"/>
    <w:link w:val="SubtitleChar"/>
    <w:qFormat/>
    <w:rsid w:val="00585F95"/>
    <w:pPr>
      <w:jc w:val="left"/>
    </w:pPr>
    <w:rPr>
      <w:rFonts w:cs="Tahoma"/>
      <w:b/>
    </w:rPr>
  </w:style>
  <w:style w:type="character" w:customStyle="1" w:styleId="SubtitleChar">
    <w:name w:val="Subtitle Char"/>
    <w:link w:val="Subtitle"/>
    <w:rsid w:val="00585F95"/>
    <w:rPr>
      <w:rFonts w:ascii="Tahoma"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93136259">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150104223">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35847007">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ationalarchives.gov.uk/doc/open-government-lic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si@nationalarchives.gsi.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1" ma:contentTypeDescription="Create a new document." ma:contentTypeScope="" ma:versionID="28b7fd17e8afe378b6fa854b24d5e079">
  <xsd:schema xmlns:xsd="http://www.w3.org/2001/XMLSchema" xmlns:p="http://schemas.microsoft.com/office/2006/metadata/properties" xmlns:ns2="82e30443-e738-45d7-be93-4e56ed5da66c" targetNamespace="http://schemas.microsoft.com/office/2006/metadata/properties" ma:root="true" ma:fieldsID="54c4cf72048c4f0fe38a457cb648c94b" ns2:_="">
    <xsd:import namespace="82e30443-e738-45d7-be93-4e56ed5da66c"/>
    <xsd:element name="properties">
      <xsd:complexType>
        <xsd:sequence>
          <xsd:element name="documentManagement">
            <xsd:complexType>
              <xsd:all>
                <xsd:element ref="ns2:Section" minOccurs="0"/>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nillable="true" ma:displayName="Section" ma:default="PLEASE SELECT" ma:format="Dropdown" ma:internalName="Section">
      <xsd:simpleType>
        <xsd:restriction base="dms:Choice">
          <xsd:enumeration value="PLEASE SELECT"/>
          <xsd:enumeration value="Desk Instructions and Checklists"/>
          <xsd:enumeration value="Project Templates"/>
          <xsd:enumeration value="Document Control Frontpage"/>
          <xsd:enumeration value="Sign- Off templates"/>
          <xsd:enumeration value="Customer Questionnaires"/>
          <xsd:enumeration value="Error Report"/>
          <xsd:enumeration value="StatisticsAuthority Code of Practice"/>
          <xsd:enumeration value="European Statistical system of Quality"/>
          <xsd:enumeration value="FOI,PQ,Lilac Cover QA Checklist"/>
          <xsd:enumeration value="Annual Report"/>
          <xsd:enumeration value="Briefing Note"/>
          <xsd:enumeration value="Service Level Agreement"/>
          <xsd:enumeration value="Data Sharing request form"/>
          <xsd:enumeration value="Terms of Reference"/>
          <xsd:enumeration value="Defect Log"/>
          <xsd:enumeration value="Official statistics"/>
          <xsd:enumeration value="Engaging with users"/>
          <xsd:enumeration value="Configuration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2.xml><?xml version="1.0" encoding="utf-8"?>
<ds:datastoreItem xmlns:ds="http://schemas.openxmlformats.org/officeDocument/2006/customXml" ds:itemID="{58C52C01-9954-4C30-B23C-9CBCEC116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4.xml><?xml version="1.0" encoding="utf-8"?>
<ds:datastoreItem xmlns:ds="http://schemas.openxmlformats.org/officeDocument/2006/customXml" ds:itemID="{4CB2F549-5FDA-4467-9EB0-2B01E61BA517}">
  <ds:schemaRefs>
    <ds:schemaRef ds:uri="82e30443-e738-45d7-be93-4e56ed5da66c"/>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EDFCB24C-52D6-464B-9F43-91261625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1821</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Official statistics - SFR release template</vt:lpstr>
    </vt:vector>
  </TitlesOfParts>
  <Company>Ofsted</Company>
  <LinksUpToDate>false</LinksUpToDate>
  <CharactersWithSpaces>12326</CharactersWithSpaces>
  <SharedDoc>false</SharedDoc>
  <HLinks>
    <vt:vector size="72" baseType="variant">
      <vt:variant>
        <vt:i4>3670022</vt:i4>
      </vt:variant>
      <vt:variant>
        <vt:i4>69</vt:i4>
      </vt:variant>
      <vt:variant>
        <vt:i4>0</vt:i4>
      </vt:variant>
      <vt:variant>
        <vt:i4>5</vt:i4>
      </vt:variant>
      <vt:variant>
        <vt:lpwstr>mailto:psi@nationalarchives.gsi.gov.uk</vt:lpwstr>
      </vt:variant>
      <vt:variant>
        <vt:lpwstr/>
      </vt:variant>
      <vt:variant>
        <vt:i4>6553714</vt:i4>
      </vt:variant>
      <vt:variant>
        <vt:i4>66</vt:i4>
      </vt:variant>
      <vt:variant>
        <vt:i4>0</vt:i4>
      </vt:variant>
      <vt:variant>
        <vt:i4>5</vt:i4>
      </vt:variant>
      <vt:variant>
        <vt:lpwstr>http://www.nationalarchives.gov.uk/doc/open-government-licence/</vt:lpwstr>
      </vt:variant>
      <vt:variant>
        <vt:lpwstr/>
      </vt:variant>
      <vt:variant>
        <vt:i4>1245240</vt:i4>
      </vt:variant>
      <vt:variant>
        <vt:i4>59</vt:i4>
      </vt:variant>
      <vt:variant>
        <vt:i4>0</vt:i4>
      </vt:variant>
      <vt:variant>
        <vt:i4>5</vt:i4>
      </vt:variant>
      <vt:variant>
        <vt:lpwstr/>
      </vt:variant>
      <vt:variant>
        <vt:lpwstr>_Toc433286734</vt:lpwstr>
      </vt:variant>
      <vt:variant>
        <vt:i4>1245240</vt:i4>
      </vt:variant>
      <vt:variant>
        <vt:i4>53</vt:i4>
      </vt:variant>
      <vt:variant>
        <vt:i4>0</vt:i4>
      </vt:variant>
      <vt:variant>
        <vt:i4>5</vt:i4>
      </vt:variant>
      <vt:variant>
        <vt:lpwstr/>
      </vt:variant>
      <vt:variant>
        <vt:lpwstr>_Toc433286733</vt:lpwstr>
      </vt:variant>
      <vt:variant>
        <vt:i4>1245240</vt:i4>
      </vt:variant>
      <vt:variant>
        <vt:i4>47</vt:i4>
      </vt:variant>
      <vt:variant>
        <vt:i4>0</vt:i4>
      </vt:variant>
      <vt:variant>
        <vt:i4>5</vt:i4>
      </vt:variant>
      <vt:variant>
        <vt:lpwstr/>
      </vt:variant>
      <vt:variant>
        <vt:lpwstr>_Toc433286732</vt:lpwstr>
      </vt:variant>
      <vt:variant>
        <vt:i4>1245240</vt:i4>
      </vt:variant>
      <vt:variant>
        <vt:i4>41</vt:i4>
      </vt:variant>
      <vt:variant>
        <vt:i4>0</vt:i4>
      </vt:variant>
      <vt:variant>
        <vt:i4>5</vt:i4>
      </vt:variant>
      <vt:variant>
        <vt:lpwstr/>
      </vt:variant>
      <vt:variant>
        <vt:lpwstr>_Toc433286731</vt:lpwstr>
      </vt:variant>
      <vt:variant>
        <vt:i4>1245240</vt:i4>
      </vt:variant>
      <vt:variant>
        <vt:i4>35</vt:i4>
      </vt:variant>
      <vt:variant>
        <vt:i4>0</vt:i4>
      </vt:variant>
      <vt:variant>
        <vt:i4>5</vt:i4>
      </vt:variant>
      <vt:variant>
        <vt:lpwstr/>
      </vt:variant>
      <vt:variant>
        <vt:lpwstr>_Toc433286730</vt:lpwstr>
      </vt:variant>
      <vt:variant>
        <vt:i4>1179704</vt:i4>
      </vt:variant>
      <vt:variant>
        <vt:i4>29</vt:i4>
      </vt:variant>
      <vt:variant>
        <vt:i4>0</vt:i4>
      </vt:variant>
      <vt:variant>
        <vt:i4>5</vt:i4>
      </vt:variant>
      <vt:variant>
        <vt:lpwstr/>
      </vt:variant>
      <vt:variant>
        <vt:lpwstr>_Toc433286729</vt:lpwstr>
      </vt:variant>
      <vt:variant>
        <vt:i4>1179704</vt:i4>
      </vt:variant>
      <vt:variant>
        <vt:i4>23</vt:i4>
      </vt:variant>
      <vt:variant>
        <vt:i4>0</vt:i4>
      </vt:variant>
      <vt:variant>
        <vt:i4>5</vt:i4>
      </vt:variant>
      <vt:variant>
        <vt:lpwstr/>
      </vt:variant>
      <vt:variant>
        <vt:lpwstr>_Toc433286728</vt:lpwstr>
      </vt:variant>
      <vt:variant>
        <vt:i4>1179704</vt:i4>
      </vt:variant>
      <vt:variant>
        <vt:i4>17</vt:i4>
      </vt:variant>
      <vt:variant>
        <vt:i4>0</vt:i4>
      </vt:variant>
      <vt:variant>
        <vt:i4>5</vt:i4>
      </vt:variant>
      <vt:variant>
        <vt:lpwstr/>
      </vt:variant>
      <vt:variant>
        <vt:lpwstr>_Toc433286727</vt:lpwstr>
      </vt:variant>
      <vt:variant>
        <vt:i4>1179704</vt:i4>
      </vt:variant>
      <vt:variant>
        <vt:i4>11</vt:i4>
      </vt:variant>
      <vt:variant>
        <vt:i4>0</vt:i4>
      </vt:variant>
      <vt:variant>
        <vt:i4>5</vt:i4>
      </vt:variant>
      <vt:variant>
        <vt:lpwstr/>
      </vt:variant>
      <vt:variant>
        <vt:lpwstr>_Toc433286726</vt:lpwstr>
      </vt:variant>
      <vt:variant>
        <vt:i4>1179704</vt:i4>
      </vt:variant>
      <vt:variant>
        <vt:i4>5</vt:i4>
      </vt:variant>
      <vt:variant>
        <vt:i4>0</vt:i4>
      </vt:variant>
      <vt:variant>
        <vt:i4>5</vt:i4>
      </vt:variant>
      <vt:variant>
        <vt:lpwstr/>
      </vt:variant>
      <vt:variant>
        <vt:lpwstr>_Toc433286725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 SFR release template</dc:title>
  <dc:creator>Alison Edwards (London)</dc:creator>
  <cp:lastModifiedBy>emoreton</cp:lastModifiedBy>
  <cp:revision>3</cp:revision>
  <cp:lastPrinted>2015-03-17T15:14:00Z</cp:lastPrinted>
  <dcterms:created xsi:type="dcterms:W3CDTF">2015-10-27T14:13:00Z</dcterms:created>
  <dcterms:modified xsi:type="dcterms:W3CDTF">2015-10-27T14:29:00Z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lpwstr/>
  </property>
</Properties>
</file>