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A41C" w14:textId="44EB01B1" w:rsidR="00147894" w:rsidRDefault="00EB603D" w:rsidP="00E003E7">
      <w:pPr>
        <w:pStyle w:val="ACEBodyText"/>
        <w:spacing w:line="240" w:lineRule="auto"/>
        <w:jc w:val="center"/>
        <w:rPr>
          <w:rFonts w:asciiTheme="minorHAnsi" w:hAnsiTheme="minorHAnsi"/>
          <w:b/>
          <w:sz w:val="40"/>
        </w:rPr>
      </w:pPr>
      <w:bookmarkStart w:id="0" w:name="_GoBack"/>
      <w:bookmarkEnd w:id="0"/>
      <w:r w:rsidRPr="00BD592B">
        <w:rPr>
          <w:noProof/>
        </w:rPr>
        <w:drawing>
          <wp:anchor distT="0" distB="0" distL="114300" distR="114300" simplePos="0" relativeHeight="251659264" behindDoc="0" locked="0" layoutInCell="0" allowOverlap="1" wp14:anchorId="06ACB19B" wp14:editId="2A2633AB">
            <wp:simplePos x="0" y="0"/>
            <wp:positionH relativeFrom="page">
              <wp:posOffset>914400</wp:posOffset>
            </wp:positionH>
            <wp:positionV relativeFrom="page">
              <wp:posOffset>914400</wp:posOffset>
            </wp:positionV>
            <wp:extent cx="16380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6A375" w14:textId="77777777" w:rsidR="00147894" w:rsidRDefault="00147894" w:rsidP="00E003E7">
      <w:pPr>
        <w:pStyle w:val="ACEBodyText"/>
        <w:spacing w:line="240" w:lineRule="auto"/>
        <w:jc w:val="center"/>
        <w:rPr>
          <w:rFonts w:asciiTheme="minorHAnsi" w:hAnsiTheme="minorHAnsi"/>
          <w:b/>
          <w:sz w:val="40"/>
        </w:rPr>
      </w:pPr>
    </w:p>
    <w:p w14:paraId="54C99ED0" w14:textId="77777777" w:rsidR="005B39DF" w:rsidRDefault="005B39DF" w:rsidP="00E003E7">
      <w:pPr>
        <w:pStyle w:val="ACEBodyText"/>
        <w:spacing w:line="240" w:lineRule="auto"/>
        <w:jc w:val="center"/>
        <w:rPr>
          <w:rFonts w:asciiTheme="minorHAnsi" w:hAnsiTheme="minorHAnsi"/>
          <w:b/>
          <w:sz w:val="40"/>
        </w:rPr>
      </w:pPr>
    </w:p>
    <w:p w14:paraId="55DE6D33" w14:textId="77777777" w:rsidR="00143AB0" w:rsidRDefault="00143AB0" w:rsidP="00E003E7">
      <w:pPr>
        <w:pStyle w:val="ACEBodyText"/>
        <w:spacing w:line="240" w:lineRule="auto"/>
        <w:jc w:val="center"/>
        <w:rPr>
          <w:rFonts w:asciiTheme="minorHAnsi" w:hAnsiTheme="minorHAnsi"/>
          <w:b/>
          <w:sz w:val="44"/>
        </w:rPr>
      </w:pPr>
    </w:p>
    <w:p w14:paraId="1698EEFB" w14:textId="77777777" w:rsidR="00EB603D" w:rsidRDefault="00EB603D" w:rsidP="00E003E7">
      <w:pPr>
        <w:pStyle w:val="ACEBodyText"/>
        <w:spacing w:line="240" w:lineRule="auto"/>
        <w:jc w:val="center"/>
        <w:rPr>
          <w:rFonts w:asciiTheme="minorHAnsi" w:hAnsiTheme="minorHAnsi"/>
          <w:b/>
          <w:sz w:val="44"/>
        </w:rPr>
      </w:pPr>
    </w:p>
    <w:p w14:paraId="0414CE15" w14:textId="77777777" w:rsidR="00EB603D" w:rsidRDefault="00EB603D" w:rsidP="00E003E7">
      <w:pPr>
        <w:pStyle w:val="ACEBodyText"/>
        <w:spacing w:line="240" w:lineRule="auto"/>
        <w:jc w:val="center"/>
        <w:rPr>
          <w:rFonts w:asciiTheme="minorHAnsi" w:hAnsiTheme="minorHAnsi"/>
          <w:b/>
          <w:sz w:val="44"/>
        </w:rPr>
      </w:pPr>
    </w:p>
    <w:p w14:paraId="2927291A" w14:textId="77777777" w:rsidR="00EB603D" w:rsidRDefault="00EB603D" w:rsidP="00EB603D">
      <w:pPr>
        <w:pStyle w:val="ACEBodyText"/>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sz w:val="44"/>
        </w:rPr>
      </w:pPr>
    </w:p>
    <w:p w14:paraId="1587F5FA" w14:textId="77777777" w:rsidR="00114AAB" w:rsidRDefault="00C4529F" w:rsidP="00EB603D">
      <w:pPr>
        <w:pStyle w:val="ACEBodyText"/>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sz w:val="56"/>
          <w:szCs w:val="56"/>
        </w:rPr>
      </w:pPr>
      <w:r w:rsidRPr="00EB603D">
        <w:rPr>
          <w:rFonts w:asciiTheme="minorHAnsi" w:hAnsiTheme="minorHAnsi"/>
          <w:b/>
          <w:sz w:val="56"/>
          <w:szCs w:val="56"/>
        </w:rPr>
        <w:t xml:space="preserve">Further analysis </w:t>
      </w:r>
      <w:r w:rsidR="00037EE6" w:rsidRPr="00EB603D">
        <w:rPr>
          <w:rFonts w:asciiTheme="minorHAnsi" w:hAnsiTheme="minorHAnsi"/>
          <w:b/>
          <w:sz w:val="56"/>
          <w:szCs w:val="56"/>
        </w:rPr>
        <w:t xml:space="preserve">to value </w:t>
      </w:r>
      <w:r w:rsidRPr="00EB603D">
        <w:rPr>
          <w:rFonts w:asciiTheme="minorHAnsi" w:hAnsiTheme="minorHAnsi"/>
          <w:b/>
          <w:sz w:val="56"/>
          <w:szCs w:val="56"/>
        </w:rPr>
        <w:t>the he</w:t>
      </w:r>
      <w:r w:rsidR="00F83523" w:rsidRPr="00EB603D">
        <w:rPr>
          <w:rFonts w:asciiTheme="minorHAnsi" w:hAnsiTheme="minorHAnsi"/>
          <w:b/>
          <w:sz w:val="56"/>
          <w:szCs w:val="56"/>
        </w:rPr>
        <w:t xml:space="preserve">alth and educational benefits </w:t>
      </w:r>
      <w:r w:rsidR="00037EE6" w:rsidRPr="00EB603D">
        <w:rPr>
          <w:rFonts w:asciiTheme="minorHAnsi" w:hAnsiTheme="minorHAnsi"/>
          <w:b/>
          <w:sz w:val="56"/>
          <w:szCs w:val="56"/>
        </w:rPr>
        <w:t xml:space="preserve">of </w:t>
      </w:r>
    </w:p>
    <w:p w14:paraId="51101CFC" w14:textId="1BF439C2" w:rsidR="00C4529F" w:rsidRPr="00EB603D" w:rsidRDefault="00C4529F" w:rsidP="00EB603D">
      <w:pPr>
        <w:pStyle w:val="ACEBodyText"/>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b/>
          <w:sz w:val="56"/>
          <w:szCs w:val="56"/>
        </w:rPr>
      </w:pPr>
      <w:r w:rsidRPr="00EB603D">
        <w:rPr>
          <w:rFonts w:asciiTheme="minorHAnsi" w:hAnsiTheme="minorHAnsi"/>
          <w:b/>
          <w:sz w:val="56"/>
          <w:szCs w:val="56"/>
        </w:rPr>
        <w:t xml:space="preserve">sport and culture </w:t>
      </w:r>
    </w:p>
    <w:p w14:paraId="7234D91E" w14:textId="77777777" w:rsidR="006D0B2B" w:rsidRPr="00B17245" w:rsidRDefault="006D0B2B" w:rsidP="00EB603D">
      <w:pPr>
        <w:pBdr>
          <w:top w:val="single" w:sz="4" w:space="1" w:color="auto"/>
          <w:left w:val="single" w:sz="4" w:space="4" w:color="auto"/>
          <w:bottom w:val="single" w:sz="4" w:space="1" w:color="auto"/>
          <w:right w:val="single" w:sz="4" w:space="4" w:color="auto"/>
        </w:pBdr>
        <w:spacing w:after="0" w:line="240" w:lineRule="auto"/>
        <w:rPr>
          <w:b/>
          <w:color w:val="0070C0"/>
        </w:rPr>
      </w:pPr>
    </w:p>
    <w:p w14:paraId="707A517A" w14:textId="77777777" w:rsidR="00C4529F" w:rsidRPr="00B17245" w:rsidRDefault="00C4529F" w:rsidP="00EB603D">
      <w:pPr>
        <w:pBdr>
          <w:top w:val="single" w:sz="4" w:space="1" w:color="auto"/>
          <w:left w:val="single" w:sz="4" w:space="4" w:color="auto"/>
          <w:bottom w:val="single" w:sz="4" w:space="1" w:color="auto"/>
          <w:right w:val="single" w:sz="4" w:space="4" w:color="auto"/>
        </w:pBdr>
        <w:spacing w:after="0" w:line="240" w:lineRule="auto"/>
        <w:jc w:val="center"/>
        <w:rPr>
          <w:b/>
          <w:color w:val="0070C0"/>
        </w:rPr>
      </w:pPr>
    </w:p>
    <w:p w14:paraId="1F949FA5" w14:textId="77777777" w:rsidR="00C4529F" w:rsidRDefault="00C4529F"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604CA5EF"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7786AD6B"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04B7DBC9"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23BD4D31" w14:textId="77777777" w:rsidR="005B39DF" w:rsidRDefault="005B39DF"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5ED99A09"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0A1A40E6"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5CF72B2D"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1C774F84" w14:textId="77777777" w:rsidR="00114AAB" w:rsidRDefault="00114AAB"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304718E2" w14:textId="77777777" w:rsidR="005B39DF" w:rsidRDefault="005B39DF"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6B191E1D" w14:textId="77777777" w:rsidR="00EB603D" w:rsidRPr="001A47E3" w:rsidRDefault="00EB603D" w:rsidP="00EB603D">
      <w:pPr>
        <w:pBdr>
          <w:top w:val="single" w:sz="4" w:space="1" w:color="auto"/>
          <w:left w:val="single" w:sz="4" w:space="4" w:color="auto"/>
          <w:bottom w:val="single" w:sz="4" w:space="1" w:color="auto"/>
          <w:right w:val="single" w:sz="4" w:space="4" w:color="auto"/>
        </w:pBdr>
        <w:spacing w:after="0" w:line="240" w:lineRule="auto"/>
        <w:rPr>
          <w:b/>
          <w:sz w:val="24"/>
        </w:rPr>
      </w:pPr>
      <w:r>
        <w:rPr>
          <w:b/>
          <w:sz w:val="24"/>
        </w:rPr>
        <w:t>March 2015</w:t>
      </w:r>
    </w:p>
    <w:p w14:paraId="329265E7" w14:textId="77777777" w:rsidR="005B39DF" w:rsidRDefault="005B39DF" w:rsidP="00EB603D">
      <w:pPr>
        <w:pBdr>
          <w:top w:val="single" w:sz="4" w:space="1" w:color="auto"/>
          <w:left w:val="single" w:sz="4" w:space="4" w:color="auto"/>
          <w:bottom w:val="single" w:sz="4" w:space="1" w:color="auto"/>
          <w:right w:val="single" w:sz="4" w:space="4" w:color="auto"/>
        </w:pBdr>
        <w:spacing w:after="0" w:line="240" w:lineRule="auto"/>
        <w:rPr>
          <w:b/>
          <w:color w:val="0070C0"/>
          <w:sz w:val="24"/>
        </w:rPr>
      </w:pPr>
    </w:p>
    <w:p w14:paraId="542F40BB" w14:textId="77777777" w:rsidR="00224358" w:rsidRDefault="00224358" w:rsidP="00E003E7">
      <w:pPr>
        <w:spacing w:after="0" w:line="240" w:lineRule="auto"/>
        <w:rPr>
          <w:b/>
          <w:color w:val="0070C0"/>
          <w:sz w:val="24"/>
        </w:rPr>
      </w:pPr>
    </w:p>
    <w:p w14:paraId="4787A8CE" w14:textId="77777777" w:rsidR="00224358" w:rsidRDefault="00224358" w:rsidP="00224358">
      <w:pPr>
        <w:spacing w:after="0" w:line="240" w:lineRule="auto"/>
        <w:jc w:val="center"/>
        <w:rPr>
          <w:b/>
          <w:color w:val="FF0000"/>
          <w:sz w:val="24"/>
        </w:rPr>
      </w:pPr>
    </w:p>
    <w:p w14:paraId="03589B53" w14:textId="77777777" w:rsidR="00114AAB" w:rsidRDefault="00114AAB" w:rsidP="00E003E7">
      <w:pPr>
        <w:spacing w:after="0" w:line="240" w:lineRule="auto"/>
        <w:rPr>
          <w:b/>
          <w:color w:val="0070C0"/>
          <w:sz w:val="24"/>
        </w:rPr>
      </w:pPr>
    </w:p>
    <w:p w14:paraId="794B7C71" w14:textId="77777777" w:rsidR="00114AAB" w:rsidRDefault="00114AAB" w:rsidP="00E003E7">
      <w:pPr>
        <w:spacing w:after="0" w:line="240" w:lineRule="auto"/>
        <w:rPr>
          <w:b/>
          <w:color w:val="0070C0"/>
          <w:sz w:val="24"/>
        </w:rPr>
      </w:pPr>
    </w:p>
    <w:p w14:paraId="2B894E0D" w14:textId="77777777" w:rsidR="00114AAB" w:rsidRDefault="00114AAB" w:rsidP="00E003E7">
      <w:pPr>
        <w:spacing w:after="0" w:line="240" w:lineRule="auto"/>
        <w:rPr>
          <w:b/>
          <w:color w:val="0070C0"/>
          <w:sz w:val="24"/>
        </w:rPr>
      </w:pPr>
    </w:p>
    <w:p w14:paraId="14CB078C" w14:textId="68025F92" w:rsidR="00966843" w:rsidRDefault="00966843" w:rsidP="00E003E7">
      <w:pPr>
        <w:spacing w:after="0" w:line="240" w:lineRule="auto"/>
        <w:rPr>
          <w:b/>
          <w:color w:val="0070C0"/>
          <w:sz w:val="24"/>
        </w:rPr>
      </w:pPr>
    </w:p>
    <w:p w14:paraId="03F35508" w14:textId="77777777" w:rsidR="00114AAB" w:rsidRPr="00114AAB" w:rsidRDefault="00114AAB" w:rsidP="00114AAB">
      <w:pPr>
        <w:spacing w:after="0" w:line="240" w:lineRule="auto"/>
        <w:rPr>
          <w:sz w:val="24"/>
          <w:lang w:val="it-IT"/>
        </w:rPr>
      </w:pPr>
      <w:r w:rsidRPr="00114AAB">
        <w:rPr>
          <w:sz w:val="24"/>
          <w:lang w:val="it-IT"/>
        </w:rPr>
        <w:t>Daniel Fujiwara</w:t>
      </w:r>
    </w:p>
    <w:p w14:paraId="2911C270" w14:textId="77777777" w:rsidR="00114AAB" w:rsidRPr="00114AAB" w:rsidRDefault="00114AAB" w:rsidP="00114AAB">
      <w:pPr>
        <w:spacing w:after="0" w:line="240" w:lineRule="auto"/>
        <w:rPr>
          <w:sz w:val="24"/>
          <w:lang w:val="it-IT"/>
        </w:rPr>
      </w:pPr>
      <w:r w:rsidRPr="00114AAB">
        <w:rPr>
          <w:sz w:val="24"/>
          <w:lang w:val="it-IT"/>
        </w:rPr>
        <w:t>Laura Kudrna</w:t>
      </w:r>
    </w:p>
    <w:p w14:paraId="295D14D0" w14:textId="77777777" w:rsidR="00114AAB" w:rsidRPr="00114AAB" w:rsidRDefault="00114AAB" w:rsidP="00114AAB">
      <w:pPr>
        <w:spacing w:after="0" w:line="240" w:lineRule="auto"/>
        <w:rPr>
          <w:sz w:val="24"/>
        </w:rPr>
      </w:pPr>
      <w:r w:rsidRPr="00114AAB">
        <w:rPr>
          <w:sz w:val="24"/>
        </w:rPr>
        <w:t>Tom Cornwall</w:t>
      </w:r>
    </w:p>
    <w:p w14:paraId="72F42608" w14:textId="77777777" w:rsidR="00114AAB" w:rsidRPr="00114AAB" w:rsidRDefault="00114AAB" w:rsidP="00114AAB">
      <w:pPr>
        <w:spacing w:after="0" w:line="240" w:lineRule="auto"/>
        <w:rPr>
          <w:sz w:val="24"/>
        </w:rPr>
      </w:pPr>
      <w:r w:rsidRPr="00114AAB">
        <w:rPr>
          <w:sz w:val="24"/>
        </w:rPr>
        <w:t>Kate Laffan</w:t>
      </w:r>
    </w:p>
    <w:p w14:paraId="1B640322" w14:textId="77777777" w:rsidR="00114AAB" w:rsidRPr="00114AAB" w:rsidRDefault="00114AAB" w:rsidP="00114AAB">
      <w:pPr>
        <w:spacing w:after="0" w:line="240" w:lineRule="auto"/>
        <w:rPr>
          <w:sz w:val="24"/>
          <w:lang w:val="it-IT"/>
        </w:rPr>
      </w:pPr>
      <w:r w:rsidRPr="00114AAB">
        <w:rPr>
          <w:sz w:val="24"/>
          <w:lang w:val="it-IT"/>
        </w:rPr>
        <w:t>Paul Dolan</w:t>
      </w:r>
    </w:p>
    <w:p w14:paraId="4B39DE18" w14:textId="77777777" w:rsidR="00147894" w:rsidRDefault="00147894" w:rsidP="00E003E7">
      <w:pPr>
        <w:spacing w:after="0" w:line="240" w:lineRule="auto"/>
        <w:rPr>
          <w:b/>
          <w:color w:val="0070C0"/>
          <w:sz w:val="24"/>
        </w:rPr>
      </w:pPr>
    </w:p>
    <w:p w14:paraId="060A1F01" w14:textId="77777777" w:rsidR="00147894" w:rsidRDefault="00147894" w:rsidP="00E003E7">
      <w:pPr>
        <w:spacing w:after="0" w:line="240" w:lineRule="auto"/>
        <w:rPr>
          <w:b/>
          <w:color w:val="0070C0"/>
          <w:sz w:val="24"/>
        </w:rPr>
      </w:pPr>
    </w:p>
    <w:p w14:paraId="4D542C80" w14:textId="61FF7D85" w:rsidR="00147894" w:rsidRDefault="00114AAB" w:rsidP="00E003E7">
      <w:pPr>
        <w:spacing w:after="0" w:line="240" w:lineRule="auto"/>
        <w:rPr>
          <w:b/>
          <w:color w:val="0070C0"/>
          <w:sz w:val="24"/>
        </w:rPr>
      </w:pPr>
      <w:r w:rsidRPr="00114AAB">
        <w:rPr>
          <w:b/>
          <w:noProof/>
          <w:color w:val="0070C0"/>
          <w:sz w:val="24"/>
          <w:lang w:eastAsia="en-GB"/>
        </w:rPr>
        <w:drawing>
          <wp:inline distT="0" distB="0" distL="0" distR="0" wp14:anchorId="217F4444" wp14:editId="2A6A9C3A">
            <wp:extent cx="1555200" cy="212400"/>
            <wp:effectExtent l="0" t="0" r="6985" b="0"/>
            <wp:docPr id="4" name="Picture 4" descr="C:\Users\tonia.davison\Downloads\SI logo text (colour - no boar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ia.davison\Downloads\SI logo text (colour - no boarder)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200" cy="212400"/>
                    </a:xfrm>
                    <a:prstGeom prst="rect">
                      <a:avLst/>
                    </a:prstGeom>
                    <a:noFill/>
                    <a:ln>
                      <a:noFill/>
                    </a:ln>
                  </pic:spPr>
                </pic:pic>
              </a:graphicData>
            </a:graphic>
          </wp:inline>
        </w:drawing>
      </w:r>
    </w:p>
    <w:p w14:paraId="313BFAC0" w14:textId="77777777" w:rsidR="00147894" w:rsidRDefault="00147894" w:rsidP="00E003E7">
      <w:pPr>
        <w:spacing w:after="0" w:line="240" w:lineRule="auto"/>
        <w:rPr>
          <w:b/>
          <w:color w:val="0070C0"/>
          <w:sz w:val="24"/>
        </w:rPr>
      </w:pPr>
    </w:p>
    <w:p w14:paraId="650F5FD4" w14:textId="77777777" w:rsidR="00147894" w:rsidRDefault="00147894" w:rsidP="00E003E7">
      <w:pPr>
        <w:spacing w:after="0" w:line="240" w:lineRule="auto"/>
        <w:rPr>
          <w:b/>
          <w:color w:val="0070C0"/>
          <w:sz w:val="24"/>
        </w:rPr>
      </w:pPr>
    </w:p>
    <w:p w14:paraId="19DC3E2E" w14:textId="77777777" w:rsidR="00147894" w:rsidRDefault="00147894" w:rsidP="00E003E7">
      <w:pPr>
        <w:spacing w:after="0" w:line="240" w:lineRule="auto"/>
        <w:rPr>
          <w:b/>
          <w:color w:val="0070C0"/>
          <w:sz w:val="24"/>
        </w:rPr>
      </w:pPr>
    </w:p>
    <w:p w14:paraId="7F303A34" w14:textId="77777777" w:rsidR="00147894" w:rsidRDefault="00147894" w:rsidP="00E003E7">
      <w:pPr>
        <w:spacing w:after="0" w:line="240" w:lineRule="auto"/>
        <w:rPr>
          <w:b/>
          <w:color w:val="0070C0"/>
          <w:sz w:val="24"/>
        </w:rPr>
      </w:pPr>
    </w:p>
    <w:p w14:paraId="7835CB2F" w14:textId="77777777" w:rsidR="00147894" w:rsidRDefault="00147894" w:rsidP="00E003E7">
      <w:pPr>
        <w:spacing w:after="0" w:line="240" w:lineRule="auto"/>
        <w:rPr>
          <w:b/>
          <w:color w:val="0070C0"/>
          <w:sz w:val="24"/>
        </w:rPr>
      </w:pPr>
    </w:p>
    <w:p w14:paraId="758500EC" w14:textId="77777777" w:rsidR="00624B74" w:rsidRDefault="00624B74" w:rsidP="00E003E7">
      <w:pPr>
        <w:spacing w:after="0" w:line="240" w:lineRule="auto"/>
        <w:rPr>
          <w:b/>
          <w:bCs/>
          <w:sz w:val="32"/>
          <w:szCs w:val="24"/>
        </w:rPr>
      </w:pPr>
      <w:r w:rsidRPr="004120B5">
        <w:rPr>
          <w:b/>
          <w:bCs/>
          <w:sz w:val="32"/>
          <w:szCs w:val="24"/>
        </w:rPr>
        <w:t>Contents</w:t>
      </w:r>
    </w:p>
    <w:sdt>
      <w:sdtPr>
        <w:rPr>
          <w:rFonts w:asciiTheme="minorHAnsi" w:eastAsiaTheme="minorHAnsi" w:hAnsiTheme="minorHAnsi" w:cstheme="minorBidi"/>
          <w:color w:val="auto"/>
          <w:sz w:val="22"/>
          <w:szCs w:val="22"/>
          <w:lang w:val="en-GB"/>
        </w:rPr>
        <w:id w:val="384141631"/>
        <w:docPartObj>
          <w:docPartGallery w:val="Table of Contents"/>
          <w:docPartUnique/>
        </w:docPartObj>
      </w:sdtPr>
      <w:sdtEndPr>
        <w:rPr>
          <w:b/>
          <w:bCs/>
          <w:noProof/>
        </w:rPr>
      </w:sdtEndPr>
      <w:sdtContent>
        <w:p w14:paraId="384C474D" w14:textId="412C0B5F" w:rsidR="0059182A" w:rsidRDefault="0059182A">
          <w:pPr>
            <w:pStyle w:val="TOCHeading"/>
          </w:pPr>
        </w:p>
        <w:p w14:paraId="5537D4FD" w14:textId="77777777" w:rsidR="000E5A6C" w:rsidRDefault="0059182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09167382" w:history="1">
            <w:r w:rsidR="000E5A6C" w:rsidRPr="000B5BF1">
              <w:rPr>
                <w:rStyle w:val="Hyperlink"/>
                <w:noProof/>
              </w:rPr>
              <w:t>Executive Summary</w:t>
            </w:r>
            <w:r w:rsidR="000E5A6C">
              <w:rPr>
                <w:noProof/>
                <w:webHidden/>
              </w:rPr>
              <w:tab/>
            </w:r>
            <w:r w:rsidR="000E5A6C">
              <w:rPr>
                <w:noProof/>
                <w:webHidden/>
              </w:rPr>
              <w:fldChar w:fldCharType="begin"/>
            </w:r>
            <w:r w:rsidR="000E5A6C">
              <w:rPr>
                <w:noProof/>
                <w:webHidden/>
              </w:rPr>
              <w:instrText xml:space="preserve"> PAGEREF _Toc409167382 \h </w:instrText>
            </w:r>
            <w:r w:rsidR="000E5A6C">
              <w:rPr>
                <w:noProof/>
                <w:webHidden/>
              </w:rPr>
            </w:r>
            <w:r w:rsidR="000E5A6C">
              <w:rPr>
                <w:noProof/>
                <w:webHidden/>
              </w:rPr>
              <w:fldChar w:fldCharType="separate"/>
            </w:r>
            <w:r w:rsidR="00F2533C">
              <w:rPr>
                <w:noProof/>
                <w:webHidden/>
              </w:rPr>
              <w:t>5</w:t>
            </w:r>
            <w:r w:rsidR="000E5A6C">
              <w:rPr>
                <w:noProof/>
                <w:webHidden/>
              </w:rPr>
              <w:fldChar w:fldCharType="end"/>
            </w:r>
          </w:hyperlink>
        </w:p>
        <w:p w14:paraId="59F2DCBA" w14:textId="77777777" w:rsidR="000E5A6C" w:rsidRDefault="0008328E">
          <w:pPr>
            <w:pStyle w:val="TOC1"/>
            <w:tabs>
              <w:tab w:val="right" w:leader="dot" w:pos="9016"/>
            </w:tabs>
            <w:rPr>
              <w:rFonts w:eastAsiaTheme="minorEastAsia"/>
              <w:noProof/>
              <w:lang w:eastAsia="en-GB"/>
            </w:rPr>
          </w:pPr>
          <w:hyperlink w:anchor="_Toc409167383" w:history="1">
            <w:r w:rsidR="000E5A6C" w:rsidRPr="000B5BF1">
              <w:rPr>
                <w:rStyle w:val="Hyperlink"/>
                <w:noProof/>
              </w:rPr>
              <w:t>Chapter 1: Introduction</w:t>
            </w:r>
            <w:r w:rsidR="000E5A6C">
              <w:rPr>
                <w:noProof/>
                <w:webHidden/>
              </w:rPr>
              <w:tab/>
            </w:r>
            <w:r w:rsidR="000E5A6C">
              <w:rPr>
                <w:noProof/>
                <w:webHidden/>
              </w:rPr>
              <w:fldChar w:fldCharType="begin"/>
            </w:r>
            <w:r w:rsidR="000E5A6C">
              <w:rPr>
                <w:noProof/>
                <w:webHidden/>
              </w:rPr>
              <w:instrText xml:space="preserve"> PAGEREF _Toc409167383 \h </w:instrText>
            </w:r>
            <w:r w:rsidR="000E5A6C">
              <w:rPr>
                <w:noProof/>
                <w:webHidden/>
              </w:rPr>
            </w:r>
            <w:r w:rsidR="000E5A6C">
              <w:rPr>
                <w:noProof/>
                <w:webHidden/>
              </w:rPr>
              <w:fldChar w:fldCharType="separate"/>
            </w:r>
            <w:r w:rsidR="00F2533C">
              <w:rPr>
                <w:noProof/>
                <w:webHidden/>
              </w:rPr>
              <w:t>8</w:t>
            </w:r>
            <w:r w:rsidR="000E5A6C">
              <w:rPr>
                <w:noProof/>
                <w:webHidden/>
              </w:rPr>
              <w:fldChar w:fldCharType="end"/>
            </w:r>
          </w:hyperlink>
        </w:p>
        <w:p w14:paraId="550ABE36" w14:textId="77777777" w:rsidR="000E5A6C" w:rsidRDefault="0008328E">
          <w:pPr>
            <w:pStyle w:val="TOC1"/>
            <w:tabs>
              <w:tab w:val="right" w:leader="dot" w:pos="9016"/>
            </w:tabs>
            <w:rPr>
              <w:rFonts w:eastAsiaTheme="minorEastAsia"/>
              <w:noProof/>
              <w:lang w:eastAsia="en-GB"/>
            </w:rPr>
          </w:pPr>
          <w:hyperlink w:anchor="_Toc409167384" w:history="1">
            <w:r w:rsidR="000E5A6C" w:rsidRPr="000B5BF1">
              <w:rPr>
                <w:rStyle w:val="Hyperlink"/>
                <w:noProof/>
              </w:rPr>
              <w:t>Chapter 2. Summary of literature review</w:t>
            </w:r>
            <w:r w:rsidR="000E5A6C">
              <w:rPr>
                <w:noProof/>
                <w:webHidden/>
              </w:rPr>
              <w:tab/>
            </w:r>
            <w:r w:rsidR="000E5A6C">
              <w:rPr>
                <w:noProof/>
                <w:webHidden/>
              </w:rPr>
              <w:fldChar w:fldCharType="begin"/>
            </w:r>
            <w:r w:rsidR="000E5A6C">
              <w:rPr>
                <w:noProof/>
                <w:webHidden/>
              </w:rPr>
              <w:instrText xml:space="preserve"> PAGEREF _Toc409167384 \h </w:instrText>
            </w:r>
            <w:r w:rsidR="000E5A6C">
              <w:rPr>
                <w:noProof/>
                <w:webHidden/>
              </w:rPr>
            </w:r>
            <w:r w:rsidR="000E5A6C">
              <w:rPr>
                <w:noProof/>
                <w:webHidden/>
              </w:rPr>
              <w:fldChar w:fldCharType="separate"/>
            </w:r>
            <w:r w:rsidR="00F2533C">
              <w:rPr>
                <w:noProof/>
                <w:webHidden/>
              </w:rPr>
              <w:t>12</w:t>
            </w:r>
            <w:r w:rsidR="000E5A6C">
              <w:rPr>
                <w:noProof/>
                <w:webHidden/>
              </w:rPr>
              <w:fldChar w:fldCharType="end"/>
            </w:r>
          </w:hyperlink>
        </w:p>
        <w:p w14:paraId="182FF403" w14:textId="77777777" w:rsidR="000E5A6C" w:rsidRDefault="0008328E">
          <w:pPr>
            <w:pStyle w:val="TOC1"/>
            <w:tabs>
              <w:tab w:val="right" w:leader="dot" w:pos="9016"/>
            </w:tabs>
            <w:rPr>
              <w:rFonts w:eastAsiaTheme="minorEastAsia"/>
              <w:noProof/>
              <w:lang w:eastAsia="en-GB"/>
            </w:rPr>
          </w:pPr>
          <w:hyperlink w:anchor="_Toc409167385" w:history="1">
            <w:r w:rsidR="000E5A6C" w:rsidRPr="000B5BF1">
              <w:rPr>
                <w:rStyle w:val="Hyperlink"/>
                <w:noProof/>
              </w:rPr>
              <w:t>Chapter 3. Summary of findings</w:t>
            </w:r>
            <w:r w:rsidR="000E5A6C">
              <w:rPr>
                <w:noProof/>
                <w:webHidden/>
              </w:rPr>
              <w:tab/>
            </w:r>
            <w:r w:rsidR="000E5A6C">
              <w:rPr>
                <w:noProof/>
                <w:webHidden/>
              </w:rPr>
              <w:fldChar w:fldCharType="begin"/>
            </w:r>
            <w:r w:rsidR="000E5A6C">
              <w:rPr>
                <w:noProof/>
                <w:webHidden/>
              </w:rPr>
              <w:instrText xml:space="preserve"> PAGEREF _Toc409167385 \h </w:instrText>
            </w:r>
            <w:r w:rsidR="000E5A6C">
              <w:rPr>
                <w:noProof/>
                <w:webHidden/>
              </w:rPr>
            </w:r>
            <w:r w:rsidR="000E5A6C">
              <w:rPr>
                <w:noProof/>
                <w:webHidden/>
              </w:rPr>
              <w:fldChar w:fldCharType="separate"/>
            </w:r>
            <w:r w:rsidR="00F2533C">
              <w:rPr>
                <w:noProof/>
                <w:webHidden/>
              </w:rPr>
              <w:t>14</w:t>
            </w:r>
            <w:r w:rsidR="000E5A6C">
              <w:rPr>
                <w:noProof/>
                <w:webHidden/>
              </w:rPr>
              <w:fldChar w:fldCharType="end"/>
            </w:r>
          </w:hyperlink>
        </w:p>
        <w:p w14:paraId="02B0DB21" w14:textId="77777777" w:rsidR="000E5A6C" w:rsidRDefault="0008328E">
          <w:pPr>
            <w:pStyle w:val="TOC1"/>
            <w:tabs>
              <w:tab w:val="right" w:leader="dot" w:pos="9016"/>
            </w:tabs>
            <w:rPr>
              <w:rFonts w:eastAsiaTheme="minorEastAsia"/>
              <w:noProof/>
              <w:lang w:eastAsia="en-GB"/>
            </w:rPr>
          </w:pPr>
          <w:hyperlink w:anchor="_Toc409167386" w:history="1">
            <w:r w:rsidR="000E5A6C" w:rsidRPr="000B5BF1">
              <w:rPr>
                <w:rStyle w:val="Hyperlink"/>
                <w:noProof/>
              </w:rPr>
              <w:t>Annex A: Literature review and logic model</w:t>
            </w:r>
            <w:r w:rsidR="000E5A6C">
              <w:rPr>
                <w:noProof/>
                <w:webHidden/>
              </w:rPr>
              <w:tab/>
            </w:r>
            <w:r w:rsidR="000E5A6C">
              <w:rPr>
                <w:noProof/>
                <w:webHidden/>
              </w:rPr>
              <w:fldChar w:fldCharType="begin"/>
            </w:r>
            <w:r w:rsidR="000E5A6C">
              <w:rPr>
                <w:noProof/>
                <w:webHidden/>
              </w:rPr>
              <w:instrText xml:space="preserve"> PAGEREF _Toc409167386 \h </w:instrText>
            </w:r>
            <w:r w:rsidR="000E5A6C">
              <w:rPr>
                <w:noProof/>
                <w:webHidden/>
              </w:rPr>
            </w:r>
            <w:r w:rsidR="000E5A6C">
              <w:rPr>
                <w:noProof/>
                <w:webHidden/>
              </w:rPr>
              <w:fldChar w:fldCharType="separate"/>
            </w:r>
            <w:r w:rsidR="00F2533C">
              <w:rPr>
                <w:noProof/>
                <w:webHidden/>
              </w:rPr>
              <w:t>18</w:t>
            </w:r>
            <w:r w:rsidR="000E5A6C">
              <w:rPr>
                <w:noProof/>
                <w:webHidden/>
              </w:rPr>
              <w:fldChar w:fldCharType="end"/>
            </w:r>
          </w:hyperlink>
        </w:p>
        <w:p w14:paraId="55D331C4" w14:textId="77777777" w:rsidR="000E5A6C" w:rsidRDefault="0008328E">
          <w:pPr>
            <w:pStyle w:val="TOC1"/>
            <w:tabs>
              <w:tab w:val="right" w:leader="dot" w:pos="9016"/>
            </w:tabs>
            <w:rPr>
              <w:rFonts w:eastAsiaTheme="minorEastAsia"/>
              <w:noProof/>
              <w:lang w:eastAsia="en-GB"/>
            </w:rPr>
          </w:pPr>
          <w:hyperlink w:anchor="_Toc409167387" w:history="1">
            <w:r w:rsidR="000E5A6C" w:rsidRPr="000B5BF1">
              <w:rPr>
                <w:rStyle w:val="Hyperlink"/>
                <w:noProof/>
              </w:rPr>
              <w:t>Annex B: Methodology</w:t>
            </w:r>
            <w:r w:rsidR="000E5A6C">
              <w:rPr>
                <w:noProof/>
                <w:webHidden/>
              </w:rPr>
              <w:tab/>
            </w:r>
            <w:r w:rsidR="000E5A6C">
              <w:rPr>
                <w:noProof/>
                <w:webHidden/>
              </w:rPr>
              <w:fldChar w:fldCharType="begin"/>
            </w:r>
            <w:r w:rsidR="000E5A6C">
              <w:rPr>
                <w:noProof/>
                <w:webHidden/>
              </w:rPr>
              <w:instrText xml:space="preserve"> PAGEREF _Toc409167387 \h </w:instrText>
            </w:r>
            <w:r w:rsidR="000E5A6C">
              <w:rPr>
                <w:noProof/>
                <w:webHidden/>
              </w:rPr>
            </w:r>
            <w:r w:rsidR="000E5A6C">
              <w:rPr>
                <w:noProof/>
                <w:webHidden/>
              </w:rPr>
              <w:fldChar w:fldCharType="separate"/>
            </w:r>
            <w:r w:rsidR="00F2533C">
              <w:rPr>
                <w:noProof/>
                <w:webHidden/>
              </w:rPr>
              <w:t>25</w:t>
            </w:r>
            <w:r w:rsidR="000E5A6C">
              <w:rPr>
                <w:noProof/>
                <w:webHidden/>
              </w:rPr>
              <w:fldChar w:fldCharType="end"/>
            </w:r>
          </w:hyperlink>
        </w:p>
        <w:p w14:paraId="22290F90" w14:textId="77777777" w:rsidR="000E5A6C" w:rsidRDefault="0008328E">
          <w:pPr>
            <w:pStyle w:val="TOC1"/>
            <w:tabs>
              <w:tab w:val="right" w:leader="dot" w:pos="9016"/>
            </w:tabs>
            <w:rPr>
              <w:rFonts w:eastAsiaTheme="minorEastAsia"/>
              <w:noProof/>
              <w:lang w:eastAsia="en-GB"/>
            </w:rPr>
          </w:pPr>
          <w:hyperlink w:anchor="_Toc409167388" w:history="1">
            <w:r w:rsidR="000E5A6C" w:rsidRPr="000B5BF1">
              <w:rPr>
                <w:rStyle w:val="Hyperlink"/>
                <w:noProof/>
              </w:rPr>
              <w:t>Annex C: Results</w:t>
            </w:r>
            <w:r w:rsidR="000E5A6C">
              <w:rPr>
                <w:noProof/>
                <w:webHidden/>
              </w:rPr>
              <w:tab/>
            </w:r>
            <w:r w:rsidR="000E5A6C">
              <w:rPr>
                <w:noProof/>
                <w:webHidden/>
              </w:rPr>
              <w:fldChar w:fldCharType="begin"/>
            </w:r>
            <w:r w:rsidR="000E5A6C">
              <w:rPr>
                <w:noProof/>
                <w:webHidden/>
              </w:rPr>
              <w:instrText xml:space="preserve"> PAGEREF _Toc409167388 \h </w:instrText>
            </w:r>
            <w:r w:rsidR="000E5A6C">
              <w:rPr>
                <w:noProof/>
                <w:webHidden/>
              </w:rPr>
            </w:r>
            <w:r w:rsidR="000E5A6C">
              <w:rPr>
                <w:noProof/>
                <w:webHidden/>
              </w:rPr>
              <w:fldChar w:fldCharType="separate"/>
            </w:r>
            <w:r w:rsidR="00F2533C">
              <w:rPr>
                <w:noProof/>
                <w:webHidden/>
              </w:rPr>
              <w:t>33</w:t>
            </w:r>
            <w:r w:rsidR="000E5A6C">
              <w:rPr>
                <w:noProof/>
                <w:webHidden/>
              </w:rPr>
              <w:fldChar w:fldCharType="end"/>
            </w:r>
          </w:hyperlink>
        </w:p>
        <w:p w14:paraId="1C46CC40" w14:textId="77777777" w:rsidR="000E5A6C" w:rsidRDefault="0008328E">
          <w:pPr>
            <w:pStyle w:val="TOC1"/>
            <w:tabs>
              <w:tab w:val="right" w:leader="dot" w:pos="9016"/>
            </w:tabs>
            <w:rPr>
              <w:rFonts w:eastAsiaTheme="minorEastAsia"/>
              <w:noProof/>
              <w:lang w:eastAsia="en-GB"/>
            </w:rPr>
          </w:pPr>
          <w:hyperlink w:anchor="_Toc409167389" w:history="1">
            <w:r w:rsidR="000E5A6C" w:rsidRPr="000B5BF1">
              <w:rPr>
                <w:rStyle w:val="Hyperlink"/>
                <w:noProof/>
              </w:rPr>
              <w:t>Annex D: Further research</w:t>
            </w:r>
            <w:r w:rsidR="000E5A6C">
              <w:rPr>
                <w:noProof/>
                <w:webHidden/>
              </w:rPr>
              <w:tab/>
            </w:r>
            <w:r w:rsidR="000E5A6C">
              <w:rPr>
                <w:noProof/>
                <w:webHidden/>
              </w:rPr>
              <w:fldChar w:fldCharType="begin"/>
            </w:r>
            <w:r w:rsidR="000E5A6C">
              <w:rPr>
                <w:noProof/>
                <w:webHidden/>
              </w:rPr>
              <w:instrText xml:space="preserve"> PAGEREF _Toc409167389 \h </w:instrText>
            </w:r>
            <w:r w:rsidR="000E5A6C">
              <w:rPr>
                <w:noProof/>
                <w:webHidden/>
              </w:rPr>
            </w:r>
            <w:r w:rsidR="000E5A6C">
              <w:rPr>
                <w:noProof/>
                <w:webHidden/>
              </w:rPr>
              <w:fldChar w:fldCharType="separate"/>
            </w:r>
            <w:r w:rsidR="00F2533C">
              <w:rPr>
                <w:noProof/>
                <w:webHidden/>
              </w:rPr>
              <w:t>45</w:t>
            </w:r>
            <w:r w:rsidR="000E5A6C">
              <w:rPr>
                <w:noProof/>
                <w:webHidden/>
              </w:rPr>
              <w:fldChar w:fldCharType="end"/>
            </w:r>
          </w:hyperlink>
        </w:p>
        <w:p w14:paraId="63166AEB" w14:textId="77777777" w:rsidR="000E5A6C" w:rsidRDefault="0008328E">
          <w:pPr>
            <w:pStyle w:val="TOC1"/>
            <w:tabs>
              <w:tab w:val="right" w:leader="dot" w:pos="9016"/>
            </w:tabs>
            <w:rPr>
              <w:rFonts w:eastAsiaTheme="minorEastAsia"/>
              <w:noProof/>
              <w:lang w:eastAsia="en-GB"/>
            </w:rPr>
          </w:pPr>
          <w:hyperlink w:anchor="_Toc409167390" w:history="1">
            <w:r w:rsidR="000E5A6C" w:rsidRPr="000B5BF1">
              <w:rPr>
                <w:rStyle w:val="Hyperlink"/>
                <w:noProof/>
              </w:rPr>
              <w:t>Annex E: References</w:t>
            </w:r>
            <w:r w:rsidR="000E5A6C">
              <w:rPr>
                <w:noProof/>
                <w:webHidden/>
              </w:rPr>
              <w:tab/>
            </w:r>
            <w:r w:rsidR="000E5A6C">
              <w:rPr>
                <w:noProof/>
                <w:webHidden/>
              </w:rPr>
              <w:fldChar w:fldCharType="begin"/>
            </w:r>
            <w:r w:rsidR="000E5A6C">
              <w:rPr>
                <w:noProof/>
                <w:webHidden/>
              </w:rPr>
              <w:instrText xml:space="preserve"> PAGEREF _Toc409167390 \h </w:instrText>
            </w:r>
            <w:r w:rsidR="000E5A6C">
              <w:rPr>
                <w:noProof/>
                <w:webHidden/>
              </w:rPr>
            </w:r>
            <w:r w:rsidR="000E5A6C">
              <w:rPr>
                <w:noProof/>
                <w:webHidden/>
              </w:rPr>
              <w:fldChar w:fldCharType="separate"/>
            </w:r>
            <w:r w:rsidR="00F2533C">
              <w:rPr>
                <w:noProof/>
                <w:webHidden/>
              </w:rPr>
              <w:t>46</w:t>
            </w:r>
            <w:r w:rsidR="000E5A6C">
              <w:rPr>
                <w:noProof/>
                <w:webHidden/>
              </w:rPr>
              <w:fldChar w:fldCharType="end"/>
            </w:r>
          </w:hyperlink>
        </w:p>
        <w:p w14:paraId="615835DA" w14:textId="5757DD96" w:rsidR="0059182A" w:rsidRDefault="0059182A">
          <w:r>
            <w:rPr>
              <w:b/>
              <w:bCs/>
              <w:noProof/>
            </w:rPr>
            <w:fldChar w:fldCharType="end"/>
          </w:r>
        </w:p>
      </w:sdtContent>
    </w:sdt>
    <w:p w14:paraId="276224DD" w14:textId="77777777" w:rsidR="001E7442" w:rsidRPr="004120B5" w:rsidRDefault="001E7442" w:rsidP="00E003E7">
      <w:pPr>
        <w:spacing w:after="0" w:line="240" w:lineRule="auto"/>
        <w:rPr>
          <w:b/>
          <w:bCs/>
          <w:sz w:val="32"/>
          <w:szCs w:val="24"/>
        </w:rPr>
      </w:pPr>
    </w:p>
    <w:p w14:paraId="7FC0DD86" w14:textId="77777777" w:rsidR="00624B74" w:rsidRDefault="00624B74" w:rsidP="00E003E7">
      <w:pPr>
        <w:spacing w:after="0" w:line="240" w:lineRule="auto"/>
        <w:rPr>
          <w:b/>
          <w:bCs/>
          <w:sz w:val="24"/>
          <w:szCs w:val="24"/>
        </w:rPr>
      </w:pPr>
    </w:p>
    <w:p w14:paraId="66DD253E" w14:textId="77777777" w:rsidR="001E7442" w:rsidRDefault="001E7442" w:rsidP="00E003E7">
      <w:pPr>
        <w:spacing w:after="0" w:line="240" w:lineRule="auto"/>
        <w:rPr>
          <w:b/>
          <w:bCs/>
          <w:sz w:val="24"/>
          <w:szCs w:val="24"/>
        </w:rPr>
      </w:pPr>
    </w:p>
    <w:p w14:paraId="24FF65D4" w14:textId="77777777" w:rsidR="00624B74" w:rsidRPr="00624B74" w:rsidRDefault="00624B74" w:rsidP="00E003E7">
      <w:pPr>
        <w:spacing w:after="0" w:line="240" w:lineRule="auto"/>
        <w:rPr>
          <w:b/>
          <w:bCs/>
          <w:sz w:val="24"/>
          <w:szCs w:val="24"/>
        </w:rPr>
      </w:pPr>
    </w:p>
    <w:p w14:paraId="74F22B23" w14:textId="77777777" w:rsidR="003B07BB" w:rsidRDefault="003B07BB" w:rsidP="00E003E7">
      <w:pPr>
        <w:spacing w:after="0" w:line="240" w:lineRule="auto"/>
        <w:rPr>
          <w:b/>
          <w:bCs/>
          <w:sz w:val="24"/>
          <w:szCs w:val="24"/>
        </w:rPr>
      </w:pPr>
    </w:p>
    <w:p w14:paraId="096DD59B" w14:textId="77777777" w:rsidR="003B07BB" w:rsidRDefault="003B07BB" w:rsidP="00E003E7">
      <w:pPr>
        <w:spacing w:after="0" w:line="240" w:lineRule="auto"/>
        <w:rPr>
          <w:b/>
          <w:bCs/>
          <w:sz w:val="24"/>
          <w:szCs w:val="24"/>
        </w:rPr>
      </w:pPr>
    </w:p>
    <w:p w14:paraId="55A84066" w14:textId="77777777" w:rsidR="003B07BB" w:rsidRDefault="003B07BB" w:rsidP="00E003E7">
      <w:pPr>
        <w:spacing w:after="0" w:line="240" w:lineRule="auto"/>
        <w:rPr>
          <w:b/>
          <w:bCs/>
          <w:sz w:val="24"/>
          <w:szCs w:val="24"/>
        </w:rPr>
      </w:pPr>
    </w:p>
    <w:p w14:paraId="32BB5F86" w14:textId="77777777" w:rsidR="003B07BB" w:rsidRDefault="003B07BB" w:rsidP="00E003E7">
      <w:pPr>
        <w:spacing w:after="0" w:line="240" w:lineRule="auto"/>
        <w:rPr>
          <w:b/>
          <w:bCs/>
          <w:sz w:val="24"/>
          <w:szCs w:val="24"/>
        </w:rPr>
      </w:pPr>
    </w:p>
    <w:p w14:paraId="594C62AF" w14:textId="77777777" w:rsidR="003B07BB" w:rsidRDefault="003B07BB" w:rsidP="00E003E7">
      <w:pPr>
        <w:spacing w:after="0" w:line="240" w:lineRule="auto"/>
        <w:rPr>
          <w:b/>
          <w:bCs/>
          <w:sz w:val="24"/>
          <w:szCs w:val="24"/>
        </w:rPr>
      </w:pPr>
    </w:p>
    <w:p w14:paraId="6272A698" w14:textId="77777777" w:rsidR="003B07BB" w:rsidRDefault="003B07BB" w:rsidP="00E003E7">
      <w:pPr>
        <w:spacing w:after="0" w:line="240" w:lineRule="auto"/>
        <w:rPr>
          <w:b/>
          <w:bCs/>
          <w:sz w:val="24"/>
          <w:szCs w:val="24"/>
        </w:rPr>
      </w:pPr>
    </w:p>
    <w:p w14:paraId="636DF8F2" w14:textId="77777777" w:rsidR="003B07BB" w:rsidRDefault="003B07BB" w:rsidP="00E003E7">
      <w:pPr>
        <w:spacing w:after="0" w:line="240" w:lineRule="auto"/>
        <w:rPr>
          <w:b/>
          <w:bCs/>
          <w:sz w:val="24"/>
          <w:szCs w:val="24"/>
        </w:rPr>
      </w:pPr>
    </w:p>
    <w:p w14:paraId="0CF4530E" w14:textId="77777777" w:rsidR="003B07BB" w:rsidRDefault="003B07BB" w:rsidP="00E003E7">
      <w:pPr>
        <w:spacing w:after="0" w:line="240" w:lineRule="auto"/>
        <w:rPr>
          <w:b/>
          <w:bCs/>
          <w:sz w:val="24"/>
          <w:szCs w:val="24"/>
        </w:rPr>
      </w:pPr>
    </w:p>
    <w:p w14:paraId="1422EC39" w14:textId="77777777" w:rsidR="003B07BB" w:rsidRDefault="003B07BB" w:rsidP="00E003E7">
      <w:pPr>
        <w:spacing w:after="0" w:line="240" w:lineRule="auto"/>
        <w:rPr>
          <w:b/>
          <w:bCs/>
          <w:sz w:val="24"/>
          <w:szCs w:val="24"/>
        </w:rPr>
      </w:pPr>
    </w:p>
    <w:p w14:paraId="1ACCF9A9" w14:textId="77777777" w:rsidR="003B07BB" w:rsidRDefault="003B07BB" w:rsidP="00E003E7">
      <w:pPr>
        <w:spacing w:after="0" w:line="240" w:lineRule="auto"/>
        <w:rPr>
          <w:b/>
          <w:bCs/>
          <w:sz w:val="24"/>
          <w:szCs w:val="24"/>
        </w:rPr>
      </w:pPr>
    </w:p>
    <w:p w14:paraId="11404A5F" w14:textId="77777777" w:rsidR="00114AAB" w:rsidRDefault="00114AAB" w:rsidP="00E003E7">
      <w:pPr>
        <w:spacing w:after="0" w:line="240" w:lineRule="auto"/>
        <w:rPr>
          <w:b/>
          <w:bCs/>
          <w:sz w:val="24"/>
          <w:szCs w:val="24"/>
        </w:rPr>
      </w:pPr>
    </w:p>
    <w:p w14:paraId="6A71DD00" w14:textId="77777777" w:rsidR="00114AAB" w:rsidRDefault="00114AAB" w:rsidP="00E003E7">
      <w:pPr>
        <w:spacing w:after="0" w:line="240" w:lineRule="auto"/>
        <w:rPr>
          <w:b/>
          <w:bCs/>
          <w:sz w:val="24"/>
          <w:szCs w:val="24"/>
        </w:rPr>
      </w:pPr>
    </w:p>
    <w:p w14:paraId="2D383593" w14:textId="77777777" w:rsidR="00114AAB" w:rsidRDefault="00114AAB" w:rsidP="00E003E7">
      <w:pPr>
        <w:spacing w:after="0" w:line="240" w:lineRule="auto"/>
        <w:rPr>
          <w:b/>
          <w:bCs/>
          <w:sz w:val="24"/>
          <w:szCs w:val="24"/>
        </w:rPr>
      </w:pPr>
    </w:p>
    <w:p w14:paraId="606C0372" w14:textId="77777777" w:rsidR="00114AAB" w:rsidRDefault="00114AAB" w:rsidP="00E003E7">
      <w:pPr>
        <w:spacing w:after="0" w:line="240" w:lineRule="auto"/>
        <w:rPr>
          <w:b/>
          <w:bCs/>
          <w:sz w:val="24"/>
          <w:szCs w:val="24"/>
        </w:rPr>
      </w:pPr>
    </w:p>
    <w:p w14:paraId="2ACD0B5A" w14:textId="77777777" w:rsidR="00114AAB" w:rsidRDefault="00114AAB" w:rsidP="00E003E7">
      <w:pPr>
        <w:spacing w:after="0" w:line="240" w:lineRule="auto"/>
        <w:rPr>
          <w:b/>
          <w:bCs/>
          <w:sz w:val="24"/>
          <w:szCs w:val="24"/>
        </w:rPr>
      </w:pPr>
    </w:p>
    <w:p w14:paraId="1739347E" w14:textId="77777777" w:rsidR="00114AAB" w:rsidRDefault="00114AAB" w:rsidP="00E003E7">
      <w:pPr>
        <w:spacing w:after="0" w:line="240" w:lineRule="auto"/>
        <w:rPr>
          <w:b/>
          <w:bCs/>
          <w:sz w:val="24"/>
          <w:szCs w:val="24"/>
        </w:rPr>
      </w:pPr>
    </w:p>
    <w:p w14:paraId="089F937A" w14:textId="77777777" w:rsidR="00114AAB" w:rsidRDefault="00114AAB" w:rsidP="00E003E7">
      <w:pPr>
        <w:spacing w:after="0" w:line="240" w:lineRule="auto"/>
        <w:rPr>
          <w:b/>
          <w:bCs/>
          <w:sz w:val="24"/>
          <w:szCs w:val="24"/>
        </w:rPr>
      </w:pPr>
    </w:p>
    <w:p w14:paraId="6CE970A8" w14:textId="77777777" w:rsidR="00114AAB" w:rsidRDefault="00114AAB" w:rsidP="00E003E7">
      <w:pPr>
        <w:spacing w:after="0" w:line="240" w:lineRule="auto"/>
        <w:rPr>
          <w:b/>
          <w:bCs/>
          <w:sz w:val="24"/>
          <w:szCs w:val="24"/>
        </w:rPr>
      </w:pPr>
    </w:p>
    <w:p w14:paraId="5293C5DB" w14:textId="77777777" w:rsidR="00114AAB" w:rsidRDefault="00114AAB" w:rsidP="00E003E7">
      <w:pPr>
        <w:spacing w:after="0" w:line="240" w:lineRule="auto"/>
        <w:rPr>
          <w:b/>
          <w:bCs/>
          <w:sz w:val="24"/>
          <w:szCs w:val="24"/>
        </w:rPr>
      </w:pPr>
    </w:p>
    <w:p w14:paraId="44928FA7" w14:textId="77777777" w:rsidR="003B07BB" w:rsidRDefault="003B07BB" w:rsidP="00E003E7">
      <w:pPr>
        <w:spacing w:after="0" w:line="240" w:lineRule="auto"/>
        <w:rPr>
          <w:b/>
          <w:bCs/>
          <w:sz w:val="24"/>
          <w:szCs w:val="24"/>
        </w:rPr>
      </w:pPr>
    </w:p>
    <w:p w14:paraId="459DC98B" w14:textId="77777777" w:rsidR="003B07BB" w:rsidRDefault="003B07BB" w:rsidP="00E003E7">
      <w:pPr>
        <w:spacing w:after="0" w:line="240" w:lineRule="auto"/>
        <w:rPr>
          <w:b/>
          <w:bCs/>
          <w:sz w:val="24"/>
          <w:szCs w:val="24"/>
        </w:rPr>
      </w:pPr>
    </w:p>
    <w:p w14:paraId="35769B0A" w14:textId="77777777" w:rsidR="00624B74" w:rsidRDefault="00624B74" w:rsidP="00E003E7">
      <w:pPr>
        <w:spacing w:after="0" w:line="240" w:lineRule="auto"/>
        <w:rPr>
          <w:b/>
          <w:bCs/>
          <w:sz w:val="24"/>
          <w:szCs w:val="24"/>
        </w:rPr>
      </w:pPr>
      <w:r w:rsidRPr="00624B74">
        <w:rPr>
          <w:b/>
          <w:bCs/>
          <w:sz w:val="24"/>
          <w:szCs w:val="24"/>
        </w:rPr>
        <w:lastRenderedPageBreak/>
        <w:t>About the authors</w:t>
      </w:r>
    </w:p>
    <w:p w14:paraId="22269BA9" w14:textId="77777777" w:rsidR="00624B74" w:rsidRDefault="00624B74" w:rsidP="00E003E7">
      <w:pPr>
        <w:spacing w:after="0" w:line="240" w:lineRule="auto"/>
        <w:rPr>
          <w:b/>
          <w:bCs/>
          <w:sz w:val="24"/>
          <w:szCs w:val="24"/>
        </w:rPr>
      </w:pPr>
    </w:p>
    <w:p w14:paraId="3E2E71BE" w14:textId="77777777" w:rsidR="00682A56" w:rsidRPr="00682A56" w:rsidRDefault="00682A56" w:rsidP="00682A56">
      <w:pPr>
        <w:autoSpaceDE w:val="0"/>
        <w:autoSpaceDN w:val="0"/>
        <w:adjustRightInd w:val="0"/>
        <w:spacing w:after="0" w:line="240" w:lineRule="auto"/>
        <w:rPr>
          <w:rFonts w:cs="Arial"/>
          <w:color w:val="000000"/>
          <w:sz w:val="24"/>
          <w:szCs w:val="24"/>
        </w:rPr>
      </w:pPr>
      <w:r w:rsidRPr="00682A56">
        <w:rPr>
          <w:rFonts w:cs="Arial"/>
          <w:b/>
          <w:bCs/>
          <w:color w:val="000000"/>
          <w:sz w:val="24"/>
          <w:szCs w:val="24"/>
        </w:rPr>
        <w:t xml:space="preserve">Daniel Fujiwara </w:t>
      </w:r>
      <w:r w:rsidRPr="00682A56">
        <w:rPr>
          <w:rFonts w:cs="Arial"/>
          <w:color w:val="000000"/>
          <w:sz w:val="24"/>
          <w:szCs w:val="24"/>
        </w:rPr>
        <w:t xml:space="preserve">is Director of SImetrica and a member of the Centre for Economic Performance at the London School of Economics and Political Science. His research focuses on policy evaluation methods and techniques for valuing non-market goods. </w:t>
      </w:r>
    </w:p>
    <w:p w14:paraId="16CE6D94" w14:textId="77777777" w:rsidR="00682A56" w:rsidRPr="00682A56" w:rsidRDefault="00682A56" w:rsidP="00682A56">
      <w:pPr>
        <w:autoSpaceDE w:val="0"/>
        <w:autoSpaceDN w:val="0"/>
        <w:adjustRightInd w:val="0"/>
        <w:spacing w:after="0" w:line="240" w:lineRule="auto"/>
        <w:rPr>
          <w:rFonts w:cs="Arial"/>
          <w:color w:val="000000"/>
          <w:sz w:val="24"/>
          <w:szCs w:val="24"/>
        </w:rPr>
      </w:pPr>
    </w:p>
    <w:p w14:paraId="084E7B4B" w14:textId="77777777" w:rsidR="00682A56" w:rsidRDefault="00682A56" w:rsidP="00682A56">
      <w:pPr>
        <w:spacing w:after="0" w:line="240" w:lineRule="auto"/>
        <w:rPr>
          <w:rFonts w:cs="Arial"/>
          <w:color w:val="000000"/>
          <w:sz w:val="24"/>
          <w:szCs w:val="24"/>
        </w:rPr>
      </w:pPr>
      <w:r w:rsidRPr="00682A56">
        <w:rPr>
          <w:rFonts w:cs="Arial"/>
          <w:color w:val="000000"/>
          <w:sz w:val="24"/>
          <w:szCs w:val="24"/>
        </w:rPr>
        <w:t>He has recently published guidelines on non-market valuation and subjective wellbeing for the UK Government, including an update to the HM Treasury Green Book manual. Daniel previously led on cost-benefit analysis at the Department for Work and Pensions and was senior economist at the Cabinet Office, where he won the 2012 John Hoy Prize in Economics for his work on evaluation methodology. He is currently scientific advisor to the SROI Network and works with a number of OECD governments and public sector organisations on policy evaluation.</w:t>
      </w:r>
    </w:p>
    <w:p w14:paraId="45DCAC62" w14:textId="77777777" w:rsidR="00682A56" w:rsidRDefault="00682A56" w:rsidP="00682A56">
      <w:pPr>
        <w:spacing w:after="0" w:line="240" w:lineRule="auto"/>
        <w:rPr>
          <w:rFonts w:cs="Arial"/>
          <w:color w:val="000000"/>
          <w:sz w:val="24"/>
          <w:szCs w:val="24"/>
        </w:rPr>
      </w:pPr>
    </w:p>
    <w:p w14:paraId="3DCE1806" w14:textId="77777777" w:rsidR="00B65A15" w:rsidRPr="00BA1BB8" w:rsidRDefault="00682A56" w:rsidP="00B65A15">
      <w:pPr>
        <w:pStyle w:val="PlainText"/>
        <w:rPr>
          <w:sz w:val="24"/>
          <w:szCs w:val="24"/>
        </w:rPr>
      </w:pPr>
      <w:r w:rsidRPr="00BA1BB8">
        <w:rPr>
          <w:rFonts w:asciiTheme="minorHAnsi" w:hAnsiTheme="minorHAnsi" w:cstheme="majorHAnsi"/>
          <w:b/>
          <w:sz w:val="24"/>
          <w:szCs w:val="24"/>
        </w:rPr>
        <w:t>Laura Kudrna</w:t>
      </w:r>
      <w:r w:rsidRPr="00BA1BB8">
        <w:rPr>
          <w:rFonts w:asciiTheme="minorHAnsi" w:hAnsiTheme="minorHAnsi" w:cstheme="majorHAnsi"/>
          <w:sz w:val="24"/>
          <w:szCs w:val="24"/>
        </w:rPr>
        <w:t xml:space="preserve"> </w:t>
      </w:r>
      <w:r w:rsidR="00B65A15" w:rsidRPr="00BA1BB8">
        <w:rPr>
          <w:rFonts w:asciiTheme="minorHAnsi" w:hAnsiTheme="minorHAnsi" w:cstheme="majorHAnsi"/>
          <w:sz w:val="24"/>
          <w:szCs w:val="24"/>
        </w:rPr>
        <w:t xml:space="preserve">is </w:t>
      </w:r>
      <w:r w:rsidR="00B65A15" w:rsidRPr="00BA1BB8">
        <w:rPr>
          <w:sz w:val="24"/>
          <w:szCs w:val="24"/>
        </w:rPr>
        <w:t xml:space="preserve">a PhD </w:t>
      </w:r>
      <w:r w:rsidR="00A33F5D">
        <w:rPr>
          <w:sz w:val="24"/>
          <w:szCs w:val="24"/>
        </w:rPr>
        <w:t>student</w:t>
      </w:r>
      <w:r w:rsidR="00B65A15" w:rsidRPr="00BA1BB8">
        <w:rPr>
          <w:sz w:val="24"/>
          <w:szCs w:val="24"/>
        </w:rPr>
        <w:t xml:space="preserve"> in Social Policy at the London School of Economics and Political Science (LSE). Her PhD investigates the effects of socio-economic status on wellbeing in the English Longitudinal Study of Ageing and the American Time Use Surveys. She is also a researcher at Simetrica, LSE's Behavioural Research Lab and LSE's Social Policy Department, where she contributes to work on the best way to measure and value subjective wellbeing. She holds a BSc in Psychology, MSc in Social Research Methodology. She has over five years of experience in the healthcare, technology, and financial service market research sectors, as well as experience in the voluntary sector.</w:t>
      </w:r>
    </w:p>
    <w:p w14:paraId="267C71A7" w14:textId="77777777" w:rsidR="00682A56" w:rsidRPr="00682A56" w:rsidRDefault="00682A56" w:rsidP="00B65A15">
      <w:pPr>
        <w:pStyle w:val="PlainText"/>
        <w:rPr>
          <w:b/>
          <w:sz w:val="24"/>
          <w:szCs w:val="24"/>
        </w:rPr>
      </w:pPr>
    </w:p>
    <w:p w14:paraId="0F20D47C" w14:textId="77777777" w:rsidR="00682A56" w:rsidRPr="00E17B65" w:rsidRDefault="00682A56" w:rsidP="00E17B65">
      <w:pPr>
        <w:pStyle w:val="NormalWeb"/>
        <w:spacing w:before="0"/>
        <w:ind w:left="0"/>
        <w:rPr>
          <w:rFonts w:asciiTheme="minorHAnsi" w:hAnsiTheme="minorHAnsi" w:cs="Tahoma"/>
        </w:rPr>
      </w:pPr>
      <w:r w:rsidRPr="00E17B65">
        <w:rPr>
          <w:rFonts w:asciiTheme="minorHAnsi" w:hAnsiTheme="minorHAnsi"/>
          <w:b/>
        </w:rPr>
        <w:t xml:space="preserve">Thomas Cornwall </w:t>
      </w:r>
      <w:r w:rsidRPr="00E17B65">
        <w:rPr>
          <w:rFonts w:asciiTheme="minorHAnsi" w:hAnsiTheme="minorHAnsi" w:cs="Tahoma"/>
        </w:rPr>
        <w:t>is a Consultant at SImetrica. He specialises in causal inference, evaluation and behavioural change interventions. Prior to this he worked for the Government Economic Service as an Economist in a range of roles advising Government Departments and the British Armed Forces.  </w:t>
      </w:r>
    </w:p>
    <w:p w14:paraId="79845117" w14:textId="77777777" w:rsidR="00682A56" w:rsidRDefault="00682A56" w:rsidP="00682A56">
      <w:pPr>
        <w:pStyle w:val="NormalWeb"/>
        <w:spacing w:before="0"/>
        <w:ind w:left="0"/>
        <w:jc w:val="both"/>
        <w:rPr>
          <w:rFonts w:asciiTheme="minorHAnsi" w:hAnsiTheme="minorHAnsi" w:cs="Tahoma"/>
          <w:color w:val="2D2D2F"/>
        </w:rPr>
      </w:pPr>
    </w:p>
    <w:p w14:paraId="6427DA76" w14:textId="77777777" w:rsidR="00682A56" w:rsidRPr="00A33F5D" w:rsidRDefault="00682A56" w:rsidP="00682A56">
      <w:pPr>
        <w:spacing w:after="0" w:line="240" w:lineRule="auto"/>
        <w:rPr>
          <w:b/>
          <w:sz w:val="24"/>
          <w:szCs w:val="24"/>
        </w:rPr>
      </w:pPr>
      <w:r w:rsidRPr="00A33F5D">
        <w:rPr>
          <w:b/>
          <w:sz w:val="24"/>
          <w:szCs w:val="24"/>
        </w:rPr>
        <w:t xml:space="preserve">Kate Laffan </w:t>
      </w:r>
      <w:r w:rsidR="00A33F5D" w:rsidRPr="00A33F5D">
        <w:rPr>
          <w:rFonts w:eastAsia="Times New Roman" w:cs="Times New Roman"/>
          <w:sz w:val="24"/>
          <w:szCs w:val="24"/>
        </w:rPr>
        <w:t xml:space="preserve">is a PhD student jointly based at the Grantham Research Institute on Climate Change and the Environment and in the Social Policy Department at the </w:t>
      </w:r>
      <w:r w:rsidR="007E3C3E">
        <w:rPr>
          <w:rFonts w:eastAsia="Times New Roman" w:cs="Times New Roman"/>
          <w:sz w:val="24"/>
          <w:szCs w:val="24"/>
        </w:rPr>
        <w:t>LSE.</w:t>
      </w:r>
      <w:r w:rsidR="00A33F5D" w:rsidRPr="00A33F5D">
        <w:rPr>
          <w:rFonts w:eastAsia="Times New Roman" w:cs="Times New Roman"/>
          <w:sz w:val="24"/>
          <w:szCs w:val="24"/>
        </w:rPr>
        <w:t xml:space="preserve"> Her thesis focuses on applying behavioural science and subjective well-being economics to climate change mitigation strategies. She also works as a research assistant for Simetrica and in the Social Policy Department (LSE).  Prior to beginning her PhD Kate completed a MSc in Social Policy at the LSE and BComm International at University College Dublin, specialising in Economics.</w:t>
      </w:r>
    </w:p>
    <w:p w14:paraId="67F4CB7D" w14:textId="77777777" w:rsidR="00682A56" w:rsidRPr="00682A56" w:rsidRDefault="00682A56" w:rsidP="00A33F5D">
      <w:pPr>
        <w:pStyle w:val="NormalWeb"/>
        <w:spacing w:before="0"/>
        <w:ind w:left="0"/>
        <w:jc w:val="both"/>
        <w:rPr>
          <w:rFonts w:asciiTheme="minorHAnsi" w:hAnsiTheme="minorHAnsi" w:cs="Tahoma"/>
          <w:color w:val="2D2D2F"/>
        </w:rPr>
      </w:pPr>
    </w:p>
    <w:p w14:paraId="352F6675" w14:textId="77777777" w:rsidR="00682A56" w:rsidRPr="00682A56" w:rsidRDefault="00682A56" w:rsidP="00682A56">
      <w:pPr>
        <w:spacing w:after="0" w:line="240" w:lineRule="auto"/>
        <w:rPr>
          <w:sz w:val="24"/>
          <w:szCs w:val="24"/>
        </w:rPr>
      </w:pPr>
      <w:r w:rsidRPr="00682A56">
        <w:rPr>
          <w:b/>
          <w:sz w:val="24"/>
          <w:szCs w:val="24"/>
        </w:rPr>
        <w:t>Paul Dolan</w:t>
      </w:r>
      <w:r w:rsidRPr="00682A56">
        <w:rPr>
          <w:sz w:val="24"/>
          <w:szCs w:val="24"/>
        </w:rPr>
        <w:t xml:space="preserve"> is Professor of Behavioural Science at the LSE</w:t>
      </w:r>
      <w:r w:rsidR="001548C7">
        <w:rPr>
          <w:sz w:val="24"/>
          <w:szCs w:val="24"/>
        </w:rPr>
        <w:t xml:space="preserve"> and an Associate at SImetrica</w:t>
      </w:r>
      <w:r w:rsidRPr="00682A56">
        <w:rPr>
          <w:sz w:val="24"/>
          <w:szCs w:val="24"/>
        </w:rPr>
        <w:t xml:space="preserve">. He has 100 peer-reviewed journal publications and has won many research grants from various funding bodies. One of his main research activities is developing measures of wellbeing and happiness that can be used in policy. </w:t>
      </w:r>
    </w:p>
    <w:p w14:paraId="767A6D7E" w14:textId="77777777" w:rsidR="00682A56" w:rsidRPr="00682A56" w:rsidRDefault="00682A56" w:rsidP="00682A56">
      <w:pPr>
        <w:spacing w:after="0" w:line="240" w:lineRule="auto"/>
        <w:rPr>
          <w:sz w:val="24"/>
          <w:szCs w:val="24"/>
        </w:rPr>
      </w:pPr>
    </w:p>
    <w:p w14:paraId="51C7768E" w14:textId="77777777" w:rsidR="00682A56" w:rsidRPr="00682A56" w:rsidRDefault="00682A56" w:rsidP="00682A56">
      <w:pPr>
        <w:spacing w:after="0" w:line="240" w:lineRule="auto"/>
        <w:rPr>
          <w:sz w:val="24"/>
          <w:szCs w:val="24"/>
        </w:rPr>
      </w:pPr>
      <w:r w:rsidRPr="00682A56">
        <w:rPr>
          <w:sz w:val="24"/>
          <w:szCs w:val="24"/>
        </w:rPr>
        <w:t>Amongst current professional roles, he is a member of the Office for National Statistics advisory forum on wellbeing  (he recommended the questions for large scale surveys), on a National Academy of Sciences Panel on wellbeing in the US, and Chief Academic Advisor on Economic Appraisal to the Government Economic Service.</w:t>
      </w:r>
    </w:p>
    <w:p w14:paraId="6C1C021F" w14:textId="77777777" w:rsidR="00624B74" w:rsidRDefault="00624B74" w:rsidP="00E003E7">
      <w:pPr>
        <w:spacing w:after="0" w:line="240" w:lineRule="auto"/>
        <w:rPr>
          <w:b/>
          <w:bCs/>
          <w:sz w:val="24"/>
          <w:szCs w:val="24"/>
        </w:rPr>
      </w:pPr>
    </w:p>
    <w:p w14:paraId="098A459E" w14:textId="77777777" w:rsidR="003B07BB" w:rsidRDefault="003B07BB" w:rsidP="00E003E7">
      <w:pPr>
        <w:spacing w:after="0" w:line="240" w:lineRule="auto"/>
        <w:rPr>
          <w:b/>
          <w:bCs/>
          <w:sz w:val="24"/>
          <w:szCs w:val="24"/>
        </w:rPr>
      </w:pPr>
    </w:p>
    <w:p w14:paraId="189D76AC" w14:textId="77777777" w:rsidR="00624B74" w:rsidRDefault="00A937DE" w:rsidP="00E003E7">
      <w:pPr>
        <w:spacing w:after="0" w:line="240" w:lineRule="auto"/>
        <w:rPr>
          <w:b/>
          <w:bCs/>
          <w:sz w:val="24"/>
          <w:szCs w:val="24"/>
        </w:rPr>
      </w:pPr>
      <w:r w:rsidRPr="00624B74">
        <w:rPr>
          <w:b/>
          <w:bCs/>
          <w:sz w:val="24"/>
          <w:szCs w:val="24"/>
        </w:rPr>
        <w:lastRenderedPageBreak/>
        <w:t>Acknowledgements</w:t>
      </w:r>
    </w:p>
    <w:p w14:paraId="5D8CF381" w14:textId="77777777" w:rsidR="004F7A97" w:rsidRDefault="004F7A97" w:rsidP="00E003E7">
      <w:pPr>
        <w:spacing w:after="0" w:line="240" w:lineRule="auto"/>
        <w:rPr>
          <w:b/>
          <w:bCs/>
          <w:sz w:val="24"/>
          <w:szCs w:val="24"/>
        </w:rPr>
      </w:pPr>
    </w:p>
    <w:p w14:paraId="6BDE67C5" w14:textId="77777777" w:rsidR="000D564A" w:rsidRDefault="000D564A" w:rsidP="000D564A">
      <w:pPr>
        <w:autoSpaceDE w:val="0"/>
        <w:autoSpaceDN w:val="0"/>
        <w:adjustRightInd w:val="0"/>
        <w:spacing w:after="0" w:line="240" w:lineRule="auto"/>
        <w:rPr>
          <w:rFonts w:cs="Arial"/>
          <w:color w:val="000000"/>
          <w:sz w:val="24"/>
          <w:szCs w:val="23"/>
        </w:rPr>
      </w:pPr>
      <w:r>
        <w:rPr>
          <w:rFonts w:cs="Arial"/>
          <w:color w:val="000000"/>
          <w:sz w:val="24"/>
          <w:szCs w:val="23"/>
        </w:rPr>
        <w:t xml:space="preserve">This work was commissioned as part of the Culture and Sport Evidence (CASE) strategic research programme.  The CASE programme is jointly funded by </w:t>
      </w:r>
      <w:r w:rsidRPr="00451DD4">
        <w:rPr>
          <w:rFonts w:cs="Arial"/>
          <w:color w:val="000000"/>
          <w:sz w:val="24"/>
          <w:szCs w:val="23"/>
        </w:rPr>
        <w:t>the Department for Culture, Media and Sport, Arts Council England</w:t>
      </w:r>
      <w:r>
        <w:rPr>
          <w:rFonts w:cs="Arial"/>
          <w:color w:val="000000"/>
          <w:sz w:val="24"/>
          <w:szCs w:val="23"/>
        </w:rPr>
        <w:t xml:space="preserve">, </w:t>
      </w:r>
      <w:r w:rsidRPr="00451DD4">
        <w:rPr>
          <w:rFonts w:cs="Arial"/>
          <w:color w:val="000000"/>
          <w:sz w:val="24"/>
          <w:szCs w:val="23"/>
        </w:rPr>
        <w:t>English Heritage and</w:t>
      </w:r>
      <w:r w:rsidRPr="00652A4C">
        <w:rPr>
          <w:rFonts w:cs="Arial"/>
          <w:color w:val="000000"/>
          <w:sz w:val="24"/>
          <w:szCs w:val="23"/>
        </w:rPr>
        <w:t xml:space="preserve"> </w:t>
      </w:r>
      <w:r w:rsidRPr="00451DD4">
        <w:rPr>
          <w:rFonts w:cs="Arial"/>
          <w:color w:val="000000"/>
          <w:sz w:val="24"/>
          <w:szCs w:val="23"/>
        </w:rPr>
        <w:t>Sport England</w:t>
      </w:r>
      <w:r>
        <w:rPr>
          <w:rFonts w:cs="Arial"/>
          <w:color w:val="000000"/>
          <w:sz w:val="24"/>
          <w:szCs w:val="23"/>
        </w:rPr>
        <w:t>.</w:t>
      </w:r>
    </w:p>
    <w:p w14:paraId="4E3FCEC0" w14:textId="77777777" w:rsidR="000D564A" w:rsidRDefault="000D564A" w:rsidP="000D564A">
      <w:pPr>
        <w:autoSpaceDE w:val="0"/>
        <w:autoSpaceDN w:val="0"/>
        <w:adjustRightInd w:val="0"/>
        <w:spacing w:after="0" w:line="240" w:lineRule="auto"/>
        <w:rPr>
          <w:rFonts w:cs="Arial"/>
          <w:color w:val="000000"/>
          <w:sz w:val="24"/>
          <w:szCs w:val="23"/>
        </w:rPr>
      </w:pPr>
    </w:p>
    <w:p w14:paraId="00EB8208" w14:textId="77777777" w:rsidR="000D564A" w:rsidRPr="00451DD4" w:rsidRDefault="000D564A" w:rsidP="000D564A">
      <w:pPr>
        <w:autoSpaceDE w:val="0"/>
        <w:autoSpaceDN w:val="0"/>
        <w:adjustRightInd w:val="0"/>
        <w:spacing w:after="0" w:line="240" w:lineRule="auto"/>
        <w:rPr>
          <w:rFonts w:cs="Arial"/>
          <w:color w:val="000000"/>
          <w:sz w:val="24"/>
          <w:szCs w:val="23"/>
        </w:rPr>
      </w:pPr>
      <w:r w:rsidRPr="00451DD4">
        <w:rPr>
          <w:rFonts w:cs="Arial"/>
          <w:color w:val="000000"/>
          <w:sz w:val="24"/>
          <w:szCs w:val="23"/>
        </w:rPr>
        <w:t xml:space="preserve">We are grateful to </w:t>
      </w:r>
      <w:r>
        <w:rPr>
          <w:rFonts w:cs="Arial"/>
          <w:color w:val="000000"/>
          <w:sz w:val="24"/>
          <w:szCs w:val="23"/>
        </w:rPr>
        <w:t xml:space="preserve">the CASE project board members Lee Smith (DCMS), Vivien Niblett (Arts Council England), Laura Clayton (English Heritage) and Julie MacPherson (Sport England) </w:t>
      </w:r>
      <w:r w:rsidRPr="00451DD4">
        <w:rPr>
          <w:rFonts w:cs="Arial"/>
          <w:color w:val="000000"/>
          <w:sz w:val="24"/>
          <w:szCs w:val="23"/>
        </w:rPr>
        <w:t xml:space="preserve">for their valuable input and comments on the research. </w:t>
      </w:r>
    </w:p>
    <w:p w14:paraId="65E81E0F" w14:textId="77777777" w:rsidR="000D564A" w:rsidRPr="00451DD4" w:rsidRDefault="000D564A" w:rsidP="000D564A">
      <w:pPr>
        <w:autoSpaceDE w:val="0"/>
        <w:autoSpaceDN w:val="0"/>
        <w:adjustRightInd w:val="0"/>
        <w:spacing w:after="0" w:line="240" w:lineRule="auto"/>
        <w:rPr>
          <w:rFonts w:cs="Arial"/>
          <w:color w:val="000000"/>
          <w:sz w:val="24"/>
          <w:szCs w:val="23"/>
        </w:rPr>
      </w:pPr>
    </w:p>
    <w:p w14:paraId="14D60549" w14:textId="77777777" w:rsidR="000D564A" w:rsidRPr="00451DD4" w:rsidRDefault="000D564A" w:rsidP="000D564A">
      <w:pPr>
        <w:spacing w:after="0" w:line="240" w:lineRule="auto"/>
        <w:rPr>
          <w:b/>
          <w:bCs/>
          <w:sz w:val="28"/>
          <w:szCs w:val="24"/>
        </w:rPr>
      </w:pPr>
      <w:r w:rsidRPr="00451DD4">
        <w:rPr>
          <w:rFonts w:cs="Arial"/>
          <w:color w:val="000000"/>
          <w:sz w:val="24"/>
          <w:szCs w:val="23"/>
        </w:rPr>
        <w:t xml:space="preserve">This analysis was conducted using Understanding Society </w:t>
      </w:r>
      <w:r>
        <w:rPr>
          <w:rFonts w:cs="Arial"/>
          <w:color w:val="000000"/>
          <w:sz w:val="24"/>
          <w:szCs w:val="23"/>
        </w:rPr>
        <w:t xml:space="preserve">and the British Household Panel Survey </w:t>
      </w:r>
      <w:r w:rsidRPr="00451DD4">
        <w:rPr>
          <w:rFonts w:cs="Arial"/>
          <w:color w:val="000000"/>
          <w:sz w:val="24"/>
          <w:szCs w:val="23"/>
        </w:rPr>
        <w:t>data supplied under the standard End User Licence (EUL) agreement from the Economic and Social Data Service (ESDS). Responsibility for the analysis and interpretation of these data are solely that of the authors.</w:t>
      </w:r>
    </w:p>
    <w:p w14:paraId="71958CAB" w14:textId="77777777" w:rsidR="00624B74" w:rsidRPr="00624B74" w:rsidRDefault="00624B74" w:rsidP="00E003E7">
      <w:pPr>
        <w:spacing w:after="0" w:line="240" w:lineRule="auto"/>
        <w:rPr>
          <w:b/>
          <w:bCs/>
          <w:sz w:val="24"/>
          <w:szCs w:val="24"/>
        </w:rPr>
      </w:pPr>
    </w:p>
    <w:p w14:paraId="11428372" w14:textId="77777777" w:rsidR="00624B74" w:rsidRDefault="00624B74" w:rsidP="00E003E7">
      <w:pPr>
        <w:spacing w:after="0" w:line="240" w:lineRule="auto"/>
        <w:rPr>
          <w:b/>
          <w:bCs/>
          <w:sz w:val="32"/>
          <w:szCs w:val="24"/>
        </w:rPr>
      </w:pPr>
    </w:p>
    <w:p w14:paraId="3FB961B0" w14:textId="77777777" w:rsidR="00624B74" w:rsidRDefault="00624B74" w:rsidP="00E003E7">
      <w:pPr>
        <w:spacing w:after="0" w:line="240" w:lineRule="auto"/>
        <w:rPr>
          <w:b/>
          <w:bCs/>
          <w:sz w:val="32"/>
          <w:szCs w:val="24"/>
        </w:rPr>
      </w:pPr>
    </w:p>
    <w:p w14:paraId="45E57C65" w14:textId="77777777" w:rsidR="00624B74" w:rsidRDefault="00624B74" w:rsidP="00E003E7">
      <w:pPr>
        <w:spacing w:after="0" w:line="240" w:lineRule="auto"/>
        <w:rPr>
          <w:b/>
          <w:bCs/>
          <w:sz w:val="32"/>
          <w:szCs w:val="24"/>
        </w:rPr>
      </w:pPr>
    </w:p>
    <w:p w14:paraId="0FE21845" w14:textId="77777777" w:rsidR="00624B74" w:rsidRDefault="00624B74" w:rsidP="00E003E7">
      <w:pPr>
        <w:spacing w:after="0" w:line="240" w:lineRule="auto"/>
        <w:rPr>
          <w:b/>
          <w:bCs/>
          <w:sz w:val="32"/>
          <w:szCs w:val="24"/>
        </w:rPr>
      </w:pPr>
    </w:p>
    <w:p w14:paraId="6FC9BFEB" w14:textId="77777777" w:rsidR="00624B74" w:rsidRDefault="00624B74" w:rsidP="00E003E7">
      <w:pPr>
        <w:spacing w:after="0" w:line="240" w:lineRule="auto"/>
        <w:rPr>
          <w:b/>
          <w:bCs/>
          <w:sz w:val="32"/>
          <w:szCs w:val="24"/>
        </w:rPr>
      </w:pPr>
    </w:p>
    <w:p w14:paraId="29D484B2" w14:textId="77777777" w:rsidR="00624B74" w:rsidRDefault="00624B74" w:rsidP="00E003E7">
      <w:pPr>
        <w:spacing w:after="0" w:line="240" w:lineRule="auto"/>
        <w:rPr>
          <w:b/>
          <w:bCs/>
          <w:sz w:val="32"/>
          <w:szCs w:val="24"/>
        </w:rPr>
      </w:pPr>
    </w:p>
    <w:p w14:paraId="58F370E9" w14:textId="77777777" w:rsidR="00624B74" w:rsidRDefault="00624B74" w:rsidP="00E003E7">
      <w:pPr>
        <w:spacing w:after="0" w:line="240" w:lineRule="auto"/>
        <w:rPr>
          <w:b/>
          <w:bCs/>
          <w:sz w:val="32"/>
          <w:szCs w:val="24"/>
        </w:rPr>
      </w:pPr>
    </w:p>
    <w:p w14:paraId="0E3F8918" w14:textId="77777777" w:rsidR="00624B74" w:rsidRDefault="00624B74" w:rsidP="00E003E7">
      <w:pPr>
        <w:spacing w:after="0" w:line="240" w:lineRule="auto"/>
        <w:rPr>
          <w:b/>
          <w:bCs/>
          <w:sz w:val="32"/>
          <w:szCs w:val="24"/>
        </w:rPr>
      </w:pPr>
    </w:p>
    <w:p w14:paraId="367B0728" w14:textId="77777777" w:rsidR="00624B74" w:rsidRDefault="00624B74" w:rsidP="00E003E7">
      <w:pPr>
        <w:spacing w:after="0" w:line="240" w:lineRule="auto"/>
        <w:rPr>
          <w:b/>
          <w:bCs/>
          <w:sz w:val="32"/>
          <w:szCs w:val="24"/>
        </w:rPr>
      </w:pPr>
    </w:p>
    <w:p w14:paraId="28CE4E2B" w14:textId="77777777" w:rsidR="00624B74" w:rsidRDefault="00624B74" w:rsidP="00E003E7">
      <w:pPr>
        <w:spacing w:after="0" w:line="240" w:lineRule="auto"/>
        <w:rPr>
          <w:b/>
          <w:bCs/>
          <w:sz w:val="32"/>
          <w:szCs w:val="24"/>
        </w:rPr>
      </w:pPr>
    </w:p>
    <w:p w14:paraId="0D9989C9" w14:textId="77777777" w:rsidR="00624B74" w:rsidRDefault="00624B74" w:rsidP="00E003E7">
      <w:pPr>
        <w:spacing w:after="0" w:line="240" w:lineRule="auto"/>
        <w:rPr>
          <w:b/>
          <w:bCs/>
          <w:sz w:val="32"/>
          <w:szCs w:val="24"/>
        </w:rPr>
      </w:pPr>
    </w:p>
    <w:p w14:paraId="5647A668" w14:textId="77777777" w:rsidR="00624B74" w:rsidRDefault="00624B74" w:rsidP="00E003E7">
      <w:pPr>
        <w:spacing w:after="0" w:line="240" w:lineRule="auto"/>
        <w:rPr>
          <w:b/>
          <w:bCs/>
          <w:sz w:val="32"/>
          <w:szCs w:val="24"/>
        </w:rPr>
      </w:pPr>
    </w:p>
    <w:p w14:paraId="15C7BB13" w14:textId="77777777" w:rsidR="00624B74" w:rsidRDefault="00624B74" w:rsidP="00E003E7">
      <w:pPr>
        <w:spacing w:after="0" w:line="240" w:lineRule="auto"/>
        <w:rPr>
          <w:b/>
          <w:bCs/>
          <w:sz w:val="32"/>
          <w:szCs w:val="24"/>
        </w:rPr>
      </w:pPr>
    </w:p>
    <w:p w14:paraId="2A6092D5" w14:textId="77777777" w:rsidR="00624B74" w:rsidRDefault="00624B74" w:rsidP="00E003E7">
      <w:pPr>
        <w:spacing w:after="0" w:line="240" w:lineRule="auto"/>
        <w:rPr>
          <w:b/>
          <w:bCs/>
          <w:sz w:val="32"/>
          <w:szCs w:val="24"/>
        </w:rPr>
      </w:pPr>
    </w:p>
    <w:p w14:paraId="55EDC16E" w14:textId="77777777" w:rsidR="00624B74" w:rsidRDefault="00624B74" w:rsidP="00E003E7">
      <w:pPr>
        <w:spacing w:after="0" w:line="240" w:lineRule="auto"/>
        <w:rPr>
          <w:b/>
          <w:bCs/>
          <w:sz w:val="32"/>
          <w:szCs w:val="24"/>
        </w:rPr>
      </w:pPr>
    </w:p>
    <w:p w14:paraId="1D2280D0" w14:textId="77777777" w:rsidR="00624B74" w:rsidRDefault="00624B74" w:rsidP="00E003E7">
      <w:pPr>
        <w:spacing w:after="0" w:line="240" w:lineRule="auto"/>
        <w:rPr>
          <w:b/>
          <w:bCs/>
          <w:sz w:val="32"/>
          <w:szCs w:val="24"/>
        </w:rPr>
      </w:pPr>
    </w:p>
    <w:p w14:paraId="4FB47BF6" w14:textId="77777777" w:rsidR="003B07BB" w:rsidRDefault="003B07BB" w:rsidP="000D564A">
      <w:pPr>
        <w:spacing w:after="0" w:line="240" w:lineRule="auto"/>
        <w:rPr>
          <w:b/>
          <w:bCs/>
          <w:sz w:val="36"/>
          <w:szCs w:val="36"/>
        </w:rPr>
      </w:pPr>
    </w:p>
    <w:p w14:paraId="5A046262" w14:textId="77777777" w:rsidR="00D542C0" w:rsidRDefault="00D542C0" w:rsidP="000D564A">
      <w:pPr>
        <w:spacing w:after="0" w:line="240" w:lineRule="auto"/>
        <w:rPr>
          <w:b/>
          <w:bCs/>
          <w:sz w:val="36"/>
          <w:szCs w:val="36"/>
        </w:rPr>
      </w:pPr>
    </w:p>
    <w:p w14:paraId="753F3785" w14:textId="77777777" w:rsidR="00D542C0" w:rsidRDefault="00D542C0" w:rsidP="000D564A">
      <w:pPr>
        <w:spacing w:after="0" w:line="240" w:lineRule="auto"/>
        <w:rPr>
          <w:b/>
          <w:bCs/>
          <w:sz w:val="36"/>
          <w:szCs w:val="36"/>
        </w:rPr>
      </w:pPr>
    </w:p>
    <w:p w14:paraId="1541D511" w14:textId="77777777" w:rsidR="00D542C0" w:rsidRDefault="00D542C0" w:rsidP="000D564A">
      <w:pPr>
        <w:spacing w:after="0" w:line="240" w:lineRule="auto"/>
        <w:rPr>
          <w:b/>
          <w:bCs/>
          <w:sz w:val="36"/>
          <w:szCs w:val="36"/>
        </w:rPr>
      </w:pPr>
    </w:p>
    <w:p w14:paraId="1997A872" w14:textId="77777777" w:rsidR="00EC54EF" w:rsidRDefault="00EC54EF" w:rsidP="000D564A">
      <w:pPr>
        <w:spacing w:after="0" w:line="240" w:lineRule="auto"/>
        <w:rPr>
          <w:b/>
          <w:bCs/>
          <w:sz w:val="36"/>
          <w:szCs w:val="36"/>
        </w:rPr>
      </w:pPr>
    </w:p>
    <w:p w14:paraId="6A25EAE3" w14:textId="77777777" w:rsidR="00EC54EF" w:rsidRDefault="00EC54EF" w:rsidP="000D564A">
      <w:pPr>
        <w:spacing w:after="0" w:line="240" w:lineRule="auto"/>
        <w:rPr>
          <w:b/>
          <w:bCs/>
          <w:sz w:val="36"/>
          <w:szCs w:val="36"/>
        </w:rPr>
      </w:pPr>
    </w:p>
    <w:p w14:paraId="4BB0FFA0" w14:textId="77777777" w:rsidR="00EC54EF" w:rsidRDefault="00EC54EF" w:rsidP="000D564A">
      <w:pPr>
        <w:spacing w:after="0" w:line="240" w:lineRule="auto"/>
        <w:rPr>
          <w:b/>
          <w:bCs/>
          <w:sz w:val="36"/>
          <w:szCs w:val="36"/>
        </w:rPr>
      </w:pPr>
    </w:p>
    <w:p w14:paraId="4879266A" w14:textId="77777777" w:rsidR="000D564A" w:rsidRPr="001E7442" w:rsidRDefault="003B07BB" w:rsidP="001E7442">
      <w:pPr>
        <w:pStyle w:val="Heading1"/>
        <w:rPr>
          <w:rFonts w:asciiTheme="minorHAnsi" w:hAnsiTheme="minorHAnsi"/>
          <w:sz w:val="36"/>
          <w:szCs w:val="36"/>
        </w:rPr>
      </w:pPr>
      <w:bookmarkStart w:id="1" w:name="_Toc409167382"/>
      <w:r w:rsidRPr="001E7442">
        <w:rPr>
          <w:rFonts w:asciiTheme="minorHAnsi" w:hAnsiTheme="minorHAnsi"/>
          <w:sz w:val="36"/>
          <w:szCs w:val="36"/>
        </w:rPr>
        <w:lastRenderedPageBreak/>
        <w:t>E</w:t>
      </w:r>
      <w:r w:rsidR="000D564A" w:rsidRPr="001E7442">
        <w:rPr>
          <w:rFonts w:asciiTheme="minorHAnsi" w:hAnsiTheme="minorHAnsi"/>
          <w:sz w:val="36"/>
          <w:szCs w:val="36"/>
        </w:rPr>
        <w:t>xecutive Summary</w:t>
      </w:r>
      <w:bookmarkEnd w:id="1"/>
    </w:p>
    <w:p w14:paraId="695A789E" w14:textId="77777777" w:rsidR="000D564A" w:rsidRDefault="000D564A" w:rsidP="000D564A">
      <w:pPr>
        <w:autoSpaceDE w:val="0"/>
        <w:autoSpaceDN w:val="0"/>
        <w:adjustRightInd w:val="0"/>
        <w:spacing w:after="0" w:line="240" w:lineRule="auto"/>
        <w:rPr>
          <w:rFonts w:cs="Arial"/>
          <w:sz w:val="24"/>
          <w:szCs w:val="24"/>
        </w:rPr>
      </w:pPr>
      <w:r>
        <w:rPr>
          <w:rFonts w:cs="Arial"/>
          <w:sz w:val="24"/>
          <w:szCs w:val="24"/>
        </w:rPr>
        <w:t>The culture and sport sectors generate important benefits to society, but these benefits can be difficult to measure and value.</w:t>
      </w:r>
      <w:r w:rsidRPr="009E722E">
        <w:rPr>
          <w:rFonts w:cs="Arial"/>
          <w:sz w:val="24"/>
          <w:szCs w:val="24"/>
        </w:rPr>
        <w:t xml:space="preserve"> </w:t>
      </w:r>
      <w:r>
        <w:rPr>
          <w:rFonts w:cs="Arial"/>
          <w:sz w:val="24"/>
          <w:szCs w:val="24"/>
        </w:rPr>
        <w:t>Data from t</w:t>
      </w:r>
      <w:r w:rsidRPr="009E722E">
        <w:rPr>
          <w:rFonts w:cs="Arial"/>
          <w:sz w:val="24"/>
          <w:szCs w:val="24"/>
        </w:rPr>
        <w:t>he British Household Panel Survey and the Understanding Society Survey</w:t>
      </w:r>
      <w:r>
        <w:rPr>
          <w:rFonts w:cs="Arial"/>
          <w:sz w:val="24"/>
          <w:szCs w:val="24"/>
        </w:rPr>
        <w:t xml:space="preserve"> enable us to measure and value these benefits</w:t>
      </w:r>
      <w:r w:rsidR="00E21018">
        <w:rPr>
          <w:rFonts w:cs="Arial"/>
          <w:sz w:val="24"/>
          <w:szCs w:val="24"/>
        </w:rPr>
        <w:t xml:space="preserve"> using two of the largest nationally representative surveys of the UK</w:t>
      </w:r>
      <w:r>
        <w:rPr>
          <w:rFonts w:cs="Arial"/>
          <w:sz w:val="24"/>
          <w:szCs w:val="24"/>
        </w:rPr>
        <w:t xml:space="preserve">. </w:t>
      </w:r>
      <w:r w:rsidR="00E21018">
        <w:rPr>
          <w:rFonts w:cs="Arial"/>
          <w:sz w:val="24"/>
          <w:szCs w:val="24"/>
        </w:rPr>
        <w:t xml:space="preserve">Attaching values to benefits allows use of cost-benefit analysis to assess culture and sport related interventions. </w:t>
      </w:r>
      <w:r>
        <w:rPr>
          <w:rFonts w:cs="Arial"/>
          <w:sz w:val="24"/>
          <w:szCs w:val="24"/>
        </w:rPr>
        <w:t>A</w:t>
      </w:r>
      <w:r w:rsidRPr="009E722E">
        <w:rPr>
          <w:rFonts w:cs="Arial"/>
          <w:sz w:val="24"/>
          <w:szCs w:val="24"/>
        </w:rPr>
        <w:t xml:space="preserve"> population</w:t>
      </w:r>
      <w:r>
        <w:rPr>
          <w:rFonts w:cs="Arial"/>
          <w:sz w:val="24"/>
          <w:szCs w:val="24"/>
        </w:rPr>
        <w:t>-</w:t>
      </w:r>
      <w:r w:rsidRPr="009E722E">
        <w:rPr>
          <w:rFonts w:cs="Arial"/>
          <w:sz w:val="24"/>
          <w:szCs w:val="24"/>
        </w:rPr>
        <w:t xml:space="preserve">level analysis </w:t>
      </w:r>
      <w:r>
        <w:rPr>
          <w:rFonts w:cs="Arial"/>
          <w:sz w:val="24"/>
          <w:szCs w:val="24"/>
        </w:rPr>
        <w:t>was conducted with these surveys to analyse</w:t>
      </w:r>
      <w:r w:rsidRPr="009E722E">
        <w:rPr>
          <w:rFonts w:cs="Arial"/>
          <w:sz w:val="24"/>
          <w:szCs w:val="24"/>
        </w:rPr>
        <w:t xml:space="preserve"> the relationship between </w:t>
      </w:r>
      <w:r>
        <w:rPr>
          <w:rFonts w:cs="Arial"/>
          <w:sz w:val="24"/>
          <w:szCs w:val="24"/>
        </w:rPr>
        <w:t>engagement in</w:t>
      </w:r>
      <w:r w:rsidRPr="009E722E">
        <w:rPr>
          <w:rFonts w:cs="Arial"/>
          <w:sz w:val="24"/>
          <w:szCs w:val="24"/>
        </w:rPr>
        <w:t xml:space="preserve"> cultural and sporting activities </w:t>
      </w:r>
      <w:r>
        <w:rPr>
          <w:rFonts w:cs="Arial"/>
          <w:sz w:val="24"/>
          <w:szCs w:val="24"/>
        </w:rPr>
        <w:t>on the one hand and</w:t>
      </w:r>
      <w:r w:rsidRPr="009E722E">
        <w:rPr>
          <w:rFonts w:cs="Arial"/>
          <w:sz w:val="24"/>
          <w:szCs w:val="24"/>
        </w:rPr>
        <w:t xml:space="preserve"> key social outcomes of interest </w:t>
      </w:r>
      <w:r>
        <w:rPr>
          <w:rFonts w:cs="Arial"/>
          <w:sz w:val="24"/>
          <w:szCs w:val="24"/>
        </w:rPr>
        <w:t>on the other</w:t>
      </w:r>
      <w:r w:rsidRPr="009E722E">
        <w:rPr>
          <w:rFonts w:cs="Arial"/>
          <w:sz w:val="24"/>
          <w:szCs w:val="24"/>
        </w:rPr>
        <w:t xml:space="preserve">. </w:t>
      </w:r>
    </w:p>
    <w:p w14:paraId="4ED2241B" w14:textId="77777777" w:rsidR="000D564A" w:rsidRDefault="000D564A" w:rsidP="000D564A">
      <w:pPr>
        <w:autoSpaceDE w:val="0"/>
        <w:autoSpaceDN w:val="0"/>
        <w:adjustRightInd w:val="0"/>
        <w:spacing w:after="0" w:line="240" w:lineRule="auto"/>
        <w:rPr>
          <w:rFonts w:cs="Arial"/>
          <w:sz w:val="24"/>
          <w:szCs w:val="24"/>
        </w:rPr>
      </w:pPr>
    </w:p>
    <w:p w14:paraId="6EC0106C" w14:textId="77777777" w:rsidR="000D564A" w:rsidRPr="009E722E" w:rsidRDefault="000D564A" w:rsidP="000D564A">
      <w:pPr>
        <w:autoSpaceDE w:val="0"/>
        <w:autoSpaceDN w:val="0"/>
        <w:adjustRightInd w:val="0"/>
        <w:spacing w:after="0" w:line="240" w:lineRule="auto"/>
        <w:rPr>
          <w:rFonts w:cs="Arial"/>
          <w:sz w:val="24"/>
          <w:szCs w:val="24"/>
        </w:rPr>
      </w:pPr>
      <w:r w:rsidRPr="009E722E">
        <w:rPr>
          <w:rFonts w:cs="Arial"/>
          <w:sz w:val="24"/>
          <w:szCs w:val="24"/>
        </w:rPr>
        <w:t xml:space="preserve">Previous research based on the UK’s Understanding Society Survey found </w:t>
      </w:r>
      <w:r>
        <w:rPr>
          <w:rFonts w:cs="Arial"/>
          <w:sz w:val="24"/>
          <w:szCs w:val="24"/>
        </w:rPr>
        <w:t xml:space="preserve">that </w:t>
      </w:r>
      <w:r w:rsidRPr="009E722E">
        <w:rPr>
          <w:rFonts w:cs="Arial"/>
          <w:sz w:val="24"/>
          <w:szCs w:val="24"/>
        </w:rPr>
        <w:t>engagement in culture</w:t>
      </w:r>
      <w:r>
        <w:rPr>
          <w:rFonts w:cs="Arial"/>
          <w:sz w:val="24"/>
          <w:szCs w:val="24"/>
        </w:rPr>
        <w:t xml:space="preserve"> and sport</w:t>
      </w:r>
      <w:r w:rsidRPr="009E722E">
        <w:rPr>
          <w:rFonts w:cs="Arial"/>
          <w:sz w:val="24"/>
          <w:szCs w:val="24"/>
        </w:rPr>
        <w:t xml:space="preserve"> </w:t>
      </w:r>
      <w:r>
        <w:rPr>
          <w:rFonts w:cs="Arial"/>
          <w:sz w:val="24"/>
          <w:szCs w:val="24"/>
        </w:rPr>
        <w:t>was associated with</w:t>
      </w:r>
      <w:r w:rsidRPr="009E722E">
        <w:rPr>
          <w:rFonts w:cs="Arial"/>
          <w:sz w:val="24"/>
          <w:szCs w:val="24"/>
        </w:rPr>
        <w:t xml:space="preserve"> increases in wellbeing, improvements in health, improved educational and economic prospects and higher levels of positive civic participation </w:t>
      </w:r>
      <w:r>
        <w:rPr>
          <w:rFonts w:cs="Arial"/>
          <w:sz w:val="24"/>
          <w:szCs w:val="24"/>
        </w:rPr>
        <w:t>after controlling for a wide range of other factors</w:t>
      </w:r>
      <w:r w:rsidR="00FE084B">
        <w:rPr>
          <w:rFonts w:cs="Arial"/>
          <w:sz w:val="24"/>
          <w:szCs w:val="24"/>
        </w:rPr>
        <w:t xml:space="preserve"> </w:t>
      </w:r>
      <w:r w:rsidR="00FE084B">
        <w:rPr>
          <w:rFonts w:cs="Arial"/>
          <w:sz w:val="24"/>
          <w:szCs w:val="24"/>
        </w:rPr>
        <w:fldChar w:fldCharType="begin"/>
      </w:r>
      <w:r w:rsidR="00FE084B">
        <w:rPr>
          <w:rFonts w:cs="Arial"/>
          <w:sz w:val="24"/>
          <w:szCs w:val="24"/>
        </w:rPr>
        <w:instrText xml:space="preserve"> ADDIN EN.CITE &lt;EndNote&gt;&lt;Cite&gt;&lt;Author&gt;Fujiwara&lt;/Author&gt;&lt;Year&gt;2014&lt;/Year&gt;&lt;RecNum&gt;615&lt;/RecNum&gt;&lt;DisplayText&gt;(Fujiwara et al., 2014a, Fujiwara et al., 2014b)&lt;/DisplayText&gt;&lt;record&gt;&lt;rec-number&gt;615&lt;/rec-number&gt;&lt;foreign-keys&gt;&lt;key app="EN" db-id="9tvvrfwv22z0p8e29at5f2r8a9vxsa59spv0" timestamp="1391008598"&gt;615&lt;/key&gt;&lt;/foreign-keys&gt;&lt;ref-type name="Journal Article"&gt;17&lt;/ref-type&gt;&lt;contributors&gt;&lt;authors&gt;&lt;author&gt;Fujiwara, D.&lt;/author&gt;&lt;author&gt;Kudrna, L.&lt;/author&gt;&lt;author&gt;Dolan, P.&lt;/author&gt;&lt;/authors&gt;&lt;/contributors&gt;&lt;titles&gt;&lt;title&gt;Quantifying and Valuing the Well-being Impacts of Culture and Sport  &lt;/title&gt;&lt;secondary-title&gt;Department for Culture Media and Sport Research Paper&lt;/secondary-title&gt;&lt;/titles&gt;&lt;periodical&gt;&lt;full-title&gt;Department for Culture Media and Sport Research Paper&lt;/full-title&gt;&lt;/periodical&gt;&lt;dates&gt;&lt;year&gt;2014&lt;/year&gt;&lt;/dates&gt;&lt;urls&gt;&lt;/urls&gt;&lt;/record&gt;&lt;/Cite&gt;&lt;Cite&gt;&lt;Author&gt;Fujiwara&lt;/Author&gt;&lt;Year&gt;2014&lt;/Year&gt;&lt;RecNum&gt;638&lt;/RecNum&gt;&lt;record&gt;&lt;rec-number&gt;638&lt;/rec-number&gt;&lt;foreign-keys&gt;&lt;key app="EN" db-id="9tvvrfwv22z0p8e29at5f2r8a9vxsa59spv0" timestamp="1402834504"&gt;638&lt;/key&gt;&lt;/foreign-keys&gt;&lt;ref-type name="Journal Article"&gt;17&lt;/ref-type&gt;&lt;contributors&gt;&lt;authors&gt;&lt;author&gt;Fujiwara, D.&lt;/author&gt;&lt;author&gt;Kudrna, L.&lt;/author&gt;&lt;author&gt;Dolan, P.&lt;/author&gt;&lt;/authors&gt;&lt;/contributors&gt;&lt;titles&gt;&lt;title&gt;Quantifying and Valuing the Wellbeing Impacts of Culture and Sport&lt;/title&gt;&lt;secondary-title&gt;Department for Culture Media and Sport Research Paper&lt;/secondary-title&gt;&lt;/titles&gt;&lt;periodical&gt;&lt;full-title&gt;Department for Culture Media and Sport Research Paper&lt;/full-title&gt;&lt;/periodical&gt;&lt;dates&gt;&lt;year&gt;2014&lt;/year&gt;&lt;/dates&gt;&lt;urls&gt;&lt;/urls&gt;&lt;/record&gt;&lt;/Cite&gt;&lt;/EndNote&gt;</w:instrText>
      </w:r>
      <w:r w:rsidR="00FE084B">
        <w:rPr>
          <w:rFonts w:cs="Arial"/>
          <w:sz w:val="24"/>
          <w:szCs w:val="24"/>
        </w:rPr>
        <w:fldChar w:fldCharType="separate"/>
      </w:r>
      <w:r w:rsidR="00FE084B">
        <w:rPr>
          <w:rFonts w:cs="Arial"/>
          <w:noProof/>
          <w:sz w:val="24"/>
          <w:szCs w:val="24"/>
        </w:rPr>
        <w:t>(</w:t>
      </w:r>
      <w:hyperlink w:anchor="_ENREF_1" w:tooltip="Fujiwara, 2014 #615" w:history="1">
        <w:r w:rsidR="00971881">
          <w:rPr>
            <w:rFonts w:cs="Arial"/>
            <w:noProof/>
            <w:sz w:val="24"/>
            <w:szCs w:val="24"/>
          </w:rPr>
          <w:t>Fujiwara et al., 2014a</w:t>
        </w:r>
      </w:hyperlink>
      <w:r w:rsidR="00FE084B">
        <w:rPr>
          <w:rFonts w:cs="Arial"/>
          <w:noProof/>
          <w:sz w:val="24"/>
          <w:szCs w:val="24"/>
        </w:rPr>
        <w:t xml:space="preserve">, </w:t>
      </w:r>
      <w:hyperlink w:anchor="_ENREF_2" w:tooltip="Fujiwara, 2014 #638" w:history="1">
        <w:r w:rsidR="00971881">
          <w:rPr>
            <w:rFonts w:cs="Arial"/>
            <w:noProof/>
            <w:sz w:val="24"/>
            <w:szCs w:val="24"/>
          </w:rPr>
          <w:t>Fujiwara et al., 2014b</w:t>
        </w:r>
      </w:hyperlink>
      <w:r w:rsidR="00FE084B">
        <w:rPr>
          <w:rFonts w:cs="Arial"/>
          <w:noProof/>
          <w:sz w:val="24"/>
          <w:szCs w:val="24"/>
        </w:rPr>
        <w:t>)</w:t>
      </w:r>
      <w:r w:rsidR="00FE084B">
        <w:rPr>
          <w:rFonts w:cs="Arial"/>
          <w:sz w:val="24"/>
          <w:szCs w:val="24"/>
        </w:rPr>
        <w:fldChar w:fldCharType="end"/>
      </w:r>
      <w:r w:rsidR="00FE084B">
        <w:rPr>
          <w:rFonts w:cs="Arial"/>
          <w:sz w:val="24"/>
          <w:szCs w:val="24"/>
        </w:rPr>
        <w:t>.</w:t>
      </w:r>
      <w:r w:rsidRPr="009E722E">
        <w:rPr>
          <w:rFonts w:cs="Arial"/>
          <w:sz w:val="24"/>
          <w:szCs w:val="24"/>
        </w:rPr>
        <w:t xml:space="preserve"> This report builds </w:t>
      </w:r>
      <w:r>
        <w:rPr>
          <w:rFonts w:cs="Arial"/>
          <w:sz w:val="24"/>
          <w:szCs w:val="24"/>
        </w:rPr>
        <w:t>upon this</w:t>
      </w:r>
      <w:r w:rsidRPr="009E722E">
        <w:rPr>
          <w:rFonts w:cs="Arial"/>
          <w:sz w:val="24"/>
          <w:szCs w:val="24"/>
        </w:rPr>
        <w:t xml:space="preserve"> work by </w:t>
      </w:r>
      <w:r>
        <w:rPr>
          <w:rFonts w:cs="Arial"/>
          <w:sz w:val="24"/>
          <w:szCs w:val="24"/>
        </w:rPr>
        <w:t xml:space="preserve">further </w:t>
      </w:r>
      <w:r w:rsidRPr="009E722E">
        <w:rPr>
          <w:rFonts w:cs="Arial"/>
          <w:sz w:val="24"/>
          <w:szCs w:val="24"/>
        </w:rPr>
        <w:t xml:space="preserve">examining the links </w:t>
      </w:r>
      <w:r>
        <w:rPr>
          <w:rFonts w:cs="Arial"/>
          <w:sz w:val="24"/>
          <w:szCs w:val="24"/>
        </w:rPr>
        <w:t xml:space="preserve">between engaging in </w:t>
      </w:r>
      <w:r w:rsidRPr="009E722E">
        <w:rPr>
          <w:rFonts w:cs="Arial"/>
          <w:sz w:val="24"/>
          <w:szCs w:val="24"/>
        </w:rPr>
        <w:t xml:space="preserve">culture and sport and health and educational outcomes. </w:t>
      </w:r>
      <w:r>
        <w:rPr>
          <w:rFonts w:cs="Arial"/>
          <w:sz w:val="24"/>
          <w:szCs w:val="24"/>
        </w:rPr>
        <w:t>We look at the value of these benefits to the individual and to the taxpayer in terms of cost savings.</w:t>
      </w:r>
    </w:p>
    <w:p w14:paraId="5942FFA9" w14:textId="77777777" w:rsidR="000D564A" w:rsidRPr="009E722E" w:rsidRDefault="000D564A" w:rsidP="000D564A">
      <w:pPr>
        <w:autoSpaceDE w:val="0"/>
        <w:autoSpaceDN w:val="0"/>
        <w:adjustRightInd w:val="0"/>
        <w:spacing w:after="0" w:line="240" w:lineRule="auto"/>
        <w:rPr>
          <w:rFonts w:cs="Arial"/>
          <w:sz w:val="24"/>
          <w:szCs w:val="24"/>
        </w:rPr>
      </w:pPr>
    </w:p>
    <w:p w14:paraId="7A56DD1E" w14:textId="6072E963" w:rsidR="000D564A" w:rsidRPr="009E722E" w:rsidRDefault="000D564A" w:rsidP="000D564A">
      <w:pPr>
        <w:spacing w:after="0" w:line="240" w:lineRule="auto"/>
        <w:rPr>
          <w:rFonts w:cs="Arial"/>
          <w:sz w:val="24"/>
          <w:szCs w:val="24"/>
        </w:rPr>
      </w:pPr>
      <w:r w:rsidRPr="009E722E">
        <w:rPr>
          <w:rFonts w:cs="Arial"/>
          <w:sz w:val="24"/>
          <w:szCs w:val="24"/>
        </w:rPr>
        <w:t>Multiple regression analysis was undertaken which allowed for the examination of the relationships between the social outcomes</w:t>
      </w:r>
      <w:r w:rsidRPr="009E722E">
        <w:rPr>
          <w:rFonts w:cs="Arial"/>
          <w:sz w:val="28"/>
          <w:szCs w:val="24"/>
        </w:rPr>
        <w:t xml:space="preserve"> </w:t>
      </w:r>
      <w:r w:rsidRPr="009E722E">
        <w:rPr>
          <w:rFonts w:cs="Arial"/>
          <w:sz w:val="24"/>
          <w:szCs w:val="24"/>
        </w:rPr>
        <w:t xml:space="preserve">of interest as dependent variables (self-reported health </w:t>
      </w:r>
      <w:r>
        <w:rPr>
          <w:rFonts w:cs="Arial"/>
          <w:sz w:val="24"/>
          <w:szCs w:val="24"/>
        </w:rPr>
        <w:t xml:space="preserve">and </w:t>
      </w:r>
      <w:r w:rsidRPr="009E722E">
        <w:rPr>
          <w:rFonts w:cs="Arial"/>
          <w:sz w:val="24"/>
          <w:szCs w:val="24"/>
        </w:rPr>
        <w:t xml:space="preserve">likelihood of pursuing further education) and measures of cultural and sports participation as independent variables (audience </w:t>
      </w:r>
      <w:r>
        <w:rPr>
          <w:rFonts w:cs="Arial"/>
          <w:sz w:val="24"/>
          <w:szCs w:val="24"/>
        </w:rPr>
        <w:t>and</w:t>
      </w:r>
      <w:r w:rsidRPr="009E722E">
        <w:rPr>
          <w:rFonts w:cs="Arial"/>
          <w:sz w:val="24"/>
          <w:szCs w:val="24"/>
        </w:rPr>
        <w:t xml:space="preserve"> participation in the arts</w:t>
      </w:r>
      <w:r w:rsidR="00C930CE">
        <w:rPr>
          <w:rFonts w:cs="Arial"/>
          <w:sz w:val="24"/>
          <w:szCs w:val="24"/>
        </w:rPr>
        <w:t>,</w:t>
      </w:r>
      <w:r>
        <w:rPr>
          <w:rFonts w:cs="Arial"/>
          <w:sz w:val="24"/>
          <w:szCs w:val="24"/>
        </w:rPr>
        <w:t xml:space="preserve"> visiting </w:t>
      </w:r>
      <w:r w:rsidRPr="009E722E">
        <w:rPr>
          <w:rFonts w:cs="Arial"/>
          <w:sz w:val="24"/>
          <w:szCs w:val="24"/>
        </w:rPr>
        <w:t>heritage, museum</w:t>
      </w:r>
      <w:r>
        <w:rPr>
          <w:rFonts w:cs="Arial"/>
          <w:sz w:val="24"/>
          <w:szCs w:val="24"/>
        </w:rPr>
        <w:t>s and libraries</w:t>
      </w:r>
      <w:r w:rsidR="00C930CE">
        <w:rPr>
          <w:rFonts w:cs="Arial"/>
          <w:sz w:val="24"/>
          <w:szCs w:val="24"/>
        </w:rPr>
        <w:t xml:space="preserve"> in the past year,</w:t>
      </w:r>
      <w:r w:rsidRPr="009E722E">
        <w:rPr>
          <w:rFonts w:cs="Arial"/>
          <w:sz w:val="24"/>
          <w:szCs w:val="24"/>
        </w:rPr>
        <w:t xml:space="preserve"> and playing individual or team sport</w:t>
      </w:r>
      <w:r>
        <w:rPr>
          <w:rFonts w:cs="Arial"/>
          <w:sz w:val="24"/>
          <w:szCs w:val="24"/>
        </w:rPr>
        <w:t>s</w:t>
      </w:r>
      <w:r w:rsidRPr="009E722E">
        <w:rPr>
          <w:rFonts w:cs="Arial"/>
          <w:sz w:val="24"/>
          <w:szCs w:val="24"/>
        </w:rPr>
        <w:t>) whilst con</w:t>
      </w:r>
      <w:r w:rsidR="0049419D">
        <w:rPr>
          <w:rFonts w:cs="Arial"/>
          <w:sz w:val="24"/>
          <w:szCs w:val="24"/>
        </w:rPr>
        <w:t xml:space="preserve">trolling for </w:t>
      </w:r>
      <w:r w:rsidR="00000600">
        <w:rPr>
          <w:rFonts w:cs="Arial"/>
          <w:sz w:val="24"/>
          <w:szCs w:val="24"/>
        </w:rPr>
        <w:t xml:space="preserve">a wide range of </w:t>
      </w:r>
      <w:r w:rsidR="0049419D">
        <w:rPr>
          <w:rFonts w:cs="Arial"/>
          <w:sz w:val="24"/>
          <w:szCs w:val="24"/>
        </w:rPr>
        <w:t xml:space="preserve">other factors (including </w:t>
      </w:r>
      <w:r w:rsidRPr="009E722E">
        <w:rPr>
          <w:rFonts w:cs="Arial"/>
          <w:sz w:val="24"/>
          <w:szCs w:val="24"/>
        </w:rPr>
        <w:t>age, education, income</w:t>
      </w:r>
      <w:r w:rsidR="0049419D">
        <w:rPr>
          <w:rFonts w:cs="Arial"/>
          <w:sz w:val="24"/>
          <w:szCs w:val="24"/>
        </w:rPr>
        <w:t>, employment status, gender, marital status, social relationships, region and housing tenure</w:t>
      </w:r>
      <w:r w:rsidRPr="009E722E">
        <w:rPr>
          <w:rFonts w:cs="Arial"/>
          <w:sz w:val="24"/>
          <w:szCs w:val="24"/>
        </w:rPr>
        <w:t>) that existing research suggest</w:t>
      </w:r>
      <w:r>
        <w:rPr>
          <w:rFonts w:cs="Arial"/>
          <w:sz w:val="24"/>
          <w:szCs w:val="24"/>
        </w:rPr>
        <w:t>s</w:t>
      </w:r>
      <w:r w:rsidRPr="009E722E">
        <w:rPr>
          <w:rFonts w:cs="Arial"/>
          <w:sz w:val="24"/>
          <w:szCs w:val="24"/>
        </w:rPr>
        <w:t xml:space="preserve"> might explain varying levels of the social outcomes. </w:t>
      </w:r>
      <w:r w:rsidR="0007198E">
        <w:rPr>
          <w:rFonts w:cs="Arial"/>
          <w:sz w:val="24"/>
          <w:szCs w:val="24"/>
        </w:rPr>
        <w:t xml:space="preserve">Controlling for other factors allows us to make a better judgement on cause and effect relationships, but since we are not using data from an experiment </w:t>
      </w:r>
      <w:r w:rsidR="0049419D">
        <w:rPr>
          <w:rFonts w:cs="Arial"/>
          <w:sz w:val="24"/>
          <w:szCs w:val="24"/>
        </w:rPr>
        <w:t xml:space="preserve">- </w:t>
      </w:r>
      <w:r w:rsidR="0007198E">
        <w:rPr>
          <w:rFonts w:cs="Arial"/>
          <w:sz w:val="24"/>
          <w:szCs w:val="24"/>
        </w:rPr>
        <w:t xml:space="preserve">where people have been randomly assigned to different activities or conditions </w:t>
      </w:r>
      <w:r w:rsidR="0049419D">
        <w:rPr>
          <w:rFonts w:cs="Arial"/>
          <w:sz w:val="24"/>
          <w:szCs w:val="24"/>
        </w:rPr>
        <w:t xml:space="preserve">- </w:t>
      </w:r>
      <w:r w:rsidR="0007198E">
        <w:rPr>
          <w:rFonts w:cs="Arial"/>
          <w:sz w:val="24"/>
          <w:szCs w:val="24"/>
        </w:rPr>
        <w:t xml:space="preserve">we cannot make certain conclusions about the exact magnitude of the impact of cultural and sport engagement. </w:t>
      </w:r>
      <w:r w:rsidR="009E63FC">
        <w:rPr>
          <w:rFonts w:cs="Arial"/>
          <w:sz w:val="24"/>
          <w:szCs w:val="24"/>
        </w:rPr>
        <w:t>The analysis is based on the best-available data, but w</w:t>
      </w:r>
      <w:r w:rsidR="0007198E">
        <w:rPr>
          <w:rFonts w:cs="Arial"/>
          <w:sz w:val="24"/>
          <w:szCs w:val="24"/>
        </w:rPr>
        <w:t>e recommend that the results presented here be interpreted and used as upper-bound estimates given the problems with inferring causality from non-experimental datasets.</w:t>
      </w:r>
      <w:r w:rsidR="006E08C6">
        <w:rPr>
          <w:rFonts w:cs="Arial"/>
          <w:sz w:val="24"/>
          <w:szCs w:val="24"/>
        </w:rPr>
        <w:t xml:space="preserve"> </w:t>
      </w:r>
    </w:p>
    <w:p w14:paraId="716DC939" w14:textId="77777777" w:rsidR="000D564A" w:rsidRPr="009E722E" w:rsidRDefault="000D564A" w:rsidP="000D564A">
      <w:pPr>
        <w:spacing w:after="0" w:line="240" w:lineRule="auto"/>
        <w:rPr>
          <w:rFonts w:cs="Arial"/>
          <w:sz w:val="24"/>
          <w:szCs w:val="24"/>
        </w:rPr>
      </w:pPr>
    </w:p>
    <w:p w14:paraId="1BCD7D54" w14:textId="77777777" w:rsidR="00037EE6" w:rsidRDefault="00037EE6" w:rsidP="00240B87">
      <w:pPr>
        <w:spacing w:after="0" w:line="240" w:lineRule="auto"/>
        <w:rPr>
          <w:rFonts w:cs="Arial"/>
          <w:b/>
          <w:sz w:val="24"/>
          <w:szCs w:val="24"/>
        </w:rPr>
      </w:pPr>
      <w:r>
        <w:rPr>
          <w:rFonts w:cs="Arial"/>
          <w:b/>
          <w:sz w:val="24"/>
          <w:szCs w:val="24"/>
        </w:rPr>
        <w:t>Key findings:</w:t>
      </w:r>
    </w:p>
    <w:p w14:paraId="354DCF77" w14:textId="77777777" w:rsidR="00240B87" w:rsidRDefault="00240B87" w:rsidP="00240B87">
      <w:pPr>
        <w:spacing w:after="0" w:line="240" w:lineRule="auto"/>
        <w:rPr>
          <w:rFonts w:cs="Arial"/>
          <w:sz w:val="24"/>
          <w:szCs w:val="24"/>
        </w:rPr>
      </w:pPr>
    </w:p>
    <w:p w14:paraId="051CDACE" w14:textId="77777777" w:rsidR="00037EE6" w:rsidRPr="00A33F5D" w:rsidRDefault="00037EE6" w:rsidP="00240B87">
      <w:pPr>
        <w:spacing w:after="0" w:line="240" w:lineRule="auto"/>
        <w:rPr>
          <w:rFonts w:cs="Arial"/>
          <w:b/>
          <w:sz w:val="24"/>
          <w:szCs w:val="24"/>
        </w:rPr>
      </w:pPr>
      <w:r>
        <w:rPr>
          <w:rFonts w:cs="Arial"/>
          <w:b/>
          <w:sz w:val="24"/>
          <w:szCs w:val="24"/>
        </w:rPr>
        <w:t>General Health</w:t>
      </w:r>
    </w:p>
    <w:p w14:paraId="6929379C" w14:textId="77777777" w:rsidR="00240B87" w:rsidRPr="005C2BA7" w:rsidRDefault="00240B87" w:rsidP="00987562">
      <w:pPr>
        <w:pStyle w:val="ListParagraph"/>
        <w:numPr>
          <w:ilvl w:val="0"/>
          <w:numId w:val="35"/>
        </w:numPr>
        <w:spacing w:after="0" w:line="240" w:lineRule="auto"/>
        <w:rPr>
          <w:rFonts w:cs="Arial"/>
          <w:sz w:val="24"/>
          <w:szCs w:val="24"/>
        </w:rPr>
      </w:pPr>
      <w:r w:rsidRPr="00987562">
        <w:rPr>
          <w:rFonts w:cs="Arial"/>
          <w:sz w:val="24"/>
          <w:szCs w:val="24"/>
        </w:rPr>
        <w:t>People who engaged in the arts as an audience member, had visited heritage</w:t>
      </w:r>
      <w:r w:rsidR="00E023FB">
        <w:rPr>
          <w:rFonts w:cs="Arial"/>
          <w:sz w:val="24"/>
          <w:szCs w:val="24"/>
        </w:rPr>
        <w:t xml:space="preserve"> sites</w:t>
      </w:r>
      <w:r w:rsidRPr="00987562">
        <w:rPr>
          <w:rFonts w:cs="Arial"/>
          <w:sz w:val="24"/>
          <w:szCs w:val="24"/>
        </w:rPr>
        <w:t>, librar</w:t>
      </w:r>
      <w:r w:rsidR="00987562">
        <w:rPr>
          <w:rFonts w:cs="Arial"/>
          <w:sz w:val="24"/>
          <w:szCs w:val="24"/>
        </w:rPr>
        <w:t>ies</w:t>
      </w:r>
      <w:r w:rsidRPr="00987562">
        <w:rPr>
          <w:rFonts w:cs="Arial"/>
          <w:sz w:val="24"/>
          <w:szCs w:val="24"/>
        </w:rPr>
        <w:t xml:space="preserve"> or museum</w:t>
      </w:r>
      <w:r w:rsidR="00987562">
        <w:rPr>
          <w:rFonts w:cs="Arial"/>
          <w:sz w:val="24"/>
          <w:szCs w:val="24"/>
        </w:rPr>
        <w:t>s</w:t>
      </w:r>
      <w:r w:rsidRPr="00987562">
        <w:rPr>
          <w:rFonts w:cs="Arial"/>
          <w:sz w:val="24"/>
          <w:szCs w:val="24"/>
        </w:rPr>
        <w:t xml:space="preserve"> and those who participated in sports in the last year are all more likely to report good health</w:t>
      </w:r>
      <w:r w:rsidR="008039B0" w:rsidRPr="007A7451">
        <w:rPr>
          <w:rFonts w:cs="Arial"/>
          <w:sz w:val="24"/>
          <w:szCs w:val="24"/>
        </w:rPr>
        <w:t>.</w:t>
      </w:r>
    </w:p>
    <w:p w14:paraId="6D475248" w14:textId="77777777" w:rsidR="008039B0" w:rsidRPr="00987562" w:rsidRDefault="008039B0" w:rsidP="00987562">
      <w:pPr>
        <w:pStyle w:val="ListParagraph"/>
        <w:spacing w:after="0" w:line="240" w:lineRule="auto"/>
        <w:rPr>
          <w:rFonts w:cs="Arial"/>
          <w:sz w:val="24"/>
          <w:szCs w:val="24"/>
        </w:rPr>
      </w:pPr>
    </w:p>
    <w:p w14:paraId="642C8299" w14:textId="77777777" w:rsidR="0000346B" w:rsidRDefault="00240B87" w:rsidP="00987562">
      <w:pPr>
        <w:pStyle w:val="ListParagraph"/>
        <w:numPr>
          <w:ilvl w:val="0"/>
          <w:numId w:val="35"/>
        </w:numPr>
        <w:spacing w:after="0" w:line="240" w:lineRule="auto"/>
        <w:rPr>
          <w:rFonts w:cs="Arial"/>
          <w:sz w:val="24"/>
          <w:szCs w:val="24"/>
        </w:rPr>
      </w:pPr>
      <w:r w:rsidRPr="00987562">
        <w:rPr>
          <w:rFonts w:cs="Arial"/>
          <w:sz w:val="24"/>
          <w:szCs w:val="24"/>
        </w:rPr>
        <w:t>The</w:t>
      </w:r>
      <w:r w:rsidR="00987562">
        <w:rPr>
          <w:rFonts w:cs="Arial"/>
          <w:sz w:val="24"/>
          <w:szCs w:val="24"/>
        </w:rPr>
        <w:t xml:space="preserve"> predicted </w:t>
      </w:r>
      <w:r w:rsidRPr="00987562">
        <w:rPr>
          <w:rFonts w:cs="Arial"/>
          <w:sz w:val="24"/>
          <w:szCs w:val="24"/>
        </w:rPr>
        <w:t xml:space="preserve">reduction in GP visits as a result of good health </w:t>
      </w:r>
      <w:r w:rsidR="00037EE6">
        <w:rPr>
          <w:rFonts w:cs="Arial"/>
          <w:sz w:val="24"/>
          <w:szCs w:val="24"/>
        </w:rPr>
        <w:t>associated with</w:t>
      </w:r>
      <w:r w:rsidR="00037EE6" w:rsidRPr="00987562">
        <w:rPr>
          <w:rFonts w:cs="Arial"/>
          <w:sz w:val="24"/>
          <w:szCs w:val="24"/>
        </w:rPr>
        <w:t xml:space="preserve"> </w:t>
      </w:r>
      <w:r w:rsidR="00037EE6">
        <w:rPr>
          <w:rFonts w:cs="Arial"/>
          <w:sz w:val="24"/>
          <w:szCs w:val="24"/>
        </w:rPr>
        <w:t xml:space="preserve">culture and sport participation </w:t>
      </w:r>
      <w:r w:rsidRPr="00987562">
        <w:rPr>
          <w:rFonts w:cs="Arial"/>
          <w:sz w:val="24"/>
          <w:szCs w:val="24"/>
        </w:rPr>
        <w:t>has a value to society in that it leads to costs savings for the NHS</w:t>
      </w:r>
      <w:r w:rsidR="00C91A63">
        <w:rPr>
          <w:rFonts w:cs="Arial"/>
          <w:sz w:val="24"/>
          <w:szCs w:val="24"/>
        </w:rPr>
        <w:t xml:space="preserve"> </w:t>
      </w:r>
      <w:r w:rsidRPr="00987562">
        <w:rPr>
          <w:rFonts w:cs="Arial"/>
          <w:sz w:val="24"/>
          <w:szCs w:val="24"/>
        </w:rPr>
        <w:t>of</w:t>
      </w:r>
      <w:r w:rsidR="00C91A63">
        <w:rPr>
          <w:rFonts w:cs="Arial"/>
          <w:sz w:val="24"/>
          <w:szCs w:val="24"/>
        </w:rPr>
        <w:t xml:space="preserve"> </w:t>
      </w:r>
      <w:r w:rsidR="00C91A63" w:rsidRPr="00987562">
        <w:rPr>
          <w:rFonts w:cs="Arial"/>
          <w:sz w:val="24"/>
          <w:szCs w:val="24"/>
        </w:rPr>
        <w:t>£</w:t>
      </w:r>
      <w:r w:rsidR="00C91A63">
        <w:rPr>
          <w:rFonts w:cs="Arial"/>
          <w:sz w:val="24"/>
          <w:szCs w:val="24"/>
        </w:rPr>
        <w:t xml:space="preserve">13.25 (all sports), </w:t>
      </w:r>
      <w:r w:rsidR="00C91A63" w:rsidRPr="00987562">
        <w:rPr>
          <w:rFonts w:cs="Arial"/>
          <w:sz w:val="24"/>
          <w:szCs w:val="24"/>
        </w:rPr>
        <w:t>£</w:t>
      </w:r>
      <w:r w:rsidR="00C91A63">
        <w:rPr>
          <w:rFonts w:cs="Arial"/>
          <w:sz w:val="24"/>
          <w:szCs w:val="24"/>
        </w:rPr>
        <w:t xml:space="preserve">7.14 (team sports), </w:t>
      </w:r>
      <w:r w:rsidR="00C91A63" w:rsidRPr="00987562">
        <w:rPr>
          <w:rFonts w:cs="Arial"/>
          <w:sz w:val="24"/>
          <w:szCs w:val="24"/>
        </w:rPr>
        <w:t>£</w:t>
      </w:r>
      <w:r w:rsidR="00C91A63">
        <w:rPr>
          <w:rFonts w:cs="Arial"/>
          <w:sz w:val="24"/>
          <w:szCs w:val="24"/>
        </w:rPr>
        <w:t xml:space="preserve">12.12 (individual sports), </w:t>
      </w:r>
      <w:r w:rsidR="00C91A63" w:rsidRPr="00987562">
        <w:rPr>
          <w:rFonts w:cs="Arial"/>
          <w:sz w:val="24"/>
          <w:szCs w:val="24"/>
        </w:rPr>
        <w:t>£</w:t>
      </w:r>
      <w:r w:rsidR="00C91A63">
        <w:rPr>
          <w:rFonts w:cs="Arial"/>
          <w:sz w:val="24"/>
          <w:szCs w:val="24"/>
        </w:rPr>
        <w:t xml:space="preserve">5.07 (audience arts), </w:t>
      </w:r>
      <w:r w:rsidR="00C91A63" w:rsidRPr="00987562">
        <w:rPr>
          <w:rFonts w:cs="Arial"/>
          <w:sz w:val="24"/>
          <w:szCs w:val="24"/>
        </w:rPr>
        <w:t>£</w:t>
      </w:r>
      <w:r w:rsidR="00C91A63">
        <w:rPr>
          <w:rFonts w:cs="Arial"/>
          <w:sz w:val="24"/>
          <w:szCs w:val="24"/>
        </w:rPr>
        <w:t xml:space="preserve">2.59 (heritage), </w:t>
      </w:r>
      <w:r w:rsidR="00C91A63" w:rsidRPr="00987562">
        <w:rPr>
          <w:rFonts w:cs="Arial"/>
          <w:sz w:val="24"/>
          <w:szCs w:val="24"/>
        </w:rPr>
        <w:t>£</w:t>
      </w:r>
      <w:r w:rsidR="00C91A63">
        <w:rPr>
          <w:rFonts w:cs="Arial"/>
          <w:sz w:val="24"/>
          <w:szCs w:val="24"/>
        </w:rPr>
        <w:t xml:space="preserve">1.05 (library) and </w:t>
      </w:r>
      <w:r w:rsidR="00C91A63" w:rsidRPr="00987562">
        <w:rPr>
          <w:rFonts w:cs="Arial"/>
          <w:sz w:val="24"/>
          <w:szCs w:val="24"/>
        </w:rPr>
        <w:t>£</w:t>
      </w:r>
      <w:r w:rsidR="00C91A63">
        <w:rPr>
          <w:rFonts w:cs="Arial"/>
          <w:sz w:val="24"/>
          <w:szCs w:val="24"/>
        </w:rPr>
        <w:t xml:space="preserve">1.89 (museum) </w:t>
      </w:r>
      <w:r w:rsidR="00C91A63" w:rsidRPr="007A7451">
        <w:rPr>
          <w:rFonts w:cs="Arial"/>
          <w:sz w:val="24"/>
          <w:szCs w:val="24"/>
        </w:rPr>
        <w:t>per</w:t>
      </w:r>
      <w:r w:rsidR="00C91A63" w:rsidRPr="005C2BA7">
        <w:rPr>
          <w:rFonts w:cs="Arial"/>
          <w:sz w:val="24"/>
          <w:szCs w:val="24"/>
        </w:rPr>
        <w:t xml:space="preserve"> person</w:t>
      </w:r>
      <w:r w:rsidR="00C91A63" w:rsidRPr="00A241C7">
        <w:rPr>
          <w:rFonts w:cs="Arial"/>
          <w:sz w:val="24"/>
          <w:szCs w:val="24"/>
        </w:rPr>
        <w:t xml:space="preserve"> annum</w:t>
      </w:r>
      <w:r w:rsidR="00C91A63">
        <w:rPr>
          <w:rFonts w:cs="Arial"/>
          <w:sz w:val="24"/>
          <w:szCs w:val="24"/>
        </w:rPr>
        <w:t>.</w:t>
      </w:r>
    </w:p>
    <w:p w14:paraId="4BD6ACC3" w14:textId="5FB4BE71" w:rsidR="000A601A" w:rsidRDefault="000A601A" w:rsidP="00987562">
      <w:pPr>
        <w:pStyle w:val="ListParagraph"/>
        <w:numPr>
          <w:ilvl w:val="0"/>
          <w:numId w:val="35"/>
        </w:numPr>
        <w:spacing w:after="0" w:line="240" w:lineRule="auto"/>
        <w:rPr>
          <w:rFonts w:cs="Arial"/>
          <w:sz w:val="24"/>
          <w:szCs w:val="24"/>
        </w:rPr>
      </w:pPr>
      <w:r>
        <w:rPr>
          <w:rFonts w:cs="Arial"/>
          <w:sz w:val="24"/>
          <w:szCs w:val="24"/>
        </w:rPr>
        <w:lastRenderedPageBreak/>
        <w:t>The predicted reduction in the</w:t>
      </w:r>
      <w:r w:rsidRPr="00987562">
        <w:rPr>
          <w:rFonts w:cs="Arial"/>
          <w:sz w:val="24"/>
          <w:szCs w:val="24"/>
        </w:rPr>
        <w:t xml:space="preserve"> use of mental health services</w:t>
      </w:r>
      <w:r>
        <w:rPr>
          <w:rFonts w:cs="Arial"/>
          <w:sz w:val="24"/>
          <w:szCs w:val="24"/>
        </w:rPr>
        <w:t xml:space="preserve"> </w:t>
      </w:r>
      <w:r w:rsidRPr="00987562">
        <w:rPr>
          <w:rFonts w:cs="Arial"/>
          <w:sz w:val="24"/>
          <w:szCs w:val="24"/>
        </w:rPr>
        <w:t xml:space="preserve">as a result of good health </w:t>
      </w:r>
      <w:r>
        <w:rPr>
          <w:rFonts w:cs="Arial"/>
          <w:sz w:val="24"/>
          <w:szCs w:val="24"/>
        </w:rPr>
        <w:t>associated with</w:t>
      </w:r>
      <w:r w:rsidRPr="00987562">
        <w:rPr>
          <w:rFonts w:cs="Arial"/>
          <w:sz w:val="24"/>
          <w:szCs w:val="24"/>
        </w:rPr>
        <w:t xml:space="preserve"> </w:t>
      </w:r>
      <w:r>
        <w:rPr>
          <w:rFonts w:cs="Arial"/>
          <w:sz w:val="24"/>
          <w:szCs w:val="24"/>
        </w:rPr>
        <w:t xml:space="preserve">culture and sport participation </w:t>
      </w:r>
      <w:r w:rsidRPr="00987562">
        <w:rPr>
          <w:rFonts w:cs="Arial"/>
          <w:sz w:val="24"/>
          <w:szCs w:val="24"/>
        </w:rPr>
        <w:t>has a value to society in that it leads to costs savings for the NHS</w:t>
      </w:r>
      <w:r>
        <w:rPr>
          <w:rFonts w:cs="Arial"/>
          <w:sz w:val="24"/>
          <w:szCs w:val="24"/>
        </w:rPr>
        <w:t xml:space="preserve"> </w:t>
      </w:r>
      <w:r w:rsidRPr="00987562">
        <w:rPr>
          <w:rFonts w:cs="Arial"/>
          <w:sz w:val="24"/>
          <w:szCs w:val="24"/>
        </w:rPr>
        <w:t>of</w:t>
      </w:r>
      <w:r>
        <w:rPr>
          <w:rFonts w:cs="Arial"/>
          <w:sz w:val="24"/>
          <w:szCs w:val="24"/>
        </w:rPr>
        <w:t xml:space="preserve"> </w:t>
      </w:r>
      <w:r w:rsidRPr="00987562">
        <w:rPr>
          <w:rFonts w:cs="Arial"/>
          <w:sz w:val="24"/>
          <w:szCs w:val="24"/>
        </w:rPr>
        <w:t>£</w:t>
      </w:r>
      <w:r w:rsidR="001D2944">
        <w:rPr>
          <w:rFonts w:cs="Arial"/>
          <w:sz w:val="24"/>
          <w:szCs w:val="24"/>
        </w:rPr>
        <w:t xml:space="preserve">17.86 (all sports), </w:t>
      </w:r>
      <w:r w:rsidR="001D2944" w:rsidRPr="00987562">
        <w:rPr>
          <w:rFonts w:cs="Arial"/>
          <w:sz w:val="24"/>
          <w:szCs w:val="24"/>
        </w:rPr>
        <w:t>£</w:t>
      </w:r>
      <w:r w:rsidR="00B467ED">
        <w:rPr>
          <w:rFonts w:cs="Arial"/>
          <w:sz w:val="24"/>
          <w:szCs w:val="24"/>
        </w:rPr>
        <w:t>9.63</w:t>
      </w:r>
      <w:r w:rsidR="001D2944">
        <w:rPr>
          <w:rFonts w:cs="Arial"/>
          <w:sz w:val="24"/>
          <w:szCs w:val="24"/>
        </w:rPr>
        <w:t xml:space="preserve"> (team sports), </w:t>
      </w:r>
      <w:r w:rsidR="001D2944" w:rsidRPr="00987562">
        <w:rPr>
          <w:rFonts w:cs="Arial"/>
          <w:sz w:val="24"/>
          <w:szCs w:val="24"/>
        </w:rPr>
        <w:t>£</w:t>
      </w:r>
      <w:r w:rsidR="00B467ED">
        <w:rPr>
          <w:rFonts w:cs="Arial"/>
          <w:sz w:val="24"/>
          <w:szCs w:val="24"/>
        </w:rPr>
        <w:t>16.34</w:t>
      </w:r>
      <w:r w:rsidR="001D2944">
        <w:rPr>
          <w:rFonts w:cs="Arial"/>
          <w:sz w:val="24"/>
          <w:szCs w:val="24"/>
        </w:rPr>
        <w:t xml:space="preserve"> (individual sports), </w:t>
      </w:r>
      <w:r w:rsidR="00B467ED" w:rsidRPr="00987562">
        <w:rPr>
          <w:rFonts w:cs="Arial"/>
          <w:sz w:val="24"/>
          <w:szCs w:val="24"/>
        </w:rPr>
        <w:t>£</w:t>
      </w:r>
      <w:r w:rsidR="00B467ED">
        <w:rPr>
          <w:rFonts w:cs="Arial"/>
          <w:sz w:val="24"/>
          <w:szCs w:val="24"/>
        </w:rPr>
        <w:t xml:space="preserve">6.84 (audience arts), </w:t>
      </w:r>
      <w:r w:rsidR="00060192" w:rsidRPr="00987562">
        <w:rPr>
          <w:rFonts w:cs="Arial"/>
          <w:sz w:val="24"/>
          <w:szCs w:val="24"/>
        </w:rPr>
        <w:t>£</w:t>
      </w:r>
      <w:r w:rsidR="00060192">
        <w:rPr>
          <w:rFonts w:cs="Arial"/>
          <w:sz w:val="24"/>
          <w:szCs w:val="24"/>
        </w:rPr>
        <w:t xml:space="preserve">3.50 (heritage), </w:t>
      </w:r>
      <w:r w:rsidR="00060192" w:rsidRPr="00987562">
        <w:rPr>
          <w:rFonts w:cs="Arial"/>
          <w:sz w:val="24"/>
          <w:szCs w:val="24"/>
        </w:rPr>
        <w:t>£</w:t>
      </w:r>
      <w:r w:rsidR="00060192">
        <w:rPr>
          <w:rFonts w:cs="Arial"/>
          <w:sz w:val="24"/>
          <w:szCs w:val="24"/>
        </w:rPr>
        <w:t xml:space="preserve">1.42 (library) and </w:t>
      </w:r>
      <w:r w:rsidR="00060192" w:rsidRPr="00987562">
        <w:rPr>
          <w:rFonts w:cs="Arial"/>
          <w:sz w:val="24"/>
          <w:szCs w:val="24"/>
        </w:rPr>
        <w:t>£</w:t>
      </w:r>
      <w:r w:rsidR="00CE756D">
        <w:rPr>
          <w:rFonts w:cs="Arial"/>
          <w:sz w:val="24"/>
          <w:szCs w:val="24"/>
        </w:rPr>
        <w:t>2.55</w:t>
      </w:r>
      <w:r w:rsidR="00976357">
        <w:rPr>
          <w:rFonts w:cs="Arial"/>
          <w:sz w:val="24"/>
          <w:szCs w:val="24"/>
        </w:rPr>
        <w:t xml:space="preserve"> (museum) per person </w:t>
      </w:r>
      <w:r w:rsidR="00C930CE">
        <w:rPr>
          <w:rFonts w:cs="Arial"/>
          <w:sz w:val="24"/>
          <w:szCs w:val="24"/>
        </w:rPr>
        <w:t xml:space="preserve">per </w:t>
      </w:r>
      <w:r w:rsidR="00976357">
        <w:rPr>
          <w:rFonts w:cs="Arial"/>
          <w:sz w:val="24"/>
          <w:szCs w:val="24"/>
        </w:rPr>
        <w:t>ann</w:t>
      </w:r>
      <w:r w:rsidR="00060192">
        <w:rPr>
          <w:rFonts w:cs="Arial"/>
          <w:sz w:val="24"/>
          <w:szCs w:val="24"/>
        </w:rPr>
        <w:t>um.</w:t>
      </w:r>
    </w:p>
    <w:p w14:paraId="05AE9520" w14:textId="77777777" w:rsidR="0000346B" w:rsidRPr="00987562" w:rsidRDefault="0000346B" w:rsidP="00987562">
      <w:pPr>
        <w:spacing w:after="0" w:line="240" w:lineRule="auto"/>
        <w:rPr>
          <w:rFonts w:cs="Arial"/>
          <w:sz w:val="24"/>
          <w:szCs w:val="24"/>
        </w:rPr>
      </w:pPr>
    </w:p>
    <w:p w14:paraId="159BAFC3" w14:textId="770D9908" w:rsidR="008039B0" w:rsidRPr="00C64B45" w:rsidRDefault="00987562" w:rsidP="00FA0573">
      <w:pPr>
        <w:pStyle w:val="ListParagraph"/>
        <w:numPr>
          <w:ilvl w:val="0"/>
          <w:numId w:val="35"/>
        </w:numPr>
        <w:spacing w:after="0" w:line="240" w:lineRule="auto"/>
        <w:rPr>
          <w:rFonts w:cs="Arial"/>
          <w:sz w:val="24"/>
          <w:szCs w:val="24"/>
        </w:rPr>
      </w:pPr>
      <w:r>
        <w:rPr>
          <w:rFonts w:cs="Arial"/>
          <w:sz w:val="24"/>
          <w:szCs w:val="24"/>
        </w:rPr>
        <w:t xml:space="preserve">Using national level data on participation rates </w:t>
      </w:r>
      <w:r w:rsidR="001F0603">
        <w:rPr>
          <w:rFonts w:cs="Arial"/>
          <w:sz w:val="24"/>
          <w:szCs w:val="24"/>
        </w:rPr>
        <w:t xml:space="preserve">in England </w:t>
      </w:r>
      <w:r>
        <w:rPr>
          <w:rFonts w:cs="Arial"/>
          <w:sz w:val="24"/>
          <w:szCs w:val="24"/>
        </w:rPr>
        <w:t>t</w:t>
      </w:r>
      <w:r w:rsidR="0000346B">
        <w:rPr>
          <w:rFonts w:cs="Arial"/>
          <w:sz w:val="24"/>
          <w:szCs w:val="24"/>
        </w:rPr>
        <w:t xml:space="preserve">he </w:t>
      </w:r>
      <w:r w:rsidR="008039B0" w:rsidRPr="00A241C7">
        <w:rPr>
          <w:rFonts w:cs="Arial"/>
          <w:sz w:val="24"/>
          <w:szCs w:val="24"/>
        </w:rPr>
        <w:t xml:space="preserve">total </w:t>
      </w:r>
      <w:r w:rsidR="008039B0" w:rsidRPr="0000346B">
        <w:rPr>
          <w:rFonts w:cs="Arial"/>
          <w:sz w:val="24"/>
          <w:szCs w:val="24"/>
        </w:rPr>
        <w:t xml:space="preserve">annual </w:t>
      </w:r>
      <w:r>
        <w:rPr>
          <w:rFonts w:cs="Arial"/>
          <w:sz w:val="24"/>
          <w:szCs w:val="24"/>
        </w:rPr>
        <w:t xml:space="preserve">NHS </w:t>
      </w:r>
      <w:r w:rsidR="0000346B">
        <w:rPr>
          <w:rFonts w:cs="Arial"/>
          <w:sz w:val="24"/>
          <w:szCs w:val="24"/>
        </w:rPr>
        <w:t>cost savings due to reduction</w:t>
      </w:r>
      <w:r>
        <w:rPr>
          <w:rFonts w:cs="Arial"/>
          <w:sz w:val="24"/>
          <w:szCs w:val="24"/>
        </w:rPr>
        <w:t>s</w:t>
      </w:r>
      <w:r w:rsidR="0000346B">
        <w:rPr>
          <w:rFonts w:cs="Arial"/>
          <w:sz w:val="24"/>
          <w:szCs w:val="24"/>
        </w:rPr>
        <w:t xml:space="preserve"> in GP visits </w:t>
      </w:r>
      <w:r>
        <w:rPr>
          <w:rFonts w:cs="Arial"/>
          <w:sz w:val="24"/>
          <w:szCs w:val="24"/>
        </w:rPr>
        <w:t xml:space="preserve">(predicted </w:t>
      </w:r>
      <w:r w:rsidR="001E257F">
        <w:rPr>
          <w:rFonts w:cs="Arial"/>
          <w:sz w:val="24"/>
          <w:szCs w:val="24"/>
        </w:rPr>
        <w:t>as a result of engaging in culture and sport</w:t>
      </w:r>
      <w:r>
        <w:rPr>
          <w:rFonts w:cs="Arial"/>
          <w:sz w:val="24"/>
          <w:szCs w:val="24"/>
        </w:rPr>
        <w:t>)</w:t>
      </w:r>
      <w:r w:rsidR="0000346B">
        <w:rPr>
          <w:rFonts w:cs="Arial"/>
          <w:sz w:val="24"/>
          <w:szCs w:val="24"/>
        </w:rPr>
        <w:t xml:space="preserve"> is</w:t>
      </w:r>
      <w:r>
        <w:rPr>
          <w:rFonts w:cs="Arial"/>
          <w:sz w:val="24"/>
          <w:szCs w:val="24"/>
        </w:rPr>
        <w:t xml:space="preserve"> estimated to be</w:t>
      </w:r>
      <w:r w:rsidR="00976357">
        <w:rPr>
          <w:rFonts w:cs="Arial"/>
          <w:sz w:val="24"/>
          <w:szCs w:val="24"/>
        </w:rPr>
        <w:t xml:space="preserve"> around </w:t>
      </w:r>
      <w:r w:rsidR="00976357" w:rsidRPr="00987562">
        <w:rPr>
          <w:rFonts w:cs="Arial"/>
          <w:sz w:val="24"/>
          <w:szCs w:val="24"/>
        </w:rPr>
        <w:t>£</w:t>
      </w:r>
      <w:r w:rsidR="00976357">
        <w:rPr>
          <w:rFonts w:cs="Arial"/>
          <w:sz w:val="24"/>
          <w:szCs w:val="24"/>
        </w:rPr>
        <w:t xml:space="preserve">384.9M (all sports), </w:t>
      </w:r>
      <w:r w:rsidR="00976357" w:rsidRPr="00987562">
        <w:rPr>
          <w:rFonts w:cs="Arial"/>
          <w:sz w:val="24"/>
          <w:szCs w:val="24"/>
        </w:rPr>
        <w:t>£</w:t>
      </w:r>
      <w:r w:rsidR="00BF1BF5">
        <w:rPr>
          <w:rFonts w:cs="Arial"/>
          <w:sz w:val="24"/>
          <w:szCs w:val="24"/>
        </w:rPr>
        <w:t>38.3</w:t>
      </w:r>
      <w:r w:rsidR="00976357">
        <w:rPr>
          <w:rFonts w:cs="Arial"/>
          <w:sz w:val="24"/>
          <w:szCs w:val="24"/>
        </w:rPr>
        <w:t xml:space="preserve">M (team sports), </w:t>
      </w:r>
      <w:r w:rsidR="00173A3C" w:rsidRPr="00987562">
        <w:rPr>
          <w:rFonts w:cs="Arial"/>
          <w:sz w:val="24"/>
          <w:szCs w:val="24"/>
        </w:rPr>
        <w:t>£</w:t>
      </w:r>
      <w:r w:rsidR="00BF1BF5">
        <w:rPr>
          <w:rFonts w:cs="Arial"/>
          <w:sz w:val="24"/>
          <w:szCs w:val="24"/>
        </w:rPr>
        <w:t>347.0</w:t>
      </w:r>
      <w:r w:rsidR="00173A3C">
        <w:rPr>
          <w:rFonts w:cs="Arial"/>
          <w:sz w:val="24"/>
          <w:szCs w:val="24"/>
        </w:rPr>
        <w:t xml:space="preserve">M (individual sports), </w:t>
      </w:r>
      <w:r w:rsidR="00930288" w:rsidRPr="00987562">
        <w:rPr>
          <w:rFonts w:cs="Arial"/>
          <w:sz w:val="24"/>
          <w:szCs w:val="24"/>
        </w:rPr>
        <w:t>£</w:t>
      </w:r>
      <w:r w:rsidR="00BF1BF5">
        <w:rPr>
          <w:rFonts w:cs="Arial"/>
          <w:sz w:val="24"/>
          <w:szCs w:val="24"/>
        </w:rPr>
        <w:t>168.8</w:t>
      </w:r>
      <w:r w:rsidR="0044078D">
        <w:rPr>
          <w:rFonts w:cs="Arial"/>
          <w:sz w:val="24"/>
          <w:szCs w:val="24"/>
        </w:rPr>
        <w:t>M</w:t>
      </w:r>
      <w:r w:rsidR="00930288">
        <w:rPr>
          <w:rFonts w:cs="Arial"/>
          <w:sz w:val="24"/>
          <w:szCs w:val="24"/>
        </w:rPr>
        <w:t xml:space="preserve"> (audience arts), </w:t>
      </w:r>
      <w:r w:rsidR="0044078D" w:rsidRPr="00987562">
        <w:rPr>
          <w:rFonts w:cs="Arial"/>
          <w:sz w:val="24"/>
          <w:szCs w:val="24"/>
        </w:rPr>
        <w:t>£</w:t>
      </w:r>
      <w:r w:rsidR="00BF1BF5">
        <w:rPr>
          <w:rFonts w:cs="Arial"/>
          <w:sz w:val="24"/>
          <w:szCs w:val="24"/>
        </w:rPr>
        <w:t>82.2</w:t>
      </w:r>
      <w:r w:rsidR="0044078D">
        <w:rPr>
          <w:rFonts w:cs="Arial"/>
          <w:sz w:val="24"/>
          <w:szCs w:val="24"/>
        </w:rPr>
        <w:t>M (</w:t>
      </w:r>
      <w:r w:rsidR="00C64B45">
        <w:rPr>
          <w:rFonts w:cs="Arial"/>
          <w:sz w:val="24"/>
          <w:szCs w:val="24"/>
        </w:rPr>
        <w:t xml:space="preserve">heritage), </w:t>
      </w:r>
      <w:r w:rsidR="00C64B45" w:rsidRPr="00987562">
        <w:rPr>
          <w:rFonts w:cs="Arial"/>
          <w:sz w:val="24"/>
          <w:szCs w:val="24"/>
        </w:rPr>
        <w:t>£</w:t>
      </w:r>
      <w:r w:rsidR="00C930CE">
        <w:rPr>
          <w:rFonts w:cs="Arial"/>
          <w:sz w:val="24"/>
          <w:szCs w:val="24"/>
        </w:rPr>
        <w:t>18</w:t>
      </w:r>
      <w:r w:rsidR="00C64B45">
        <w:rPr>
          <w:rFonts w:cs="Arial"/>
          <w:sz w:val="24"/>
          <w:szCs w:val="24"/>
        </w:rPr>
        <w:t xml:space="preserve">M (library) and </w:t>
      </w:r>
      <w:r w:rsidR="00C64B45" w:rsidRPr="00987562">
        <w:rPr>
          <w:rFonts w:cs="Arial"/>
          <w:sz w:val="24"/>
          <w:szCs w:val="24"/>
        </w:rPr>
        <w:t>£</w:t>
      </w:r>
      <w:r w:rsidR="00BF1BF5">
        <w:rPr>
          <w:rFonts w:cs="Arial"/>
          <w:sz w:val="24"/>
          <w:szCs w:val="24"/>
        </w:rPr>
        <w:t>44.7</w:t>
      </w:r>
      <w:r w:rsidR="00C64B45">
        <w:rPr>
          <w:rFonts w:cs="Arial"/>
          <w:sz w:val="24"/>
          <w:szCs w:val="24"/>
        </w:rPr>
        <w:t xml:space="preserve">M (museum). </w:t>
      </w:r>
      <w:r>
        <w:rPr>
          <w:rFonts w:ascii="Calibri" w:eastAsia="Times New Roman" w:hAnsi="Calibri" w:cs="Times New Roman"/>
          <w:color w:val="000000"/>
          <w:sz w:val="24"/>
          <w:szCs w:val="24"/>
          <w:lang w:val="en-US"/>
        </w:rPr>
        <w:t xml:space="preserve">These are estimates related only to </w:t>
      </w:r>
      <w:r w:rsidR="00C64B45">
        <w:rPr>
          <w:rFonts w:ascii="Calibri" w:eastAsia="Times New Roman" w:hAnsi="Calibri" w:cs="Times New Roman"/>
          <w:color w:val="000000"/>
          <w:sz w:val="24"/>
          <w:szCs w:val="24"/>
          <w:lang w:val="en-US"/>
        </w:rPr>
        <w:t>reductions in GP visits</w:t>
      </w:r>
      <w:r>
        <w:rPr>
          <w:rFonts w:ascii="Calibri" w:eastAsia="Times New Roman" w:hAnsi="Calibri" w:cs="Times New Roman"/>
          <w:color w:val="000000"/>
          <w:sz w:val="24"/>
          <w:szCs w:val="24"/>
          <w:lang w:val="en-US"/>
        </w:rPr>
        <w:t>. There may be knock-on positive o</w:t>
      </w:r>
      <w:r w:rsidR="00037EE6">
        <w:rPr>
          <w:rFonts w:ascii="Calibri" w:eastAsia="Times New Roman" w:hAnsi="Calibri" w:cs="Times New Roman"/>
          <w:color w:val="000000"/>
          <w:sz w:val="24"/>
          <w:szCs w:val="24"/>
          <w:lang w:val="en-US"/>
        </w:rPr>
        <w:t>r</w:t>
      </w:r>
      <w:r>
        <w:rPr>
          <w:rFonts w:ascii="Calibri" w:eastAsia="Times New Roman" w:hAnsi="Calibri" w:cs="Times New Roman"/>
          <w:color w:val="000000"/>
          <w:sz w:val="24"/>
          <w:szCs w:val="24"/>
          <w:lang w:val="en-US"/>
        </w:rPr>
        <w:t xml:space="preserve"> negative effects that impact on society </w:t>
      </w:r>
      <w:r w:rsidRPr="00C64B45">
        <w:rPr>
          <w:rFonts w:ascii="Calibri" w:eastAsia="Times New Roman" w:hAnsi="Calibri" w:cs="Times New Roman"/>
          <w:color w:val="000000"/>
          <w:sz w:val="24"/>
          <w:szCs w:val="24"/>
          <w:lang w:val="en-US"/>
        </w:rPr>
        <w:t>elsewhere.</w:t>
      </w:r>
    </w:p>
    <w:p w14:paraId="10B29C17" w14:textId="77777777" w:rsidR="00976357" w:rsidRPr="00976357" w:rsidRDefault="00976357" w:rsidP="00976357">
      <w:pPr>
        <w:spacing w:after="0" w:line="240" w:lineRule="auto"/>
        <w:rPr>
          <w:rFonts w:cs="Arial"/>
          <w:sz w:val="24"/>
          <w:szCs w:val="24"/>
        </w:rPr>
      </w:pPr>
    </w:p>
    <w:p w14:paraId="2F1AE670" w14:textId="690D4C07" w:rsidR="00976357" w:rsidRPr="00FA0017" w:rsidRDefault="00C64B45" w:rsidP="00FA0573">
      <w:pPr>
        <w:pStyle w:val="ListParagraph"/>
        <w:numPr>
          <w:ilvl w:val="0"/>
          <w:numId w:val="35"/>
        </w:numPr>
        <w:spacing w:after="0" w:line="240" w:lineRule="auto"/>
        <w:rPr>
          <w:rFonts w:cs="Arial"/>
          <w:sz w:val="24"/>
          <w:szCs w:val="24"/>
        </w:rPr>
      </w:pPr>
      <w:r>
        <w:rPr>
          <w:rFonts w:cs="Arial"/>
          <w:sz w:val="24"/>
          <w:szCs w:val="24"/>
        </w:rPr>
        <w:t xml:space="preserve">Using national level data on participation rates the </w:t>
      </w:r>
      <w:r w:rsidRPr="00A241C7">
        <w:rPr>
          <w:rFonts w:cs="Arial"/>
          <w:sz w:val="24"/>
          <w:szCs w:val="24"/>
        </w:rPr>
        <w:t xml:space="preserve">total </w:t>
      </w:r>
      <w:r w:rsidRPr="0000346B">
        <w:rPr>
          <w:rFonts w:cs="Arial"/>
          <w:sz w:val="24"/>
          <w:szCs w:val="24"/>
        </w:rPr>
        <w:t xml:space="preserve">annual </w:t>
      </w:r>
      <w:r>
        <w:rPr>
          <w:rFonts w:cs="Arial"/>
          <w:sz w:val="24"/>
          <w:szCs w:val="24"/>
        </w:rPr>
        <w:t>NHS cost savings</w:t>
      </w:r>
      <w:r w:rsidR="001F0603">
        <w:rPr>
          <w:rFonts w:cs="Arial"/>
          <w:sz w:val="24"/>
          <w:szCs w:val="24"/>
        </w:rPr>
        <w:t xml:space="preserve"> in England</w:t>
      </w:r>
      <w:r>
        <w:rPr>
          <w:rFonts w:cs="Arial"/>
          <w:sz w:val="24"/>
          <w:szCs w:val="24"/>
        </w:rPr>
        <w:t xml:space="preserve"> due to reductions in the use of mental health services (predicted as a result of engaging in culture and sport) is estimated to be around </w:t>
      </w:r>
      <w:r w:rsidRPr="00987562">
        <w:rPr>
          <w:rFonts w:cs="Arial"/>
          <w:sz w:val="24"/>
          <w:szCs w:val="24"/>
        </w:rPr>
        <w:t>£</w:t>
      </w:r>
      <w:r w:rsidR="00BF1BF5">
        <w:rPr>
          <w:rFonts w:cs="Arial"/>
          <w:sz w:val="24"/>
          <w:szCs w:val="24"/>
        </w:rPr>
        <w:t>518.8</w:t>
      </w:r>
      <w:r>
        <w:rPr>
          <w:rFonts w:cs="Arial"/>
          <w:sz w:val="24"/>
          <w:szCs w:val="24"/>
        </w:rPr>
        <w:t xml:space="preserve">M (all sports), </w:t>
      </w:r>
      <w:r w:rsidRPr="00987562">
        <w:rPr>
          <w:rFonts w:cs="Arial"/>
          <w:sz w:val="24"/>
          <w:szCs w:val="24"/>
        </w:rPr>
        <w:t>£</w:t>
      </w:r>
      <w:r w:rsidR="00BF1BF5">
        <w:rPr>
          <w:rFonts w:cs="Arial"/>
          <w:sz w:val="24"/>
          <w:szCs w:val="24"/>
        </w:rPr>
        <w:t>51.7</w:t>
      </w:r>
      <w:r>
        <w:rPr>
          <w:rFonts w:cs="Arial"/>
          <w:sz w:val="24"/>
          <w:szCs w:val="24"/>
        </w:rPr>
        <w:t>M (</w:t>
      </w:r>
      <w:r w:rsidR="00B13575">
        <w:rPr>
          <w:rFonts w:cs="Arial"/>
          <w:sz w:val="24"/>
          <w:szCs w:val="24"/>
        </w:rPr>
        <w:t>team sports</w:t>
      </w:r>
      <w:r>
        <w:rPr>
          <w:rFonts w:cs="Arial"/>
          <w:sz w:val="24"/>
          <w:szCs w:val="24"/>
        </w:rPr>
        <w:t xml:space="preserve">), </w:t>
      </w:r>
      <w:r w:rsidRPr="00987562">
        <w:rPr>
          <w:rFonts w:cs="Arial"/>
          <w:sz w:val="24"/>
          <w:szCs w:val="24"/>
        </w:rPr>
        <w:t>£</w:t>
      </w:r>
      <w:r w:rsidR="00BF1BF5">
        <w:rPr>
          <w:rFonts w:cs="Arial"/>
          <w:sz w:val="24"/>
          <w:szCs w:val="24"/>
        </w:rPr>
        <w:t>467.9</w:t>
      </w:r>
      <w:r>
        <w:rPr>
          <w:rFonts w:cs="Arial"/>
          <w:sz w:val="24"/>
          <w:szCs w:val="24"/>
        </w:rPr>
        <w:t xml:space="preserve">M (individual sports), </w:t>
      </w:r>
      <w:r w:rsidRPr="00987562">
        <w:rPr>
          <w:rFonts w:cs="Arial"/>
          <w:sz w:val="24"/>
          <w:szCs w:val="24"/>
        </w:rPr>
        <w:t>£</w:t>
      </w:r>
      <w:r w:rsidR="00BF1BF5">
        <w:rPr>
          <w:rFonts w:cs="Arial"/>
          <w:sz w:val="24"/>
          <w:szCs w:val="24"/>
        </w:rPr>
        <w:t>227.8</w:t>
      </w:r>
      <w:r>
        <w:rPr>
          <w:rFonts w:cs="Arial"/>
          <w:sz w:val="24"/>
          <w:szCs w:val="24"/>
        </w:rPr>
        <w:t xml:space="preserve">M (audience arts), </w:t>
      </w:r>
      <w:r w:rsidRPr="00987562">
        <w:rPr>
          <w:rFonts w:cs="Arial"/>
          <w:sz w:val="24"/>
          <w:szCs w:val="24"/>
        </w:rPr>
        <w:t>£</w:t>
      </w:r>
      <w:r w:rsidR="00BF1BF5">
        <w:rPr>
          <w:rFonts w:cs="Arial"/>
          <w:sz w:val="24"/>
          <w:szCs w:val="24"/>
        </w:rPr>
        <w:t>111.1</w:t>
      </w:r>
      <w:r>
        <w:rPr>
          <w:rFonts w:cs="Arial"/>
          <w:sz w:val="24"/>
          <w:szCs w:val="24"/>
        </w:rPr>
        <w:t xml:space="preserve">M (heritage), </w:t>
      </w:r>
      <w:r w:rsidRPr="00987562">
        <w:rPr>
          <w:rFonts w:cs="Arial"/>
          <w:sz w:val="24"/>
          <w:szCs w:val="24"/>
        </w:rPr>
        <w:t>£</w:t>
      </w:r>
      <w:r w:rsidR="00BF1BF5">
        <w:rPr>
          <w:rFonts w:cs="Arial"/>
          <w:sz w:val="24"/>
          <w:szCs w:val="24"/>
        </w:rPr>
        <w:t>24.3</w:t>
      </w:r>
      <w:r>
        <w:rPr>
          <w:rFonts w:cs="Arial"/>
          <w:sz w:val="24"/>
          <w:szCs w:val="24"/>
        </w:rPr>
        <w:t xml:space="preserve">M (library) and </w:t>
      </w:r>
      <w:r w:rsidRPr="00987562">
        <w:rPr>
          <w:rFonts w:cs="Arial"/>
          <w:sz w:val="24"/>
          <w:szCs w:val="24"/>
        </w:rPr>
        <w:t>£</w:t>
      </w:r>
      <w:r w:rsidR="00BF1BF5">
        <w:rPr>
          <w:rFonts w:cs="Arial"/>
          <w:sz w:val="24"/>
          <w:szCs w:val="24"/>
        </w:rPr>
        <w:t>60.3</w:t>
      </w:r>
      <w:r>
        <w:rPr>
          <w:rFonts w:cs="Arial"/>
          <w:sz w:val="24"/>
          <w:szCs w:val="24"/>
        </w:rPr>
        <w:t xml:space="preserve">M (museum). </w:t>
      </w:r>
      <w:r w:rsidRPr="00197151">
        <w:rPr>
          <w:rFonts w:ascii="Calibri" w:eastAsia="Times New Roman" w:hAnsi="Calibri" w:cs="Times New Roman"/>
          <w:color w:val="000000"/>
          <w:sz w:val="24"/>
          <w:szCs w:val="24"/>
          <w:lang w:val="en-US"/>
        </w:rPr>
        <w:t>These are estimates related only to reductions in the use of mental health services.</w:t>
      </w:r>
      <w:r>
        <w:rPr>
          <w:rFonts w:ascii="Calibri" w:eastAsia="Times New Roman" w:hAnsi="Calibri" w:cs="Times New Roman"/>
          <w:color w:val="000000"/>
          <w:sz w:val="24"/>
          <w:szCs w:val="24"/>
          <w:lang w:val="en-US"/>
        </w:rPr>
        <w:t xml:space="preserve"> There may be knock-on positive or negative effects that impact on society elsewhere.</w:t>
      </w:r>
    </w:p>
    <w:p w14:paraId="3607267D" w14:textId="77777777" w:rsidR="00CF283C" w:rsidRDefault="00CF283C" w:rsidP="00CF283C">
      <w:pPr>
        <w:spacing w:after="0" w:line="240" w:lineRule="auto"/>
        <w:rPr>
          <w:rFonts w:cs="Arial"/>
          <w:sz w:val="24"/>
          <w:szCs w:val="24"/>
        </w:rPr>
      </w:pPr>
    </w:p>
    <w:p w14:paraId="4B5C4E0B" w14:textId="77777777" w:rsidR="00FA0017" w:rsidRDefault="00FA0017" w:rsidP="00CF283C">
      <w:pPr>
        <w:spacing w:after="0" w:line="240" w:lineRule="auto"/>
        <w:rPr>
          <w:rFonts w:cs="Arial"/>
          <w:b/>
          <w:sz w:val="24"/>
          <w:szCs w:val="24"/>
        </w:rPr>
      </w:pPr>
      <w:r>
        <w:rPr>
          <w:rFonts w:cs="Arial"/>
          <w:b/>
          <w:sz w:val="24"/>
          <w:szCs w:val="24"/>
        </w:rPr>
        <w:t>Summary of potential health and medical service usage savings from culture and sport</w:t>
      </w:r>
    </w:p>
    <w:p w14:paraId="2F2AE486" w14:textId="77777777" w:rsidR="00FA0017" w:rsidRDefault="00FA0017" w:rsidP="00CF283C">
      <w:pPr>
        <w:spacing w:after="0" w:line="240" w:lineRule="auto"/>
        <w:rPr>
          <w:rFonts w:cs="Arial"/>
          <w:sz w:val="24"/>
          <w:szCs w:val="24"/>
        </w:rPr>
      </w:pPr>
    </w:p>
    <w:tbl>
      <w:tblPr>
        <w:tblW w:w="9747" w:type="dxa"/>
        <w:tblInd w:w="93" w:type="dxa"/>
        <w:tblLayout w:type="fixed"/>
        <w:tblLook w:val="04A0" w:firstRow="1" w:lastRow="0" w:firstColumn="1" w:lastColumn="0" w:noHBand="0" w:noVBand="1"/>
      </w:tblPr>
      <w:tblGrid>
        <w:gridCol w:w="1185"/>
        <w:gridCol w:w="1620"/>
        <w:gridCol w:w="1127"/>
        <w:gridCol w:w="1620"/>
        <w:gridCol w:w="1213"/>
        <w:gridCol w:w="1260"/>
        <w:gridCol w:w="1722"/>
      </w:tblGrid>
      <w:tr w:rsidR="00CF283C" w:rsidRPr="00725045" w14:paraId="24EDC063" w14:textId="77777777" w:rsidTr="00FA0017">
        <w:trPr>
          <w:trHeight w:val="2540"/>
        </w:trPr>
        <w:tc>
          <w:tcPr>
            <w:tcW w:w="1185" w:type="dxa"/>
            <w:tcBorders>
              <w:top w:val="single" w:sz="8" w:space="0" w:color="auto"/>
              <w:left w:val="single" w:sz="8" w:space="0" w:color="auto"/>
              <w:bottom w:val="nil"/>
              <w:right w:val="nil"/>
            </w:tcBorders>
            <w:shd w:val="clear" w:color="000000" w:fill="0070C0"/>
            <w:vAlign w:val="center"/>
            <w:hideMark/>
          </w:tcPr>
          <w:p w14:paraId="1B8DAB12" w14:textId="77777777" w:rsidR="00CF283C" w:rsidRPr="00725045" w:rsidRDefault="00CF283C" w:rsidP="00CF283C">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Activity</w:t>
            </w:r>
          </w:p>
        </w:tc>
        <w:tc>
          <w:tcPr>
            <w:tcW w:w="1620" w:type="dxa"/>
            <w:tcBorders>
              <w:top w:val="single" w:sz="8" w:space="0" w:color="auto"/>
              <w:left w:val="single" w:sz="8" w:space="0" w:color="auto"/>
              <w:bottom w:val="nil"/>
              <w:right w:val="single" w:sz="8" w:space="0" w:color="auto"/>
            </w:tcBorders>
            <w:shd w:val="clear" w:color="000000" w:fill="0070C0"/>
            <w:vAlign w:val="center"/>
            <w:hideMark/>
          </w:tcPr>
          <w:p w14:paraId="24E88278" w14:textId="77777777" w:rsidR="00CF283C" w:rsidRPr="00725045" w:rsidRDefault="00CF283C" w:rsidP="00CF283C">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Type of impact</w:t>
            </w:r>
          </w:p>
        </w:tc>
        <w:tc>
          <w:tcPr>
            <w:tcW w:w="1127" w:type="dxa"/>
            <w:tcBorders>
              <w:top w:val="single" w:sz="8" w:space="0" w:color="auto"/>
              <w:left w:val="nil"/>
              <w:bottom w:val="nil"/>
              <w:right w:val="single" w:sz="8" w:space="0" w:color="auto"/>
            </w:tcBorders>
            <w:shd w:val="clear" w:color="000000" w:fill="0070C0"/>
            <w:vAlign w:val="center"/>
            <w:hideMark/>
          </w:tcPr>
          <w:p w14:paraId="06E20087" w14:textId="77777777" w:rsidR="00CF283C" w:rsidRPr="00725045" w:rsidRDefault="00BC740B" w:rsidP="00CF283C">
            <w:pPr>
              <w:spacing w:after="0" w:line="240" w:lineRule="auto"/>
              <w:ind w:hanging="151"/>
              <w:jc w:val="center"/>
              <w:rPr>
                <w:rFonts w:ascii="Calibri" w:eastAsia="Times New Roman" w:hAnsi="Calibri" w:cs="Times New Roman"/>
                <w:b/>
                <w:bCs/>
                <w:color w:val="FFFFFF"/>
                <w:lang w:val="en-US"/>
              </w:rPr>
            </w:pPr>
            <w:r>
              <w:rPr>
                <w:rFonts w:ascii="Calibri" w:eastAsia="Times New Roman" w:hAnsi="Calibri" w:cs="Times New Roman"/>
                <w:b/>
                <w:bCs/>
                <w:color w:val="FFFFFF"/>
                <w:lang w:val="en-US"/>
              </w:rPr>
              <w:t xml:space="preserve">Increase in </w:t>
            </w:r>
            <w:r w:rsidR="00CF283C" w:rsidRPr="00725045">
              <w:rPr>
                <w:rFonts w:ascii="Calibri" w:eastAsia="Times New Roman" w:hAnsi="Calibri" w:cs="Times New Roman"/>
                <w:b/>
                <w:bCs/>
                <w:color w:val="FFFFFF"/>
                <w:lang w:val="en-US"/>
              </w:rPr>
              <w:t xml:space="preserve"> likelihood of reporting good general health</w:t>
            </w:r>
          </w:p>
        </w:tc>
        <w:tc>
          <w:tcPr>
            <w:tcW w:w="1620" w:type="dxa"/>
            <w:tcBorders>
              <w:top w:val="single" w:sz="8" w:space="0" w:color="auto"/>
              <w:left w:val="nil"/>
              <w:bottom w:val="nil"/>
              <w:right w:val="single" w:sz="8" w:space="0" w:color="auto"/>
            </w:tcBorders>
            <w:shd w:val="clear" w:color="000000" w:fill="0070C0"/>
            <w:vAlign w:val="center"/>
            <w:hideMark/>
          </w:tcPr>
          <w:p w14:paraId="273AE0BC" w14:textId="77777777" w:rsidR="00CF283C" w:rsidRPr="00725045" w:rsidRDefault="00BC740B" w:rsidP="00BC740B">
            <w:pPr>
              <w:spacing w:after="0" w:line="240" w:lineRule="auto"/>
              <w:jc w:val="center"/>
              <w:rPr>
                <w:rFonts w:ascii="Calibri" w:eastAsia="Times New Roman" w:hAnsi="Calibri" w:cs="Times New Roman"/>
                <w:b/>
                <w:bCs/>
                <w:color w:val="FFFFFF"/>
                <w:lang w:val="en-US"/>
              </w:rPr>
            </w:pPr>
            <w:r>
              <w:rPr>
                <w:rFonts w:ascii="Calibri" w:eastAsia="Times New Roman" w:hAnsi="Calibri" w:cs="Times New Roman"/>
                <w:b/>
                <w:bCs/>
                <w:color w:val="FFFFFF"/>
                <w:lang w:val="en-US"/>
              </w:rPr>
              <w:t xml:space="preserve">Reduced likelihood of </w:t>
            </w:r>
            <w:r w:rsidR="00CF283C" w:rsidRPr="00725045">
              <w:rPr>
                <w:rFonts w:ascii="Calibri" w:eastAsia="Times New Roman" w:hAnsi="Calibri" w:cs="Times New Roman"/>
                <w:b/>
                <w:bCs/>
                <w:color w:val="FFFFFF"/>
                <w:lang w:val="en-US"/>
              </w:rPr>
              <w:t>visit</w:t>
            </w:r>
            <w:r w:rsidR="00ED497A">
              <w:rPr>
                <w:rFonts w:ascii="Calibri" w:eastAsia="Times New Roman" w:hAnsi="Calibri" w:cs="Times New Roman"/>
                <w:b/>
                <w:bCs/>
                <w:color w:val="FFFFFF"/>
                <w:lang w:val="en-US"/>
              </w:rPr>
              <w:t>ing</w:t>
            </w:r>
            <w:r w:rsidR="00CF283C" w:rsidRPr="00725045">
              <w:rPr>
                <w:rFonts w:ascii="Calibri" w:eastAsia="Times New Roman" w:hAnsi="Calibri" w:cs="Times New Roman"/>
                <w:b/>
                <w:bCs/>
                <w:color w:val="FFFFFF"/>
                <w:lang w:val="en-US"/>
              </w:rPr>
              <w:t xml:space="preserve"> GP 6+ times</w:t>
            </w:r>
            <w:r w:rsidR="00ED497A">
              <w:rPr>
                <w:rFonts w:ascii="Calibri" w:eastAsia="Times New Roman" w:hAnsi="Calibri" w:cs="Times New Roman"/>
                <w:b/>
                <w:bCs/>
                <w:color w:val="FFFFFF"/>
                <w:lang w:val="en-US"/>
              </w:rPr>
              <w:t xml:space="preserve"> per yr</w:t>
            </w:r>
            <w:r w:rsidR="00CF283C" w:rsidRPr="00725045">
              <w:rPr>
                <w:rFonts w:ascii="Calibri" w:eastAsia="Times New Roman" w:hAnsi="Calibri" w:cs="Times New Roman"/>
                <w:b/>
                <w:bCs/>
                <w:color w:val="FFFFFF"/>
                <w:lang w:val="en-US"/>
              </w:rPr>
              <w:t>/ using psychotherapy</w:t>
            </w:r>
            <w:r w:rsidR="008C3C8C">
              <w:rPr>
                <w:rFonts w:ascii="Calibri" w:eastAsia="Times New Roman" w:hAnsi="Calibri" w:cs="Times New Roman"/>
                <w:b/>
                <w:bCs/>
                <w:color w:val="FFFFFF"/>
                <w:lang w:val="en-US"/>
              </w:rPr>
              <w:t xml:space="preserve"> services</w:t>
            </w:r>
            <w:r>
              <w:rPr>
                <w:rFonts w:ascii="Calibri" w:eastAsia="Times New Roman" w:hAnsi="Calibri" w:cs="Times New Roman"/>
                <w:b/>
                <w:bCs/>
                <w:color w:val="FFFFFF"/>
                <w:lang w:val="en-US"/>
              </w:rPr>
              <w:t xml:space="preserve"> </w:t>
            </w:r>
          </w:p>
        </w:tc>
        <w:tc>
          <w:tcPr>
            <w:tcW w:w="1213" w:type="dxa"/>
            <w:tcBorders>
              <w:top w:val="single" w:sz="8" w:space="0" w:color="auto"/>
              <w:left w:val="nil"/>
              <w:bottom w:val="nil"/>
              <w:right w:val="single" w:sz="8" w:space="0" w:color="auto"/>
            </w:tcBorders>
            <w:shd w:val="clear" w:color="000000" w:fill="0070C0"/>
            <w:vAlign w:val="center"/>
            <w:hideMark/>
          </w:tcPr>
          <w:p w14:paraId="18CC4DC9" w14:textId="77777777" w:rsidR="00CF283C" w:rsidRPr="00725045" w:rsidRDefault="00CF283C" w:rsidP="008C3C8C">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Estimated annual cost savings</w:t>
            </w:r>
            <w:r w:rsidR="008C3C8C">
              <w:rPr>
                <w:rFonts w:ascii="Calibri" w:eastAsia="Times New Roman" w:hAnsi="Calibri" w:cs="Times New Roman"/>
                <w:b/>
                <w:bCs/>
                <w:color w:val="FFFFFF"/>
                <w:lang w:val="en-US"/>
              </w:rPr>
              <w:t xml:space="preserve"> (per </w:t>
            </w:r>
            <w:r w:rsidRPr="00725045">
              <w:rPr>
                <w:rFonts w:ascii="Calibri" w:eastAsia="Times New Roman" w:hAnsi="Calibri" w:cs="Times New Roman"/>
                <w:b/>
                <w:bCs/>
                <w:color w:val="FFFFFF"/>
                <w:lang w:val="en-US"/>
              </w:rPr>
              <w:t>person</w:t>
            </w:r>
            <w:r w:rsidR="008C3C8C">
              <w:rPr>
                <w:rFonts w:ascii="Calibri" w:eastAsia="Times New Roman" w:hAnsi="Calibri" w:cs="Times New Roman"/>
                <w:b/>
                <w:bCs/>
                <w:color w:val="FFFFFF"/>
                <w:lang w:val="en-US"/>
              </w:rPr>
              <w:t>)</w:t>
            </w:r>
            <w:r w:rsidRPr="00725045">
              <w:rPr>
                <w:rFonts w:ascii="Calibri" w:eastAsia="Times New Roman" w:hAnsi="Calibri" w:cs="Times New Roman"/>
                <w:b/>
                <w:bCs/>
                <w:color w:val="FFFFFF"/>
                <w:lang w:val="en-US"/>
              </w:rPr>
              <w:t xml:space="preserve"> </w:t>
            </w:r>
          </w:p>
        </w:tc>
        <w:tc>
          <w:tcPr>
            <w:tcW w:w="1260" w:type="dxa"/>
            <w:tcBorders>
              <w:top w:val="single" w:sz="8" w:space="0" w:color="auto"/>
              <w:left w:val="nil"/>
              <w:bottom w:val="nil"/>
              <w:right w:val="single" w:sz="8" w:space="0" w:color="auto"/>
            </w:tcBorders>
            <w:shd w:val="clear" w:color="000000" w:fill="0070C0"/>
            <w:vAlign w:val="center"/>
            <w:hideMark/>
          </w:tcPr>
          <w:p w14:paraId="70D0E86A" w14:textId="77777777" w:rsidR="00CF283C" w:rsidRPr="00725045" w:rsidRDefault="008C3C8C" w:rsidP="00CF283C">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 xml:space="preserve">Estimated </w:t>
            </w:r>
            <w:r>
              <w:rPr>
                <w:rFonts w:ascii="Calibri" w:eastAsia="Times New Roman" w:hAnsi="Calibri" w:cs="Times New Roman"/>
                <w:b/>
                <w:bCs/>
                <w:color w:val="FFFFFF"/>
                <w:lang w:val="en-US"/>
              </w:rPr>
              <w:t>p</w:t>
            </w:r>
            <w:r w:rsidR="00CF283C" w:rsidRPr="00725045">
              <w:rPr>
                <w:rFonts w:ascii="Calibri" w:eastAsia="Times New Roman" w:hAnsi="Calibri" w:cs="Times New Roman"/>
                <w:b/>
                <w:bCs/>
                <w:color w:val="FFFFFF"/>
                <w:lang w:val="en-US"/>
              </w:rPr>
              <w:t>opulation level annual NHS cost savings</w:t>
            </w:r>
          </w:p>
        </w:tc>
        <w:tc>
          <w:tcPr>
            <w:tcW w:w="1722" w:type="dxa"/>
            <w:tcBorders>
              <w:top w:val="single" w:sz="8" w:space="0" w:color="auto"/>
              <w:left w:val="nil"/>
              <w:right w:val="single" w:sz="8" w:space="0" w:color="auto"/>
            </w:tcBorders>
            <w:shd w:val="clear" w:color="000000" w:fill="0070C0"/>
            <w:vAlign w:val="center"/>
            <w:hideMark/>
          </w:tcPr>
          <w:p w14:paraId="197126E4" w14:textId="77777777" w:rsidR="00CF283C" w:rsidRPr="00725045" w:rsidRDefault="00CF283C" w:rsidP="00CF283C">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Total potent</w:t>
            </w:r>
            <w:r>
              <w:rPr>
                <w:rFonts w:ascii="Calibri" w:eastAsia="Times New Roman" w:hAnsi="Calibri" w:cs="Times New Roman"/>
                <w:b/>
                <w:bCs/>
                <w:color w:val="FFFFFF"/>
                <w:lang w:val="en-US"/>
              </w:rPr>
              <w:t xml:space="preserve">ial NHS cost savings (GP visits + </w:t>
            </w:r>
            <w:r w:rsidRPr="00725045">
              <w:rPr>
                <w:rFonts w:ascii="Calibri" w:eastAsia="Times New Roman" w:hAnsi="Calibri" w:cs="Times New Roman"/>
                <w:b/>
                <w:bCs/>
                <w:color w:val="FFFFFF"/>
                <w:lang w:val="en-US"/>
              </w:rPr>
              <w:t>Psychotherapy)</w:t>
            </w:r>
          </w:p>
        </w:tc>
      </w:tr>
      <w:tr w:rsidR="00CF283C" w:rsidRPr="00725045" w14:paraId="0B44834D" w14:textId="77777777" w:rsidTr="00FA0017">
        <w:trPr>
          <w:trHeight w:val="340"/>
        </w:trPr>
        <w:tc>
          <w:tcPr>
            <w:tcW w:w="11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FA5B59" w14:textId="77777777" w:rsidR="00CF283C" w:rsidRPr="00725045" w:rsidRDefault="00D70A18" w:rsidP="00CF283C">
            <w:pPr>
              <w:spacing w:after="0" w:line="240" w:lineRule="auto"/>
              <w:jc w:val="center"/>
              <w:rPr>
                <w:rFonts w:ascii="Calibri" w:eastAsia="Times New Roman" w:hAnsi="Calibri" w:cs="Times New Roman"/>
                <w:b/>
                <w:bCs/>
                <w:i/>
                <w:iCs/>
                <w:color w:val="000000"/>
                <w:lang w:val="en-US"/>
              </w:rPr>
            </w:pPr>
            <w:r>
              <w:rPr>
                <w:rFonts w:ascii="Calibri" w:eastAsia="Times New Roman" w:hAnsi="Calibri" w:cs="Times New Roman"/>
                <w:b/>
                <w:bCs/>
                <w:i/>
                <w:iCs/>
                <w:color w:val="000000"/>
                <w:lang w:val="en-US"/>
              </w:rPr>
              <w:t>S</w:t>
            </w:r>
            <w:r w:rsidR="00CF283C" w:rsidRPr="00725045">
              <w:rPr>
                <w:rFonts w:ascii="Calibri" w:eastAsia="Times New Roman" w:hAnsi="Calibri" w:cs="Times New Roman"/>
                <w:b/>
                <w:bCs/>
                <w:i/>
                <w:iCs/>
                <w:color w:val="000000"/>
                <w:lang w:val="en-US"/>
              </w:rPr>
              <w:t>ports</w:t>
            </w:r>
          </w:p>
        </w:tc>
        <w:tc>
          <w:tcPr>
            <w:tcW w:w="1620" w:type="dxa"/>
            <w:tcBorders>
              <w:top w:val="nil"/>
              <w:left w:val="nil"/>
              <w:right w:val="single" w:sz="8" w:space="0" w:color="auto"/>
            </w:tcBorders>
            <w:shd w:val="clear" w:color="000000" w:fill="FFFFFF"/>
            <w:vAlign w:val="center"/>
            <w:hideMark/>
          </w:tcPr>
          <w:p w14:paraId="528F46D0"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9C7F77"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14.10%</w:t>
            </w:r>
          </w:p>
        </w:tc>
        <w:tc>
          <w:tcPr>
            <w:tcW w:w="1620" w:type="dxa"/>
            <w:tcBorders>
              <w:top w:val="nil"/>
              <w:left w:val="nil"/>
              <w:right w:val="single" w:sz="8" w:space="0" w:color="auto"/>
            </w:tcBorders>
            <w:shd w:val="clear" w:color="000000" w:fill="FFFFFF"/>
            <w:noWrap/>
            <w:vAlign w:val="bottom"/>
            <w:hideMark/>
          </w:tcPr>
          <w:p w14:paraId="57D2D344"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3.58%</w:t>
            </w:r>
          </w:p>
        </w:tc>
        <w:tc>
          <w:tcPr>
            <w:tcW w:w="1213" w:type="dxa"/>
            <w:tcBorders>
              <w:top w:val="nil"/>
              <w:left w:val="nil"/>
              <w:right w:val="nil"/>
            </w:tcBorders>
            <w:shd w:val="clear" w:color="000000" w:fill="FFFFFF"/>
            <w:vAlign w:val="center"/>
            <w:hideMark/>
          </w:tcPr>
          <w:p w14:paraId="4DFFCC24"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£13.25</w:t>
            </w:r>
          </w:p>
        </w:tc>
        <w:tc>
          <w:tcPr>
            <w:tcW w:w="1260" w:type="dxa"/>
            <w:tcBorders>
              <w:top w:val="nil"/>
              <w:left w:val="single" w:sz="8" w:space="0" w:color="auto"/>
              <w:right w:val="single" w:sz="8" w:space="0" w:color="auto"/>
            </w:tcBorders>
            <w:shd w:val="clear" w:color="000000" w:fill="FFFFFF"/>
            <w:vAlign w:val="center"/>
            <w:hideMark/>
          </w:tcPr>
          <w:p w14:paraId="69476541"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£384.9M</w:t>
            </w:r>
          </w:p>
        </w:tc>
        <w:tc>
          <w:tcPr>
            <w:tcW w:w="1722" w:type="dxa"/>
            <w:vMerge w:val="restart"/>
            <w:tcBorders>
              <w:top w:val="nil"/>
              <w:left w:val="nil"/>
              <w:bottom w:val="single" w:sz="4" w:space="0" w:color="auto"/>
              <w:right w:val="single" w:sz="8" w:space="0" w:color="auto"/>
            </w:tcBorders>
            <w:shd w:val="clear" w:color="auto" w:fill="auto"/>
            <w:noWrap/>
            <w:vAlign w:val="center"/>
            <w:hideMark/>
          </w:tcPr>
          <w:p w14:paraId="73046931" w14:textId="77777777" w:rsidR="00CF283C" w:rsidRPr="00725045" w:rsidRDefault="00CF283C" w:rsidP="00CF283C">
            <w:pPr>
              <w:spacing w:after="0" w:line="240" w:lineRule="auto"/>
              <w:jc w:val="center"/>
              <w:rPr>
                <w:rFonts w:ascii="Calibri" w:eastAsia="Times New Roman" w:hAnsi="Calibri" w:cs="Times New Roman"/>
                <w:color w:val="000000"/>
                <w:sz w:val="24"/>
                <w:szCs w:val="24"/>
                <w:lang w:val="en-US"/>
              </w:rPr>
            </w:pPr>
            <w:r w:rsidRPr="00725045">
              <w:rPr>
                <w:rFonts w:ascii="Calibri" w:eastAsia="Times New Roman" w:hAnsi="Calibri" w:cs="Times New Roman"/>
                <w:color w:val="000000"/>
                <w:sz w:val="24"/>
                <w:szCs w:val="24"/>
                <w:lang w:val="en-US"/>
              </w:rPr>
              <w:t>£903.7M</w:t>
            </w:r>
          </w:p>
        </w:tc>
      </w:tr>
      <w:tr w:rsidR="00D70A18" w:rsidRPr="00725045" w14:paraId="2B7A4DFF" w14:textId="77777777" w:rsidTr="00FA0017">
        <w:trPr>
          <w:trHeight w:val="363"/>
        </w:trPr>
        <w:tc>
          <w:tcPr>
            <w:tcW w:w="1185" w:type="dxa"/>
            <w:vMerge/>
            <w:tcBorders>
              <w:top w:val="nil"/>
              <w:left w:val="single" w:sz="8" w:space="0" w:color="auto"/>
              <w:bottom w:val="single" w:sz="8" w:space="0" w:color="000000"/>
              <w:right w:val="single" w:sz="8" w:space="0" w:color="auto"/>
            </w:tcBorders>
            <w:vAlign w:val="center"/>
            <w:hideMark/>
          </w:tcPr>
          <w:p w14:paraId="5E6DD63F" w14:textId="77777777" w:rsidR="00D70A18" w:rsidRPr="00725045" w:rsidRDefault="00D70A18" w:rsidP="00CF283C">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4" w:space="0" w:color="auto"/>
              <w:right w:val="single" w:sz="8" w:space="0" w:color="auto"/>
            </w:tcBorders>
            <w:shd w:val="clear" w:color="000000" w:fill="FFFFFF"/>
            <w:vAlign w:val="center"/>
            <w:hideMark/>
          </w:tcPr>
          <w:p w14:paraId="36C10E59" w14:textId="77777777" w:rsidR="00D70A18" w:rsidRPr="00725045" w:rsidRDefault="00D70A18"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single" w:sz="8" w:space="0" w:color="000000"/>
              <w:right w:val="single" w:sz="8" w:space="0" w:color="auto"/>
            </w:tcBorders>
            <w:vAlign w:val="center"/>
            <w:hideMark/>
          </w:tcPr>
          <w:p w14:paraId="27502F8B" w14:textId="77777777" w:rsidR="00D70A18" w:rsidRPr="00725045" w:rsidRDefault="00D70A18" w:rsidP="00CF283C">
            <w:pPr>
              <w:spacing w:after="0" w:line="240" w:lineRule="auto"/>
              <w:rPr>
                <w:rFonts w:ascii="Calibri" w:eastAsia="Times New Roman" w:hAnsi="Calibri" w:cs="Times New Roman"/>
                <w:color w:val="000000"/>
                <w:lang w:val="en-US"/>
              </w:rPr>
            </w:pPr>
          </w:p>
        </w:tc>
        <w:tc>
          <w:tcPr>
            <w:tcW w:w="1620" w:type="dxa"/>
            <w:tcBorders>
              <w:top w:val="nil"/>
              <w:left w:val="nil"/>
              <w:bottom w:val="single" w:sz="4" w:space="0" w:color="auto"/>
              <w:right w:val="single" w:sz="8" w:space="0" w:color="auto"/>
            </w:tcBorders>
            <w:shd w:val="clear" w:color="000000" w:fill="FFFFFF"/>
            <w:noWrap/>
            <w:vAlign w:val="bottom"/>
            <w:hideMark/>
          </w:tcPr>
          <w:p w14:paraId="4A3CBEB6" w14:textId="77777777" w:rsidR="00D70A18" w:rsidRPr="00725045" w:rsidRDefault="00D70A18"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1.18%</w:t>
            </w:r>
          </w:p>
        </w:tc>
        <w:tc>
          <w:tcPr>
            <w:tcW w:w="1213" w:type="dxa"/>
            <w:tcBorders>
              <w:top w:val="nil"/>
              <w:left w:val="nil"/>
              <w:bottom w:val="single" w:sz="4" w:space="0" w:color="auto"/>
              <w:right w:val="nil"/>
            </w:tcBorders>
            <w:shd w:val="clear" w:color="000000" w:fill="FFFFFF"/>
            <w:vAlign w:val="center"/>
            <w:hideMark/>
          </w:tcPr>
          <w:p w14:paraId="176D3671" w14:textId="77777777" w:rsidR="00D70A18" w:rsidRPr="00725045" w:rsidRDefault="00D70A18"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£17.86</w:t>
            </w:r>
          </w:p>
        </w:tc>
        <w:tc>
          <w:tcPr>
            <w:tcW w:w="1260" w:type="dxa"/>
            <w:tcBorders>
              <w:top w:val="nil"/>
              <w:left w:val="single" w:sz="8" w:space="0" w:color="auto"/>
              <w:bottom w:val="single" w:sz="4" w:space="0" w:color="auto"/>
              <w:right w:val="single" w:sz="8" w:space="0" w:color="auto"/>
            </w:tcBorders>
            <w:shd w:val="clear" w:color="000000" w:fill="FFFFFF"/>
            <w:vAlign w:val="center"/>
            <w:hideMark/>
          </w:tcPr>
          <w:p w14:paraId="53CE5D39" w14:textId="77777777" w:rsidR="00D70A18" w:rsidRPr="00725045" w:rsidRDefault="00D70A18"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£518.8M</w:t>
            </w:r>
          </w:p>
        </w:tc>
        <w:tc>
          <w:tcPr>
            <w:tcW w:w="1722" w:type="dxa"/>
            <w:vMerge/>
            <w:tcBorders>
              <w:top w:val="nil"/>
              <w:left w:val="nil"/>
              <w:bottom w:val="single" w:sz="4" w:space="0" w:color="auto"/>
              <w:right w:val="single" w:sz="8" w:space="0" w:color="auto"/>
            </w:tcBorders>
            <w:vAlign w:val="center"/>
            <w:hideMark/>
          </w:tcPr>
          <w:p w14:paraId="2EDB3B2F" w14:textId="77777777" w:rsidR="00D70A18" w:rsidRPr="00725045" w:rsidRDefault="00D70A18" w:rsidP="00CF283C">
            <w:pPr>
              <w:spacing w:after="0" w:line="240" w:lineRule="auto"/>
              <w:rPr>
                <w:rFonts w:ascii="Calibri" w:eastAsia="Times New Roman" w:hAnsi="Calibri" w:cs="Times New Roman"/>
                <w:color w:val="000000"/>
                <w:sz w:val="24"/>
                <w:szCs w:val="24"/>
                <w:lang w:val="en-US"/>
              </w:rPr>
            </w:pPr>
          </w:p>
        </w:tc>
      </w:tr>
      <w:tr w:rsidR="00CF283C" w:rsidRPr="00725045" w14:paraId="0116E7EF" w14:textId="77777777" w:rsidTr="00FA0017">
        <w:trPr>
          <w:trHeight w:val="340"/>
        </w:trPr>
        <w:tc>
          <w:tcPr>
            <w:tcW w:w="11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E0EF3E6" w14:textId="77777777" w:rsidR="00CF283C" w:rsidRPr="00725045" w:rsidRDefault="00CF283C" w:rsidP="00CF283C">
            <w:pPr>
              <w:spacing w:after="0" w:line="240" w:lineRule="auto"/>
              <w:jc w:val="center"/>
              <w:rPr>
                <w:rFonts w:ascii="Calibri" w:eastAsia="Times New Roman" w:hAnsi="Calibri" w:cs="Times New Roman"/>
                <w:b/>
                <w:bCs/>
                <w:i/>
                <w:iCs/>
                <w:color w:val="000000"/>
                <w:lang w:val="en-US"/>
              </w:rPr>
            </w:pPr>
            <w:r>
              <w:rPr>
                <w:rFonts w:ascii="Calibri" w:eastAsia="Times New Roman" w:hAnsi="Calibri" w:cs="Times New Roman"/>
                <w:b/>
                <w:bCs/>
                <w:i/>
                <w:iCs/>
                <w:color w:val="000000"/>
                <w:lang w:val="en-US"/>
              </w:rPr>
              <w:t>A</w:t>
            </w:r>
            <w:r w:rsidRPr="00725045">
              <w:rPr>
                <w:rFonts w:ascii="Calibri" w:eastAsia="Times New Roman" w:hAnsi="Calibri" w:cs="Times New Roman"/>
                <w:b/>
                <w:bCs/>
                <w:i/>
                <w:iCs/>
                <w:color w:val="000000"/>
                <w:lang w:val="en-US"/>
              </w:rPr>
              <w:t>rts</w:t>
            </w:r>
          </w:p>
        </w:tc>
        <w:tc>
          <w:tcPr>
            <w:tcW w:w="1620" w:type="dxa"/>
            <w:tcBorders>
              <w:top w:val="single" w:sz="4" w:space="0" w:color="auto"/>
              <w:left w:val="nil"/>
              <w:bottom w:val="nil"/>
              <w:right w:val="single" w:sz="8" w:space="0" w:color="auto"/>
            </w:tcBorders>
            <w:shd w:val="clear" w:color="000000" w:fill="FFFFFF"/>
            <w:vAlign w:val="center"/>
            <w:hideMark/>
          </w:tcPr>
          <w:p w14:paraId="6EAF843C"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70EF26"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5.40%</w:t>
            </w:r>
          </w:p>
        </w:tc>
        <w:tc>
          <w:tcPr>
            <w:tcW w:w="1620" w:type="dxa"/>
            <w:tcBorders>
              <w:top w:val="single" w:sz="4" w:space="0" w:color="auto"/>
              <w:left w:val="nil"/>
              <w:bottom w:val="nil"/>
              <w:right w:val="single" w:sz="8" w:space="0" w:color="auto"/>
            </w:tcBorders>
            <w:shd w:val="clear" w:color="000000" w:fill="FFFFFF"/>
            <w:noWrap/>
            <w:vAlign w:val="bottom"/>
            <w:hideMark/>
          </w:tcPr>
          <w:p w14:paraId="2D9380AA"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1.37%</w:t>
            </w:r>
          </w:p>
        </w:tc>
        <w:tc>
          <w:tcPr>
            <w:tcW w:w="1213" w:type="dxa"/>
            <w:tcBorders>
              <w:top w:val="single" w:sz="4" w:space="0" w:color="auto"/>
              <w:left w:val="nil"/>
              <w:bottom w:val="nil"/>
              <w:right w:val="single" w:sz="8" w:space="0" w:color="auto"/>
            </w:tcBorders>
            <w:shd w:val="clear" w:color="000000" w:fill="FFFFFF"/>
            <w:vAlign w:val="center"/>
            <w:hideMark/>
          </w:tcPr>
          <w:p w14:paraId="0EBBB6E7"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£5.07</w:t>
            </w:r>
          </w:p>
        </w:tc>
        <w:tc>
          <w:tcPr>
            <w:tcW w:w="1260" w:type="dxa"/>
            <w:tcBorders>
              <w:top w:val="single" w:sz="4" w:space="0" w:color="auto"/>
              <w:left w:val="nil"/>
              <w:bottom w:val="nil"/>
              <w:right w:val="single" w:sz="8" w:space="0" w:color="auto"/>
            </w:tcBorders>
            <w:shd w:val="clear" w:color="000000" w:fill="FFFFFF"/>
            <w:vAlign w:val="center"/>
            <w:hideMark/>
          </w:tcPr>
          <w:p w14:paraId="526477C9"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£168.8M</w:t>
            </w:r>
          </w:p>
        </w:tc>
        <w:tc>
          <w:tcPr>
            <w:tcW w:w="172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35438E0" w14:textId="77777777" w:rsidR="00CF283C" w:rsidRPr="00725045" w:rsidRDefault="00CF283C" w:rsidP="00CF283C">
            <w:pPr>
              <w:spacing w:after="0" w:line="240" w:lineRule="auto"/>
              <w:jc w:val="center"/>
              <w:rPr>
                <w:rFonts w:ascii="Calibri" w:eastAsia="Times New Roman" w:hAnsi="Calibri" w:cs="Times New Roman"/>
                <w:color w:val="000000"/>
                <w:sz w:val="24"/>
                <w:szCs w:val="24"/>
                <w:lang w:val="en-US"/>
              </w:rPr>
            </w:pPr>
            <w:r w:rsidRPr="00725045">
              <w:rPr>
                <w:rFonts w:ascii="Calibri" w:eastAsia="Times New Roman" w:hAnsi="Calibri" w:cs="Times New Roman"/>
                <w:color w:val="000000"/>
                <w:sz w:val="24"/>
                <w:szCs w:val="24"/>
                <w:lang w:val="en-US"/>
              </w:rPr>
              <w:t>£396.6M</w:t>
            </w:r>
          </w:p>
        </w:tc>
      </w:tr>
      <w:tr w:rsidR="00CF283C" w:rsidRPr="00725045" w14:paraId="0B2E7490" w14:textId="77777777" w:rsidTr="00CF283C">
        <w:trPr>
          <w:trHeight w:val="340"/>
        </w:trPr>
        <w:tc>
          <w:tcPr>
            <w:tcW w:w="1185" w:type="dxa"/>
            <w:vMerge/>
            <w:tcBorders>
              <w:top w:val="nil"/>
              <w:left w:val="single" w:sz="8" w:space="0" w:color="auto"/>
              <w:bottom w:val="single" w:sz="8" w:space="0" w:color="000000"/>
              <w:right w:val="single" w:sz="8" w:space="0" w:color="auto"/>
            </w:tcBorders>
            <w:vAlign w:val="center"/>
            <w:hideMark/>
          </w:tcPr>
          <w:p w14:paraId="66CC675B" w14:textId="77777777" w:rsidR="00CF283C" w:rsidRPr="00725045" w:rsidRDefault="00CF283C" w:rsidP="00CF283C">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4AA5FC5B"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single" w:sz="8" w:space="0" w:color="000000"/>
              <w:right w:val="single" w:sz="8" w:space="0" w:color="auto"/>
            </w:tcBorders>
            <w:vAlign w:val="center"/>
            <w:hideMark/>
          </w:tcPr>
          <w:p w14:paraId="5CCEFC62" w14:textId="77777777" w:rsidR="00CF283C" w:rsidRPr="00725045" w:rsidRDefault="00CF283C" w:rsidP="00CF283C">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0BB526D4"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0.45%</w:t>
            </w:r>
          </w:p>
        </w:tc>
        <w:tc>
          <w:tcPr>
            <w:tcW w:w="1213" w:type="dxa"/>
            <w:tcBorders>
              <w:top w:val="nil"/>
              <w:left w:val="nil"/>
              <w:bottom w:val="single" w:sz="8" w:space="0" w:color="auto"/>
              <w:right w:val="single" w:sz="8" w:space="0" w:color="auto"/>
            </w:tcBorders>
            <w:shd w:val="clear" w:color="000000" w:fill="FFFFFF"/>
            <w:vAlign w:val="center"/>
            <w:hideMark/>
          </w:tcPr>
          <w:p w14:paraId="3F9F43B8"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£6.84</w:t>
            </w:r>
          </w:p>
        </w:tc>
        <w:tc>
          <w:tcPr>
            <w:tcW w:w="1260" w:type="dxa"/>
            <w:tcBorders>
              <w:top w:val="nil"/>
              <w:left w:val="nil"/>
              <w:bottom w:val="single" w:sz="8" w:space="0" w:color="auto"/>
              <w:right w:val="single" w:sz="8" w:space="0" w:color="auto"/>
            </w:tcBorders>
            <w:shd w:val="clear" w:color="000000" w:fill="FFFFFF"/>
            <w:vAlign w:val="center"/>
            <w:hideMark/>
          </w:tcPr>
          <w:p w14:paraId="5BF5C63B"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£227.8M</w:t>
            </w:r>
          </w:p>
        </w:tc>
        <w:tc>
          <w:tcPr>
            <w:tcW w:w="1722" w:type="dxa"/>
            <w:vMerge/>
            <w:tcBorders>
              <w:top w:val="nil"/>
              <w:left w:val="single" w:sz="8" w:space="0" w:color="auto"/>
              <w:bottom w:val="single" w:sz="8" w:space="0" w:color="000000"/>
              <w:right w:val="single" w:sz="8" w:space="0" w:color="auto"/>
            </w:tcBorders>
            <w:vAlign w:val="center"/>
            <w:hideMark/>
          </w:tcPr>
          <w:p w14:paraId="7EC29DD8" w14:textId="77777777" w:rsidR="00CF283C" w:rsidRPr="00725045" w:rsidRDefault="00CF283C" w:rsidP="00CF283C">
            <w:pPr>
              <w:spacing w:after="0" w:line="240" w:lineRule="auto"/>
              <w:rPr>
                <w:rFonts w:ascii="Calibri" w:eastAsia="Times New Roman" w:hAnsi="Calibri" w:cs="Times New Roman"/>
                <w:color w:val="000000"/>
                <w:sz w:val="24"/>
                <w:szCs w:val="24"/>
                <w:lang w:val="en-US"/>
              </w:rPr>
            </w:pPr>
          </w:p>
        </w:tc>
      </w:tr>
      <w:tr w:rsidR="00CF283C" w:rsidRPr="00725045" w14:paraId="25F929BF" w14:textId="77777777" w:rsidTr="00CF283C">
        <w:trPr>
          <w:trHeight w:val="340"/>
        </w:trPr>
        <w:tc>
          <w:tcPr>
            <w:tcW w:w="1185" w:type="dxa"/>
            <w:vMerge w:val="restart"/>
            <w:tcBorders>
              <w:top w:val="nil"/>
              <w:left w:val="single" w:sz="8" w:space="0" w:color="auto"/>
              <w:bottom w:val="nil"/>
              <w:right w:val="single" w:sz="8" w:space="0" w:color="auto"/>
            </w:tcBorders>
            <w:shd w:val="clear" w:color="000000" w:fill="FFFFFF"/>
            <w:vAlign w:val="center"/>
            <w:hideMark/>
          </w:tcPr>
          <w:p w14:paraId="103A6CFE" w14:textId="77777777" w:rsidR="00CF283C" w:rsidRPr="00725045" w:rsidRDefault="00CF283C" w:rsidP="00CF283C">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Heritage</w:t>
            </w:r>
          </w:p>
        </w:tc>
        <w:tc>
          <w:tcPr>
            <w:tcW w:w="1620" w:type="dxa"/>
            <w:tcBorders>
              <w:top w:val="nil"/>
              <w:left w:val="nil"/>
              <w:bottom w:val="nil"/>
              <w:right w:val="single" w:sz="8" w:space="0" w:color="auto"/>
            </w:tcBorders>
            <w:shd w:val="clear" w:color="000000" w:fill="FFFFFF"/>
            <w:vAlign w:val="center"/>
            <w:hideMark/>
          </w:tcPr>
          <w:p w14:paraId="2C73F3FD"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nil"/>
              <w:right w:val="single" w:sz="8" w:space="0" w:color="auto"/>
            </w:tcBorders>
            <w:shd w:val="clear" w:color="000000" w:fill="FFFFFF"/>
            <w:vAlign w:val="center"/>
            <w:hideMark/>
          </w:tcPr>
          <w:p w14:paraId="7763EEB9"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2.76%</w:t>
            </w:r>
          </w:p>
        </w:tc>
        <w:tc>
          <w:tcPr>
            <w:tcW w:w="1620" w:type="dxa"/>
            <w:tcBorders>
              <w:top w:val="nil"/>
              <w:left w:val="nil"/>
              <w:bottom w:val="nil"/>
              <w:right w:val="single" w:sz="8" w:space="0" w:color="auto"/>
            </w:tcBorders>
            <w:shd w:val="clear" w:color="000000" w:fill="FFFFFF"/>
            <w:noWrap/>
            <w:vAlign w:val="bottom"/>
            <w:hideMark/>
          </w:tcPr>
          <w:p w14:paraId="4FCA29CA"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0.70%</w:t>
            </w:r>
          </w:p>
        </w:tc>
        <w:tc>
          <w:tcPr>
            <w:tcW w:w="1213" w:type="dxa"/>
            <w:tcBorders>
              <w:top w:val="nil"/>
              <w:left w:val="nil"/>
              <w:bottom w:val="nil"/>
              <w:right w:val="single" w:sz="8" w:space="0" w:color="auto"/>
            </w:tcBorders>
            <w:shd w:val="clear" w:color="000000" w:fill="FFFFFF"/>
            <w:vAlign w:val="center"/>
            <w:hideMark/>
          </w:tcPr>
          <w:p w14:paraId="19B20A85"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£2.59</w:t>
            </w:r>
          </w:p>
        </w:tc>
        <w:tc>
          <w:tcPr>
            <w:tcW w:w="1260" w:type="dxa"/>
            <w:tcBorders>
              <w:top w:val="nil"/>
              <w:left w:val="nil"/>
              <w:bottom w:val="nil"/>
              <w:right w:val="single" w:sz="8" w:space="0" w:color="auto"/>
            </w:tcBorders>
            <w:shd w:val="clear" w:color="000000" w:fill="FFFFFF"/>
            <w:vAlign w:val="center"/>
            <w:hideMark/>
          </w:tcPr>
          <w:p w14:paraId="5E4A4584"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£82.2M</w:t>
            </w:r>
          </w:p>
        </w:tc>
        <w:tc>
          <w:tcPr>
            <w:tcW w:w="1722" w:type="dxa"/>
            <w:vMerge w:val="restart"/>
            <w:tcBorders>
              <w:top w:val="nil"/>
              <w:left w:val="single" w:sz="8" w:space="0" w:color="auto"/>
              <w:bottom w:val="nil"/>
              <w:right w:val="single" w:sz="8" w:space="0" w:color="auto"/>
            </w:tcBorders>
            <w:shd w:val="clear" w:color="auto" w:fill="auto"/>
            <w:noWrap/>
            <w:vAlign w:val="center"/>
            <w:hideMark/>
          </w:tcPr>
          <w:p w14:paraId="6259B171" w14:textId="77777777" w:rsidR="00CF283C" w:rsidRPr="00725045" w:rsidRDefault="00CF283C" w:rsidP="00CF283C">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£193.2</w:t>
            </w:r>
            <w:r w:rsidRPr="00725045">
              <w:rPr>
                <w:rFonts w:ascii="Calibri" w:eastAsia="Times New Roman" w:hAnsi="Calibri" w:cs="Times New Roman"/>
                <w:color w:val="000000"/>
                <w:sz w:val="24"/>
                <w:szCs w:val="24"/>
                <w:lang w:val="en-US"/>
              </w:rPr>
              <w:t>M</w:t>
            </w:r>
          </w:p>
        </w:tc>
      </w:tr>
      <w:tr w:rsidR="00CF283C" w:rsidRPr="00725045" w14:paraId="7138A09B" w14:textId="77777777" w:rsidTr="00CF283C">
        <w:trPr>
          <w:trHeight w:val="340"/>
        </w:trPr>
        <w:tc>
          <w:tcPr>
            <w:tcW w:w="1185" w:type="dxa"/>
            <w:vMerge/>
            <w:tcBorders>
              <w:top w:val="nil"/>
              <w:left w:val="single" w:sz="8" w:space="0" w:color="auto"/>
              <w:bottom w:val="nil"/>
              <w:right w:val="single" w:sz="8" w:space="0" w:color="auto"/>
            </w:tcBorders>
            <w:vAlign w:val="center"/>
            <w:hideMark/>
          </w:tcPr>
          <w:p w14:paraId="62C35B3A" w14:textId="77777777" w:rsidR="00CF283C" w:rsidRPr="00725045" w:rsidRDefault="00CF283C" w:rsidP="00CF283C">
            <w:pPr>
              <w:spacing w:after="0" w:line="240" w:lineRule="auto"/>
              <w:rPr>
                <w:rFonts w:ascii="Calibri" w:eastAsia="Times New Roman" w:hAnsi="Calibri" w:cs="Times New Roman"/>
                <w:b/>
                <w:bCs/>
                <w:i/>
                <w:iCs/>
                <w:color w:val="000000"/>
                <w:lang w:val="en-US"/>
              </w:rPr>
            </w:pPr>
          </w:p>
        </w:tc>
        <w:tc>
          <w:tcPr>
            <w:tcW w:w="1620" w:type="dxa"/>
            <w:tcBorders>
              <w:top w:val="nil"/>
              <w:left w:val="nil"/>
              <w:bottom w:val="nil"/>
              <w:right w:val="single" w:sz="8" w:space="0" w:color="auto"/>
            </w:tcBorders>
            <w:shd w:val="clear" w:color="000000" w:fill="FFFFFF"/>
            <w:vAlign w:val="center"/>
            <w:hideMark/>
          </w:tcPr>
          <w:p w14:paraId="7B8FADE9"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nil"/>
              <w:right w:val="single" w:sz="8" w:space="0" w:color="auto"/>
            </w:tcBorders>
            <w:vAlign w:val="center"/>
            <w:hideMark/>
          </w:tcPr>
          <w:p w14:paraId="520FCEC9" w14:textId="77777777" w:rsidR="00CF283C" w:rsidRPr="00725045" w:rsidRDefault="00CF283C" w:rsidP="00CF283C">
            <w:pPr>
              <w:spacing w:after="0" w:line="240" w:lineRule="auto"/>
              <w:rPr>
                <w:rFonts w:ascii="Calibri" w:eastAsia="Times New Roman" w:hAnsi="Calibri" w:cs="Times New Roman"/>
                <w:color w:val="000000"/>
                <w:lang w:val="en-US"/>
              </w:rPr>
            </w:pPr>
          </w:p>
        </w:tc>
        <w:tc>
          <w:tcPr>
            <w:tcW w:w="1620" w:type="dxa"/>
            <w:tcBorders>
              <w:top w:val="nil"/>
              <w:left w:val="nil"/>
              <w:bottom w:val="nil"/>
              <w:right w:val="single" w:sz="8" w:space="0" w:color="auto"/>
            </w:tcBorders>
            <w:shd w:val="clear" w:color="000000" w:fill="FFFFFF"/>
            <w:noWrap/>
            <w:vAlign w:val="bottom"/>
            <w:hideMark/>
          </w:tcPr>
          <w:p w14:paraId="437CDAB3"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0.23%</w:t>
            </w:r>
          </w:p>
        </w:tc>
        <w:tc>
          <w:tcPr>
            <w:tcW w:w="1213" w:type="dxa"/>
            <w:tcBorders>
              <w:top w:val="nil"/>
              <w:left w:val="nil"/>
              <w:bottom w:val="nil"/>
              <w:right w:val="single" w:sz="8" w:space="0" w:color="auto"/>
            </w:tcBorders>
            <w:shd w:val="clear" w:color="000000" w:fill="FFFFFF"/>
            <w:vAlign w:val="center"/>
            <w:hideMark/>
          </w:tcPr>
          <w:p w14:paraId="27DECB29"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£3.50</w:t>
            </w:r>
          </w:p>
        </w:tc>
        <w:tc>
          <w:tcPr>
            <w:tcW w:w="1260" w:type="dxa"/>
            <w:tcBorders>
              <w:top w:val="nil"/>
              <w:left w:val="nil"/>
              <w:bottom w:val="nil"/>
              <w:right w:val="single" w:sz="8" w:space="0" w:color="auto"/>
            </w:tcBorders>
            <w:shd w:val="clear" w:color="000000" w:fill="FFFFFF"/>
            <w:vAlign w:val="center"/>
            <w:hideMark/>
          </w:tcPr>
          <w:p w14:paraId="2924BE56"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£111.1M</w:t>
            </w:r>
          </w:p>
        </w:tc>
        <w:tc>
          <w:tcPr>
            <w:tcW w:w="1722" w:type="dxa"/>
            <w:vMerge/>
            <w:tcBorders>
              <w:top w:val="nil"/>
              <w:left w:val="single" w:sz="8" w:space="0" w:color="auto"/>
              <w:bottom w:val="nil"/>
              <w:right w:val="single" w:sz="8" w:space="0" w:color="auto"/>
            </w:tcBorders>
            <w:vAlign w:val="center"/>
            <w:hideMark/>
          </w:tcPr>
          <w:p w14:paraId="01A6A5F0" w14:textId="77777777" w:rsidR="00CF283C" w:rsidRPr="00725045" w:rsidRDefault="00CF283C" w:rsidP="00CF283C">
            <w:pPr>
              <w:spacing w:after="0" w:line="240" w:lineRule="auto"/>
              <w:rPr>
                <w:rFonts w:ascii="Calibri" w:eastAsia="Times New Roman" w:hAnsi="Calibri" w:cs="Times New Roman"/>
                <w:color w:val="000000"/>
                <w:sz w:val="24"/>
                <w:szCs w:val="24"/>
                <w:lang w:val="en-US"/>
              </w:rPr>
            </w:pPr>
          </w:p>
        </w:tc>
      </w:tr>
      <w:tr w:rsidR="00CF283C" w:rsidRPr="00725045" w14:paraId="6C84F0C7" w14:textId="77777777" w:rsidTr="00CF283C">
        <w:trPr>
          <w:trHeight w:val="340"/>
        </w:trPr>
        <w:tc>
          <w:tcPr>
            <w:tcW w:w="11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47651E6" w14:textId="77777777" w:rsidR="00CF283C" w:rsidRPr="00725045" w:rsidRDefault="00CF283C" w:rsidP="00CF283C">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Library</w:t>
            </w:r>
          </w:p>
        </w:tc>
        <w:tc>
          <w:tcPr>
            <w:tcW w:w="1620" w:type="dxa"/>
            <w:tcBorders>
              <w:top w:val="single" w:sz="8" w:space="0" w:color="auto"/>
              <w:left w:val="nil"/>
              <w:bottom w:val="nil"/>
              <w:right w:val="single" w:sz="8" w:space="0" w:color="auto"/>
            </w:tcBorders>
            <w:shd w:val="clear" w:color="000000" w:fill="FFFFFF"/>
            <w:vAlign w:val="center"/>
            <w:hideMark/>
          </w:tcPr>
          <w:p w14:paraId="6A309FAC"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6A6F63"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1.12%</w:t>
            </w:r>
          </w:p>
        </w:tc>
        <w:tc>
          <w:tcPr>
            <w:tcW w:w="1620" w:type="dxa"/>
            <w:tcBorders>
              <w:top w:val="single" w:sz="8" w:space="0" w:color="auto"/>
              <w:left w:val="nil"/>
              <w:bottom w:val="nil"/>
              <w:right w:val="single" w:sz="8" w:space="0" w:color="auto"/>
            </w:tcBorders>
            <w:shd w:val="clear" w:color="000000" w:fill="FFFFFF"/>
            <w:noWrap/>
            <w:vAlign w:val="bottom"/>
            <w:hideMark/>
          </w:tcPr>
          <w:p w14:paraId="1C400401"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0.28%</w:t>
            </w:r>
          </w:p>
        </w:tc>
        <w:tc>
          <w:tcPr>
            <w:tcW w:w="1213" w:type="dxa"/>
            <w:tcBorders>
              <w:top w:val="single" w:sz="8" w:space="0" w:color="auto"/>
              <w:left w:val="nil"/>
              <w:bottom w:val="nil"/>
              <w:right w:val="single" w:sz="8" w:space="0" w:color="auto"/>
            </w:tcBorders>
            <w:shd w:val="clear" w:color="000000" w:fill="FFFFFF"/>
            <w:vAlign w:val="center"/>
            <w:hideMark/>
          </w:tcPr>
          <w:p w14:paraId="5EE66870"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£1.05</w:t>
            </w:r>
          </w:p>
        </w:tc>
        <w:tc>
          <w:tcPr>
            <w:tcW w:w="1260" w:type="dxa"/>
            <w:tcBorders>
              <w:top w:val="single" w:sz="8" w:space="0" w:color="auto"/>
              <w:left w:val="nil"/>
              <w:bottom w:val="nil"/>
              <w:right w:val="single" w:sz="8" w:space="0" w:color="auto"/>
            </w:tcBorders>
            <w:shd w:val="clear" w:color="000000" w:fill="FFFFFF"/>
            <w:vAlign w:val="center"/>
            <w:hideMark/>
          </w:tcPr>
          <w:p w14:paraId="484174DE"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£18.0M</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2D3CDF" w14:textId="77777777" w:rsidR="00CF283C" w:rsidRPr="00725045" w:rsidRDefault="00CF283C" w:rsidP="00CF283C">
            <w:pPr>
              <w:spacing w:after="0" w:line="240" w:lineRule="auto"/>
              <w:jc w:val="center"/>
              <w:rPr>
                <w:rFonts w:ascii="Calibri" w:eastAsia="Times New Roman" w:hAnsi="Calibri" w:cs="Times New Roman"/>
                <w:color w:val="000000"/>
                <w:sz w:val="24"/>
                <w:szCs w:val="24"/>
                <w:lang w:val="en-US"/>
              </w:rPr>
            </w:pPr>
            <w:r w:rsidRPr="00725045">
              <w:rPr>
                <w:rFonts w:ascii="Calibri" w:eastAsia="Times New Roman" w:hAnsi="Calibri" w:cs="Times New Roman"/>
                <w:color w:val="000000"/>
                <w:sz w:val="24"/>
                <w:szCs w:val="24"/>
                <w:lang w:val="en-US"/>
              </w:rPr>
              <w:t>£42.3M</w:t>
            </w:r>
          </w:p>
        </w:tc>
      </w:tr>
      <w:tr w:rsidR="00CF283C" w:rsidRPr="00725045" w14:paraId="2821A835" w14:textId="77777777" w:rsidTr="00CF283C">
        <w:trPr>
          <w:trHeight w:val="340"/>
        </w:trPr>
        <w:tc>
          <w:tcPr>
            <w:tcW w:w="1185" w:type="dxa"/>
            <w:vMerge/>
            <w:tcBorders>
              <w:top w:val="single" w:sz="8" w:space="0" w:color="auto"/>
              <w:left w:val="single" w:sz="8" w:space="0" w:color="auto"/>
              <w:bottom w:val="single" w:sz="8" w:space="0" w:color="000000"/>
              <w:right w:val="single" w:sz="8" w:space="0" w:color="auto"/>
            </w:tcBorders>
            <w:vAlign w:val="center"/>
            <w:hideMark/>
          </w:tcPr>
          <w:p w14:paraId="43160438" w14:textId="77777777" w:rsidR="00CF283C" w:rsidRPr="00725045" w:rsidRDefault="00CF283C" w:rsidP="00CF283C">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3EACB0FC"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020E88D2" w14:textId="77777777" w:rsidR="00CF283C" w:rsidRPr="00725045" w:rsidRDefault="00CF283C" w:rsidP="00CF283C">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02A38888"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0.09%</w:t>
            </w:r>
          </w:p>
        </w:tc>
        <w:tc>
          <w:tcPr>
            <w:tcW w:w="1213" w:type="dxa"/>
            <w:tcBorders>
              <w:top w:val="nil"/>
              <w:left w:val="nil"/>
              <w:bottom w:val="single" w:sz="8" w:space="0" w:color="auto"/>
              <w:right w:val="single" w:sz="8" w:space="0" w:color="auto"/>
            </w:tcBorders>
            <w:shd w:val="clear" w:color="000000" w:fill="FFFFFF"/>
            <w:vAlign w:val="center"/>
            <w:hideMark/>
          </w:tcPr>
          <w:p w14:paraId="56B96B46"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£1.42</w:t>
            </w:r>
          </w:p>
        </w:tc>
        <w:tc>
          <w:tcPr>
            <w:tcW w:w="1260" w:type="dxa"/>
            <w:tcBorders>
              <w:top w:val="nil"/>
              <w:left w:val="nil"/>
              <w:bottom w:val="single" w:sz="8" w:space="0" w:color="auto"/>
              <w:right w:val="single" w:sz="8" w:space="0" w:color="auto"/>
            </w:tcBorders>
            <w:shd w:val="clear" w:color="000000" w:fill="FFFFFF"/>
            <w:vAlign w:val="center"/>
            <w:hideMark/>
          </w:tcPr>
          <w:p w14:paraId="2255512A"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£24.3M</w:t>
            </w:r>
          </w:p>
        </w:tc>
        <w:tc>
          <w:tcPr>
            <w:tcW w:w="1722" w:type="dxa"/>
            <w:vMerge/>
            <w:tcBorders>
              <w:top w:val="single" w:sz="8" w:space="0" w:color="auto"/>
              <w:left w:val="single" w:sz="8" w:space="0" w:color="auto"/>
              <w:bottom w:val="single" w:sz="8" w:space="0" w:color="000000"/>
              <w:right w:val="single" w:sz="8" w:space="0" w:color="auto"/>
            </w:tcBorders>
            <w:vAlign w:val="center"/>
            <w:hideMark/>
          </w:tcPr>
          <w:p w14:paraId="3E178A4E" w14:textId="77777777" w:rsidR="00CF283C" w:rsidRPr="00725045" w:rsidRDefault="00CF283C" w:rsidP="00CF283C">
            <w:pPr>
              <w:spacing w:after="0" w:line="240" w:lineRule="auto"/>
              <w:rPr>
                <w:rFonts w:ascii="Calibri" w:eastAsia="Times New Roman" w:hAnsi="Calibri" w:cs="Times New Roman"/>
                <w:color w:val="000000"/>
                <w:sz w:val="24"/>
                <w:szCs w:val="24"/>
                <w:lang w:val="en-US"/>
              </w:rPr>
            </w:pPr>
          </w:p>
        </w:tc>
      </w:tr>
      <w:tr w:rsidR="00CF283C" w:rsidRPr="00725045" w14:paraId="57E77170" w14:textId="77777777" w:rsidTr="00CF283C">
        <w:trPr>
          <w:trHeight w:val="340"/>
        </w:trPr>
        <w:tc>
          <w:tcPr>
            <w:tcW w:w="11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3EB2E0" w14:textId="77777777" w:rsidR="00CF283C" w:rsidRPr="00725045" w:rsidRDefault="00CF283C" w:rsidP="00CF283C">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Museum</w:t>
            </w:r>
          </w:p>
        </w:tc>
        <w:tc>
          <w:tcPr>
            <w:tcW w:w="1620" w:type="dxa"/>
            <w:tcBorders>
              <w:top w:val="nil"/>
              <w:left w:val="nil"/>
              <w:bottom w:val="nil"/>
              <w:right w:val="single" w:sz="8" w:space="0" w:color="auto"/>
            </w:tcBorders>
            <w:shd w:val="clear" w:color="000000" w:fill="FFFFFF"/>
            <w:vAlign w:val="center"/>
            <w:hideMark/>
          </w:tcPr>
          <w:p w14:paraId="36610900"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A325BC"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2.01%</w:t>
            </w:r>
          </w:p>
        </w:tc>
        <w:tc>
          <w:tcPr>
            <w:tcW w:w="1620" w:type="dxa"/>
            <w:tcBorders>
              <w:top w:val="nil"/>
              <w:left w:val="nil"/>
              <w:bottom w:val="nil"/>
              <w:right w:val="single" w:sz="8" w:space="0" w:color="auto"/>
            </w:tcBorders>
            <w:shd w:val="clear" w:color="000000" w:fill="FFFFFF"/>
            <w:noWrap/>
            <w:vAlign w:val="bottom"/>
            <w:hideMark/>
          </w:tcPr>
          <w:p w14:paraId="64EB63E1"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0.51%</w:t>
            </w:r>
          </w:p>
        </w:tc>
        <w:tc>
          <w:tcPr>
            <w:tcW w:w="1213" w:type="dxa"/>
            <w:tcBorders>
              <w:top w:val="nil"/>
              <w:left w:val="nil"/>
              <w:bottom w:val="nil"/>
              <w:right w:val="single" w:sz="8" w:space="0" w:color="auto"/>
            </w:tcBorders>
            <w:shd w:val="clear" w:color="000000" w:fill="FFFFFF"/>
            <w:vAlign w:val="center"/>
            <w:hideMark/>
          </w:tcPr>
          <w:p w14:paraId="35638CA0"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£1.89</w:t>
            </w:r>
          </w:p>
        </w:tc>
        <w:tc>
          <w:tcPr>
            <w:tcW w:w="1260" w:type="dxa"/>
            <w:tcBorders>
              <w:top w:val="nil"/>
              <w:left w:val="nil"/>
              <w:bottom w:val="nil"/>
              <w:right w:val="single" w:sz="8" w:space="0" w:color="auto"/>
            </w:tcBorders>
            <w:shd w:val="clear" w:color="000000" w:fill="FFFFFF"/>
            <w:vAlign w:val="center"/>
            <w:hideMark/>
          </w:tcPr>
          <w:p w14:paraId="4716A074"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£44.7M</w:t>
            </w:r>
          </w:p>
        </w:tc>
        <w:tc>
          <w:tcPr>
            <w:tcW w:w="17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16632C" w14:textId="77777777" w:rsidR="00CF283C" w:rsidRPr="00725045" w:rsidRDefault="00CF283C" w:rsidP="00CF283C">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£105.1</w:t>
            </w:r>
            <w:r w:rsidRPr="00725045">
              <w:rPr>
                <w:rFonts w:ascii="Calibri" w:eastAsia="Times New Roman" w:hAnsi="Calibri" w:cs="Times New Roman"/>
                <w:color w:val="000000"/>
                <w:sz w:val="24"/>
                <w:szCs w:val="24"/>
                <w:lang w:val="en-US"/>
              </w:rPr>
              <w:t>M</w:t>
            </w:r>
          </w:p>
        </w:tc>
      </w:tr>
      <w:tr w:rsidR="00CF283C" w:rsidRPr="00725045" w14:paraId="671BF3DF" w14:textId="77777777" w:rsidTr="00CF283C">
        <w:trPr>
          <w:trHeight w:val="340"/>
        </w:trPr>
        <w:tc>
          <w:tcPr>
            <w:tcW w:w="1185" w:type="dxa"/>
            <w:vMerge/>
            <w:tcBorders>
              <w:top w:val="nil"/>
              <w:left w:val="single" w:sz="8" w:space="0" w:color="auto"/>
              <w:bottom w:val="single" w:sz="8" w:space="0" w:color="000000"/>
              <w:right w:val="single" w:sz="8" w:space="0" w:color="auto"/>
            </w:tcBorders>
            <w:vAlign w:val="center"/>
            <w:hideMark/>
          </w:tcPr>
          <w:p w14:paraId="64F7C973" w14:textId="77777777" w:rsidR="00CF283C" w:rsidRPr="00725045" w:rsidRDefault="00CF283C" w:rsidP="00CF283C">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10F832F9"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single" w:sz="8" w:space="0" w:color="000000"/>
              <w:right w:val="single" w:sz="8" w:space="0" w:color="auto"/>
            </w:tcBorders>
            <w:vAlign w:val="center"/>
            <w:hideMark/>
          </w:tcPr>
          <w:p w14:paraId="1CC8270B" w14:textId="77777777" w:rsidR="00CF283C" w:rsidRPr="00725045" w:rsidRDefault="00CF283C" w:rsidP="00CF283C">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458E8765"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0.17%</w:t>
            </w:r>
          </w:p>
        </w:tc>
        <w:tc>
          <w:tcPr>
            <w:tcW w:w="1213" w:type="dxa"/>
            <w:tcBorders>
              <w:top w:val="nil"/>
              <w:left w:val="nil"/>
              <w:bottom w:val="single" w:sz="8" w:space="0" w:color="auto"/>
              <w:right w:val="single" w:sz="8" w:space="0" w:color="auto"/>
            </w:tcBorders>
            <w:shd w:val="clear" w:color="000000" w:fill="FFFFFF"/>
            <w:vAlign w:val="center"/>
            <w:hideMark/>
          </w:tcPr>
          <w:p w14:paraId="07ED0297"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£2.55</w:t>
            </w:r>
          </w:p>
        </w:tc>
        <w:tc>
          <w:tcPr>
            <w:tcW w:w="1260" w:type="dxa"/>
            <w:tcBorders>
              <w:top w:val="nil"/>
              <w:left w:val="nil"/>
              <w:bottom w:val="single" w:sz="8" w:space="0" w:color="auto"/>
              <w:right w:val="single" w:sz="8" w:space="0" w:color="auto"/>
            </w:tcBorders>
            <w:shd w:val="clear" w:color="000000" w:fill="FFFFFF"/>
            <w:vAlign w:val="center"/>
            <w:hideMark/>
          </w:tcPr>
          <w:p w14:paraId="2A89069D" w14:textId="77777777" w:rsidR="00CF283C" w:rsidRPr="00725045" w:rsidRDefault="00CF283C" w:rsidP="00CF283C">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£60.3M</w:t>
            </w:r>
          </w:p>
        </w:tc>
        <w:tc>
          <w:tcPr>
            <w:tcW w:w="1722" w:type="dxa"/>
            <w:vMerge/>
            <w:tcBorders>
              <w:top w:val="nil"/>
              <w:left w:val="single" w:sz="8" w:space="0" w:color="auto"/>
              <w:bottom w:val="single" w:sz="8" w:space="0" w:color="000000"/>
              <w:right w:val="single" w:sz="8" w:space="0" w:color="auto"/>
            </w:tcBorders>
            <w:vAlign w:val="center"/>
            <w:hideMark/>
          </w:tcPr>
          <w:p w14:paraId="65CF91DF" w14:textId="77777777" w:rsidR="00CF283C" w:rsidRPr="00725045" w:rsidRDefault="00CF283C" w:rsidP="00CF283C">
            <w:pPr>
              <w:spacing w:after="0" w:line="240" w:lineRule="auto"/>
              <w:rPr>
                <w:rFonts w:ascii="Calibri" w:eastAsia="Times New Roman" w:hAnsi="Calibri" w:cs="Times New Roman"/>
                <w:color w:val="000000"/>
                <w:sz w:val="24"/>
                <w:szCs w:val="24"/>
                <w:lang w:val="en-US"/>
              </w:rPr>
            </w:pPr>
          </w:p>
        </w:tc>
      </w:tr>
    </w:tbl>
    <w:p w14:paraId="0D609F8B" w14:textId="77777777" w:rsidR="00341F87" w:rsidRDefault="00341F87" w:rsidP="007A7451">
      <w:pPr>
        <w:spacing w:after="0" w:line="240" w:lineRule="auto"/>
        <w:rPr>
          <w:rFonts w:cs="Arial"/>
          <w:b/>
          <w:sz w:val="24"/>
          <w:szCs w:val="24"/>
        </w:rPr>
      </w:pPr>
    </w:p>
    <w:p w14:paraId="0366860A" w14:textId="77777777" w:rsidR="004F7A97" w:rsidRDefault="004F7A97" w:rsidP="007A7451">
      <w:pPr>
        <w:spacing w:after="0" w:line="240" w:lineRule="auto"/>
        <w:rPr>
          <w:rFonts w:cs="Arial"/>
          <w:b/>
          <w:sz w:val="24"/>
          <w:szCs w:val="24"/>
        </w:rPr>
      </w:pPr>
    </w:p>
    <w:p w14:paraId="3667A660" w14:textId="77777777" w:rsidR="00037EE6" w:rsidRPr="00C64B45" w:rsidRDefault="00037EE6" w:rsidP="007A7451">
      <w:pPr>
        <w:spacing w:after="0" w:line="240" w:lineRule="auto"/>
        <w:rPr>
          <w:rFonts w:cs="Arial"/>
          <w:b/>
          <w:sz w:val="24"/>
          <w:szCs w:val="24"/>
        </w:rPr>
      </w:pPr>
      <w:r>
        <w:rPr>
          <w:rFonts w:cs="Arial"/>
          <w:b/>
          <w:sz w:val="24"/>
          <w:szCs w:val="24"/>
        </w:rPr>
        <w:lastRenderedPageBreak/>
        <w:t>Clinical Depression</w:t>
      </w:r>
    </w:p>
    <w:p w14:paraId="41668E16" w14:textId="77777777" w:rsidR="00240B87" w:rsidRPr="007A7451" w:rsidRDefault="00240B87" w:rsidP="00987562">
      <w:pPr>
        <w:pStyle w:val="ListParagraph"/>
        <w:numPr>
          <w:ilvl w:val="0"/>
          <w:numId w:val="35"/>
        </w:numPr>
        <w:spacing w:after="0" w:line="240" w:lineRule="auto"/>
        <w:rPr>
          <w:rFonts w:cs="Arial"/>
          <w:sz w:val="24"/>
          <w:szCs w:val="24"/>
        </w:rPr>
      </w:pPr>
      <w:r w:rsidRPr="00987562">
        <w:rPr>
          <w:rFonts w:cs="Arial"/>
          <w:sz w:val="24"/>
          <w:szCs w:val="24"/>
        </w:rPr>
        <w:t>Sports participants were less likely to report having clinical depression than non-participants (there was no impact of cultural engagement). We estimate that this would lead to an improvement in the individual’s Quality Adjusted Life Years (QALYs)</w:t>
      </w:r>
      <w:r w:rsidR="00987562">
        <w:rPr>
          <w:rFonts w:cs="Arial"/>
          <w:sz w:val="24"/>
          <w:szCs w:val="24"/>
        </w:rPr>
        <w:t xml:space="preserve"> (</w:t>
      </w:r>
      <w:r w:rsidRPr="00987562">
        <w:rPr>
          <w:rFonts w:cs="Arial"/>
          <w:sz w:val="24"/>
          <w:szCs w:val="24"/>
        </w:rPr>
        <w:t>a standardised measure of health related quality of life used by the National Institute for Care and Health Excellence and the Department for Health</w:t>
      </w:r>
      <w:r w:rsidR="00987562">
        <w:rPr>
          <w:rFonts w:cs="Arial"/>
          <w:sz w:val="24"/>
          <w:szCs w:val="24"/>
        </w:rPr>
        <w:t xml:space="preserve">) that has a value </w:t>
      </w:r>
      <w:r w:rsidR="008039B0" w:rsidRPr="00987562">
        <w:rPr>
          <w:rFonts w:cs="Arial"/>
          <w:sz w:val="24"/>
          <w:szCs w:val="24"/>
        </w:rPr>
        <w:t xml:space="preserve">of </w:t>
      </w:r>
      <w:r w:rsidRPr="00987562">
        <w:rPr>
          <w:rFonts w:cs="Arial"/>
          <w:sz w:val="24"/>
          <w:szCs w:val="24"/>
        </w:rPr>
        <w:t xml:space="preserve">about </w:t>
      </w:r>
      <w:r w:rsidRPr="00987562">
        <w:rPr>
          <w:rFonts w:cs="Arial"/>
          <w:sz w:val="24"/>
          <w:szCs w:val="24"/>
          <w:lang w:val="en-US"/>
        </w:rPr>
        <w:t>£40 per annum per person engaged in sport.</w:t>
      </w:r>
      <w:r w:rsidRPr="00987562">
        <w:rPr>
          <w:rFonts w:cs="Arial"/>
          <w:sz w:val="24"/>
          <w:szCs w:val="24"/>
        </w:rPr>
        <w:t xml:space="preserve"> </w:t>
      </w:r>
    </w:p>
    <w:p w14:paraId="1665BA56" w14:textId="77777777" w:rsidR="005904E0" w:rsidRPr="005C2BA7" w:rsidRDefault="005904E0" w:rsidP="007A3860">
      <w:pPr>
        <w:pStyle w:val="ListParagraph"/>
        <w:spacing w:after="0" w:line="240" w:lineRule="auto"/>
        <w:rPr>
          <w:rFonts w:cs="Arial"/>
          <w:sz w:val="24"/>
          <w:szCs w:val="24"/>
        </w:rPr>
      </w:pPr>
    </w:p>
    <w:p w14:paraId="57AA2EA3" w14:textId="3E2A97D0" w:rsidR="005904E0" w:rsidRPr="007A3860" w:rsidRDefault="007A3860" w:rsidP="007A3860">
      <w:pPr>
        <w:pStyle w:val="ListParagraph"/>
        <w:numPr>
          <w:ilvl w:val="0"/>
          <w:numId w:val="35"/>
        </w:numPr>
        <w:spacing w:after="0" w:line="240" w:lineRule="auto"/>
        <w:rPr>
          <w:rFonts w:cs="Arial"/>
          <w:sz w:val="24"/>
          <w:szCs w:val="24"/>
        </w:rPr>
      </w:pPr>
      <w:r>
        <w:rPr>
          <w:rFonts w:cs="Arial"/>
          <w:sz w:val="24"/>
          <w:szCs w:val="24"/>
        </w:rPr>
        <w:t>Using national level data on participation rates</w:t>
      </w:r>
      <w:r w:rsidR="001F0603">
        <w:rPr>
          <w:rFonts w:cs="Arial"/>
          <w:sz w:val="24"/>
          <w:szCs w:val="24"/>
        </w:rPr>
        <w:t xml:space="preserve"> in England</w:t>
      </w:r>
      <w:r>
        <w:rPr>
          <w:rFonts w:cs="Arial"/>
          <w:sz w:val="24"/>
          <w:szCs w:val="24"/>
        </w:rPr>
        <w:t xml:space="preserve"> t</w:t>
      </w:r>
      <w:r w:rsidR="005904E0" w:rsidRPr="0000346B">
        <w:rPr>
          <w:rFonts w:cs="Arial"/>
          <w:sz w:val="24"/>
          <w:szCs w:val="24"/>
        </w:rPr>
        <w:t xml:space="preserve">he total annual </w:t>
      </w:r>
      <w:r>
        <w:rPr>
          <w:rFonts w:cs="Arial"/>
          <w:sz w:val="24"/>
          <w:szCs w:val="24"/>
        </w:rPr>
        <w:t xml:space="preserve">value of </w:t>
      </w:r>
      <w:r w:rsidR="005904E0" w:rsidRPr="0000346B">
        <w:rPr>
          <w:rFonts w:cs="Arial"/>
          <w:sz w:val="24"/>
          <w:szCs w:val="24"/>
        </w:rPr>
        <w:t xml:space="preserve">improvements in QALYs </w:t>
      </w:r>
      <w:r>
        <w:rPr>
          <w:rFonts w:cs="Arial"/>
          <w:sz w:val="24"/>
          <w:szCs w:val="24"/>
        </w:rPr>
        <w:t xml:space="preserve">(predicted </w:t>
      </w:r>
      <w:r w:rsidR="005904E0" w:rsidRPr="0000346B">
        <w:rPr>
          <w:rFonts w:cs="Arial"/>
          <w:sz w:val="24"/>
          <w:szCs w:val="24"/>
        </w:rPr>
        <w:t>due to a reduction in clinical depression for people who play any sport</w:t>
      </w:r>
      <w:r>
        <w:rPr>
          <w:rFonts w:cs="Arial"/>
          <w:sz w:val="24"/>
          <w:szCs w:val="24"/>
        </w:rPr>
        <w:t>)</w:t>
      </w:r>
      <w:r w:rsidR="005904E0" w:rsidRPr="0000346B">
        <w:rPr>
          <w:rFonts w:cs="Arial"/>
          <w:sz w:val="24"/>
          <w:szCs w:val="24"/>
        </w:rPr>
        <w:t xml:space="preserve"> is</w:t>
      </w:r>
      <w:r>
        <w:rPr>
          <w:rFonts w:cs="Arial"/>
          <w:sz w:val="24"/>
          <w:szCs w:val="24"/>
        </w:rPr>
        <w:t xml:space="preserve"> estimated to be</w:t>
      </w:r>
      <w:r w:rsidR="005904E0" w:rsidRPr="0000346B">
        <w:rPr>
          <w:rFonts w:cs="Arial"/>
          <w:sz w:val="24"/>
          <w:szCs w:val="24"/>
        </w:rPr>
        <w:t xml:space="preserve"> </w:t>
      </w:r>
      <w:r w:rsidR="00D22F0F" w:rsidRPr="00987562">
        <w:rPr>
          <w:rFonts w:cs="Arial"/>
          <w:sz w:val="24"/>
          <w:szCs w:val="24"/>
          <w:lang w:val="en-US"/>
        </w:rPr>
        <w:t>£</w:t>
      </w:r>
      <w:r w:rsidR="00BB763D">
        <w:rPr>
          <w:rFonts w:cs="Arial"/>
          <w:sz w:val="24"/>
          <w:szCs w:val="24"/>
        </w:rPr>
        <w:t>1.16Bn</w:t>
      </w:r>
      <w:r w:rsidR="00413941">
        <w:rPr>
          <w:rFonts w:cs="Arial"/>
          <w:sz w:val="24"/>
          <w:szCs w:val="24"/>
        </w:rPr>
        <w:t>.</w:t>
      </w:r>
    </w:p>
    <w:p w14:paraId="36CC024D" w14:textId="77777777" w:rsidR="00240B87" w:rsidRDefault="00240B87" w:rsidP="00240B87">
      <w:pPr>
        <w:spacing w:after="0" w:line="240" w:lineRule="auto"/>
        <w:rPr>
          <w:rFonts w:cs="Arial"/>
          <w:sz w:val="24"/>
          <w:szCs w:val="24"/>
        </w:rPr>
      </w:pPr>
    </w:p>
    <w:p w14:paraId="4B810AB4" w14:textId="77777777" w:rsidR="002A5871" w:rsidRPr="00C64B45" w:rsidRDefault="002A5871" w:rsidP="00240B87">
      <w:pPr>
        <w:spacing w:after="0" w:line="240" w:lineRule="auto"/>
        <w:rPr>
          <w:rFonts w:cs="Arial"/>
          <w:b/>
          <w:sz w:val="24"/>
          <w:szCs w:val="24"/>
        </w:rPr>
      </w:pPr>
      <w:r>
        <w:rPr>
          <w:rFonts w:cs="Arial"/>
          <w:b/>
          <w:sz w:val="24"/>
          <w:szCs w:val="24"/>
        </w:rPr>
        <w:t>Likelihood of attending Further Education</w:t>
      </w:r>
    </w:p>
    <w:p w14:paraId="30848737" w14:textId="33FADCAD" w:rsidR="007A3860" w:rsidRPr="00BC5D7E" w:rsidRDefault="00240B87" w:rsidP="00BC5D7E">
      <w:pPr>
        <w:pStyle w:val="ListParagraph"/>
        <w:numPr>
          <w:ilvl w:val="0"/>
          <w:numId w:val="35"/>
        </w:numPr>
        <w:spacing w:after="0" w:line="240" w:lineRule="auto"/>
        <w:rPr>
          <w:rFonts w:cs="Arial"/>
          <w:sz w:val="24"/>
          <w:szCs w:val="24"/>
        </w:rPr>
      </w:pPr>
      <w:r w:rsidRPr="007A3860">
        <w:rPr>
          <w:rFonts w:cs="Arial"/>
          <w:sz w:val="24"/>
          <w:szCs w:val="24"/>
        </w:rPr>
        <w:t>Within a sub-sample of 16-18 year olds, participants in the arts and those who visited heritage or libraries were found to be</w:t>
      </w:r>
      <w:r w:rsidR="002A5871">
        <w:rPr>
          <w:rFonts w:cs="Arial"/>
          <w:sz w:val="24"/>
          <w:szCs w:val="24"/>
        </w:rPr>
        <w:t xml:space="preserve"> </w:t>
      </w:r>
      <w:r w:rsidR="007A3860">
        <w:rPr>
          <w:rFonts w:cs="Arial"/>
          <w:sz w:val="24"/>
          <w:szCs w:val="24"/>
        </w:rPr>
        <w:t xml:space="preserve">more </w:t>
      </w:r>
      <w:r w:rsidRPr="007A3860">
        <w:rPr>
          <w:rFonts w:cs="Arial"/>
          <w:sz w:val="24"/>
          <w:szCs w:val="24"/>
        </w:rPr>
        <w:t>likely</w:t>
      </w:r>
      <w:r w:rsidR="005917F3">
        <w:rPr>
          <w:rFonts w:cs="Arial"/>
          <w:sz w:val="24"/>
          <w:szCs w:val="24"/>
        </w:rPr>
        <w:t xml:space="preserve"> on average</w:t>
      </w:r>
      <w:r w:rsidRPr="007A3860">
        <w:rPr>
          <w:rFonts w:cs="Arial"/>
          <w:sz w:val="24"/>
          <w:szCs w:val="24"/>
        </w:rPr>
        <w:t xml:space="preserve"> to go on to further education </w:t>
      </w:r>
      <w:r w:rsidR="007A3860">
        <w:rPr>
          <w:rFonts w:cs="Arial"/>
          <w:sz w:val="24"/>
          <w:szCs w:val="24"/>
        </w:rPr>
        <w:t>in later years</w:t>
      </w:r>
      <w:r w:rsidR="002A5871">
        <w:rPr>
          <w:rFonts w:cs="Arial"/>
          <w:sz w:val="24"/>
          <w:szCs w:val="24"/>
        </w:rPr>
        <w:t xml:space="preserve"> (</w:t>
      </w:r>
      <w:r w:rsidR="00BC5D7E">
        <w:rPr>
          <w:rFonts w:cs="Arial"/>
          <w:sz w:val="24"/>
          <w:szCs w:val="24"/>
        </w:rPr>
        <w:t>0.99</w:t>
      </w:r>
      <w:r w:rsidR="002A5871">
        <w:rPr>
          <w:rFonts w:cs="Arial"/>
          <w:sz w:val="24"/>
          <w:szCs w:val="24"/>
        </w:rPr>
        <w:t xml:space="preserve">%, </w:t>
      </w:r>
      <w:r w:rsidR="00BC5D7E">
        <w:rPr>
          <w:rFonts w:cs="Arial"/>
          <w:sz w:val="24"/>
          <w:szCs w:val="24"/>
        </w:rPr>
        <w:t>1.02</w:t>
      </w:r>
      <w:r w:rsidR="002A5871">
        <w:rPr>
          <w:rFonts w:cs="Arial"/>
          <w:sz w:val="24"/>
          <w:szCs w:val="24"/>
        </w:rPr>
        <w:t xml:space="preserve">%, and </w:t>
      </w:r>
      <w:r w:rsidR="00BC5D7E">
        <w:rPr>
          <w:rFonts w:cs="Arial"/>
          <w:sz w:val="24"/>
          <w:szCs w:val="24"/>
        </w:rPr>
        <w:t>0.66</w:t>
      </w:r>
      <w:r w:rsidR="002A5871">
        <w:rPr>
          <w:rFonts w:cs="Arial"/>
          <w:sz w:val="24"/>
          <w:szCs w:val="24"/>
        </w:rPr>
        <w:t>% respectively)</w:t>
      </w:r>
      <w:r w:rsidR="007A3860">
        <w:rPr>
          <w:rFonts w:cs="Arial"/>
          <w:sz w:val="24"/>
          <w:szCs w:val="24"/>
        </w:rPr>
        <w:t>.</w:t>
      </w:r>
      <w:r w:rsidR="00BC5D7E">
        <w:rPr>
          <w:rFonts w:cs="Arial"/>
          <w:sz w:val="24"/>
          <w:szCs w:val="24"/>
        </w:rPr>
        <w:t xml:space="preserve"> This is a statistically significant increase in </w:t>
      </w:r>
      <w:r w:rsidR="00F21C6F">
        <w:rPr>
          <w:rFonts w:cs="Arial"/>
          <w:sz w:val="24"/>
          <w:szCs w:val="24"/>
        </w:rPr>
        <w:t xml:space="preserve">the </w:t>
      </w:r>
      <w:r w:rsidR="00BC5D7E">
        <w:rPr>
          <w:rFonts w:cs="Arial"/>
          <w:sz w:val="24"/>
          <w:szCs w:val="24"/>
        </w:rPr>
        <w:t>likelihood</w:t>
      </w:r>
      <w:r w:rsidR="005917F3">
        <w:rPr>
          <w:rFonts w:cs="Arial"/>
          <w:sz w:val="24"/>
          <w:szCs w:val="24"/>
        </w:rPr>
        <w:t>. As these likelihoods are on average, some 16-18 year olds will necessarily be more likely and others less likely to go on to further education.</w:t>
      </w:r>
    </w:p>
    <w:p w14:paraId="67440B11" w14:textId="77777777" w:rsidR="008039B0" w:rsidRPr="007A3860" w:rsidRDefault="007A3860" w:rsidP="007A3860">
      <w:pPr>
        <w:spacing w:after="0" w:line="240" w:lineRule="auto"/>
        <w:rPr>
          <w:rFonts w:cs="Arial"/>
          <w:sz w:val="24"/>
          <w:szCs w:val="24"/>
        </w:rPr>
      </w:pPr>
      <w:r w:rsidRPr="007A3860">
        <w:rPr>
          <w:rFonts w:cs="Arial"/>
          <w:sz w:val="24"/>
          <w:szCs w:val="24"/>
        </w:rPr>
        <w:t xml:space="preserve"> </w:t>
      </w:r>
    </w:p>
    <w:p w14:paraId="38696CF5" w14:textId="4A929E27" w:rsidR="00240B87" w:rsidRPr="007A3860" w:rsidRDefault="008039B0" w:rsidP="007A3860">
      <w:pPr>
        <w:pStyle w:val="ListParagraph"/>
        <w:numPr>
          <w:ilvl w:val="0"/>
          <w:numId w:val="35"/>
        </w:numPr>
        <w:spacing w:after="0" w:line="240" w:lineRule="auto"/>
        <w:rPr>
          <w:rFonts w:cs="Arial"/>
          <w:sz w:val="24"/>
          <w:szCs w:val="24"/>
        </w:rPr>
      </w:pPr>
      <w:r w:rsidRPr="007A3860">
        <w:rPr>
          <w:rFonts w:cs="Arial"/>
          <w:sz w:val="24"/>
          <w:szCs w:val="24"/>
        </w:rPr>
        <w:t xml:space="preserve">The </w:t>
      </w:r>
      <w:r w:rsidR="00CF283C" w:rsidRPr="007A3860">
        <w:rPr>
          <w:rFonts w:cs="Arial"/>
          <w:sz w:val="24"/>
          <w:szCs w:val="24"/>
        </w:rPr>
        <w:t>benefit of engaging in these cultural activities</w:t>
      </w:r>
      <w:r w:rsidR="00FB72F0">
        <w:rPr>
          <w:rFonts w:cs="Arial"/>
          <w:sz w:val="24"/>
          <w:szCs w:val="24"/>
        </w:rPr>
        <w:t xml:space="preserve"> </w:t>
      </w:r>
      <w:r w:rsidR="00CF283C" w:rsidRPr="007A3860">
        <w:rPr>
          <w:rFonts w:cs="Arial"/>
          <w:sz w:val="24"/>
          <w:szCs w:val="24"/>
        </w:rPr>
        <w:t>has</w:t>
      </w:r>
      <w:r w:rsidR="00240B87" w:rsidRPr="007A3860">
        <w:rPr>
          <w:rFonts w:cs="Arial"/>
          <w:sz w:val="24"/>
          <w:szCs w:val="24"/>
        </w:rPr>
        <w:t xml:space="preserve"> a</w:t>
      </w:r>
      <w:r w:rsidR="007A3860">
        <w:rPr>
          <w:rFonts w:cs="Arial"/>
          <w:sz w:val="24"/>
          <w:szCs w:val="24"/>
        </w:rPr>
        <w:t xml:space="preserve">n estimated </w:t>
      </w:r>
      <w:r w:rsidR="00240B87" w:rsidRPr="007A3860">
        <w:rPr>
          <w:rFonts w:cs="Arial"/>
          <w:sz w:val="24"/>
          <w:szCs w:val="24"/>
        </w:rPr>
        <w:t>value of</w:t>
      </w:r>
      <w:r w:rsidR="00FB72F0">
        <w:rPr>
          <w:rFonts w:cs="Arial"/>
          <w:sz w:val="24"/>
          <w:szCs w:val="24"/>
        </w:rPr>
        <w:t xml:space="preserve"> about</w:t>
      </w:r>
      <w:r w:rsidR="00240B87" w:rsidRPr="007A3860">
        <w:rPr>
          <w:rFonts w:cs="Arial"/>
          <w:sz w:val="24"/>
          <w:szCs w:val="24"/>
        </w:rPr>
        <w:t xml:space="preserve"> £3,</w:t>
      </w:r>
      <w:r w:rsidR="00FB72F0">
        <w:rPr>
          <w:rFonts w:cs="Arial"/>
          <w:sz w:val="24"/>
          <w:szCs w:val="24"/>
        </w:rPr>
        <w:t xml:space="preserve">000 for participation </w:t>
      </w:r>
      <w:r w:rsidR="00CD591C">
        <w:rPr>
          <w:rFonts w:cs="Arial"/>
          <w:sz w:val="24"/>
          <w:szCs w:val="24"/>
        </w:rPr>
        <w:t xml:space="preserve">in </w:t>
      </w:r>
      <w:r w:rsidR="00FB72F0">
        <w:rPr>
          <w:rFonts w:cs="Arial"/>
          <w:sz w:val="24"/>
          <w:szCs w:val="24"/>
        </w:rPr>
        <w:t>arts and heritage and about £2</w:t>
      </w:r>
      <w:r w:rsidR="00FB72F0" w:rsidRPr="007A3860">
        <w:rPr>
          <w:rFonts w:cs="Arial"/>
          <w:sz w:val="24"/>
          <w:szCs w:val="24"/>
        </w:rPr>
        <w:t>,</w:t>
      </w:r>
      <w:r w:rsidR="00FB72F0">
        <w:rPr>
          <w:rFonts w:cs="Arial"/>
          <w:sz w:val="24"/>
          <w:szCs w:val="24"/>
        </w:rPr>
        <w:t xml:space="preserve">000 for library </w:t>
      </w:r>
      <w:r w:rsidR="00FB72F0" w:rsidRPr="007A3860">
        <w:rPr>
          <w:rFonts w:cs="Arial"/>
          <w:sz w:val="24"/>
          <w:szCs w:val="24"/>
        </w:rPr>
        <w:t>over the person’s li</w:t>
      </w:r>
      <w:r w:rsidR="00FB72F0">
        <w:rPr>
          <w:rFonts w:cs="Arial"/>
          <w:sz w:val="24"/>
          <w:szCs w:val="24"/>
        </w:rPr>
        <w:t>fetime due to increased earnings</w:t>
      </w:r>
      <w:r w:rsidR="00240B87" w:rsidRPr="007A3860">
        <w:rPr>
          <w:rFonts w:cs="Arial"/>
          <w:sz w:val="24"/>
          <w:szCs w:val="24"/>
        </w:rPr>
        <w:t xml:space="preserve">. </w:t>
      </w:r>
      <w:r w:rsidR="00FB72F0">
        <w:rPr>
          <w:rFonts w:cs="Arial"/>
          <w:sz w:val="24"/>
          <w:szCs w:val="24"/>
        </w:rPr>
        <w:t>These</w:t>
      </w:r>
      <w:r w:rsidR="00CF283C">
        <w:rPr>
          <w:rFonts w:cs="Arial"/>
          <w:sz w:val="24"/>
          <w:szCs w:val="24"/>
        </w:rPr>
        <w:t xml:space="preserve"> figure</w:t>
      </w:r>
      <w:r w:rsidR="00FB72F0">
        <w:rPr>
          <w:rFonts w:cs="Arial"/>
          <w:sz w:val="24"/>
          <w:szCs w:val="24"/>
        </w:rPr>
        <w:t>s</w:t>
      </w:r>
      <w:r w:rsidR="00CF283C">
        <w:rPr>
          <w:rFonts w:cs="Arial"/>
          <w:sz w:val="24"/>
          <w:szCs w:val="24"/>
        </w:rPr>
        <w:t xml:space="preserve"> only represents the increase</w:t>
      </w:r>
      <w:r w:rsidR="001B4A53">
        <w:rPr>
          <w:rFonts w:cs="Arial"/>
          <w:sz w:val="24"/>
          <w:szCs w:val="24"/>
        </w:rPr>
        <w:t xml:space="preserve"> in earnings </w:t>
      </w:r>
      <w:r w:rsidR="00CF283C">
        <w:rPr>
          <w:rFonts w:cs="Arial"/>
          <w:sz w:val="24"/>
          <w:szCs w:val="24"/>
        </w:rPr>
        <w:t xml:space="preserve">resulting from the increased likelihood of attending further education associated with cultural engagement and does not include any consideration of additional increases in lifetime earnings resulting from attainment and/or occupations, which would need to be considered in addition to this figure.  </w:t>
      </w:r>
      <w:r w:rsidR="00240B87" w:rsidRPr="007A3860">
        <w:rPr>
          <w:rFonts w:cs="Arial"/>
          <w:sz w:val="24"/>
          <w:szCs w:val="24"/>
        </w:rPr>
        <w:t>This fi</w:t>
      </w:r>
      <w:r w:rsidR="001D1535">
        <w:rPr>
          <w:rFonts w:cs="Arial"/>
          <w:sz w:val="24"/>
          <w:szCs w:val="24"/>
        </w:rPr>
        <w:t>gure includes increases in life</w:t>
      </w:r>
      <w:r w:rsidR="00240B87" w:rsidRPr="007A3860">
        <w:rPr>
          <w:rFonts w:cs="Arial"/>
          <w:sz w:val="24"/>
          <w:szCs w:val="24"/>
        </w:rPr>
        <w:t xml:space="preserve">time earnings for the individual plus increased tax receipts for the exchequer. </w:t>
      </w:r>
    </w:p>
    <w:p w14:paraId="3F85CE6B" w14:textId="77777777" w:rsidR="000D564A" w:rsidRPr="009E722E" w:rsidRDefault="000D564A" w:rsidP="000D564A">
      <w:pPr>
        <w:spacing w:after="0" w:line="240" w:lineRule="auto"/>
        <w:rPr>
          <w:rFonts w:cs="Arial"/>
          <w:sz w:val="24"/>
          <w:szCs w:val="24"/>
        </w:rPr>
      </w:pPr>
      <w:r w:rsidRPr="009E722E" w:rsidDel="00303965">
        <w:rPr>
          <w:rFonts w:cs="Arial"/>
          <w:sz w:val="24"/>
          <w:szCs w:val="24"/>
        </w:rPr>
        <w:t xml:space="preserve"> </w:t>
      </w:r>
    </w:p>
    <w:p w14:paraId="0B4CA96E" w14:textId="77777777" w:rsidR="000D564A" w:rsidRDefault="000D564A" w:rsidP="000D564A">
      <w:pPr>
        <w:spacing w:after="0" w:line="240" w:lineRule="auto"/>
        <w:rPr>
          <w:rFonts w:cs="Arial"/>
          <w:sz w:val="24"/>
          <w:szCs w:val="24"/>
        </w:rPr>
      </w:pPr>
      <w:r w:rsidRPr="009E722E">
        <w:rPr>
          <w:rFonts w:cs="Arial"/>
          <w:sz w:val="24"/>
          <w:szCs w:val="24"/>
        </w:rPr>
        <w:t xml:space="preserve">These results </w:t>
      </w:r>
      <w:r w:rsidR="005865BD">
        <w:rPr>
          <w:rFonts w:cs="Arial"/>
          <w:sz w:val="24"/>
          <w:szCs w:val="24"/>
        </w:rPr>
        <w:t xml:space="preserve">on the relationships between culture and sport and health and educational outcomes </w:t>
      </w:r>
      <w:r w:rsidRPr="009E722E">
        <w:rPr>
          <w:rFonts w:cs="Arial"/>
          <w:sz w:val="24"/>
          <w:szCs w:val="24"/>
        </w:rPr>
        <w:t xml:space="preserve">are supported by existing literature and suggest that culture and sports participation </w:t>
      </w:r>
      <w:r w:rsidR="005865BD">
        <w:rPr>
          <w:rFonts w:cs="Arial"/>
          <w:sz w:val="24"/>
          <w:szCs w:val="24"/>
        </w:rPr>
        <w:t>can help to generate</w:t>
      </w:r>
      <w:r w:rsidRPr="009E722E">
        <w:rPr>
          <w:rFonts w:cs="Arial"/>
          <w:sz w:val="24"/>
          <w:szCs w:val="24"/>
        </w:rPr>
        <w:t xml:space="preserve"> wide-ranging social benefits an</w:t>
      </w:r>
      <w:r w:rsidR="005865BD">
        <w:rPr>
          <w:rFonts w:cs="Arial"/>
          <w:sz w:val="24"/>
          <w:szCs w:val="24"/>
        </w:rPr>
        <w:t>d cost savings to the exchequer, although the caveats around cause and effect should be noted.</w:t>
      </w:r>
    </w:p>
    <w:p w14:paraId="170C8A2D" w14:textId="77777777" w:rsidR="00624B74" w:rsidRDefault="00624B74" w:rsidP="00E003E7">
      <w:pPr>
        <w:spacing w:after="0" w:line="240" w:lineRule="auto"/>
        <w:rPr>
          <w:b/>
          <w:bCs/>
          <w:sz w:val="32"/>
          <w:szCs w:val="24"/>
        </w:rPr>
      </w:pPr>
    </w:p>
    <w:p w14:paraId="571D9013" w14:textId="77777777" w:rsidR="00624B74" w:rsidRDefault="00624B74" w:rsidP="00E003E7">
      <w:pPr>
        <w:spacing w:after="0" w:line="240" w:lineRule="auto"/>
        <w:rPr>
          <w:b/>
          <w:bCs/>
          <w:sz w:val="32"/>
          <w:szCs w:val="24"/>
        </w:rPr>
      </w:pPr>
    </w:p>
    <w:p w14:paraId="242D1DCB" w14:textId="77777777" w:rsidR="00624B74" w:rsidRDefault="00624B74" w:rsidP="00E003E7">
      <w:pPr>
        <w:spacing w:after="0" w:line="240" w:lineRule="auto"/>
        <w:rPr>
          <w:b/>
          <w:bCs/>
          <w:sz w:val="32"/>
          <w:szCs w:val="24"/>
        </w:rPr>
      </w:pPr>
    </w:p>
    <w:p w14:paraId="71DCB602" w14:textId="77777777" w:rsidR="00A728CB" w:rsidRDefault="00A728CB" w:rsidP="00E003E7">
      <w:pPr>
        <w:spacing w:after="0" w:line="240" w:lineRule="auto"/>
        <w:rPr>
          <w:b/>
          <w:bCs/>
          <w:sz w:val="32"/>
          <w:szCs w:val="24"/>
        </w:rPr>
      </w:pPr>
    </w:p>
    <w:p w14:paraId="3B3F4C95" w14:textId="77777777" w:rsidR="00A728CB" w:rsidRDefault="00A728CB" w:rsidP="00E003E7">
      <w:pPr>
        <w:spacing w:after="0" w:line="240" w:lineRule="auto"/>
        <w:rPr>
          <w:b/>
          <w:bCs/>
          <w:sz w:val="32"/>
          <w:szCs w:val="24"/>
        </w:rPr>
      </w:pPr>
    </w:p>
    <w:p w14:paraId="0669D2AA" w14:textId="77777777" w:rsidR="00A728CB" w:rsidRDefault="00A728CB" w:rsidP="00E003E7">
      <w:pPr>
        <w:spacing w:after="0" w:line="240" w:lineRule="auto"/>
        <w:rPr>
          <w:b/>
          <w:bCs/>
          <w:sz w:val="32"/>
          <w:szCs w:val="24"/>
        </w:rPr>
      </w:pPr>
    </w:p>
    <w:p w14:paraId="0F30EFDF" w14:textId="636F075D" w:rsidR="004F7A97" w:rsidRDefault="004F7A97">
      <w:pPr>
        <w:rPr>
          <w:b/>
          <w:bCs/>
          <w:sz w:val="32"/>
          <w:szCs w:val="24"/>
        </w:rPr>
      </w:pPr>
      <w:r>
        <w:rPr>
          <w:b/>
          <w:bCs/>
          <w:sz w:val="32"/>
          <w:szCs w:val="24"/>
        </w:rPr>
        <w:br w:type="page"/>
      </w:r>
    </w:p>
    <w:p w14:paraId="3D0BA1D4" w14:textId="77777777" w:rsidR="00935920" w:rsidRPr="001E7442" w:rsidRDefault="00F543B0" w:rsidP="001E7442">
      <w:pPr>
        <w:pStyle w:val="Heading1"/>
        <w:rPr>
          <w:rFonts w:asciiTheme="minorHAnsi" w:hAnsiTheme="minorHAnsi"/>
          <w:color w:val="0070C0"/>
          <w:sz w:val="36"/>
          <w:szCs w:val="36"/>
        </w:rPr>
      </w:pPr>
      <w:bookmarkStart w:id="2" w:name="_Toc409167383"/>
      <w:r w:rsidRPr="001E7442">
        <w:rPr>
          <w:rFonts w:asciiTheme="minorHAnsi" w:hAnsiTheme="minorHAnsi"/>
          <w:sz w:val="36"/>
          <w:szCs w:val="36"/>
        </w:rPr>
        <w:lastRenderedPageBreak/>
        <w:t>Chapter 1:</w:t>
      </w:r>
      <w:r w:rsidR="00935920" w:rsidRPr="001E7442">
        <w:rPr>
          <w:rFonts w:asciiTheme="minorHAnsi" w:hAnsiTheme="minorHAnsi"/>
          <w:sz w:val="36"/>
          <w:szCs w:val="36"/>
        </w:rPr>
        <w:t xml:space="preserve"> Introduction</w:t>
      </w:r>
      <w:bookmarkEnd w:id="2"/>
    </w:p>
    <w:p w14:paraId="024C29F2" w14:textId="77777777" w:rsidR="00C66E3B" w:rsidRPr="00B17245" w:rsidRDefault="00C66E3B" w:rsidP="00E003E7">
      <w:pPr>
        <w:spacing w:after="0" w:line="240" w:lineRule="auto"/>
        <w:rPr>
          <w:b/>
          <w:bCs/>
          <w:sz w:val="24"/>
          <w:szCs w:val="24"/>
        </w:rPr>
      </w:pPr>
    </w:p>
    <w:p w14:paraId="3EF1D9EB" w14:textId="77777777" w:rsidR="00935920" w:rsidRPr="00B17245" w:rsidRDefault="00935920" w:rsidP="00E003E7">
      <w:pPr>
        <w:spacing w:after="0" w:line="240" w:lineRule="auto"/>
        <w:rPr>
          <w:b/>
          <w:color w:val="0070C0"/>
          <w:sz w:val="24"/>
          <w:szCs w:val="24"/>
        </w:rPr>
      </w:pPr>
      <w:r w:rsidRPr="00B17245">
        <w:rPr>
          <w:b/>
          <w:bCs/>
          <w:sz w:val="24"/>
          <w:szCs w:val="24"/>
        </w:rPr>
        <w:t xml:space="preserve">1.1. </w:t>
      </w:r>
      <w:r w:rsidR="00C62A65">
        <w:rPr>
          <w:b/>
          <w:bCs/>
          <w:sz w:val="24"/>
          <w:szCs w:val="24"/>
        </w:rPr>
        <w:t>Background, a</w:t>
      </w:r>
      <w:r w:rsidRPr="00B17245">
        <w:rPr>
          <w:b/>
          <w:bCs/>
          <w:sz w:val="24"/>
          <w:szCs w:val="24"/>
        </w:rPr>
        <w:t>ims</w:t>
      </w:r>
      <w:r w:rsidR="00C62A65">
        <w:rPr>
          <w:b/>
          <w:bCs/>
          <w:sz w:val="24"/>
          <w:szCs w:val="24"/>
        </w:rPr>
        <w:t xml:space="preserve"> </w:t>
      </w:r>
      <w:r w:rsidRPr="00B17245">
        <w:rPr>
          <w:b/>
          <w:bCs/>
          <w:sz w:val="24"/>
          <w:szCs w:val="24"/>
        </w:rPr>
        <w:t>and report overview</w:t>
      </w:r>
    </w:p>
    <w:p w14:paraId="5F41DE45" w14:textId="77777777" w:rsidR="00190F92" w:rsidRPr="00B17245" w:rsidRDefault="00190F92" w:rsidP="00E003E7">
      <w:pPr>
        <w:spacing w:after="0" w:line="240" w:lineRule="auto"/>
        <w:rPr>
          <w:b/>
          <w:sz w:val="24"/>
          <w:szCs w:val="24"/>
        </w:rPr>
      </w:pPr>
    </w:p>
    <w:p w14:paraId="7CF8DBFF" w14:textId="77777777" w:rsidR="00190F92" w:rsidRDefault="00190F92" w:rsidP="00E003E7">
      <w:pPr>
        <w:spacing w:after="0" w:line="240" w:lineRule="auto"/>
        <w:rPr>
          <w:rFonts w:cstheme="majorHAnsi"/>
          <w:sz w:val="24"/>
          <w:szCs w:val="24"/>
        </w:rPr>
      </w:pPr>
      <w:r w:rsidRPr="00B17245">
        <w:rPr>
          <w:rFonts w:cstheme="majorHAnsi"/>
          <w:sz w:val="24"/>
          <w:szCs w:val="24"/>
        </w:rPr>
        <w:t xml:space="preserve">The </w:t>
      </w:r>
      <w:r w:rsidR="00A937DE">
        <w:rPr>
          <w:rFonts w:cstheme="majorHAnsi"/>
          <w:sz w:val="24"/>
          <w:szCs w:val="24"/>
        </w:rPr>
        <w:t>culture and sports</w:t>
      </w:r>
      <w:r w:rsidRPr="00B17245">
        <w:rPr>
          <w:rFonts w:cstheme="majorHAnsi"/>
          <w:sz w:val="24"/>
          <w:szCs w:val="24"/>
        </w:rPr>
        <w:t xml:space="preserve"> sectors play a key role in generating benefits for society. In Fujiwara et al. (2014a) (2014b) we showed that engagement in </w:t>
      </w:r>
      <w:r w:rsidR="00A937DE">
        <w:rPr>
          <w:rFonts w:cstheme="majorHAnsi"/>
          <w:sz w:val="24"/>
          <w:szCs w:val="24"/>
        </w:rPr>
        <w:t>culture and sports</w:t>
      </w:r>
      <w:r w:rsidRPr="00B17245">
        <w:rPr>
          <w:rFonts w:cstheme="majorHAnsi"/>
          <w:sz w:val="24"/>
          <w:szCs w:val="24"/>
        </w:rPr>
        <w:t xml:space="preserve"> is positively associated with increases in wellbeing, improvements in health, improved educational and economic prospects and higher levels of positive civic participation. Many of these benefits are difficult to measure and value and can therefore get neglected or completely ignored in discussions about how best to allocate scarce resources. </w:t>
      </w:r>
    </w:p>
    <w:p w14:paraId="721CCB28" w14:textId="77777777" w:rsidR="00466429" w:rsidRPr="00B17245" w:rsidRDefault="00466429" w:rsidP="00E003E7">
      <w:pPr>
        <w:spacing w:after="0" w:line="240" w:lineRule="auto"/>
        <w:rPr>
          <w:rFonts w:cstheme="majorHAnsi"/>
          <w:sz w:val="24"/>
          <w:szCs w:val="24"/>
        </w:rPr>
      </w:pPr>
    </w:p>
    <w:p w14:paraId="55AAB1BE" w14:textId="77777777" w:rsidR="00190F92" w:rsidRDefault="00190F92" w:rsidP="00E003E7">
      <w:pPr>
        <w:spacing w:after="0" w:line="240" w:lineRule="auto"/>
        <w:rPr>
          <w:rFonts w:cstheme="majorHAnsi"/>
          <w:b/>
          <w:sz w:val="24"/>
          <w:szCs w:val="24"/>
        </w:rPr>
      </w:pPr>
      <w:r w:rsidRPr="00B17245">
        <w:rPr>
          <w:rFonts w:cstheme="majorHAnsi"/>
          <w:sz w:val="24"/>
          <w:szCs w:val="24"/>
        </w:rPr>
        <w:t>One important benefit arises from the positive i</w:t>
      </w:r>
      <w:r w:rsidRPr="00C62A65">
        <w:rPr>
          <w:rFonts w:cstheme="majorHAnsi"/>
          <w:sz w:val="24"/>
          <w:szCs w:val="24"/>
        </w:rPr>
        <w:t xml:space="preserve">mpacts that </w:t>
      </w:r>
      <w:r w:rsidR="00A937DE">
        <w:rPr>
          <w:rFonts w:cstheme="majorHAnsi"/>
          <w:sz w:val="24"/>
          <w:szCs w:val="24"/>
        </w:rPr>
        <w:t>such benefits</w:t>
      </w:r>
      <w:r w:rsidR="00A937DE" w:rsidRPr="00C62A65">
        <w:rPr>
          <w:rFonts w:cstheme="majorHAnsi"/>
          <w:sz w:val="24"/>
          <w:szCs w:val="24"/>
        </w:rPr>
        <w:t xml:space="preserve"> </w:t>
      </w:r>
      <w:r w:rsidRPr="00C62A65">
        <w:rPr>
          <w:rFonts w:cstheme="majorHAnsi"/>
          <w:sz w:val="24"/>
          <w:szCs w:val="24"/>
        </w:rPr>
        <w:t xml:space="preserve">may have on exchequer funds and taxpayers. This study builds on the first round of research </w:t>
      </w:r>
      <w:r w:rsidR="009B71D2" w:rsidRPr="00C62A65">
        <w:rPr>
          <w:rFonts w:cstheme="majorHAnsi"/>
          <w:sz w:val="24"/>
          <w:szCs w:val="24"/>
        </w:rPr>
        <w:t>(</w:t>
      </w:r>
      <w:r w:rsidRPr="00C62A65">
        <w:rPr>
          <w:rFonts w:cstheme="majorHAnsi"/>
          <w:sz w:val="24"/>
          <w:szCs w:val="24"/>
        </w:rPr>
        <w:t>Fujiwara et al.</w:t>
      </w:r>
      <w:r w:rsidR="009B71D2" w:rsidRPr="00C62A65">
        <w:rPr>
          <w:rFonts w:cstheme="majorHAnsi"/>
          <w:sz w:val="24"/>
          <w:szCs w:val="24"/>
        </w:rPr>
        <w:t xml:space="preserve">, </w:t>
      </w:r>
      <w:r w:rsidR="00FE084B">
        <w:rPr>
          <w:rFonts w:cstheme="majorHAnsi"/>
          <w:sz w:val="24"/>
          <w:szCs w:val="24"/>
        </w:rPr>
        <w:t>2014a</w:t>
      </w:r>
      <w:r w:rsidRPr="00C62A65">
        <w:rPr>
          <w:rFonts w:cstheme="majorHAnsi"/>
          <w:sz w:val="24"/>
          <w:szCs w:val="24"/>
        </w:rPr>
        <w:t xml:space="preserve">) by examining in greater depth the </w:t>
      </w:r>
      <w:r w:rsidR="00F16245">
        <w:rPr>
          <w:rFonts w:cstheme="majorHAnsi"/>
          <w:sz w:val="24"/>
          <w:szCs w:val="24"/>
        </w:rPr>
        <w:t xml:space="preserve">positive </w:t>
      </w:r>
      <w:r w:rsidRPr="00C62A65">
        <w:rPr>
          <w:rFonts w:cstheme="majorHAnsi"/>
          <w:sz w:val="24"/>
          <w:szCs w:val="24"/>
        </w:rPr>
        <w:t>link</w:t>
      </w:r>
      <w:r w:rsidR="00F16245">
        <w:rPr>
          <w:rFonts w:cstheme="majorHAnsi"/>
          <w:sz w:val="24"/>
          <w:szCs w:val="24"/>
        </w:rPr>
        <w:t>s</w:t>
      </w:r>
      <w:r w:rsidRPr="00C62A65">
        <w:rPr>
          <w:rFonts w:cstheme="majorHAnsi"/>
          <w:sz w:val="24"/>
          <w:szCs w:val="24"/>
        </w:rPr>
        <w:t xml:space="preserve"> between culture and sport on the one hand and health </w:t>
      </w:r>
      <w:r w:rsidR="00C62A65">
        <w:rPr>
          <w:rFonts w:cstheme="majorHAnsi"/>
          <w:sz w:val="24"/>
          <w:szCs w:val="24"/>
        </w:rPr>
        <w:t xml:space="preserve">outcomes </w:t>
      </w:r>
      <w:r w:rsidRPr="00C62A65">
        <w:rPr>
          <w:rFonts w:cstheme="majorHAnsi"/>
          <w:sz w:val="24"/>
          <w:szCs w:val="24"/>
        </w:rPr>
        <w:t>and educ</w:t>
      </w:r>
      <w:r w:rsidR="009B71D2" w:rsidRPr="00C62A65">
        <w:rPr>
          <w:rFonts w:cstheme="majorHAnsi"/>
          <w:sz w:val="24"/>
          <w:szCs w:val="24"/>
        </w:rPr>
        <w:t>ational prospects on the other</w:t>
      </w:r>
      <w:r w:rsidR="00A937DE">
        <w:rPr>
          <w:rFonts w:cstheme="majorHAnsi"/>
          <w:sz w:val="24"/>
          <w:szCs w:val="24"/>
        </w:rPr>
        <w:t>,</w:t>
      </w:r>
      <w:r w:rsidR="009B71D2" w:rsidRPr="00C62A65">
        <w:rPr>
          <w:rFonts w:cstheme="majorHAnsi"/>
          <w:sz w:val="24"/>
          <w:szCs w:val="24"/>
        </w:rPr>
        <w:t xml:space="preserve"> </w:t>
      </w:r>
      <w:r w:rsidR="009B71D2" w:rsidRPr="00F16245">
        <w:rPr>
          <w:rFonts w:cstheme="majorHAnsi"/>
          <w:sz w:val="24"/>
          <w:szCs w:val="24"/>
        </w:rPr>
        <w:t xml:space="preserve">and </w:t>
      </w:r>
      <w:r w:rsidR="00A937DE" w:rsidRPr="00F16245">
        <w:rPr>
          <w:rFonts w:cstheme="majorHAnsi"/>
          <w:sz w:val="24"/>
          <w:szCs w:val="24"/>
        </w:rPr>
        <w:t>it</w:t>
      </w:r>
      <w:r w:rsidR="00C62A65" w:rsidRPr="00F16245">
        <w:rPr>
          <w:rFonts w:cstheme="majorHAnsi"/>
          <w:sz w:val="24"/>
          <w:szCs w:val="24"/>
        </w:rPr>
        <w:t xml:space="preserve"> </w:t>
      </w:r>
      <w:r w:rsidR="009B71D2" w:rsidRPr="00F16245">
        <w:rPr>
          <w:rFonts w:cstheme="majorHAnsi"/>
          <w:sz w:val="24"/>
          <w:szCs w:val="24"/>
        </w:rPr>
        <w:t xml:space="preserve">estimates </w:t>
      </w:r>
      <w:r w:rsidR="00F16245">
        <w:rPr>
          <w:rFonts w:cstheme="majorHAnsi"/>
          <w:sz w:val="24"/>
          <w:szCs w:val="24"/>
        </w:rPr>
        <w:t xml:space="preserve">the </w:t>
      </w:r>
      <w:r w:rsidR="009B71D2" w:rsidRPr="00F16245">
        <w:rPr>
          <w:rFonts w:cstheme="majorHAnsi"/>
          <w:sz w:val="24"/>
          <w:szCs w:val="24"/>
        </w:rPr>
        <w:t>cost savings to the taxpayer associated with these benefits.</w:t>
      </w:r>
    </w:p>
    <w:p w14:paraId="1071BBBD" w14:textId="77777777" w:rsidR="00466429" w:rsidRPr="00B17245" w:rsidRDefault="00466429" w:rsidP="00E003E7">
      <w:pPr>
        <w:spacing w:after="0" w:line="240" w:lineRule="auto"/>
        <w:rPr>
          <w:rFonts w:cstheme="majorHAnsi"/>
          <w:b/>
          <w:sz w:val="24"/>
          <w:szCs w:val="24"/>
        </w:rPr>
      </w:pPr>
    </w:p>
    <w:p w14:paraId="763C02D8" w14:textId="77777777" w:rsidR="009B71D2" w:rsidRDefault="009B71D2" w:rsidP="00E003E7">
      <w:pPr>
        <w:spacing w:after="0" w:line="240" w:lineRule="auto"/>
        <w:rPr>
          <w:rFonts w:cstheme="majorHAnsi"/>
          <w:sz w:val="24"/>
          <w:szCs w:val="24"/>
        </w:rPr>
      </w:pPr>
      <w:r w:rsidRPr="00B17245">
        <w:rPr>
          <w:rFonts w:cstheme="majorHAnsi"/>
          <w:sz w:val="24"/>
          <w:szCs w:val="24"/>
        </w:rPr>
        <w:t>The aims of the analysis presented in this report are:</w:t>
      </w:r>
    </w:p>
    <w:p w14:paraId="774619B8" w14:textId="77777777" w:rsidR="00466429" w:rsidRPr="00B17245" w:rsidRDefault="00466429" w:rsidP="00E003E7">
      <w:pPr>
        <w:spacing w:after="0" w:line="240" w:lineRule="auto"/>
        <w:rPr>
          <w:rFonts w:cstheme="majorHAnsi"/>
          <w:sz w:val="24"/>
          <w:szCs w:val="24"/>
        </w:rPr>
      </w:pPr>
    </w:p>
    <w:p w14:paraId="57558E6B" w14:textId="77777777" w:rsidR="00AE5497" w:rsidRPr="00B17245" w:rsidRDefault="00AE5497" w:rsidP="00AE5497">
      <w:pPr>
        <w:pStyle w:val="ListParagraph"/>
        <w:numPr>
          <w:ilvl w:val="0"/>
          <w:numId w:val="2"/>
        </w:numPr>
        <w:spacing w:after="0" w:line="240" w:lineRule="auto"/>
        <w:rPr>
          <w:rFonts w:cstheme="majorHAnsi"/>
          <w:sz w:val="24"/>
          <w:szCs w:val="24"/>
        </w:rPr>
      </w:pPr>
      <w:r w:rsidRPr="00B17245">
        <w:rPr>
          <w:rFonts w:cstheme="majorHAnsi"/>
          <w:sz w:val="24"/>
          <w:szCs w:val="24"/>
        </w:rPr>
        <w:t>To develop a logic model based on a literature</w:t>
      </w:r>
      <w:r>
        <w:rPr>
          <w:rFonts w:cstheme="majorHAnsi"/>
          <w:sz w:val="24"/>
          <w:szCs w:val="24"/>
        </w:rPr>
        <w:t xml:space="preserve"> review</w:t>
      </w:r>
      <w:r w:rsidRPr="00B17245">
        <w:rPr>
          <w:rFonts w:cstheme="majorHAnsi"/>
          <w:sz w:val="24"/>
          <w:szCs w:val="24"/>
        </w:rPr>
        <w:t xml:space="preserve"> detailing the theoretical links between culture and sport on the one hand and health </w:t>
      </w:r>
      <w:r>
        <w:rPr>
          <w:rFonts w:cstheme="majorHAnsi"/>
          <w:sz w:val="24"/>
          <w:szCs w:val="24"/>
        </w:rPr>
        <w:t xml:space="preserve">outcomes </w:t>
      </w:r>
      <w:r w:rsidRPr="00B17245">
        <w:rPr>
          <w:rFonts w:cstheme="majorHAnsi"/>
          <w:sz w:val="24"/>
          <w:szCs w:val="24"/>
        </w:rPr>
        <w:t>and educational prospects on the other.</w:t>
      </w:r>
    </w:p>
    <w:p w14:paraId="08459257" w14:textId="77777777" w:rsidR="00AE5497" w:rsidRPr="00B17245" w:rsidRDefault="00AE5497" w:rsidP="00AE5497">
      <w:pPr>
        <w:pStyle w:val="ListParagraph"/>
        <w:numPr>
          <w:ilvl w:val="0"/>
          <w:numId w:val="2"/>
        </w:numPr>
        <w:spacing w:after="0" w:line="240" w:lineRule="auto"/>
        <w:rPr>
          <w:rFonts w:cstheme="majorHAnsi"/>
          <w:sz w:val="24"/>
          <w:szCs w:val="24"/>
        </w:rPr>
      </w:pPr>
      <w:r w:rsidRPr="00B17245">
        <w:rPr>
          <w:rFonts w:cstheme="majorHAnsi"/>
          <w:sz w:val="24"/>
          <w:szCs w:val="24"/>
        </w:rPr>
        <w:t xml:space="preserve">To assess the </w:t>
      </w:r>
      <w:r w:rsidR="00150DB5">
        <w:rPr>
          <w:rFonts w:cstheme="majorHAnsi"/>
          <w:sz w:val="24"/>
          <w:szCs w:val="24"/>
        </w:rPr>
        <w:t>relationship between culture and sport and</w:t>
      </w:r>
      <w:r w:rsidRPr="00B17245">
        <w:rPr>
          <w:rFonts w:cstheme="majorHAnsi"/>
          <w:sz w:val="24"/>
          <w:szCs w:val="24"/>
        </w:rPr>
        <w:t xml:space="preserve"> </w:t>
      </w:r>
      <w:r w:rsidR="008402F1">
        <w:rPr>
          <w:rFonts w:cstheme="majorHAnsi"/>
          <w:sz w:val="24"/>
          <w:szCs w:val="24"/>
        </w:rPr>
        <w:t xml:space="preserve">self-reported </w:t>
      </w:r>
      <w:r>
        <w:rPr>
          <w:rFonts w:cstheme="majorHAnsi"/>
          <w:sz w:val="24"/>
          <w:szCs w:val="24"/>
        </w:rPr>
        <w:t xml:space="preserve">general </w:t>
      </w:r>
      <w:r w:rsidRPr="00B17245">
        <w:rPr>
          <w:rFonts w:cstheme="majorHAnsi"/>
          <w:sz w:val="24"/>
          <w:szCs w:val="24"/>
        </w:rPr>
        <w:t>health and the possible cost savings that this could create through reductions in medical service usage (GP visits and use of psychotherapy services).</w:t>
      </w:r>
      <w:r w:rsidR="003F5191">
        <w:rPr>
          <w:rFonts w:cstheme="majorHAnsi"/>
          <w:sz w:val="24"/>
          <w:szCs w:val="24"/>
        </w:rPr>
        <w:t xml:space="preserve"> </w:t>
      </w:r>
    </w:p>
    <w:p w14:paraId="700BC38F" w14:textId="77777777" w:rsidR="00AE5497" w:rsidRPr="00B17245" w:rsidRDefault="00150DB5" w:rsidP="00AE5497">
      <w:pPr>
        <w:pStyle w:val="ListParagraph"/>
        <w:numPr>
          <w:ilvl w:val="0"/>
          <w:numId w:val="2"/>
        </w:numPr>
        <w:spacing w:after="0" w:line="240" w:lineRule="auto"/>
        <w:rPr>
          <w:rFonts w:cstheme="majorHAnsi"/>
          <w:sz w:val="24"/>
          <w:szCs w:val="24"/>
        </w:rPr>
      </w:pPr>
      <w:r>
        <w:rPr>
          <w:rFonts w:cstheme="majorHAnsi"/>
          <w:sz w:val="24"/>
          <w:szCs w:val="24"/>
        </w:rPr>
        <w:t>To assess the relationship between culture and sport and</w:t>
      </w:r>
      <w:r w:rsidR="00AE5497" w:rsidRPr="00B17245">
        <w:rPr>
          <w:rFonts w:cstheme="majorHAnsi"/>
          <w:sz w:val="24"/>
          <w:szCs w:val="24"/>
        </w:rPr>
        <w:t xml:space="preserve"> mental health, specifically </w:t>
      </w:r>
      <w:r w:rsidR="00062F4B">
        <w:rPr>
          <w:rFonts w:cstheme="majorHAnsi"/>
          <w:sz w:val="24"/>
          <w:szCs w:val="24"/>
        </w:rPr>
        <w:t xml:space="preserve">clinical </w:t>
      </w:r>
      <w:r w:rsidR="00AE5497" w:rsidRPr="00B17245">
        <w:rPr>
          <w:rFonts w:cstheme="majorHAnsi"/>
          <w:sz w:val="24"/>
          <w:szCs w:val="24"/>
        </w:rPr>
        <w:t>depression</w:t>
      </w:r>
      <w:r w:rsidR="00062F4B">
        <w:rPr>
          <w:rStyle w:val="FootnoteReference"/>
          <w:rFonts w:cstheme="majorHAnsi"/>
          <w:sz w:val="24"/>
          <w:szCs w:val="24"/>
        </w:rPr>
        <w:footnoteReference w:id="1"/>
      </w:r>
      <w:r w:rsidR="00AE5497" w:rsidRPr="00B17245">
        <w:rPr>
          <w:rFonts w:cstheme="majorHAnsi"/>
          <w:sz w:val="24"/>
          <w:szCs w:val="24"/>
        </w:rPr>
        <w:t xml:space="preserve"> and the associated effect on Quality Adjusted Life Years (QALYs)</w:t>
      </w:r>
      <w:r w:rsidR="003F5191">
        <w:rPr>
          <w:rStyle w:val="FootnoteReference"/>
          <w:rFonts w:cstheme="majorHAnsi"/>
          <w:sz w:val="24"/>
          <w:szCs w:val="24"/>
        </w:rPr>
        <w:footnoteReference w:id="2"/>
      </w:r>
      <w:r w:rsidR="00AE5497" w:rsidRPr="00B17245">
        <w:rPr>
          <w:rFonts w:cstheme="majorHAnsi"/>
          <w:sz w:val="24"/>
          <w:szCs w:val="24"/>
        </w:rPr>
        <w:t>. And to value changes in QALYs using guidelines</w:t>
      </w:r>
      <w:r w:rsidR="00AE5497">
        <w:rPr>
          <w:rFonts w:cstheme="majorHAnsi"/>
          <w:sz w:val="24"/>
          <w:szCs w:val="24"/>
        </w:rPr>
        <w:t xml:space="preserve"> from the National Institute of Care and Health Excellence (</w:t>
      </w:r>
      <w:r w:rsidR="00AE5497" w:rsidRPr="00B17245">
        <w:rPr>
          <w:rFonts w:cstheme="majorHAnsi"/>
          <w:sz w:val="24"/>
          <w:szCs w:val="24"/>
        </w:rPr>
        <w:t>NICE</w:t>
      </w:r>
      <w:r w:rsidR="00AE5497">
        <w:rPr>
          <w:rFonts w:cstheme="majorHAnsi"/>
          <w:sz w:val="24"/>
          <w:szCs w:val="24"/>
        </w:rPr>
        <w:t>)</w:t>
      </w:r>
      <w:r w:rsidR="00AE5497" w:rsidRPr="00B17245">
        <w:rPr>
          <w:rFonts w:cstheme="majorHAnsi"/>
          <w:sz w:val="24"/>
          <w:szCs w:val="24"/>
        </w:rPr>
        <w:t>.</w:t>
      </w:r>
    </w:p>
    <w:p w14:paraId="0E5A2862" w14:textId="77777777" w:rsidR="00AE5497" w:rsidRDefault="00AE5497" w:rsidP="00AE5497">
      <w:pPr>
        <w:pStyle w:val="ListParagraph"/>
        <w:numPr>
          <w:ilvl w:val="0"/>
          <w:numId w:val="2"/>
        </w:numPr>
        <w:spacing w:after="0" w:line="240" w:lineRule="auto"/>
        <w:rPr>
          <w:rFonts w:cstheme="majorHAnsi"/>
          <w:sz w:val="24"/>
          <w:szCs w:val="24"/>
        </w:rPr>
      </w:pPr>
      <w:r w:rsidRPr="00B17245">
        <w:rPr>
          <w:rFonts w:cstheme="majorHAnsi"/>
          <w:sz w:val="24"/>
          <w:szCs w:val="24"/>
        </w:rPr>
        <w:t xml:space="preserve">To </w:t>
      </w:r>
      <w:r>
        <w:rPr>
          <w:rFonts w:cstheme="majorHAnsi"/>
          <w:sz w:val="24"/>
          <w:szCs w:val="24"/>
        </w:rPr>
        <w:t xml:space="preserve">estimate the </w:t>
      </w:r>
      <w:r w:rsidR="00150DB5">
        <w:rPr>
          <w:rFonts w:cstheme="majorHAnsi"/>
          <w:sz w:val="24"/>
          <w:szCs w:val="24"/>
        </w:rPr>
        <w:t>relationship between culture and sport and</w:t>
      </w:r>
      <w:r w:rsidRPr="00B17245">
        <w:rPr>
          <w:rFonts w:cstheme="majorHAnsi"/>
          <w:sz w:val="24"/>
          <w:szCs w:val="24"/>
        </w:rPr>
        <w:t xml:space="preserve"> participation in higher education and to value this </w:t>
      </w:r>
      <w:r w:rsidR="00150DB5">
        <w:rPr>
          <w:rFonts w:cstheme="majorHAnsi"/>
          <w:sz w:val="24"/>
          <w:szCs w:val="24"/>
        </w:rPr>
        <w:t xml:space="preserve">relationship </w:t>
      </w:r>
      <w:r w:rsidRPr="00B17245">
        <w:rPr>
          <w:rFonts w:cstheme="majorHAnsi"/>
          <w:sz w:val="24"/>
          <w:szCs w:val="24"/>
        </w:rPr>
        <w:t>in terms of increases in life time earnings and reductions in future unemployment and welfare benefits.</w:t>
      </w:r>
    </w:p>
    <w:p w14:paraId="33CBEC94" w14:textId="77777777" w:rsidR="00466429" w:rsidRPr="00B17245" w:rsidRDefault="00466429" w:rsidP="00CE48E1">
      <w:pPr>
        <w:pStyle w:val="ListParagraph"/>
        <w:spacing w:after="0" w:line="240" w:lineRule="auto"/>
        <w:rPr>
          <w:rFonts w:cstheme="majorHAnsi"/>
          <w:sz w:val="24"/>
          <w:szCs w:val="24"/>
        </w:rPr>
      </w:pPr>
    </w:p>
    <w:p w14:paraId="313FAD5A" w14:textId="77777777" w:rsidR="00E22A8F" w:rsidRDefault="00AF1642" w:rsidP="00E003E7">
      <w:pPr>
        <w:pStyle w:val="Default"/>
        <w:rPr>
          <w:rFonts w:asciiTheme="minorHAnsi" w:hAnsiTheme="minorHAnsi"/>
        </w:rPr>
      </w:pPr>
      <w:r w:rsidRPr="00B17245">
        <w:rPr>
          <w:rFonts w:asciiTheme="minorHAnsi" w:hAnsiTheme="minorHAnsi"/>
        </w:rPr>
        <w:t>This section provides a summary of the m</w:t>
      </w:r>
      <w:r w:rsidR="00CE48E1">
        <w:rPr>
          <w:rFonts w:asciiTheme="minorHAnsi" w:hAnsiTheme="minorHAnsi"/>
        </w:rPr>
        <w:t>ethodology and results and the A</w:t>
      </w:r>
      <w:r w:rsidRPr="00B17245">
        <w:rPr>
          <w:rFonts w:asciiTheme="minorHAnsi" w:hAnsiTheme="minorHAnsi"/>
        </w:rPr>
        <w:t>nnexes conta</w:t>
      </w:r>
      <w:r w:rsidR="00C62A65">
        <w:rPr>
          <w:rFonts w:asciiTheme="minorHAnsi" w:hAnsiTheme="minorHAnsi"/>
        </w:rPr>
        <w:t>in the full papers and analyse</w:t>
      </w:r>
      <w:r w:rsidR="00CE48E1">
        <w:rPr>
          <w:rFonts w:asciiTheme="minorHAnsi" w:hAnsiTheme="minorHAnsi"/>
        </w:rPr>
        <w:t>s.</w:t>
      </w:r>
    </w:p>
    <w:p w14:paraId="35CD3918" w14:textId="77777777" w:rsidR="004F7A97" w:rsidRDefault="004F7A97" w:rsidP="00E003E7">
      <w:pPr>
        <w:pStyle w:val="Default"/>
        <w:rPr>
          <w:rFonts w:asciiTheme="minorHAnsi" w:hAnsiTheme="minorHAnsi"/>
        </w:rPr>
      </w:pPr>
    </w:p>
    <w:p w14:paraId="5903A268" w14:textId="77777777" w:rsidR="004F7A97" w:rsidRDefault="004F7A97" w:rsidP="00E003E7">
      <w:pPr>
        <w:pStyle w:val="Default"/>
        <w:rPr>
          <w:rFonts w:asciiTheme="minorHAnsi" w:hAnsiTheme="minorHAnsi"/>
        </w:rPr>
      </w:pPr>
    </w:p>
    <w:p w14:paraId="7B7A5A8D" w14:textId="77777777" w:rsidR="004F7A97" w:rsidRPr="00B17245" w:rsidRDefault="004F7A97" w:rsidP="00E003E7">
      <w:pPr>
        <w:pStyle w:val="Default"/>
        <w:rPr>
          <w:rFonts w:asciiTheme="minorHAnsi" w:hAnsiTheme="minorHAnsi"/>
        </w:rPr>
      </w:pPr>
    </w:p>
    <w:p w14:paraId="72EA2963" w14:textId="77777777" w:rsidR="00AF1642" w:rsidRPr="00B17245" w:rsidRDefault="00AF1642" w:rsidP="00E003E7">
      <w:pPr>
        <w:spacing w:after="0" w:line="240" w:lineRule="auto"/>
        <w:rPr>
          <w:b/>
          <w:sz w:val="24"/>
        </w:rPr>
      </w:pPr>
    </w:p>
    <w:p w14:paraId="1C42B70C" w14:textId="77777777" w:rsidR="00935920" w:rsidRPr="00C62A65" w:rsidRDefault="00935920" w:rsidP="00E003E7">
      <w:pPr>
        <w:spacing w:after="0" w:line="240" w:lineRule="auto"/>
        <w:rPr>
          <w:b/>
          <w:sz w:val="24"/>
          <w:szCs w:val="24"/>
        </w:rPr>
      </w:pPr>
      <w:r w:rsidRPr="00C62A65">
        <w:rPr>
          <w:b/>
          <w:sz w:val="24"/>
          <w:szCs w:val="24"/>
        </w:rPr>
        <w:lastRenderedPageBreak/>
        <w:t xml:space="preserve">1.2. </w:t>
      </w:r>
      <w:r w:rsidR="00C62A65">
        <w:rPr>
          <w:b/>
          <w:sz w:val="24"/>
          <w:szCs w:val="24"/>
        </w:rPr>
        <w:t>Methodology</w:t>
      </w:r>
      <w:r w:rsidR="00CA0502">
        <w:rPr>
          <w:b/>
          <w:sz w:val="24"/>
          <w:szCs w:val="24"/>
        </w:rPr>
        <w:t xml:space="preserve"> and data</w:t>
      </w:r>
    </w:p>
    <w:p w14:paraId="46751968" w14:textId="77777777" w:rsidR="00935920" w:rsidRDefault="00935920" w:rsidP="00E003E7">
      <w:pPr>
        <w:spacing w:after="0" w:line="240" w:lineRule="auto"/>
        <w:rPr>
          <w:b/>
          <w:sz w:val="24"/>
          <w:szCs w:val="24"/>
        </w:rPr>
      </w:pPr>
    </w:p>
    <w:p w14:paraId="155C80A7" w14:textId="77777777" w:rsidR="00F543B0" w:rsidRPr="001657DF" w:rsidRDefault="00C62A65" w:rsidP="00E003E7">
      <w:pPr>
        <w:spacing w:after="0" w:line="240" w:lineRule="auto"/>
        <w:rPr>
          <w:sz w:val="24"/>
          <w:szCs w:val="24"/>
        </w:rPr>
      </w:pPr>
      <w:r w:rsidRPr="00C62A65">
        <w:rPr>
          <w:sz w:val="24"/>
          <w:szCs w:val="24"/>
        </w:rPr>
        <w:t xml:space="preserve">The analysis </w:t>
      </w:r>
      <w:r>
        <w:rPr>
          <w:sz w:val="24"/>
          <w:szCs w:val="24"/>
        </w:rPr>
        <w:t>uses data from the British Household Panel Survey (BHPS) and Understanding Society surveys</w:t>
      </w:r>
      <w:r w:rsidRPr="001657DF">
        <w:rPr>
          <w:sz w:val="24"/>
          <w:szCs w:val="24"/>
        </w:rPr>
        <w:t>. Both employ large and representative samples of the UK</w:t>
      </w:r>
      <w:r w:rsidR="00642DB1">
        <w:rPr>
          <w:sz w:val="24"/>
          <w:szCs w:val="24"/>
        </w:rPr>
        <w:t>’s population</w:t>
      </w:r>
      <w:r w:rsidR="00E90DD7">
        <w:rPr>
          <w:rStyle w:val="FootnoteReference"/>
          <w:sz w:val="24"/>
          <w:szCs w:val="24"/>
        </w:rPr>
        <w:footnoteReference w:id="3"/>
      </w:r>
      <w:r w:rsidRPr="001657DF">
        <w:rPr>
          <w:sz w:val="24"/>
          <w:szCs w:val="24"/>
        </w:rPr>
        <w:t>.</w:t>
      </w:r>
    </w:p>
    <w:p w14:paraId="18C0404A" w14:textId="77777777" w:rsidR="001657DF" w:rsidRPr="001657DF" w:rsidRDefault="001657DF" w:rsidP="001657DF">
      <w:pPr>
        <w:autoSpaceDE w:val="0"/>
        <w:autoSpaceDN w:val="0"/>
        <w:adjustRightInd w:val="0"/>
        <w:spacing w:after="0" w:line="240" w:lineRule="auto"/>
        <w:rPr>
          <w:rFonts w:cs="Arial"/>
          <w:color w:val="000000"/>
          <w:sz w:val="24"/>
          <w:szCs w:val="24"/>
        </w:rPr>
      </w:pPr>
    </w:p>
    <w:p w14:paraId="226F2483" w14:textId="77777777" w:rsidR="001657DF" w:rsidRDefault="001657DF" w:rsidP="001657DF">
      <w:pPr>
        <w:autoSpaceDE w:val="0"/>
        <w:autoSpaceDN w:val="0"/>
        <w:adjustRightInd w:val="0"/>
        <w:spacing w:after="0" w:line="240" w:lineRule="auto"/>
        <w:rPr>
          <w:rFonts w:cs="Arial"/>
          <w:color w:val="000000"/>
          <w:sz w:val="24"/>
          <w:szCs w:val="24"/>
        </w:rPr>
      </w:pPr>
      <w:r w:rsidRPr="001657DF">
        <w:rPr>
          <w:rFonts w:cs="Arial"/>
          <w:color w:val="000000"/>
          <w:sz w:val="24"/>
          <w:szCs w:val="24"/>
        </w:rPr>
        <w:t xml:space="preserve">With DCMS engagement as a co-government funder of the Understanding Society study, the second wave of the survey contained information on a wealth of activities relating to engagement in </w:t>
      </w:r>
      <w:r w:rsidR="00A937DE">
        <w:rPr>
          <w:rFonts w:cs="Arial"/>
          <w:color w:val="000000"/>
          <w:sz w:val="24"/>
          <w:szCs w:val="24"/>
        </w:rPr>
        <w:t>culture and sports</w:t>
      </w:r>
      <w:r w:rsidRPr="001657DF">
        <w:rPr>
          <w:rFonts w:cs="Arial"/>
          <w:color w:val="000000"/>
          <w:sz w:val="24"/>
          <w:szCs w:val="24"/>
        </w:rPr>
        <w:t xml:space="preserve">. The Wave 2 data released in January 2013 contained measures of </w:t>
      </w:r>
      <w:r w:rsidR="00A937DE">
        <w:rPr>
          <w:rFonts w:cs="Arial"/>
          <w:color w:val="000000"/>
          <w:sz w:val="24"/>
          <w:szCs w:val="24"/>
        </w:rPr>
        <w:t>culture and sports</w:t>
      </w:r>
      <w:r w:rsidRPr="001657DF">
        <w:rPr>
          <w:rFonts w:cs="Arial"/>
          <w:color w:val="000000"/>
          <w:sz w:val="24"/>
          <w:szCs w:val="24"/>
        </w:rPr>
        <w:t xml:space="preserve"> activities alongside a range of wider measures of social outcomes. </w:t>
      </w:r>
    </w:p>
    <w:p w14:paraId="1CD86FF6" w14:textId="77777777" w:rsidR="00A41B2E" w:rsidRPr="001657DF" w:rsidRDefault="00A41B2E" w:rsidP="001657DF">
      <w:pPr>
        <w:autoSpaceDE w:val="0"/>
        <w:autoSpaceDN w:val="0"/>
        <w:adjustRightInd w:val="0"/>
        <w:spacing w:after="0" w:line="240" w:lineRule="auto"/>
        <w:rPr>
          <w:rFonts w:cs="Arial"/>
          <w:color w:val="000000"/>
          <w:sz w:val="24"/>
          <w:szCs w:val="24"/>
        </w:rPr>
      </w:pPr>
    </w:p>
    <w:p w14:paraId="364BF6F3" w14:textId="77777777" w:rsidR="001657DF" w:rsidRDefault="001657DF" w:rsidP="001657DF">
      <w:pPr>
        <w:autoSpaceDE w:val="0"/>
        <w:autoSpaceDN w:val="0"/>
        <w:adjustRightInd w:val="0"/>
        <w:spacing w:after="0" w:line="240" w:lineRule="auto"/>
        <w:rPr>
          <w:rFonts w:cs="Arial"/>
          <w:color w:val="000000"/>
          <w:sz w:val="24"/>
          <w:szCs w:val="24"/>
        </w:rPr>
      </w:pPr>
      <w:r w:rsidRPr="001657DF">
        <w:rPr>
          <w:rFonts w:cs="Arial"/>
          <w:color w:val="000000"/>
          <w:sz w:val="24"/>
          <w:szCs w:val="24"/>
        </w:rPr>
        <w:t xml:space="preserve">Using Understanding Society this analysis looks at the </w:t>
      </w:r>
      <w:r w:rsidR="00150DB5">
        <w:rPr>
          <w:rFonts w:cstheme="majorHAnsi"/>
          <w:sz w:val="24"/>
          <w:szCs w:val="24"/>
        </w:rPr>
        <w:t xml:space="preserve">relationship between </w:t>
      </w:r>
      <w:r w:rsidRPr="001657DF">
        <w:rPr>
          <w:rFonts w:cs="Arial"/>
          <w:color w:val="000000"/>
          <w:sz w:val="24"/>
          <w:szCs w:val="24"/>
        </w:rPr>
        <w:t xml:space="preserve">engagement in </w:t>
      </w:r>
      <w:r w:rsidR="00A937DE">
        <w:rPr>
          <w:rFonts w:cs="Arial"/>
          <w:color w:val="000000"/>
          <w:sz w:val="24"/>
          <w:szCs w:val="24"/>
        </w:rPr>
        <w:t>culture and sports</w:t>
      </w:r>
      <w:r w:rsidR="00150DB5">
        <w:rPr>
          <w:rFonts w:cs="Arial"/>
          <w:color w:val="000000"/>
          <w:sz w:val="24"/>
          <w:szCs w:val="24"/>
        </w:rPr>
        <w:t xml:space="preserve"> and:</w:t>
      </w:r>
    </w:p>
    <w:p w14:paraId="1B4DA62A" w14:textId="77777777" w:rsidR="001657DF" w:rsidRDefault="001657DF" w:rsidP="001657DF">
      <w:pPr>
        <w:autoSpaceDE w:val="0"/>
        <w:autoSpaceDN w:val="0"/>
        <w:adjustRightInd w:val="0"/>
        <w:spacing w:after="0" w:line="240" w:lineRule="auto"/>
        <w:rPr>
          <w:rFonts w:cs="Arial"/>
          <w:color w:val="000000"/>
          <w:sz w:val="24"/>
          <w:szCs w:val="24"/>
        </w:rPr>
      </w:pPr>
    </w:p>
    <w:p w14:paraId="0CEC6397" w14:textId="77777777" w:rsidR="001657DF" w:rsidRPr="001657DF" w:rsidRDefault="001657DF" w:rsidP="001657DF">
      <w:pPr>
        <w:pStyle w:val="ListParagraph"/>
        <w:numPr>
          <w:ilvl w:val="0"/>
          <w:numId w:val="16"/>
        </w:numPr>
        <w:autoSpaceDE w:val="0"/>
        <w:autoSpaceDN w:val="0"/>
        <w:adjustRightInd w:val="0"/>
        <w:spacing w:after="0" w:line="240" w:lineRule="auto"/>
        <w:rPr>
          <w:sz w:val="24"/>
          <w:szCs w:val="24"/>
        </w:rPr>
      </w:pPr>
      <w:r w:rsidRPr="001657DF">
        <w:rPr>
          <w:rFonts w:cs="Arial"/>
          <w:color w:val="000000"/>
          <w:sz w:val="24"/>
          <w:szCs w:val="24"/>
        </w:rPr>
        <w:t>Self-reported general health</w:t>
      </w:r>
    </w:p>
    <w:p w14:paraId="63B55286" w14:textId="77777777" w:rsidR="001657DF" w:rsidRPr="001657DF" w:rsidRDefault="001657DF" w:rsidP="001657DF">
      <w:pPr>
        <w:pStyle w:val="ListParagraph"/>
        <w:numPr>
          <w:ilvl w:val="0"/>
          <w:numId w:val="16"/>
        </w:numPr>
        <w:autoSpaceDE w:val="0"/>
        <w:autoSpaceDN w:val="0"/>
        <w:adjustRightInd w:val="0"/>
        <w:spacing w:after="0" w:line="240" w:lineRule="auto"/>
        <w:rPr>
          <w:sz w:val="24"/>
          <w:szCs w:val="24"/>
        </w:rPr>
      </w:pPr>
      <w:r>
        <w:rPr>
          <w:rFonts w:cs="Arial"/>
          <w:color w:val="000000"/>
          <w:sz w:val="24"/>
          <w:szCs w:val="24"/>
        </w:rPr>
        <w:t xml:space="preserve">Clinical depression </w:t>
      </w:r>
    </w:p>
    <w:p w14:paraId="3E2BC123" w14:textId="77777777" w:rsidR="001657DF" w:rsidRPr="001657DF" w:rsidRDefault="008951AF" w:rsidP="001657DF">
      <w:pPr>
        <w:pStyle w:val="ListParagraph"/>
        <w:numPr>
          <w:ilvl w:val="0"/>
          <w:numId w:val="16"/>
        </w:numPr>
        <w:autoSpaceDE w:val="0"/>
        <w:autoSpaceDN w:val="0"/>
        <w:adjustRightInd w:val="0"/>
        <w:spacing w:after="0" w:line="240" w:lineRule="auto"/>
        <w:rPr>
          <w:sz w:val="24"/>
          <w:szCs w:val="24"/>
        </w:rPr>
      </w:pPr>
      <w:r>
        <w:rPr>
          <w:rFonts w:cs="Arial"/>
          <w:color w:val="000000"/>
          <w:sz w:val="24"/>
          <w:szCs w:val="24"/>
        </w:rPr>
        <w:t>Self-reported likelihood of going</w:t>
      </w:r>
      <w:r w:rsidR="001657DF">
        <w:rPr>
          <w:rFonts w:cs="Arial"/>
          <w:color w:val="000000"/>
          <w:sz w:val="24"/>
          <w:szCs w:val="24"/>
        </w:rPr>
        <w:t xml:space="preserve"> on to further/higher education (college or university)</w:t>
      </w:r>
    </w:p>
    <w:p w14:paraId="2F9D291E" w14:textId="77777777" w:rsidR="001657DF" w:rsidRDefault="001657DF" w:rsidP="001657DF">
      <w:pPr>
        <w:autoSpaceDE w:val="0"/>
        <w:autoSpaceDN w:val="0"/>
        <w:adjustRightInd w:val="0"/>
        <w:spacing w:after="0" w:line="240" w:lineRule="auto"/>
        <w:rPr>
          <w:sz w:val="24"/>
          <w:szCs w:val="24"/>
        </w:rPr>
      </w:pPr>
    </w:p>
    <w:p w14:paraId="3B3F2FBA" w14:textId="77777777" w:rsidR="001657DF" w:rsidRDefault="001657DF" w:rsidP="001657DF">
      <w:pPr>
        <w:autoSpaceDE w:val="0"/>
        <w:autoSpaceDN w:val="0"/>
        <w:adjustRightInd w:val="0"/>
        <w:spacing w:after="0" w:line="240" w:lineRule="auto"/>
        <w:rPr>
          <w:sz w:val="24"/>
          <w:szCs w:val="24"/>
        </w:rPr>
      </w:pPr>
      <w:r>
        <w:rPr>
          <w:sz w:val="24"/>
          <w:szCs w:val="24"/>
        </w:rPr>
        <w:t xml:space="preserve">The BHPS </w:t>
      </w:r>
      <w:r w:rsidR="00A6083C">
        <w:rPr>
          <w:sz w:val="24"/>
          <w:szCs w:val="24"/>
        </w:rPr>
        <w:t>and academic studies are</w:t>
      </w:r>
      <w:r>
        <w:rPr>
          <w:sz w:val="24"/>
          <w:szCs w:val="24"/>
        </w:rPr>
        <w:t xml:space="preserve"> then used to derive values for these outcomes:</w:t>
      </w:r>
    </w:p>
    <w:p w14:paraId="0216C585" w14:textId="77777777" w:rsidR="001657DF" w:rsidRDefault="001657DF" w:rsidP="001657DF">
      <w:pPr>
        <w:autoSpaceDE w:val="0"/>
        <w:autoSpaceDN w:val="0"/>
        <w:adjustRightInd w:val="0"/>
        <w:spacing w:after="0" w:line="240" w:lineRule="auto"/>
        <w:rPr>
          <w:sz w:val="24"/>
          <w:szCs w:val="24"/>
        </w:rPr>
      </w:pPr>
    </w:p>
    <w:p w14:paraId="3EA435B7" w14:textId="77777777" w:rsidR="001657DF" w:rsidRPr="001657DF" w:rsidRDefault="001657DF" w:rsidP="001657DF">
      <w:pPr>
        <w:autoSpaceDE w:val="0"/>
        <w:autoSpaceDN w:val="0"/>
        <w:adjustRightInd w:val="0"/>
        <w:spacing w:after="0" w:line="240" w:lineRule="auto"/>
        <w:rPr>
          <w:b/>
          <w:sz w:val="24"/>
          <w:szCs w:val="24"/>
        </w:rPr>
      </w:pPr>
      <w:r>
        <w:rPr>
          <w:b/>
          <w:sz w:val="24"/>
          <w:szCs w:val="24"/>
        </w:rPr>
        <w:t xml:space="preserve">(i) </w:t>
      </w:r>
      <w:r w:rsidRPr="001657DF">
        <w:rPr>
          <w:b/>
          <w:sz w:val="24"/>
          <w:szCs w:val="24"/>
        </w:rPr>
        <w:t>Medical service usage</w:t>
      </w:r>
    </w:p>
    <w:p w14:paraId="3CAD8261" w14:textId="77777777" w:rsidR="001657DF" w:rsidRDefault="00A41B2E" w:rsidP="001657DF">
      <w:pPr>
        <w:autoSpaceDE w:val="0"/>
        <w:autoSpaceDN w:val="0"/>
        <w:adjustRightInd w:val="0"/>
        <w:spacing w:after="0" w:line="240" w:lineRule="auto"/>
        <w:rPr>
          <w:sz w:val="24"/>
          <w:szCs w:val="24"/>
        </w:rPr>
      </w:pPr>
      <w:r>
        <w:rPr>
          <w:sz w:val="24"/>
          <w:szCs w:val="24"/>
        </w:rPr>
        <w:t>Using the BHPS w</w:t>
      </w:r>
      <w:r w:rsidR="001657DF">
        <w:rPr>
          <w:sz w:val="24"/>
          <w:szCs w:val="24"/>
        </w:rPr>
        <w:t xml:space="preserve">e look at the effects of changes in </w:t>
      </w:r>
      <w:r w:rsidR="008F03DC">
        <w:rPr>
          <w:sz w:val="24"/>
          <w:szCs w:val="24"/>
        </w:rPr>
        <w:t xml:space="preserve">self-reported </w:t>
      </w:r>
      <w:r w:rsidR="001657DF">
        <w:rPr>
          <w:sz w:val="24"/>
          <w:szCs w:val="24"/>
        </w:rPr>
        <w:t>general health on medical service usage</w:t>
      </w:r>
      <w:r w:rsidR="00FD67B6">
        <w:rPr>
          <w:sz w:val="24"/>
          <w:szCs w:val="24"/>
        </w:rPr>
        <w:t xml:space="preserve">, specifically </w:t>
      </w:r>
      <w:r w:rsidR="001657DF">
        <w:rPr>
          <w:sz w:val="24"/>
          <w:szCs w:val="24"/>
        </w:rPr>
        <w:t>number of GP visits and psychotherapy usage</w:t>
      </w:r>
      <w:r w:rsidR="00FD67B6">
        <w:rPr>
          <w:sz w:val="24"/>
          <w:szCs w:val="24"/>
        </w:rPr>
        <w:t>,</w:t>
      </w:r>
      <w:r w:rsidR="001657DF">
        <w:rPr>
          <w:sz w:val="24"/>
          <w:szCs w:val="24"/>
        </w:rPr>
        <w:t xml:space="preserve"> and attach NHS cost savings estimates to reductions in </w:t>
      </w:r>
      <w:r w:rsidR="001657DF" w:rsidRPr="001657DF">
        <w:rPr>
          <w:sz w:val="24"/>
          <w:szCs w:val="24"/>
        </w:rPr>
        <w:t>medical service usage</w:t>
      </w:r>
      <w:r w:rsidR="001657DF">
        <w:rPr>
          <w:sz w:val="24"/>
          <w:szCs w:val="24"/>
        </w:rPr>
        <w:t xml:space="preserve"> rates.</w:t>
      </w:r>
      <w:r w:rsidR="008402F1">
        <w:rPr>
          <w:sz w:val="24"/>
          <w:szCs w:val="24"/>
        </w:rPr>
        <w:t xml:space="preserve"> </w:t>
      </w:r>
      <w:r w:rsidR="008402F1">
        <w:rPr>
          <w:rFonts w:cstheme="majorHAnsi"/>
          <w:sz w:val="24"/>
          <w:szCs w:val="24"/>
        </w:rPr>
        <w:t>We look at self-reported general health on a scale of 1 to 5 where 5 = ‘excellent’ and 1 = ‘very poor’.</w:t>
      </w:r>
    </w:p>
    <w:p w14:paraId="676F85FF" w14:textId="77777777" w:rsidR="001657DF" w:rsidRPr="001657DF" w:rsidRDefault="001657DF" w:rsidP="001657DF">
      <w:pPr>
        <w:autoSpaceDE w:val="0"/>
        <w:autoSpaceDN w:val="0"/>
        <w:adjustRightInd w:val="0"/>
        <w:spacing w:after="0" w:line="240" w:lineRule="auto"/>
        <w:rPr>
          <w:b/>
          <w:sz w:val="24"/>
          <w:szCs w:val="24"/>
        </w:rPr>
      </w:pPr>
    </w:p>
    <w:p w14:paraId="3C7481C5" w14:textId="77777777" w:rsidR="001657DF" w:rsidRDefault="001657DF" w:rsidP="001657DF">
      <w:pPr>
        <w:autoSpaceDE w:val="0"/>
        <w:autoSpaceDN w:val="0"/>
        <w:adjustRightInd w:val="0"/>
        <w:spacing w:after="0" w:line="240" w:lineRule="auto"/>
        <w:rPr>
          <w:b/>
          <w:sz w:val="24"/>
          <w:szCs w:val="24"/>
        </w:rPr>
      </w:pPr>
      <w:r>
        <w:rPr>
          <w:b/>
          <w:sz w:val="24"/>
          <w:szCs w:val="24"/>
        </w:rPr>
        <w:t xml:space="preserve">(ii) </w:t>
      </w:r>
      <w:r w:rsidRPr="001657DF">
        <w:rPr>
          <w:b/>
          <w:sz w:val="24"/>
          <w:szCs w:val="24"/>
        </w:rPr>
        <w:t>Clinical depression</w:t>
      </w:r>
    </w:p>
    <w:p w14:paraId="5CA33F40" w14:textId="77777777" w:rsidR="00327B17" w:rsidRDefault="00327B17" w:rsidP="001657DF">
      <w:pPr>
        <w:autoSpaceDE w:val="0"/>
        <w:autoSpaceDN w:val="0"/>
        <w:adjustRightInd w:val="0"/>
        <w:spacing w:after="0" w:line="240" w:lineRule="auto"/>
        <w:rPr>
          <w:sz w:val="24"/>
          <w:szCs w:val="24"/>
        </w:rPr>
      </w:pPr>
      <w:r>
        <w:rPr>
          <w:sz w:val="24"/>
          <w:szCs w:val="24"/>
        </w:rPr>
        <w:t>We use estimates of reductions in Quality Adjusted Life Years (QALYs) due to depression and attach a monetary value to this</w:t>
      </w:r>
      <w:r w:rsidR="00CD162B">
        <w:rPr>
          <w:sz w:val="24"/>
          <w:szCs w:val="24"/>
        </w:rPr>
        <w:t>,</w:t>
      </w:r>
      <w:r>
        <w:rPr>
          <w:sz w:val="24"/>
          <w:szCs w:val="24"/>
        </w:rPr>
        <w:t xml:space="preserve"> using NICE guidelines.</w:t>
      </w:r>
    </w:p>
    <w:p w14:paraId="7DBE6E89" w14:textId="77777777" w:rsidR="00A41B2E" w:rsidRPr="00A41B2E" w:rsidRDefault="00A41B2E" w:rsidP="001657DF">
      <w:pPr>
        <w:autoSpaceDE w:val="0"/>
        <w:autoSpaceDN w:val="0"/>
        <w:adjustRightInd w:val="0"/>
        <w:spacing w:after="0" w:line="240" w:lineRule="auto"/>
        <w:rPr>
          <w:b/>
          <w:sz w:val="24"/>
          <w:szCs w:val="24"/>
        </w:rPr>
      </w:pPr>
    </w:p>
    <w:p w14:paraId="0DA37A61" w14:textId="77777777" w:rsidR="00A41B2E" w:rsidRPr="00A41B2E" w:rsidRDefault="00A41B2E" w:rsidP="001657DF">
      <w:pPr>
        <w:autoSpaceDE w:val="0"/>
        <w:autoSpaceDN w:val="0"/>
        <w:adjustRightInd w:val="0"/>
        <w:spacing w:after="0" w:line="240" w:lineRule="auto"/>
        <w:rPr>
          <w:b/>
          <w:sz w:val="24"/>
          <w:szCs w:val="24"/>
        </w:rPr>
      </w:pPr>
      <w:r w:rsidRPr="00A41B2E">
        <w:rPr>
          <w:b/>
          <w:sz w:val="24"/>
          <w:szCs w:val="24"/>
        </w:rPr>
        <w:t>(iv) Higher education</w:t>
      </w:r>
    </w:p>
    <w:p w14:paraId="539A9169" w14:textId="762E5966" w:rsidR="00C62A65" w:rsidRPr="00144C66" w:rsidRDefault="00FD67B6" w:rsidP="00E003E7">
      <w:pPr>
        <w:spacing w:after="0" w:line="240" w:lineRule="auto"/>
        <w:rPr>
          <w:rFonts w:cs="Arial"/>
          <w:color w:val="FF0000"/>
          <w:sz w:val="24"/>
          <w:szCs w:val="24"/>
        </w:rPr>
      </w:pPr>
      <w:r>
        <w:rPr>
          <w:sz w:val="24"/>
          <w:szCs w:val="24"/>
        </w:rPr>
        <w:t xml:space="preserve">Building upon our previous work in </w:t>
      </w:r>
      <w:r w:rsidRPr="00B17245">
        <w:rPr>
          <w:rFonts w:cstheme="majorHAnsi"/>
          <w:sz w:val="24"/>
          <w:szCs w:val="24"/>
        </w:rPr>
        <w:t>Fujiwara et al. (2014a) (2014b)</w:t>
      </w:r>
      <w:r>
        <w:rPr>
          <w:rFonts w:cstheme="majorHAnsi"/>
          <w:sz w:val="24"/>
          <w:szCs w:val="24"/>
        </w:rPr>
        <w:t xml:space="preserve">, which showed that engaging in culture and sports increases how likely young people state they are </w:t>
      </w:r>
      <w:r w:rsidR="000B2883">
        <w:rPr>
          <w:rFonts w:cstheme="majorHAnsi"/>
          <w:sz w:val="24"/>
          <w:szCs w:val="24"/>
        </w:rPr>
        <w:t xml:space="preserve">to </w:t>
      </w:r>
      <w:r>
        <w:rPr>
          <w:rFonts w:cstheme="majorHAnsi"/>
          <w:sz w:val="24"/>
          <w:szCs w:val="24"/>
        </w:rPr>
        <w:t xml:space="preserve">go on to further/higher education, </w:t>
      </w:r>
      <w:r>
        <w:rPr>
          <w:sz w:val="24"/>
          <w:szCs w:val="24"/>
        </w:rPr>
        <w:t>t</w:t>
      </w:r>
      <w:r w:rsidR="00A41B2E">
        <w:rPr>
          <w:sz w:val="24"/>
          <w:szCs w:val="24"/>
        </w:rPr>
        <w:t xml:space="preserve">he </w:t>
      </w:r>
      <w:r w:rsidR="00A41B2E" w:rsidRPr="00A41B2E">
        <w:rPr>
          <w:sz w:val="24"/>
          <w:szCs w:val="24"/>
        </w:rPr>
        <w:t>BHPS</w:t>
      </w:r>
      <w:r w:rsidR="00A41B2E">
        <w:rPr>
          <w:sz w:val="24"/>
          <w:szCs w:val="24"/>
        </w:rPr>
        <w:t xml:space="preserve"> is used to estimate the impact of </w:t>
      </w:r>
      <w:r>
        <w:rPr>
          <w:sz w:val="24"/>
          <w:szCs w:val="24"/>
        </w:rPr>
        <w:t xml:space="preserve">this </w:t>
      </w:r>
      <w:r w:rsidR="00FE6BCC">
        <w:rPr>
          <w:sz w:val="24"/>
          <w:szCs w:val="24"/>
        </w:rPr>
        <w:t xml:space="preserve">reported likelihood </w:t>
      </w:r>
      <w:r w:rsidR="00A41B2E">
        <w:rPr>
          <w:sz w:val="24"/>
          <w:szCs w:val="24"/>
        </w:rPr>
        <w:t xml:space="preserve">to go on to </w:t>
      </w:r>
      <w:r w:rsidR="00A41B2E">
        <w:rPr>
          <w:rFonts w:cs="Arial"/>
          <w:color w:val="000000"/>
          <w:sz w:val="24"/>
          <w:szCs w:val="24"/>
        </w:rPr>
        <w:t>further/higher education on actual education attendance. That is</w:t>
      </w:r>
      <w:r>
        <w:rPr>
          <w:rFonts w:cs="Arial"/>
          <w:color w:val="000000"/>
          <w:sz w:val="24"/>
          <w:szCs w:val="24"/>
        </w:rPr>
        <w:t>,</w:t>
      </w:r>
      <w:r w:rsidR="00A41B2E">
        <w:rPr>
          <w:rFonts w:cs="Arial"/>
          <w:color w:val="000000"/>
          <w:sz w:val="24"/>
          <w:szCs w:val="24"/>
        </w:rPr>
        <w:t xml:space="preserve"> we estimate the relationship between intenti</w:t>
      </w:r>
      <w:r w:rsidR="003D5D2B">
        <w:rPr>
          <w:rFonts w:cs="Arial"/>
          <w:color w:val="000000"/>
          <w:sz w:val="24"/>
          <w:szCs w:val="24"/>
        </w:rPr>
        <w:t xml:space="preserve">on and behaviour for education noting that the previous literature has found only a weak link between intention and behaviour </w:t>
      </w:r>
      <w:r w:rsidR="00FE084B" w:rsidRPr="00FE084B">
        <w:rPr>
          <w:rStyle w:val="apple-converted-space"/>
          <w:rFonts w:ascii="Calibri" w:hAnsi="Calibri"/>
          <w:sz w:val="24"/>
        </w:rPr>
        <w:fldChar w:fldCharType="begin"/>
      </w:r>
      <w:r w:rsidR="00FE084B" w:rsidRPr="00FE084B">
        <w:rPr>
          <w:rStyle w:val="apple-converted-space"/>
          <w:rFonts w:ascii="Calibri" w:hAnsi="Calibri"/>
          <w:sz w:val="24"/>
        </w:rPr>
        <w:instrText xml:space="preserve"> ADDIN EN.CITE &lt;EndNote&gt;&lt;Cite&gt;&lt;Author&gt;Webb&lt;/Author&gt;&lt;Year&gt;2006&lt;/Year&gt;&lt;RecNum&gt;644&lt;/RecNum&gt;&lt;DisplayText&gt;(Webb and Sheeran, 2006)&lt;/DisplayText&gt;&lt;record&gt;&lt;rec-number&gt;644&lt;/rec-number&gt;&lt;foreign-keys&gt;&lt;key app="EN" db-id="9tvvrfwv22z0p8e29at5f2r8a9vxsa59spv0" timestamp="1403798290"&gt;644&lt;/key&gt;&lt;/foreign-keys&gt;&lt;ref-type name="Journal Article"&gt;17&lt;/ref-type&gt;&lt;contributors&gt;&lt;authors&gt;&lt;author&gt;Webb, T. L.&lt;/author&gt;&lt;author&gt;Sheeran, P.&lt;/author&gt;&lt;/authors&gt;&lt;/contributors&gt;&lt;auth-address&gt;School of Psychological Sciences, The University of Manchester, Manchester, United Kingdom. thomas.webb@manchester.ac.uk&lt;/auth-address&gt;&lt;titles&gt;&lt;title&gt;Does changing behavioral intentions engender behavior change? A meta-analysis of the experimental evidence&lt;/title&gt;&lt;secondary-title&gt;Psychol Bull&lt;/secondary-title&gt;&lt;alt-title&gt;Psychological bulletin&lt;/alt-title&gt;&lt;/titles&gt;&lt;alt-periodical&gt;&lt;full-title&gt;Psychological Bulletin&lt;/full-title&gt;&lt;/alt-periodical&gt;&lt;pages&gt;249-68&lt;/pages&gt;&lt;volume&gt;132&lt;/volume&gt;&lt;number&gt;2&lt;/number&gt;&lt;edition&gt;2006/03/16&lt;/edition&gt;&lt;keywords&gt;&lt;keyword&gt;Attitude&lt;/keyword&gt;&lt;keyword&gt;Cooperative Behavior&lt;/keyword&gt;&lt;keyword&gt;Female&lt;/keyword&gt;&lt;keyword&gt;Humans&lt;/keyword&gt;&lt;keyword&gt;*Intention&lt;/keyword&gt;&lt;keyword&gt;Male&lt;/keyword&gt;&lt;keyword&gt;*Social Behavior&lt;/keyword&gt;&lt;/keywords&gt;&lt;dates&gt;&lt;year&gt;2006&lt;/year&gt;&lt;pub-dates&gt;&lt;date&gt;Mar&lt;/date&gt;&lt;/pub-dates&gt;&lt;/dates&gt;&lt;isbn&gt;0033-2909 (Print)&amp;#xD;0033-2909&lt;/isbn&gt;&lt;accession-num&gt;16536643&lt;/accession-num&gt;&lt;urls&gt;&lt;/urls&gt;&lt;electronic-resource-num&gt;10.1037/0033-2909.132.2.249&lt;/electronic-resource-num&gt;&lt;remote-database-provider&gt;Nlm&lt;/remote-database-provider&gt;&lt;language&gt;eng&lt;/language&gt;&lt;/record&gt;&lt;/Cite&gt;&lt;/EndNote&gt;</w:instrText>
      </w:r>
      <w:r w:rsidR="00FE084B" w:rsidRPr="00FE084B">
        <w:rPr>
          <w:rStyle w:val="apple-converted-space"/>
          <w:rFonts w:ascii="Calibri" w:hAnsi="Calibri"/>
          <w:sz w:val="24"/>
        </w:rPr>
        <w:fldChar w:fldCharType="separate"/>
      </w:r>
      <w:r w:rsidR="00FE084B" w:rsidRPr="00FE084B">
        <w:rPr>
          <w:rStyle w:val="apple-converted-space"/>
          <w:rFonts w:ascii="Calibri" w:hAnsi="Calibri"/>
          <w:noProof/>
          <w:sz w:val="24"/>
        </w:rPr>
        <w:t>(</w:t>
      </w:r>
      <w:hyperlink w:anchor="_ENREF_6" w:tooltip="Webb, 2006 #644" w:history="1">
        <w:r w:rsidR="00971881" w:rsidRPr="00FE084B">
          <w:rPr>
            <w:rStyle w:val="apple-converted-space"/>
            <w:rFonts w:ascii="Calibri" w:hAnsi="Calibri"/>
            <w:noProof/>
            <w:sz w:val="24"/>
          </w:rPr>
          <w:t>Webb and Sheeran, 2006</w:t>
        </w:r>
      </w:hyperlink>
      <w:r w:rsidR="00FE084B" w:rsidRPr="00FE084B">
        <w:rPr>
          <w:rStyle w:val="apple-converted-space"/>
          <w:rFonts w:ascii="Calibri" w:hAnsi="Calibri"/>
          <w:noProof/>
          <w:sz w:val="24"/>
        </w:rPr>
        <w:t>)</w:t>
      </w:r>
      <w:r w:rsidR="00FE084B" w:rsidRPr="00FE084B">
        <w:rPr>
          <w:rStyle w:val="apple-converted-space"/>
          <w:rFonts w:ascii="Calibri" w:hAnsi="Calibri"/>
          <w:sz w:val="24"/>
        </w:rPr>
        <w:fldChar w:fldCharType="end"/>
      </w:r>
      <w:r w:rsidR="00FE084B">
        <w:rPr>
          <w:rStyle w:val="apple-converted-space"/>
          <w:rFonts w:ascii="Calibri" w:hAnsi="Calibri"/>
          <w:sz w:val="24"/>
        </w:rPr>
        <w:t xml:space="preserve">. </w:t>
      </w:r>
      <w:r w:rsidR="00A41B2E">
        <w:rPr>
          <w:rFonts w:cs="Arial"/>
          <w:color w:val="000000"/>
          <w:sz w:val="24"/>
          <w:szCs w:val="24"/>
        </w:rPr>
        <w:t>We value this using</w:t>
      </w:r>
      <w:r w:rsidR="00920004">
        <w:rPr>
          <w:rFonts w:cs="Arial"/>
          <w:color w:val="000000"/>
          <w:sz w:val="24"/>
          <w:szCs w:val="24"/>
        </w:rPr>
        <w:t xml:space="preserve"> an</w:t>
      </w:r>
      <w:r w:rsidR="00A41B2E">
        <w:rPr>
          <w:rFonts w:cs="Arial"/>
          <w:color w:val="000000"/>
          <w:sz w:val="24"/>
          <w:szCs w:val="24"/>
        </w:rPr>
        <w:t xml:space="preserve"> </w:t>
      </w:r>
      <w:r w:rsidR="00920004">
        <w:rPr>
          <w:rFonts w:cs="Arial"/>
          <w:color w:val="000000"/>
          <w:sz w:val="24"/>
          <w:szCs w:val="24"/>
        </w:rPr>
        <w:t>estimate</w:t>
      </w:r>
      <w:r w:rsidR="00144C66">
        <w:rPr>
          <w:rFonts w:cs="Arial"/>
          <w:color w:val="000000"/>
          <w:sz w:val="24"/>
          <w:szCs w:val="24"/>
        </w:rPr>
        <w:t xml:space="preserve"> of </w:t>
      </w:r>
      <w:r w:rsidR="00CD162B">
        <w:rPr>
          <w:rFonts w:cs="Arial"/>
          <w:color w:val="000000"/>
          <w:sz w:val="24"/>
          <w:szCs w:val="24"/>
        </w:rPr>
        <w:t>lifetime</w:t>
      </w:r>
      <w:r w:rsidR="00A41B2E">
        <w:rPr>
          <w:rFonts w:cs="Arial"/>
          <w:color w:val="000000"/>
          <w:sz w:val="24"/>
          <w:szCs w:val="24"/>
        </w:rPr>
        <w:t xml:space="preserve"> earnings and </w:t>
      </w:r>
      <w:r w:rsidR="00144C66">
        <w:rPr>
          <w:rFonts w:cs="Arial"/>
          <w:color w:val="000000"/>
          <w:sz w:val="24"/>
          <w:szCs w:val="24"/>
        </w:rPr>
        <w:t xml:space="preserve">impacts on the public </w:t>
      </w:r>
      <w:r w:rsidR="00144C66" w:rsidRPr="00F302DD">
        <w:rPr>
          <w:rFonts w:cs="Arial"/>
          <w:sz w:val="24"/>
          <w:szCs w:val="24"/>
        </w:rPr>
        <w:t xml:space="preserve">purse through </w:t>
      </w:r>
      <w:r w:rsidR="00F302DD" w:rsidRPr="00F302DD">
        <w:rPr>
          <w:rFonts w:cs="Arial"/>
          <w:sz w:val="24"/>
          <w:szCs w:val="24"/>
        </w:rPr>
        <w:t xml:space="preserve">increased </w:t>
      </w:r>
      <w:r w:rsidR="00A41B2E" w:rsidRPr="00F302DD">
        <w:rPr>
          <w:rFonts w:cs="Arial"/>
          <w:sz w:val="24"/>
          <w:szCs w:val="24"/>
        </w:rPr>
        <w:t>income tax</w:t>
      </w:r>
      <w:r w:rsidR="00F302DD" w:rsidRPr="00F302DD">
        <w:rPr>
          <w:rFonts w:cs="Arial"/>
          <w:sz w:val="24"/>
          <w:szCs w:val="24"/>
        </w:rPr>
        <w:t>es.</w:t>
      </w:r>
    </w:p>
    <w:p w14:paraId="6BC94F7F" w14:textId="77777777" w:rsidR="00A41B2E" w:rsidRDefault="00A41B2E" w:rsidP="00E003E7">
      <w:pPr>
        <w:spacing w:after="0" w:line="240" w:lineRule="auto"/>
        <w:rPr>
          <w:rFonts w:cs="Arial"/>
          <w:color w:val="000000"/>
          <w:sz w:val="24"/>
          <w:szCs w:val="24"/>
        </w:rPr>
      </w:pPr>
    </w:p>
    <w:p w14:paraId="24FB99A0" w14:textId="77777777" w:rsidR="00A41B2E" w:rsidRPr="00B17245" w:rsidRDefault="00A41B2E" w:rsidP="00A41B2E">
      <w:pPr>
        <w:spacing w:after="0" w:line="240" w:lineRule="auto"/>
        <w:rPr>
          <w:sz w:val="24"/>
        </w:rPr>
      </w:pPr>
      <w:r>
        <w:rPr>
          <w:rFonts w:cs="Arial"/>
          <w:color w:val="000000"/>
          <w:sz w:val="24"/>
          <w:szCs w:val="24"/>
        </w:rPr>
        <w:t xml:space="preserve">We assess </w:t>
      </w:r>
      <w:r w:rsidR="00144C66">
        <w:rPr>
          <w:rFonts w:cs="Arial"/>
          <w:color w:val="000000"/>
          <w:sz w:val="24"/>
          <w:szCs w:val="24"/>
        </w:rPr>
        <w:t xml:space="preserve">the </w:t>
      </w:r>
      <w:r w:rsidR="00150DB5">
        <w:rPr>
          <w:rFonts w:cstheme="majorHAnsi"/>
          <w:sz w:val="24"/>
          <w:szCs w:val="24"/>
        </w:rPr>
        <w:t xml:space="preserve">relationship with </w:t>
      </w:r>
      <w:r w:rsidR="00144C66">
        <w:rPr>
          <w:rFonts w:cs="Arial"/>
          <w:color w:val="000000"/>
          <w:sz w:val="24"/>
          <w:szCs w:val="24"/>
        </w:rPr>
        <w:t xml:space="preserve">these health and </w:t>
      </w:r>
      <w:r w:rsidR="00A6083C">
        <w:rPr>
          <w:rFonts w:cs="Arial"/>
          <w:color w:val="000000"/>
          <w:sz w:val="24"/>
          <w:szCs w:val="24"/>
        </w:rPr>
        <w:t xml:space="preserve">education outcomes </w:t>
      </w:r>
      <w:r>
        <w:rPr>
          <w:rFonts w:cs="Arial"/>
          <w:color w:val="000000"/>
          <w:sz w:val="24"/>
          <w:szCs w:val="24"/>
        </w:rPr>
        <w:t xml:space="preserve">associated with </w:t>
      </w:r>
      <w:r w:rsidRPr="00B17245">
        <w:rPr>
          <w:sz w:val="24"/>
        </w:rPr>
        <w:t>nine cultural and sports activities</w:t>
      </w:r>
      <w:r w:rsidR="000B2883">
        <w:rPr>
          <w:sz w:val="24"/>
        </w:rPr>
        <w:t xml:space="preserve"> that people may have engaged in over the last year</w:t>
      </w:r>
      <w:r w:rsidRPr="00B17245">
        <w:rPr>
          <w:sz w:val="24"/>
        </w:rPr>
        <w:t>:</w:t>
      </w:r>
    </w:p>
    <w:p w14:paraId="6341448C" w14:textId="77777777" w:rsidR="00A41B2E" w:rsidRPr="00B17245" w:rsidRDefault="00A41B2E" w:rsidP="00A41B2E">
      <w:pPr>
        <w:spacing w:after="0" w:line="240" w:lineRule="auto"/>
        <w:rPr>
          <w:b/>
          <w:sz w:val="24"/>
        </w:rPr>
      </w:pPr>
    </w:p>
    <w:p w14:paraId="1FF0CD35" w14:textId="77777777" w:rsidR="004F7A97" w:rsidRDefault="004F7A97" w:rsidP="00A41B2E">
      <w:pPr>
        <w:spacing w:after="0" w:line="240" w:lineRule="auto"/>
        <w:rPr>
          <w:b/>
          <w:sz w:val="24"/>
        </w:rPr>
      </w:pPr>
    </w:p>
    <w:p w14:paraId="59EF9C41" w14:textId="77777777" w:rsidR="00A41B2E" w:rsidRPr="00B17245" w:rsidRDefault="00A41B2E" w:rsidP="00A41B2E">
      <w:pPr>
        <w:spacing w:after="0" w:line="240" w:lineRule="auto"/>
        <w:rPr>
          <w:b/>
          <w:sz w:val="24"/>
        </w:rPr>
      </w:pPr>
      <w:r w:rsidRPr="00B17245">
        <w:rPr>
          <w:b/>
          <w:sz w:val="24"/>
        </w:rPr>
        <w:lastRenderedPageBreak/>
        <w:t>Arts &amp; culture</w:t>
      </w:r>
      <w:r>
        <w:rPr>
          <w:b/>
          <w:sz w:val="24"/>
        </w:rPr>
        <w:t xml:space="preserve"> activities</w:t>
      </w:r>
    </w:p>
    <w:p w14:paraId="584A4AF2"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 xml:space="preserve">Participation </w:t>
      </w:r>
      <w:r>
        <w:rPr>
          <w:rFonts w:asciiTheme="minorHAnsi" w:hAnsiTheme="minorHAnsi"/>
          <w:lang w:eastAsia="zh-CN"/>
        </w:rPr>
        <w:t xml:space="preserve">in </w:t>
      </w:r>
      <w:r w:rsidRPr="00B17245">
        <w:rPr>
          <w:rFonts w:asciiTheme="minorHAnsi" w:hAnsiTheme="minorHAnsi"/>
          <w:lang w:eastAsia="zh-CN"/>
        </w:rPr>
        <w:t>or audience to any art form</w:t>
      </w:r>
    </w:p>
    <w:p w14:paraId="3529FDE2"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 xml:space="preserve">Audience </w:t>
      </w:r>
      <w:r>
        <w:rPr>
          <w:rFonts w:asciiTheme="minorHAnsi" w:hAnsiTheme="minorHAnsi"/>
          <w:lang w:eastAsia="zh-CN"/>
        </w:rPr>
        <w:t xml:space="preserve">only </w:t>
      </w:r>
      <w:r w:rsidRPr="00B17245">
        <w:rPr>
          <w:rFonts w:asciiTheme="minorHAnsi" w:hAnsiTheme="minorHAnsi"/>
          <w:lang w:eastAsia="zh-CN"/>
        </w:rPr>
        <w:t>to the arts</w:t>
      </w:r>
    </w:p>
    <w:p w14:paraId="26FD8405"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 xml:space="preserve">Participation </w:t>
      </w:r>
      <w:r>
        <w:rPr>
          <w:rFonts w:asciiTheme="minorHAnsi" w:hAnsiTheme="minorHAnsi"/>
          <w:lang w:eastAsia="zh-CN"/>
        </w:rPr>
        <w:t xml:space="preserve">only </w:t>
      </w:r>
      <w:r w:rsidRPr="00B17245">
        <w:rPr>
          <w:rFonts w:asciiTheme="minorHAnsi" w:hAnsiTheme="minorHAnsi"/>
          <w:lang w:eastAsia="zh-CN"/>
        </w:rPr>
        <w:t>in the arts</w:t>
      </w:r>
    </w:p>
    <w:p w14:paraId="66BE8124"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Heritage visits</w:t>
      </w:r>
    </w:p>
    <w:p w14:paraId="356D2D4D"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Library visits</w:t>
      </w:r>
    </w:p>
    <w:p w14:paraId="386FBA0A"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Museum visits</w:t>
      </w:r>
    </w:p>
    <w:p w14:paraId="3140EE05" w14:textId="77777777" w:rsidR="00A41B2E" w:rsidRPr="00B17245" w:rsidRDefault="00A41B2E" w:rsidP="00A41B2E">
      <w:pPr>
        <w:pStyle w:val="ACEBodyText"/>
        <w:rPr>
          <w:rFonts w:asciiTheme="minorHAnsi" w:hAnsiTheme="minorHAnsi"/>
          <w:b/>
          <w:lang w:eastAsia="zh-CN"/>
        </w:rPr>
      </w:pPr>
    </w:p>
    <w:p w14:paraId="22F80E3C" w14:textId="77777777" w:rsidR="00A41B2E" w:rsidRPr="002E0F90" w:rsidRDefault="00A41B2E" w:rsidP="00A41B2E">
      <w:pPr>
        <w:pStyle w:val="ACEBodyText"/>
        <w:rPr>
          <w:rFonts w:asciiTheme="minorHAnsi" w:hAnsiTheme="minorHAnsi"/>
          <w:b/>
          <w:lang w:eastAsia="zh-CN"/>
        </w:rPr>
      </w:pPr>
      <w:r w:rsidRPr="002E0F90">
        <w:rPr>
          <w:rFonts w:asciiTheme="minorHAnsi" w:hAnsiTheme="minorHAnsi"/>
          <w:b/>
          <w:lang w:eastAsia="zh-CN"/>
        </w:rPr>
        <w:t xml:space="preserve">Sports </w:t>
      </w:r>
      <w:r w:rsidRPr="002E0F90">
        <w:rPr>
          <w:rFonts w:asciiTheme="minorHAnsi" w:hAnsiTheme="minorHAnsi"/>
          <w:b/>
        </w:rPr>
        <w:t>activities</w:t>
      </w:r>
    </w:p>
    <w:p w14:paraId="2146D42A"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Participation in any sport</w:t>
      </w:r>
      <w:r>
        <w:rPr>
          <w:rFonts w:asciiTheme="minorHAnsi" w:hAnsiTheme="minorHAnsi"/>
          <w:lang w:eastAsia="zh-CN"/>
        </w:rPr>
        <w:t xml:space="preserve"> (team or individual sports)</w:t>
      </w:r>
    </w:p>
    <w:p w14:paraId="354603DC" w14:textId="77777777" w:rsidR="00A41B2E" w:rsidRPr="00B17245" w:rsidRDefault="00A41B2E" w:rsidP="00A41B2E">
      <w:pPr>
        <w:pStyle w:val="ACEBodyText"/>
        <w:numPr>
          <w:ilvl w:val="0"/>
          <w:numId w:val="10"/>
        </w:numPr>
        <w:rPr>
          <w:rFonts w:asciiTheme="minorHAnsi" w:hAnsiTheme="minorHAnsi"/>
          <w:lang w:eastAsia="zh-CN"/>
        </w:rPr>
      </w:pPr>
      <w:r w:rsidRPr="00B17245">
        <w:rPr>
          <w:rFonts w:asciiTheme="minorHAnsi" w:hAnsiTheme="minorHAnsi"/>
          <w:lang w:eastAsia="zh-CN"/>
        </w:rPr>
        <w:t>Participation in team sports</w:t>
      </w:r>
      <w:r>
        <w:rPr>
          <w:rFonts w:asciiTheme="minorHAnsi" w:hAnsiTheme="minorHAnsi"/>
          <w:lang w:eastAsia="zh-CN"/>
        </w:rPr>
        <w:t xml:space="preserve"> only</w:t>
      </w:r>
    </w:p>
    <w:p w14:paraId="5A0ED607" w14:textId="77777777" w:rsidR="00A41B2E" w:rsidRDefault="00A41B2E" w:rsidP="00A41B2E">
      <w:pPr>
        <w:pStyle w:val="ACEBodyText"/>
        <w:numPr>
          <w:ilvl w:val="0"/>
          <w:numId w:val="10"/>
        </w:numPr>
        <w:rPr>
          <w:rFonts w:asciiTheme="minorHAnsi" w:hAnsiTheme="minorHAnsi"/>
          <w:lang w:eastAsia="zh-CN"/>
        </w:rPr>
      </w:pPr>
      <w:r>
        <w:rPr>
          <w:rFonts w:asciiTheme="minorHAnsi" w:hAnsiTheme="minorHAnsi"/>
          <w:lang w:eastAsia="zh-CN"/>
        </w:rPr>
        <w:t xml:space="preserve">Participation in </w:t>
      </w:r>
      <w:r w:rsidRPr="00B17245">
        <w:rPr>
          <w:rFonts w:asciiTheme="minorHAnsi" w:hAnsiTheme="minorHAnsi"/>
          <w:lang w:eastAsia="zh-CN"/>
        </w:rPr>
        <w:t>individual sports</w:t>
      </w:r>
      <w:r>
        <w:rPr>
          <w:rFonts w:asciiTheme="minorHAnsi" w:hAnsiTheme="minorHAnsi"/>
          <w:lang w:eastAsia="zh-CN"/>
        </w:rPr>
        <w:t xml:space="preserve"> only</w:t>
      </w:r>
    </w:p>
    <w:p w14:paraId="0635B2D9" w14:textId="77777777" w:rsidR="000B2883" w:rsidRDefault="000B2883" w:rsidP="00A6083C">
      <w:pPr>
        <w:pStyle w:val="ACEBodyText"/>
        <w:rPr>
          <w:rFonts w:asciiTheme="minorHAnsi" w:hAnsiTheme="minorHAnsi"/>
          <w:lang w:eastAsia="zh-CN"/>
        </w:rPr>
      </w:pPr>
    </w:p>
    <w:p w14:paraId="551ADC50" w14:textId="77777777" w:rsidR="00FF41E5" w:rsidRDefault="00FF41E5" w:rsidP="00A6083C">
      <w:pPr>
        <w:pStyle w:val="ACEBodyText"/>
        <w:rPr>
          <w:rFonts w:asciiTheme="minorHAnsi" w:hAnsiTheme="minorHAnsi"/>
          <w:lang w:eastAsia="zh-CN"/>
        </w:rPr>
      </w:pPr>
      <w:r>
        <w:rPr>
          <w:rFonts w:asciiTheme="minorHAnsi" w:hAnsiTheme="minorHAnsi"/>
          <w:lang w:eastAsia="zh-CN"/>
        </w:rPr>
        <w:t xml:space="preserve">We use a ‘two staged’ process in the analysis with the Understanding Society and BHPS datasets because the data required for this study are housed in the different surveys (the BHPS is required to estimate impacts on medical service usage and educational attainment). </w:t>
      </w:r>
    </w:p>
    <w:p w14:paraId="0282CCB9" w14:textId="77777777" w:rsidR="00FF41E5" w:rsidRDefault="00FF41E5" w:rsidP="00A6083C">
      <w:pPr>
        <w:pStyle w:val="ACEBodyText"/>
        <w:rPr>
          <w:rFonts w:asciiTheme="minorHAnsi" w:hAnsiTheme="minorHAnsi"/>
          <w:lang w:eastAsia="zh-CN"/>
        </w:rPr>
      </w:pPr>
    </w:p>
    <w:p w14:paraId="6EF478A5" w14:textId="77777777" w:rsidR="0049683C" w:rsidRDefault="00A6083C" w:rsidP="00A6083C">
      <w:pPr>
        <w:pStyle w:val="ACEBodyText"/>
        <w:rPr>
          <w:rFonts w:asciiTheme="minorHAnsi" w:hAnsiTheme="minorHAnsi"/>
          <w:lang w:eastAsia="zh-CN"/>
        </w:rPr>
      </w:pPr>
      <w:r>
        <w:rPr>
          <w:rFonts w:asciiTheme="minorHAnsi" w:hAnsiTheme="minorHAnsi"/>
          <w:lang w:eastAsia="zh-CN"/>
        </w:rPr>
        <w:t xml:space="preserve">The values derived </w:t>
      </w:r>
      <w:r w:rsidR="00590742">
        <w:rPr>
          <w:rFonts w:asciiTheme="minorHAnsi" w:hAnsiTheme="minorHAnsi"/>
          <w:lang w:eastAsia="zh-CN"/>
        </w:rPr>
        <w:t xml:space="preserve">here represent </w:t>
      </w:r>
      <w:r w:rsidR="00150DB5">
        <w:rPr>
          <w:rFonts w:asciiTheme="minorHAnsi" w:hAnsiTheme="minorHAnsi"/>
          <w:lang w:eastAsia="zh-CN"/>
        </w:rPr>
        <w:t xml:space="preserve">predicted </w:t>
      </w:r>
      <w:r w:rsidR="00590742">
        <w:rPr>
          <w:rFonts w:asciiTheme="minorHAnsi" w:hAnsiTheme="minorHAnsi"/>
          <w:lang w:eastAsia="zh-CN"/>
        </w:rPr>
        <w:t>impacts on the public purse and values to the individual</w:t>
      </w:r>
      <w:r w:rsidR="00895432">
        <w:rPr>
          <w:rFonts w:asciiTheme="minorHAnsi" w:hAnsiTheme="minorHAnsi"/>
          <w:lang w:eastAsia="zh-CN"/>
        </w:rPr>
        <w:t xml:space="preserve"> for the </w:t>
      </w:r>
      <w:r w:rsidR="00895432" w:rsidRPr="001F4DF4">
        <w:rPr>
          <w:rFonts w:asciiTheme="minorHAnsi" w:hAnsiTheme="minorHAnsi"/>
          <w:i/>
          <w:lang w:eastAsia="zh-CN"/>
        </w:rPr>
        <w:t>specific</w:t>
      </w:r>
      <w:r w:rsidR="00895432">
        <w:rPr>
          <w:rFonts w:asciiTheme="minorHAnsi" w:hAnsiTheme="minorHAnsi"/>
          <w:lang w:eastAsia="zh-CN"/>
        </w:rPr>
        <w:t xml:space="preserve"> outcomes in question</w:t>
      </w:r>
      <w:r w:rsidR="00150DB5">
        <w:rPr>
          <w:rFonts w:asciiTheme="minorHAnsi" w:hAnsiTheme="minorHAnsi"/>
          <w:lang w:eastAsia="zh-CN"/>
        </w:rPr>
        <w:t xml:space="preserve"> given the best-available survey data</w:t>
      </w:r>
      <w:r w:rsidR="00433822">
        <w:rPr>
          <w:rStyle w:val="FootnoteReference"/>
          <w:rFonts w:asciiTheme="minorHAnsi" w:hAnsiTheme="minorHAnsi"/>
          <w:lang w:eastAsia="zh-CN"/>
        </w:rPr>
        <w:footnoteReference w:id="4"/>
      </w:r>
      <w:r w:rsidR="00590742">
        <w:rPr>
          <w:rFonts w:asciiTheme="minorHAnsi" w:hAnsiTheme="minorHAnsi"/>
          <w:lang w:eastAsia="zh-CN"/>
        </w:rPr>
        <w:t>. NHS cost savings</w:t>
      </w:r>
      <w:r w:rsidR="000B2883">
        <w:rPr>
          <w:rFonts w:asciiTheme="minorHAnsi" w:hAnsiTheme="minorHAnsi"/>
          <w:lang w:eastAsia="zh-CN"/>
        </w:rPr>
        <w:t xml:space="preserve"> specifically</w:t>
      </w:r>
      <w:r w:rsidR="00590742">
        <w:rPr>
          <w:rFonts w:asciiTheme="minorHAnsi" w:hAnsiTheme="minorHAnsi"/>
          <w:lang w:eastAsia="zh-CN"/>
        </w:rPr>
        <w:t xml:space="preserve"> </w:t>
      </w:r>
      <w:r w:rsidR="000B2883">
        <w:rPr>
          <w:rFonts w:asciiTheme="minorHAnsi" w:hAnsiTheme="minorHAnsi"/>
          <w:lang w:eastAsia="zh-CN"/>
        </w:rPr>
        <w:t xml:space="preserve">come </w:t>
      </w:r>
      <w:r w:rsidR="00590742">
        <w:rPr>
          <w:rFonts w:asciiTheme="minorHAnsi" w:hAnsiTheme="minorHAnsi"/>
          <w:lang w:eastAsia="zh-CN"/>
        </w:rPr>
        <w:t xml:space="preserve">from </w:t>
      </w:r>
      <w:r w:rsidR="0049683C">
        <w:rPr>
          <w:rFonts w:asciiTheme="minorHAnsi" w:hAnsiTheme="minorHAnsi"/>
          <w:lang w:eastAsia="zh-CN"/>
        </w:rPr>
        <w:t xml:space="preserve">predicted </w:t>
      </w:r>
      <w:r w:rsidR="00590742">
        <w:rPr>
          <w:rFonts w:asciiTheme="minorHAnsi" w:hAnsiTheme="minorHAnsi"/>
          <w:lang w:eastAsia="zh-CN"/>
        </w:rPr>
        <w:t>reductions in medical service usage</w:t>
      </w:r>
      <w:r w:rsidR="00144C66">
        <w:rPr>
          <w:rFonts w:asciiTheme="minorHAnsi" w:hAnsiTheme="minorHAnsi"/>
          <w:lang w:eastAsia="zh-CN"/>
        </w:rPr>
        <w:t xml:space="preserve"> </w:t>
      </w:r>
      <w:r w:rsidR="00A33D5A">
        <w:rPr>
          <w:rFonts w:asciiTheme="minorHAnsi" w:hAnsiTheme="minorHAnsi"/>
          <w:lang w:eastAsia="zh-CN"/>
        </w:rPr>
        <w:t>rates</w:t>
      </w:r>
      <w:r w:rsidR="007A4720">
        <w:rPr>
          <w:rFonts w:asciiTheme="minorHAnsi" w:hAnsiTheme="minorHAnsi"/>
          <w:lang w:eastAsia="zh-CN"/>
        </w:rPr>
        <w:t>,</w:t>
      </w:r>
      <w:r w:rsidR="00590742">
        <w:rPr>
          <w:rFonts w:asciiTheme="minorHAnsi" w:hAnsiTheme="minorHAnsi"/>
          <w:lang w:eastAsia="zh-CN"/>
        </w:rPr>
        <w:t xml:space="preserve"> </w:t>
      </w:r>
      <w:r w:rsidR="00144C66">
        <w:rPr>
          <w:rFonts w:asciiTheme="minorHAnsi" w:hAnsiTheme="minorHAnsi"/>
          <w:lang w:eastAsia="zh-CN"/>
        </w:rPr>
        <w:t xml:space="preserve">whilst </w:t>
      </w:r>
      <w:r w:rsidR="00590742">
        <w:rPr>
          <w:rFonts w:asciiTheme="minorHAnsi" w:hAnsiTheme="minorHAnsi"/>
          <w:lang w:eastAsia="zh-CN"/>
        </w:rPr>
        <w:t>increased income tax receipts</w:t>
      </w:r>
      <w:r w:rsidR="00144C66">
        <w:rPr>
          <w:rFonts w:asciiTheme="minorHAnsi" w:hAnsiTheme="minorHAnsi"/>
          <w:lang w:eastAsia="zh-CN"/>
        </w:rPr>
        <w:t xml:space="preserve"> and </w:t>
      </w:r>
      <w:r w:rsidR="00590742">
        <w:rPr>
          <w:rFonts w:asciiTheme="minorHAnsi" w:hAnsiTheme="minorHAnsi"/>
          <w:lang w:eastAsia="zh-CN"/>
        </w:rPr>
        <w:t xml:space="preserve">lower benefit payments from employment due to higher levels of educational attainment are </w:t>
      </w:r>
      <w:r w:rsidR="000B2883">
        <w:rPr>
          <w:rFonts w:asciiTheme="minorHAnsi" w:hAnsiTheme="minorHAnsi"/>
          <w:lang w:eastAsia="zh-CN"/>
        </w:rPr>
        <w:t xml:space="preserve">more general </w:t>
      </w:r>
      <w:r w:rsidR="00590742">
        <w:rPr>
          <w:rFonts w:asciiTheme="minorHAnsi" w:hAnsiTheme="minorHAnsi"/>
          <w:lang w:eastAsia="zh-CN"/>
        </w:rPr>
        <w:t>benefits to the tax payer and public purse.</w:t>
      </w:r>
      <w:r w:rsidR="000B2883">
        <w:rPr>
          <w:rFonts w:asciiTheme="minorHAnsi" w:hAnsiTheme="minorHAnsi"/>
          <w:lang w:eastAsia="zh-CN"/>
        </w:rPr>
        <w:t xml:space="preserve"> </w:t>
      </w:r>
      <w:r w:rsidR="007A4720">
        <w:rPr>
          <w:rFonts w:asciiTheme="minorHAnsi" w:hAnsiTheme="minorHAnsi"/>
          <w:lang w:eastAsia="zh-CN"/>
        </w:rPr>
        <w:t xml:space="preserve"> Finally, i</w:t>
      </w:r>
      <w:r w:rsidR="00590742">
        <w:rPr>
          <w:rFonts w:asciiTheme="minorHAnsi" w:hAnsiTheme="minorHAnsi"/>
          <w:lang w:eastAsia="zh-CN"/>
        </w:rPr>
        <w:t xml:space="preserve">mprovements in QALYs and increased lifetime earnings </w:t>
      </w:r>
      <w:r w:rsidR="00642DB1">
        <w:rPr>
          <w:rFonts w:asciiTheme="minorHAnsi" w:hAnsiTheme="minorHAnsi"/>
          <w:lang w:eastAsia="zh-CN"/>
        </w:rPr>
        <w:t xml:space="preserve">represent </w:t>
      </w:r>
      <w:r w:rsidR="00590742">
        <w:rPr>
          <w:rFonts w:asciiTheme="minorHAnsi" w:hAnsiTheme="minorHAnsi"/>
          <w:lang w:eastAsia="zh-CN"/>
        </w:rPr>
        <w:t xml:space="preserve">benefits to the individual. </w:t>
      </w:r>
      <w:r w:rsidR="00860F46">
        <w:rPr>
          <w:rFonts w:asciiTheme="minorHAnsi" w:hAnsiTheme="minorHAnsi"/>
          <w:lang w:eastAsia="zh-CN"/>
        </w:rPr>
        <w:t>Using data from the latest wave of the Taking Part survey we provide indicative population level values for the health impacts.</w:t>
      </w:r>
    </w:p>
    <w:p w14:paraId="33C54EED" w14:textId="77777777" w:rsidR="0049683C" w:rsidRDefault="0049683C" w:rsidP="00A6083C">
      <w:pPr>
        <w:pStyle w:val="ACEBodyText"/>
        <w:rPr>
          <w:rFonts w:asciiTheme="minorHAnsi" w:hAnsiTheme="minorHAnsi"/>
          <w:lang w:eastAsia="zh-CN"/>
        </w:rPr>
      </w:pPr>
    </w:p>
    <w:p w14:paraId="3371A3C1" w14:textId="77777777" w:rsidR="00A6083C" w:rsidRDefault="00895432" w:rsidP="00A6083C">
      <w:pPr>
        <w:pStyle w:val="ACEBodyText"/>
        <w:rPr>
          <w:rFonts w:asciiTheme="minorHAnsi" w:hAnsiTheme="minorHAnsi"/>
          <w:lang w:eastAsia="zh-CN"/>
        </w:rPr>
      </w:pPr>
      <w:r>
        <w:rPr>
          <w:rFonts w:asciiTheme="minorHAnsi" w:hAnsiTheme="minorHAnsi"/>
          <w:lang w:eastAsia="zh-CN"/>
        </w:rPr>
        <w:t xml:space="preserve">These are values </w:t>
      </w:r>
      <w:r w:rsidR="0049683C">
        <w:rPr>
          <w:rFonts w:asciiTheme="minorHAnsi" w:hAnsiTheme="minorHAnsi"/>
          <w:lang w:eastAsia="zh-CN"/>
        </w:rPr>
        <w:t xml:space="preserve">specifically </w:t>
      </w:r>
      <w:r>
        <w:rPr>
          <w:rFonts w:asciiTheme="minorHAnsi" w:hAnsiTheme="minorHAnsi"/>
          <w:lang w:eastAsia="zh-CN"/>
        </w:rPr>
        <w:t>for these narrow set of benefits and it should be noted that some of the benefits may be offset elsewhere. Where possible we have included knock-on effects – for example the life time earnings estimates have forgone income during higher education</w:t>
      </w:r>
      <w:r w:rsidR="004371A8">
        <w:rPr>
          <w:rFonts w:asciiTheme="minorHAnsi" w:hAnsiTheme="minorHAnsi"/>
          <w:lang w:eastAsia="zh-CN"/>
        </w:rPr>
        <w:t xml:space="preserve"> years</w:t>
      </w:r>
      <w:r>
        <w:rPr>
          <w:rFonts w:asciiTheme="minorHAnsi" w:hAnsiTheme="minorHAnsi"/>
          <w:lang w:eastAsia="zh-CN"/>
        </w:rPr>
        <w:t xml:space="preserve"> nett</w:t>
      </w:r>
      <w:r w:rsidR="00063A28">
        <w:rPr>
          <w:rFonts w:asciiTheme="minorHAnsi" w:hAnsiTheme="minorHAnsi"/>
          <w:lang w:eastAsia="zh-CN"/>
        </w:rPr>
        <w:t xml:space="preserve">ed off - </w:t>
      </w:r>
      <w:r>
        <w:rPr>
          <w:rFonts w:asciiTheme="minorHAnsi" w:hAnsiTheme="minorHAnsi"/>
          <w:lang w:eastAsia="zh-CN"/>
        </w:rPr>
        <w:t>but it is out of the scope of this analysis to pick up all of the knock</w:t>
      </w:r>
      <w:r w:rsidR="004371A8">
        <w:rPr>
          <w:rFonts w:asciiTheme="minorHAnsi" w:hAnsiTheme="minorHAnsi"/>
          <w:lang w:eastAsia="zh-CN"/>
        </w:rPr>
        <w:t xml:space="preserve">-on or </w:t>
      </w:r>
      <w:r w:rsidR="00A30442" w:rsidRPr="00B768BD">
        <w:rPr>
          <w:rFonts w:asciiTheme="minorHAnsi" w:hAnsiTheme="minorHAnsi"/>
          <w:lang w:eastAsia="zh-CN"/>
        </w:rPr>
        <w:t>spill over</w:t>
      </w:r>
      <w:r w:rsidRPr="00B768BD">
        <w:rPr>
          <w:rFonts w:asciiTheme="minorHAnsi" w:hAnsiTheme="minorHAnsi"/>
          <w:lang w:eastAsia="zh-CN"/>
        </w:rPr>
        <w:t xml:space="preserve"> effects. </w:t>
      </w:r>
      <w:r w:rsidR="00590742" w:rsidRPr="00B768BD">
        <w:rPr>
          <w:rFonts w:asciiTheme="minorHAnsi" w:hAnsiTheme="minorHAnsi"/>
          <w:lang w:eastAsia="zh-CN"/>
        </w:rPr>
        <w:t>The</w:t>
      </w:r>
      <w:r w:rsidR="00590742">
        <w:rPr>
          <w:rFonts w:asciiTheme="minorHAnsi" w:hAnsiTheme="minorHAnsi"/>
          <w:lang w:eastAsia="zh-CN"/>
        </w:rPr>
        <w:t xml:space="preserve"> monetary cost and value estimates </w:t>
      </w:r>
      <w:r w:rsidR="00A6083C">
        <w:rPr>
          <w:rFonts w:asciiTheme="minorHAnsi" w:hAnsiTheme="minorHAnsi"/>
          <w:lang w:eastAsia="zh-CN"/>
        </w:rPr>
        <w:t xml:space="preserve">can be used in cost-benefit analysis and health related cost-effectiveness analysis (for the QALY </w:t>
      </w:r>
      <w:r>
        <w:rPr>
          <w:rFonts w:asciiTheme="minorHAnsi" w:hAnsiTheme="minorHAnsi"/>
          <w:lang w:eastAsia="zh-CN"/>
        </w:rPr>
        <w:t>values</w:t>
      </w:r>
      <w:r w:rsidR="00A6083C">
        <w:rPr>
          <w:rFonts w:asciiTheme="minorHAnsi" w:hAnsiTheme="minorHAnsi"/>
          <w:lang w:eastAsia="zh-CN"/>
        </w:rPr>
        <w:t xml:space="preserve">). </w:t>
      </w:r>
    </w:p>
    <w:p w14:paraId="29A3EBCC" w14:textId="77777777" w:rsidR="00D7516A" w:rsidRDefault="00D7516A" w:rsidP="00A6083C">
      <w:pPr>
        <w:pStyle w:val="ACEBodyText"/>
        <w:rPr>
          <w:rFonts w:asciiTheme="minorHAnsi" w:hAnsiTheme="minorHAnsi"/>
          <w:lang w:eastAsia="zh-CN"/>
        </w:rPr>
      </w:pPr>
    </w:p>
    <w:p w14:paraId="1099ABEE" w14:textId="77777777" w:rsidR="0049683C" w:rsidRDefault="00D7516A" w:rsidP="00A6083C">
      <w:pPr>
        <w:pStyle w:val="ACEBodyText"/>
        <w:rPr>
          <w:rFonts w:asciiTheme="minorHAnsi" w:hAnsiTheme="minorHAnsi"/>
          <w:lang w:eastAsia="zh-CN"/>
        </w:rPr>
      </w:pPr>
      <w:r>
        <w:rPr>
          <w:rFonts w:asciiTheme="minorHAnsi" w:hAnsiTheme="minorHAnsi"/>
          <w:lang w:eastAsia="zh-CN"/>
        </w:rPr>
        <w:t>The analytical approach is broadly similar to the work undertaken as part of the CASE programme in 2010</w:t>
      </w:r>
      <w:r w:rsidR="002E2AF1">
        <w:rPr>
          <w:rFonts w:asciiTheme="minorHAnsi" w:hAnsiTheme="minorHAnsi"/>
          <w:lang w:eastAsia="zh-CN"/>
        </w:rPr>
        <w:t xml:space="preserve"> </w:t>
      </w:r>
      <w:r w:rsidR="002E2AF1">
        <w:rPr>
          <w:rFonts w:asciiTheme="minorHAnsi" w:hAnsiTheme="minorHAnsi"/>
          <w:lang w:eastAsia="zh-CN"/>
        </w:rPr>
        <w:fldChar w:fldCharType="begin"/>
      </w:r>
      <w:r w:rsidR="002E2AF1">
        <w:rPr>
          <w:rFonts w:asciiTheme="minorHAnsi" w:hAnsiTheme="minorHAnsi"/>
          <w:lang w:eastAsia="zh-CN"/>
        </w:rPr>
        <w:instrText xml:space="preserve"> ADDIN EN.CITE &lt;EndNote&gt;&lt;Cite&gt;&lt;Author&gt;Matrix&lt;/Author&gt;&lt;Year&gt;2010&lt;/Year&gt;&lt;RecNum&gt;519&lt;/RecNum&gt;&lt;DisplayText&gt;(Matrix, 2010)&lt;/DisplayText&gt;&lt;record&gt;&lt;rec-number&gt;519&lt;/rec-number&gt;&lt;foreign-keys&gt;&lt;key app="EN" db-id="9tvvrfwv22z0p8e29at5f2r8a9vxsa59spv0" timestamp="1358945008"&gt;519&lt;/key&gt;&lt;/foreign-keys&gt;&lt;ref-type name="Journal Article"&gt;17&lt;/ref-type&gt;&lt;contributors&gt;&lt;authors&gt;&lt;author&gt;Matrix&lt;/author&gt;&lt;/authors&gt;&lt;/contributors&gt;&lt;titles&gt;&lt;title&gt;Understanding the drivers, impact and value of engagement in culture and sport&lt;/title&gt;&lt;secondary-title&gt;Culture and Sport Evidence (CASE) Paper&lt;/secondary-title&gt;&lt;/titles&gt;&lt;periodical&gt;&lt;full-title&gt;Culture and Sport Evidence (CASE) Paper&lt;/full-title&gt;&lt;/periodical&gt;&lt;dates&gt;&lt;year&gt;2010&lt;/year&gt;&lt;/dates&gt;&lt;urls&gt;&lt;/urls&gt;&lt;/record&gt;&lt;/Cite&gt;&lt;/EndNote&gt;</w:instrText>
      </w:r>
      <w:r w:rsidR="002E2AF1">
        <w:rPr>
          <w:rFonts w:asciiTheme="minorHAnsi" w:hAnsiTheme="minorHAnsi"/>
          <w:lang w:eastAsia="zh-CN"/>
        </w:rPr>
        <w:fldChar w:fldCharType="separate"/>
      </w:r>
      <w:r w:rsidR="002E2AF1">
        <w:rPr>
          <w:rFonts w:asciiTheme="minorHAnsi" w:hAnsiTheme="minorHAnsi"/>
          <w:noProof/>
          <w:lang w:eastAsia="zh-CN"/>
        </w:rPr>
        <w:t>(</w:t>
      </w:r>
      <w:hyperlink w:anchor="_ENREF_3" w:tooltip="Matrix, 2010 #519" w:history="1">
        <w:r w:rsidR="00971881">
          <w:rPr>
            <w:rFonts w:asciiTheme="minorHAnsi" w:hAnsiTheme="minorHAnsi"/>
            <w:noProof/>
            <w:lang w:eastAsia="zh-CN"/>
          </w:rPr>
          <w:t>Matrix, 2010</w:t>
        </w:r>
      </w:hyperlink>
      <w:r w:rsidR="002E2AF1">
        <w:rPr>
          <w:rFonts w:asciiTheme="minorHAnsi" w:hAnsiTheme="minorHAnsi"/>
          <w:noProof/>
          <w:lang w:eastAsia="zh-CN"/>
        </w:rPr>
        <w:t>)</w:t>
      </w:r>
      <w:r w:rsidR="002E2AF1">
        <w:rPr>
          <w:rFonts w:asciiTheme="minorHAnsi" w:hAnsiTheme="minorHAnsi"/>
          <w:lang w:eastAsia="zh-CN"/>
        </w:rPr>
        <w:fldChar w:fldCharType="end"/>
      </w:r>
      <w:r>
        <w:rPr>
          <w:rFonts w:asciiTheme="minorHAnsi" w:hAnsiTheme="minorHAnsi"/>
          <w:lang w:eastAsia="zh-CN"/>
        </w:rPr>
        <w:t xml:space="preserve">, which looked at the NHS cost savings and QALY improvements due to the positive health impacts of sports. Matrix (2010) looked at impacts on four </w:t>
      </w:r>
      <w:r w:rsidR="000058DE">
        <w:rPr>
          <w:rFonts w:asciiTheme="minorHAnsi" w:hAnsiTheme="minorHAnsi"/>
          <w:lang w:eastAsia="zh-CN"/>
        </w:rPr>
        <w:t xml:space="preserve">physical </w:t>
      </w:r>
      <w:r>
        <w:rPr>
          <w:rFonts w:asciiTheme="minorHAnsi" w:hAnsiTheme="minorHAnsi"/>
          <w:lang w:eastAsia="zh-CN"/>
        </w:rPr>
        <w:t xml:space="preserve">health outcomes: chronic heart </w:t>
      </w:r>
      <w:r w:rsidRPr="004A439E">
        <w:rPr>
          <w:rFonts w:asciiTheme="minorHAnsi" w:hAnsiTheme="minorHAnsi"/>
          <w:lang w:eastAsia="zh-CN"/>
        </w:rPr>
        <w:t xml:space="preserve">disease, stroke, diabetes and colon cancer. Our study differs in that </w:t>
      </w:r>
      <w:r w:rsidR="00146FD0">
        <w:rPr>
          <w:rFonts w:asciiTheme="minorHAnsi" w:hAnsiTheme="minorHAnsi"/>
          <w:lang w:eastAsia="zh-CN"/>
        </w:rPr>
        <w:t xml:space="preserve">(i) </w:t>
      </w:r>
      <w:r w:rsidRPr="004A439E">
        <w:rPr>
          <w:rFonts w:asciiTheme="minorHAnsi" w:hAnsiTheme="minorHAnsi"/>
          <w:lang w:eastAsia="zh-CN"/>
        </w:rPr>
        <w:t xml:space="preserve">we </w:t>
      </w:r>
      <w:r w:rsidR="00146FD0">
        <w:rPr>
          <w:rFonts w:asciiTheme="minorHAnsi" w:hAnsiTheme="minorHAnsi"/>
          <w:lang w:eastAsia="zh-CN"/>
        </w:rPr>
        <w:t xml:space="preserve">focus more on </w:t>
      </w:r>
      <w:r w:rsidR="00CD162B">
        <w:rPr>
          <w:rFonts w:asciiTheme="minorHAnsi" w:hAnsiTheme="minorHAnsi"/>
          <w:lang w:eastAsia="zh-CN"/>
        </w:rPr>
        <w:t xml:space="preserve">mental health </w:t>
      </w:r>
      <w:r w:rsidR="00146FD0">
        <w:rPr>
          <w:rFonts w:asciiTheme="minorHAnsi" w:hAnsiTheme="minorHAnsi"/>
          <w:lang w:eastAsia="zh-CN"/>
        </w:rPr>
        <w:t xml:space="preserve">and general health rather than </w:t>
      </w:r>
      <w:r w:rsidR="00146FD0">
        <w:rPr>
          <w:rFonts w:asciiTheme="minorHAnsi" w:hAnsiTheme="minorHAnsi"/>
          <w:lang w:eastAsia="zh-CN"/>
        </w:rPr>
        <w:lastRenderedPageBreak/>
        <w:t xml:space="preserve">specific physical health conditions; (ii) we </w:t>
      </w:r>
      <w:r w:rsidRPr="004A439E">
        <w:rPr>
          <w:rFonts w:asciiTheme="minorHAnsi" w:hAnsiTheme="minorHAnsi"/>
          <w:lang w:eastAsia="zh-CN"/>
        </w:rPr>
        <w:t xml:space="preserve">also </w:t>
      </w:r>
      <w:r w:rsidR="00146FD0">
        <w:rPr>
          <w:rFonts w:asciiTheme="minorHAnsi" w:hAnsiTheme="minorHAnsi"/>
          <w:lang w:eastAsia="zh-CN"/>
        </w:rPr>
        <w:t xml:space="preserve">look at </w:t>
      </w:r>
      <w:r w:rsidRPr="004A439E">
        <w:rPr>
          <w:rFonts w:asciiTheme="minorHAnsi" w:hAnsiTheme="minorHAnsi"/>
          <w:lang w:eastAsia="zh-CN"/>
        </w:rPr>
        <w:t>education outcomes</w:t>
      </w:r>
      <w:r w:rsidR="00146FD0">
        <w:rPr>
          <w:rFonts w:asciiTheme="minorHAnsi" w:hAnsiTheme="minorHAnsi"/>
          <w:lang w:eastAsia="zh-CN"/>
        </w:rPr>
        <w:t xml:space="preserve">; and (iii) </w:t>
      </w:r>
      <w:r w:rsidRPr="004A439E">
        <w:rPr>
          <w:rFonts w:asciiTheme="minorHAnsi" w:hAnsiTheme="minorHAnsi"/>
          <w:lang w:eastAsia="zh-CN"/>
        </w:rPr>
        <w:t xml:space="preserve">we also </w:t>
      </w:r>
      <w:r w:rsidR="00146FD0">
        <w:rPr>
          <w:rFonts w:asciiTheme="minorHAnsi" w:hAnsiTheme="minorHAnsi"/>
          <w:lang w:eastAsia="zh-CN"/>
        </w:rPr>
        <w:t xml:space="preserve">include </w:t>
      </w:r>
      <w:r w:rsidRPr="004A439E">
        <w:rPr>
          <w:rFonts w:asciiTheme="minorHAnsi" w:hAnsiTheme="minorHAnsi"/>
          <w:lang w:eastAsia="zh-CN"/>
        </w:rPr>
        <w:t xml:space="preserve">impacts of cultural engagement. </w:t>
      </w:r>
    </w:p>
    <w:p w14:paraId="7265937D" w14:textId="77777777" w:rsidR="0049683C" w:rsidRDefault="0049683C" w:rsidP="00A6083C">
      <w:pPr>
        <w:pStyle w:val="ACEBodyText"/>
        <w:rPr>
          <w:rFonts w:asciiTheme="minorHAnsi" w:hAnsiTheme="minorHAnsi"/>
          <w:lang w:eastAsia="zh-CN"/>
        </w:rPr>
      </w:pPr>
    </w:p>
    <w:p w14:paraId="3DD80DEF" w14:textId="77777777" w:rsidR="00D7516A" w:rsidRDefault="00F73ED0" w:rsidP="00A6083C">
      <w:pPr>
        <w:pStyle w:val="ACEBodyText"/>
        <w:rPr>
          <w:rFonts w:asciiTheme="minorHAnsi" w:hAnsiTheme="minorHAnsi"/>
        </w:rPr>
      </w:pPr>
      <w:r w:rsidRPr="004A439E">
        <w:rPr>
          <w:rFonts w:asciiTheme="minorHAnsi" w:hAnsiTheme="minorHAnsi"/>
          <w:lang w:eastAsia="zh-CN"/>
        </w:rPr>
        <w:t xml:space="preserve">The analysis, as with most studies in this area, is necessarily based on observational (ie, non-experimental) datasets, where cause and effect relationships are inferred using statistical methods. </w:t>
      </w:r>
      <w:r w:rsidRPr="007A4720">
        <w:rPr>
          <w:rFonts w:asciiTheme="minorHAnsi" w:hAnsiTheme="minorHAnsi"/>
        </w:rPr>
        <w:t xml:space="preserve">Throughout the analysis we </w:t>
      </w:r>
      <w:r w:rsidR="00150DB5">
        <w:rPr>
          <w:rFonts w:asciiTheme="minorHAnsi" w:hAnsiTheme="minorHAnsi"/>
        </w:rPr>
        <w:t xml:space="preserve">use the best-available survey data and </w:t>
      </w:r>
      <w:r w:rsidRPr="007A4720">
        <w:rPr>
          <w:rFonts w:asciiTheme="minorHAnsi" w:hAnsiTheme="minorHAnsi"/>
        </w:rPr>
        <w:t>control for as many of the determinants of the main outcomes as possible in regression analysis in order to get a better understanding of</w:t>
      </w:r>
      <w:r w:rsidR="0049683C">
        <w:rPr>
          <w:rFonts w:asciiTheme="minorHAnsi" w:hAnsiTheme="minorHAnsi"/>
        </w:rPr>
        <w:t xml:space="preserve"> cause and effect relationships, but we cannot make definite statements about causality and therefore recommend that the results be interpreted and used as upper-bound impact estimates.</w:t>
      </w:r>
      <w:r w:rsidR="00433822">
        <w:rPr>
          <w:rFonts w:asciiTheme="minorHAnsi" w:hAnsiTheme="minorHAnsi"/>
        </w:rPr>
        <w:t xml:space="preserve"> The statistical </w:t>
      </w:r>
      <w:r w:rsidRPr="007A4720">
        <w:rPr>
          <w:rFonts w:asciiTheme="minorHAnsi" w:hAnsiTheme="minorHAnsi"/>
        </w:rPr>
        <w:t>methodology is in line with the methods used in the original CASE report and the methodology and evidence used in</w:t>
      </w:r>
      <w:r w:rsidR="00CD5E89" w:rsidRPr="007A4720">
        <w:rPr>
          <w:rFonts w:asciiTheme="minorHAnsi" w:hAnsiTheme="minorHAnsi"/>
        </w:rPr>
        <w:t xml:space="preserve"> other high-profile publications and reports in this area,</w:t>
      </w:r>
      <w:r w:rsidRPr="007A4720">
        <w:rPr>
          <w:rFonts w:asciiTheme="minorHAnsi" w:hAnsiTheme="minorHAnsi"/>
        </w:rPr>
        <w:t xml:space="preserve"> </w:t>
      </w:r>
      <w:r w:rsidR="00DF7F99">
        <w:rPr>
          <w:rFonts w:asciiTheme="minorHAnsi" w:hAnsiTheme="minorHAnsi"/>
        </w:rPr>
        <w:t xml:space="preserve">such as </w:t>
      </w:r>
      <w:r w:rsidRPr="007A4720">
        <w:rPr>
          <w:rFonts w:asciiTheme="minorHAnsi" w:hAnsiTheme="minorHAnsi"/>
        </w:rPr>
        <w:t xml:space="preserve">the Surgeon General’s (1996) report </w:t>
      </w:r>
      <w:r w:rsidR="00DF7F99">
        <w:rPr>
          <w:rFonts w:asciiTheme="minorHAnsi" w:hAnsiTheme="minorHAnsi"/>
        </w:rPr>
        <w:t>on the effects of physical activity on health, which relied mainly on non-experimental longitudinal and cross-sectional evidence.</w:t>
      </w:r>
    </w:p>
    <w:p w14:paraId="249B567A" w14:textId="77777777" w:rsidR="00433822" w:rsidRDefault="00433822" w:rsidP="00A6083C">
      <w:pPr>
        <w:pStyle w:val="ACEBodyText"/>
        <w:rPr>
          <w:rFonts w:asciiTheme="minorHAnsi" w:hAnsiTheme="minorHAnsi"/>
        </w:rPr>
      </w:pPr>
    </w:p>
    <w:p w14:paraId="76515930" w14:textId="77777777" w:rsidR="00433822" w:rsidRDefault="00433822" w:rsidP="00A6083C">
      <w:pPr>
        <w:pStyle w:val="ACEBodyText"/>
        <w:rPr>
          <w:sz w:val="23"/>
          <w:szCs w:val="23"/>
        </w:rPr>
      </w:pPr>
    </w:p>
    <w:p w14:paraId="29D78298" w14:textId="77777777" w:rsidR="00D56460" w:rsidRDefault="00D56460" w:rsidP="00A6083C">
      <w:pPr>
        <w:pStyle w:val="ACEBodyText"/>
        <w:rPr>
          <w:sz w:val="23"/>
          <w:szCs w:val="23"/>
        </w:rPr>
      </w:pPr>
    </w:p>
    <w:p w14:paraId="4BB9DA4F" w14:textId="77777777" w:rsidR="00D56460" w:rsidRDefault="00D56460" w:rsidP="00A6083C">
      <w:pPr>
        <w:pStyle w:val="ACEBodyText"/>
        <w:rPr>
          <w:sz w:val="23"/>
          <w:szCs w:val="23"/>
        </w:rPr>
      </w:pPr>
    </w:p>
    <w:p w14:paraId="33F8E16A" w14:textId="77777777" w:rsidR="00D56460" w:rsidRDefault="00D56460" w:rsidP="00A6083C">
      <w:pPr>
        <w:pStyle w:val="ACEBodyText"/>
        <w:rPr>
          <w:sz w:val="23"/>
          <w:szCs w:val="23"/>
        </w:rPr>
      </w:pPr>
    </w:p>
    <w:p w14:paraId="6DEC7BBE" w14:textId="77777777" w:rsidR="00D56460" w:rsidRDefault="00D56460" w:rsidP="00A6083C">
      <w:pPr>
        <w:pStyle w:val="ACEBodyText"/>
        <w:rPr>
          <w:sz w:val="23"/>
          <w:szCs w:val="23"/>
        </w:rPr>
      </w:pPr>
    </w:p>
    <w:p w14:paraId="245418DE" w14:textId="77777777" w:rsidR="00D56460" w:rsidRDefault="00D56460" w:rsidP="00A6083C">
      <w:pPr>
        <w:pStyle w:val="ACEBodyText"/>
        <w:rPr>
          <w:sz w:val="23"/>
          <w:szCs w:val="23"/>
        </w:rPr>
      </w:pPr>
    </w:p>
    <w:p w14:paraId="494AC567" w14:textId="77777777" w:rsidR="00D56460" w:rsidRDefault="00D56460" w:rsidP="00A6083C">
      <w:pPr>
        <w:pStyle w:val="ACEBodyText"/>
        <w:rPr>
          <w:sz w:val="23"/>
          <w:szCs w:val="23"/>
        </w:rPr>
      </w:pPr>
    </w:p>
    <w:p w14:paraId="5483E891" w14:textId="77777777" w:rsidR="00D56460" w:rsidRDefault="00D56460" w:rsidP="00A6083C">
      <w:pPr>
        <w:pStyle w:val="ACEBodyText"/>
        <w:rPr>
          <w:sz w:val="23"/>
          <w:szCs w:val="23"/>
        </w:rPr>
      </w:pPr>
    </w:p>
    <w:p w14:paraId="637DEEF2" w14:textId="77777777" w:rsidR="00D56460" w:rsidRDefault="00D56460" w:rsidP="00A6083C">
      <w:pPr>
        <w:pStyle w:val="ACEBodyText"/>
        <w:rPr>
          <w:sz w:val="23"/>
          <w:szCs w:val="23"/>
        </w:rPr>
      </w:pPr>
    </w:p>
    <w:p w14:paraId="7144A5CF" w14:textId="77777777" w:rsidR="00D56460" w:rsidRDefault="00D56460" w:rsidP="00A6083C">
      <w:pPr>
        <w:pStyle w:val="ACEBodyText"/>
        <w:rPr>
          <w:sz w:val="23"/>
          <w:szCs w:val="23"/>
        </w:rPr>
      </w:pPr>
    </w:p>
    <w:p w14:paraId="7199E59D" w14:textId="73FD3900" w:rsidR="004F7A97" w:rsidRDefault="004F7A97">
      <w:pPr>
        <w:rPr>
          <w:rFonts w:ascii="Arial" w:eastAsia="Times New Roman" w:hAnsi="Arial" w:cs="Arial"/>
          <w:sz w:val="23"/>
          <w:szCs w:val="23"/>
          <w:lang w:eastAsia="en-GB"/>
        </w:rPr>
      </w:pPr>
      <w:r>
        <w:rPr>
          <w:sz w:val="23"/>
          <w:szCs w:val="23"/>
        </w:rPr>
        <w:br w:type="page"/>
      </w:r>
    </w:p>
    <w:p w14:paraId="3C3B9174" w14:textId="77777777" w:rsidR="00D71373" w:rsidRPr="001E7442" w:rsidRDefault="00F543B0" w:rsidP="001E7442">
      <w:pPr>
        <w:pStyle w:val="Heading1"/>
        <w:rPr>
          <w:rFonts w:asciiTheme="minorHAnsi" w:hAnsiTheme="minorHAnsi"/>
          <w:sz w:val="36"/>
          <w:szCs w:val="36"/>
        </w:rPr>
      </w:pPr>
      <w:bookmarkStart w:id="3" w:name="_Toc409167384"/>
      <w:r w:rsidRPr="001E7442">
        <w:rPr>
          <w:rFonts w:asciiTheme="minorHAnsi" w:hAnsiTheme="minorHAnsi"/>
          <w:sz w:val="36"/>
          <w:szCs w:val="36"/>
        </w:rPr>
        <w:lastRenderedPageBreak/>
        <w:t xml:space="preserve">Chapter </w:t>
      </w:r>
      <w:r w:rsidR="00935920" w:rsidRPr="001E7442">
        <w:rPr>
          <w:rFonts w:asciiTheme="minorHAnsi" w:hAnsiTheme="minorHAnsi"/>
          <w:sz w:val="36"/>
          <w:szCs w:val="36"/>
        </w:rPr>
        <w:t xml:space="preserve">2. </w:t>
      </w:r>
      <w:r w:rsidR="00D71373" w:rsidRPr="001E7442">
        <w:rPr>
          <w:rFonts w:asciiTheme="minorHAnsi" w:hAnsiTheme="minorHAnsi"/>
          <w:sz w:val="36"/>
          <w:szCs w:val="36"/>
        </w:rPr>
        <w:t>Summary of literature review</w:t>
      </w:r>
      <w:bookmarkEnd w:id="3"/>
    </w:p>
    <w:p w14:paraId="6737660A" w14:textId="77777777" w:rsidR="00D65817" w:rsidRPr="004D4A7D" w:rsidRDefault="00D65817" w:rsidP="00634B9C">
      <w:pPr>
        <w:spacing w:after="0" w:line="240" w:lineRule="auto"/>
        <w:contextualSpacing/>
        <w:jc w:val="both"/>
        <w:rPr>
          <w:rFonts w:cs="Arial"/>
          <w:sz w:val="24"/>
          <w:szCs w:val="24"/>
        </w:rPr>
      </w:pPr>
      <w:r>
        <w:rPr>
          <w:rFonts w:cs="Arial"/>
          <w:sz w:val="24"/>
          <w:szCs w:val="24"/>
        </w:rPr>
        <w:t>A literature review was conducted in order to</w:t>
      </w:r>
      <w:r w:rsidR="00634B9C">
        <w:rPr>
          <w:rFonts w:cs="Arial"/>
          <w:sz w:val="24"/>
          <w:szCs w:val="24"/>
        </w:rPr>
        <w:t xml:space="preserve"> provide an overview of existing research related to the relationship of engaging in culture and sport and mental health outcomes (including clinical depression), medical service utilisation and educational outcomes (including education behaviours and engagement in further education). This review informed the choice of social measures and control variables, and it led to the development of a logic model which maps out the links between culture and sport to health and education outcomes. The full literature review can be found in Annex A.    </w:t>
      </w:r>
      <w:r>
        <w:rPr>
          <w:rFonts w:cs="Arial"/>
          <w:sz w:val="24"/>
          <w:szCs w:val="24"/>
        </w:rPr>
        <w:t xml:space="preserve"> </w:t>
      </w:r>
    </w:p>
    <w:p w14:paraId="53528EBC" w14:textId="77777777" w:rsidR="000058DE" w:rsidRDefault="000058DE" w:rsidP="00007DF9">
      <w:pPr>
        <w:spacing w:after="0" w:line="240" w:lineRule="auto"/>
        <w:rPr>
          <w:b/>
          <w:sz w:val="24"/>
          <w:szCs w:val="24"/>
        </w:rPr>
      </w:pPr>
    </w:p>
    <w:p w14:paraId="213A9ADD" w14:textId="77777777" w:rsidR="000058DE" w:rsidRPr="00634B9C" w:rsidRDefault="000058DE" w:rsidP="008C4FA9">
      <w:pPr>
        <w:spacing w:after="0"/>
        <w:rPr>
          <w:b/>
          <w:sz w:val="24"/>
          <w:szCs w:val="24"/>
        </w:rPr>
      </w:pPr>
      <w:r w:rsidRPr="00634B9C">
        <w:rPr>
          <w:b/>
          <w:sz w:val="24"/>
          <w:szCs w:val="24"/>
        </w:rPr>
        <w:t>General and mental health outcomes</w:t>
      </w:r>
    </w:p>
    <w:p w14:paraId="6053DE95" w14:textId="77777777" w:rsidR="00525494" w:rsidRDefault="00525494" w:rsidP="008C4FA9">
      <w:pPr>
        <w:spacing w:after="0"/>
        <w:rPr>
          <w:sz w:val="24"/>
          <w:szCs w:val="24"/>
        </w:rPr>
      </w:pPr>
      <w:r>
        <w:rPr>
          <w:sz w:val="24"/>
          <w:szCs w:val="24"/>
        </w:rPr>
        <w:t xml:space="preserve">The literature review identified studies investigating the relationship of engaging in culture and sport and mental health outcomes, including clinical depression; medical service utilisation; and educational outcomes, including education behaviours such as school attendance and engaging in further education. The studies generally suggested positive relationships but there was also some evidence for weak or null effects. For example, one study found that stress management training was better at reducing the relative risk of a cardiac event than exercise. Another study showed </w:t>
      </w:r>
      <w:r w:rsidR="00A11127">
        <w:rPr>
          <w:sz w:val="24"/>
          <w:szCs w:val="24"/>
        </w:rPr>
        <w:t>that using</w:t>
      </w:r>
      <w:r>
        <w:rPr>
          <w:sz w:val="24"/>
          <w:szCs w:val="24"/>
        </w:rPr>
        <w:t xml:space="preserve"> sports </w:t>
      </w:r>
      <w:r w:rsidR="00A11127">
        <w:rPr>
          <w:sz w:val="24"/>
          <w:szCs w:val="24"/>
        </w:rPr>
        <w:t>whilst</w:t>
      </w:r>
      <w:r>
        <w:rPr>
          <w:sz w:val="24"/>
          <w:szCs w:val="24"/>
        </w:rPr>
        <w:t xml:space="preserve"> waiting for CBT (Cognitive Behavioural Therapy</w:t>
      </w:r>
      <w:r w:rsidR="00A11127">
        <w:rPr>
          <w:sz w:val="24"/>
          <w:szCs w:val="24"/>
        </w:rPr>
        <w:t>)</w:t>
      </w:r>
      <w:r>
        <w:rPr>
          <w:sz w:val="24"/>
          <w:szCs w:val="24"/>
        </w:rPr>
        <w:t xml:space="preserve"> did not positively impact therapeutic outcomes.</w:t>
      </w:r>
    </w:p>
    <w:p w14:paraId="0C8EF337" w14:textId="77777777" w:rsidR="00525494" w:rsidRDefault="00525494" w:rsidP="008C4FA9">
      <w:pPr>
        <w:spacing w:after="0"/>
        <w:rPr>
          <w:sz w:val="24"/>
          <w:szCs w:val="24"/>
        </w:rPr>
      </w:pPr>
    </w:p>
    <w:p w14:paraId="63154CD6" w14:textId="77777777" w:rsidR="000058DE" w:rsidRDefault="00525494" w:rsidP="008C4FA9">
      <w:pPr>
        <w:spacing w:after="0"/>
        <w:rPr>
          <w:rFonts w:cs="Arial"/>
          <w:bCs/>
          <w:sz w:val="24"/>
          <w:szCs w:val="24"/>
        </w:rPr>
      </w:pPr>
      <w:r>
        <w:rPr>
          <w:rFonts w:cs="Arial"/>
          <w:sz w:val="24"/>
          <w:szCs w:val="24"/>
        </w:rPr>
        <w:t xml:space="preserve">A variety of cultural activities were associated with a range of improved mental health outcomes. These activities include expressive writing; making music; reading literature; </w:t>
      </w:r>
      <w:r w:rsidRPr="004D4A7D">
        <w:rPr>
          <w:rFonts w:cs="Arial"/>
          <w:bCs/>
          <w:sz w:val="24"/>
          <w:szCs w:val="24"/>
        </w:rPr>
        <w:t>a</w:t>
      </w:r>
      <w:r>
        <w:rPr>
          <w:rFonts w:cs="Arial"/>
          <w:bCs/>
          <w:sz w:val="24"/>
          <w:szCs w:val="24"/>
        </w:rPr>
        <w:t>ttending performing arts events;</w:t>
      </w:r>
      <w:r w:rsidRPr="004D4A7D">
        <w:rPr>
          <w:rFonts w:cs="Arial"/>
          <w:bCs/>
          <w:sz w:val="24"/>
          <w:szCs w:val="24"/>
        </w:rPr>
        <w:t xml:space="preserve"> attending non-performing arts or cultural events</w:t>
      </w:r>
      <w:r>
        <w:rPr>
          <w:rFonts w:cs="Arial"/>
          <w:bCs/>
          <w:sz w:val="24"/>
          <w:szCs w:val="24"/>
        </w:rPr>
        <w:t>;</w:t>
      </w:r>
      <w:r w:rsidRPr="004D4A7D">
        <w:rPr>
          <w:rFonts w:cs="Arial"/>
          <w:bCs/>
          <w:sz w:val="24"/>
          <w:szCs w:val="24"/>
        </w:rPr>
        <w:t xml:space="preserve"> pa</w:t>
      </w:r>
      <w:r>
        <w:rPr>
          <w:rFonts w:cs="Arial"/>
          <w:bCs/>
          <w:sz w:val="24"/>
          <w:szCs w:val="24"/>
        </w:rPr>
        <w:t>rticipating in dance activities;</w:t>
      </w:r>
      <w:r w:rsidRPr="004D4A7D">
        <w:rPr>
          <w:rFonts w:cs="Arial"/>
          <w:bCs/>
          <w:sz w:val="24"/>
          <w:szCs w:val="24"/>
        </w:rPr>
        <w:t xml:space="preserve"> accessing art forms through CD</w:t>
      </w:r>
      <w:r>
        <w:rPr>
          <w:rFonts w:cs="Arial"/>
          <w:bCs/>
          <w:sz w:val="24"/>
          <w:szCs w:val="24"/>
        </w:rPr>
        <w:t>s, mini discs, tapes or records;</w:t>
      </w:r>
      <w:r w:rsidRPr="004D4A7D">
        <w:rPr>
          <w:rFonts w:cs="Arial"/>
          <w:bCs/>
          <w:sz w:val="24"/>
          <w:szCs w:val="24"/>
        </w:rPr>
        <w:t xml:space="preserve"> listening to the arts through the radio or viewing the arts on television, videos or DVDs</w:t>
      </w:r>
      <w:r>
        <w:rPr>
          <w:rFonts w:cs="Arial"/>
          <w:bCs/>
          <w:sz w:val="24"/>
          <w:szCs w:val="24"/>
        </w:rPr>
        <w:t xml:space="preserve">; and visiting art galleries. The improvements were in reports of anxiety and depression, as well as life satisfaction, self-reported health, longevity, risk factors for disease, healthy eating, physical activity, and stress. </w:t>
      </w:r>
    </w:p>
    <w:p w14:paraId="43318F00" w14:textId="77777777" w:rsidR="000058DE" w:rsidRDefault="000058DE" w:rsidP="008C4FA9">
      <w:pPr>
        <w:spacing w:after="0"/>
        <w:rPr>
          <w:rFonts w:cs="Arial"/>
          <w:bCs/>
          <w:sz w:val="24"/>
          <w:szCs w:val="24"/>
        </w:rPr>
      </w:pPr>
    </w:p>
    <w:p w14:paraId="5F47C3FF" w14:textId="77777777" w:rsidR="00525494" w:rsidRDefault="000058DE" w:rsidP="008C4FA9">
      <w:pPr>
        <w:spacing w:after="0"/>
        <w:rPr>
          <w:sz w:val="24"/>
          <w:szCs w:val="24"/>
        </w:rPr>
      </w:pPr>
      <w:r>
        <w:rPr>
          <w:sz w:val="24"/>
          <w:szCs w:val="24"/>
        </w:rPr>
        <w:t>P</w:t>
      </w:r>
      <w:r w:rsidR="00525494">
        <w:rPr>
          <w:sz w:val="24"/>
          <w:szCs w:val="24"/>
        </w:rPr>
        <w:t>hysical activity was associated with improved mental health, such as small-sided football games and structured exercise programmes. The evidence indicates physical activity reduces the risk of onset and relapse of depression, and also improves self-assessed health and life satisfaction.</w:t>
      </w:r>
    </w:p>
    <w:p w14:paraId="5F36F509" w14:textId="77777777" w:rsidR="00525494" w:rsidRDefault="00525494" w:rsidP="008C4FA9">
      <w:pPr>
        <w:spacing w:after="0"/>
        <w:rPr>
          <w:sz w:val="24"/>
          <w:szCs w:val="24"/>
        </w:rPr>
      </w:pPr>
    </w:p>
    <w:p w14:paraId="5A634D95" w14:textId="77777777" w:rsidR="000058DE" w:rsidRPr="00E32F65" w:rsidRDefault="000058DE" w:rsidP="008C4FA9">
      <w:pPr>
        <w:spacing w:after="0"/>
        <w:contextualSpacing/>
        <w:rPr>
          <w:rFonts w:cs="Arial"/>
          <w:b/>
          <w:sz w:val="24"/>
          <w:szCs w:val="24"/>
        </w:rPr>
      </w:pPr>
      <w:r>
        <w:rPr>
          <w:rFonts w:cs="Arial"/>
          <w:b/>
          <w:sz w:val="24"/>
          <w:szCs w:val="24"/>
        </w:rPr>
        <w:t>Medical service usage</w:t>
      </w:r>
    </w:p>
    <w:p w14:paraId="2EA43BE0" w14:textId="77777777" w:rsidR="000058DE" w:rsidRDefault="00525494" w:rsidP="008C4FA9">
      <w:pPr>
        <w:spacing w:after="0"/>
        <w:contextualSpacing/>
        <w:rPr>
          <w:rFonts w:cs="Arial"/>
          <w:sz w:val="24"/>
          <w:szCs w:val="24"/>
        </w:rPr>
      </w:pPr>
      <w:r>
        <w:rPr>
          <w:rFonts w:cs="Arial"/>
          <w:sz w:val="24"/>
          <w:szCs w:val="24"/>
        </w:rPr>
        <w:t xml:space="preserve">There was little evidence for a relationship between engaging in cultural activities and medical service usage. The exceptions showed that people aged 65 and older who participated in community-based cultural programs used less medication and visited the doctor less often than those who did not, and that they also had better physical health. Similar findings were reported in evaluations of a variety of arts programmes. </w:t>
      </w:r>
    </w:p>
    <w:p w14:paraId="6D99C5AE" w14:textId="77777777" w:rsidR="000058DE" w:rsidRDefault="000058DE" w:rsidP="008C4FA9">
      <w:pPr>
        <w:spacing w:after="0"/>
        <w:contextualSpacing/>
        <w:rPr>
          <w:rFonts w:cs="Arial"/>
          <w:sz w:val="24"/>
          <w:szCs w:val="24"/>
        </w:rPr>
      </w:pPr>
    </w:p>
    <w:p w14:paraId="3F41A517" w14:textId="77777777" w:rsidR="00525494" w:rsidRDefault="00525494" w:rsidP="008C4FA9">
      <w:pPr>
        <w:spacing w:after="0"/>
        <w:contextualSpacing/>
        <w:rPr>
          <w:rFonts w:cs="Arial"/>
          <w:sz w:val="24"/>
          <w:szCs w:val="24"/>
        </w:rPr>
      </w:pPr>
      <w:r>
        <w:rPr>
          <w:rFonts w:cs="Arial"/>
          <w:sz w:val="24"/>
          <w:szCs w:val="24"/>
        </w:rPr>
        <w:t xml:space="preserve">The physical health benefits from exercise are well-established, and one longitudinal study suggested that men who played sport in high school were less likely to visit the doctor as </w:t>
      </w:r>
      <w:r>
        <w:rPr>
          <w:rFonts w:cs="Arial"/>
          <w:sz w:val="24"/>
          <w:szCs w:val="24"/>
        </w:rPr>
        <w:lastRenderedPageBreak/>
        <w:t xml:space="preserve">adults. A number of scholars have suggested that exercise can be used for the prevention and treatment of mental health problems. </w:t>
      </w:r>
    </w:p>
    <w:p w14:paraId="54672704" w14:textId="77777777" w:rsidR="00525494" w:rsidRDefault="00525494" w:rsidP="008C4FA9">
      <w:pPr>
        <w:spacing w:after="0"/>
        <w:contextualSpacing/>
        <w:rPr>
          <w:rFonts w:cs="Arial"/>
          <w:sz w:val="24"/>
          <w:szCs w:val="24"/>
        </w:rPr>
      </w:pPr>
    </w:p>
    <w:p w14:paraId="14509F1F" w14:textId="77777777" w:rsidR="000058DE" w:rsidRPr="00E32F65" w:rsidRDefault="000058DE" w:rsidP="008C4FA9">
      <w:pPr>
        <w:spacing w:after="0"/>
        <w:contextualSpacing/>
        <w:rPr>
          <w:rFonts w:cs="Arial"/>
          <w:b/>
          <w:sz w:val="24"/>
          <w:szCs w:val="24"/>
        </w:rPr>
      </w:pPr>
      <w:r w:rsidRPr="00E32F65">
        <w:rPr>
          <w:rFonts w:cs="Arial"/>
          <w:b/>
          <w:sz w:val="24"/>
          <w:szCs w:val="24"/>
        </w:rPr>
        <w:t>Educational outcomes</w:t>
      </w:r>
    </w:p>
    <w:p w14:paraId="73F5137E" w14:textId="77777777" w:rsidR="000058DE" w:rsidRPr="00630203" w:rsidRDefault="0005059A" w:rsidP="008C4FA9">
      <w:pPr>
        <w:spacing w:after="0"/>
        <w:contextualSpacing/>
        <w:rPr>
          <w:rFonts w:cs="Arial"/>
          <w:sz w:val="24"/>
          <w:szCs w:val="24"/>
        </w:rPr>
      </w:pPr>
      <w:r>
        <w:rPr>
          <w:rFonts w:cs="Arial"/>
          <w:sz w:val="24"/>
          <w:szCs w:val="24"/>
        </w:rPr>
        <w:t xml:space="preserve">Engaging in culture and sport improves higher/further educational aspirations and actual higher/further educational attendance, as well as both youth and adult </w:t>
      </w:r>
      <w:r w:rsidR="00525494">
        <w:rPr>
          <w:rFonts w:cs="Arial"/>
          <w:sz w:val="24"/>
          <w:szCs w:val="24"/>
        </w:rPr>
        <w:t xml:space="preserve">educational performance. A range of cultural activities and characteristics were </w:t>
      </w:r>
      <w:r w:rsidR="00EE0EAD">
        <w:rPr>
          <w:rFonts w:cs="Arial"/>
          <w:sz w:val="24"/>
          <w:szCs w:val="24"/>
        </w:rPr>
        <w:t>investigated</w:t>
      </w:r>
      <w:r w:rsidR="00525494">
        <w:rPr>
          <w:rFonts w:cs="Arial"/>
          <w:sz w:val="24"/>
          <w:szCs w:val="24"/>
        </w:rPr>
        <w:t>, including listening and learning to play music and involvement in</w:t>
      </w:r>
      <w:r w:rsidR="00630203">
        <w:rPr>
          <w:rFonts w:cs="Arial"/>
          <w:sz w:val="24"/>
          <w:szCs w:val="24"/>
        </w:rPr>
        <w:t xml:space="preserve"> or attendance at </w:t>
      </w:r>
      <w:r w:rsidR="00525494">
        <w:rPr>
          <w:rFonts w:cs="Arial"/>
          <w:sz w:val="24"/>
          <w:szCs w:val="24"/>
        </w:rPr>
        <w:t xml:space="preserve">theatre, drama, and dance. The benefits </w:t>
      </w:r>
      <w:r w:rsidR="00EE0EAD">
        <w:rPr>
          <w:rFonts w:cs="Arial"/>
          <w:sz w:val="24"/>
          <w:szCs w:val="24"/>
        </w:rPr>
        <w:t>covered</w:t>
      </w:r>
      <w:r w:rsidR="00525494">
        <w:rPr>
          <w:rFonts w:cs="Arial"/>
          <w:sz w:val="24"/>
          <w:szCs w:val="24"/>
        </w:rPr>
        <w:t xml:space="preserve"> higher academ</w:t>
      </w:r>
      <w:r w:rsidR="00630203">
        <w:rPr>
          <w:rFonts w:cs="Arial"/>
          <w:sz w:val="24"/>
          <w:szCs w:val="24"/>
        </w:rPr>
        <w:t xml:space="preserve">ic achievement and aspirations, increased likelihood of attending further/higher education, </w:t>
      </w:r>
      <w:r w:rsidR="00525494">
        <w:rPr>
          <w:rFonts w:cs="Arial"/>
          <w:sz w:val="24"/>
          <w:szCs w:val="24"/>
        </w:rPr>
        <w:t xml:space="preserve">higher IQ scores, better school attendance, improved spatial reasoning and verbal skills, greater mathematic and reading proficiency, and higher motivation, as well as improved creativity, </w:t>
      </w:r>
      <w:r w:rsidR="00525494" w:rsidRPr="004D4A7D">
        <w:rPr>
          <w:sz w:val="24"/>
          <w:szCs w:val="24"/>
        </w:rPr>
        <w:t>resilience, self-regulation</w:t>
      </w:r>
      <w:r w:rsidR="00525494">
        <w:rPr>
          <w:sz w:val="24"/>
          <w:szCs w:val="24"/>
        </w:rPr>
        <w:t>, self-identity,</w:t>
      </w:r>
      <w:r w:rsidR="00525494" w:rsidRPr="004D4A7D">
        <w:rPr>
          <w:sz w:val="24"/>
          <w:szCs w:val="24"/>
        </w:rPr>
        <w:t xml:space="preserve"> self-esteem, </w:t>
      </w:r>
      <w:r w:rsidR="00525494">
        <w:rPr>
          <w:sz w:val="24"/>
          <w:szCs w:val="24"/>
        </w:rPr>
        <w:t xml:space="preserve">and academic </w:t>
      </w:r>
      <w:r w:rsidR="00525494" w:rsidRPr="004D4A7D">
        <w:rPr>
          <w:sz w:val="24"/>
          <w:szCs w:val="24"/>
        </w:rPr>
        <w:t>self-concept</w:t>
      </w:r>
      <w:r w:rsidR="00525494">
        <w:rPr>
          <w:sz w:val="24"/>
          <w:szCs w:val="24"/>
        </w:rPr>
        <w:t xml:space="preserve"> (that is, </w:t>
      </w:r>
      <w:r w:rsidR="00525494" w:rsidRPr="004D4A7D">
        <w:rPr>
          <w:sz w:val="24"/>
          <w:szCs w:val="24"/>
        </w:rPr>
        <w:t>self-efficacy</w:t>
      </w:r>
      <w:r w:rsidR="00525494">
        <w:rPr>
          <w:sz w:val="24"/>
          <w:szCs w:val="24"/>
        </w:rPr>
        <w:t xml:space="preserve"> and motivation). </w:t>
      </w:r>
    </w:p>
    <w:p w14:paraId="1BF9C18F" w14:textId="77777777" w:rsidR="000058DE" w:rsidRDefault="000058DE" w:rsidP="008C4FA9">
      <w:pPr>
        <w:spacing w:after="0"/>
        <w:contextualSpacing/>
        <w:rPr>
          <w:sz w:val="24"/>
          <w:szCs w:val="24"/>
        </w:rPr>
      </w:pPr>
    </w:p>
    <w:p w14:paraId="57835D4B" w14:textId="77777777" w:rsidR="00525494" w:rsidRDefault="00525494" w:rsidP="008C4FA9">
      <w:pPr>
        <w:spacing w:after="0"/>
        <w:contextualSpacing/>
        <w:rPr>
          <w:rFonts w:cs="Arial"/>
          <w:sz w:val="24"/>
          <w:szCs w:val="24"/>
        </w:rPr>
      </w:pPr>
      <w:r>
        <w:rPr>
          <w:sz w:val="24"/>
          <w:szCs w:val="24"/>
        </w:rPr>
        <w:t>Sports and physical fitness were associated with</w:t>
      </w:r>
      <w:r w:rsidR="00764D5B">
        <w:rPr>
          <w:sz w:val="24"/>
          <w:szCs w:val="24"/>
        </w:rPr>
        <w:t xml:space="preserve"> improved </w:t>
      </w:r>
      <w:r w:rsidR="00764D5B">
        <w:rPr>
          <w:rFonts w:cs="Arial"/>
          <w:sz w:val="24"/>
          <w:szCs w:val="24"/>
        </w:rPr>
        <w:t>higher/further educational aspirations and actual higher/further educational attendance</w:t>
      </w:r>
      <w:r w:rsidR="002F7801">
        <w:rPr>
          <w:rFonts w:cs="Arial"/>
          <w:sz w:val="24"/>
          <w:szCs w:val="24"/>
        </w:rPr>
        <w:t>;</w:t>
      </w:r>
      <w:r>
        <w:rPr>
          <w:sz w:val="24"/>
          <w:szCs w:val="24"/>
        </w:rPr>
        <w:t xml:space="preserve"> improved concentrat</w:t>
      </w:r>
      <w:r w:rsidR="000D6505">
        <w:rPr>
          <w:sz w:val="24"/>
          <w:szCs w:val="24"/>
        </w:rPr>
        <w:t>ion;</w:t>
      </w:r>
      <w:r>
        <w:rPr>
          <w:sz w:val="24"/>
          <w:szCs w:val="24"/>
        </w:rPr>
        <w:t xml:space="preserve"> </w:t>
      </w:r>
      <w:r w:rsidR="000D6505">
        <w:rPr>
          <w:sz w:val="24"/>
          <w:szCs w:val="24"/>
        </w:rPr>
        <w:t xml:space="preserve">higher </w:t>
      </w:r>
      <w:r>
        <w:rPr>
          <w:sz w:val="24"/>
          <w:szCs w:val="24"/>
        </w:rPr>
        <w:t xml:space="preserve">mathematics </w:t>
      </w:r>
      <w:r w:rsidR="000D6505">
        <w:rPr>
          <w:sz w:val="24"/>
          <w:szCs w:val="24"/>
        </w:rPr>
        <w:t>achievement and reading ability;</w:t>
      </w:r>
      <w:r>
        <w:rPr>
          <w:sz w:val="24"/>
          <w:szCs w:val="24"/>
        </w:rPr>
        <w:t xml:space="preserve"> better verbal, n</w:t>
      </w:r>
      <w:r w:rsidR="000D6505">
        <w:rPr>
          <w:sz w:val="24"/>
          <w:szCs w:val="24"/>
        </w:rPr>
        <w:t>umeric, and reasoning abilities; better grades; and improved memory</w:t>
      </w:r>
      <w:r>
        <w:rPr>
          <w:sz w:val="24"/>
          <w:szCs w:val="24"/>
        </w:rPr>
        <w:t xml:space="preserve"> and </w:t>
      </w:r>
      <w:r w:rsidR="000D6505">
        <w:rPr>
          <w:sz w:val="24"/>
          <w:szCs w:val="24"/>
        </w:rPr>
        <w:t>school</w:t>
      </w:r>
      <w:r>
        <w:rPr>
          <w:sz w:val="24"/>
          <w:szCs w:val="24"/>
        </w:rPr>
        <w:t xml:space="preserve"> attendance.</w:t>
      </w:r>
      <w:r w:rsidR="00E32F65">
        <w:rPr>
          <w:sz w:val="24"/>
          <w:szCs w:val="24"/>
        </w:rPr>
        <w:t xml:space="preserve"> They were also associated with increased aspirations to attend higher education and actually higher education attendance.</w:t>
      </w:r>
    </w:p>
    <w:p w14:paraId="659EF7FC" w14:textId="77777777" w:rsidR="00D510EE" w:rsidRDefault="00D510EE" w:rsidP="00007DF9">
      <w:pPr>
        <w:spacing w:after="0" w:line="240" w:lineRule="auto"/>
        <w:rPr>
          <w:color w:val="FF0000"/>
          <w:sz w:val="24"/>
          <w:szCs w:val="24"/>
        </w:rPr>
      </w:pPr>
    </w:p>
    <w:p w14:paraId="1E9C7469" w14:textId="77777777" w:rsidR="00D510EE" w:rsidRDefault="00D510EE" w:rsidP="00007DF9">
      <w:pPr>
        <w:spacing w:after="0" w:line="240" w:lineRule="auto"/>
        <w:rPr>
          <w:color w:val="FF0000"/>
          <w:sz w:val="24"/>
          <w:szCs w:val="24"/>
        </w:rPr>
      </w:pPr>
    </w:p>
    <w:p w14:paraId="732AAF44" w14:textId="77777777" w:rsidR="008C4FA9" w:rsidRDefault="008C4FA9" w:rsidP="00007DF9">
      <w:pPr>
        <w:spacing w:after="0" w:line="240" w:lineRule="auto"/>
        <w:rPr>
          <w:color w:val="FF0000"/>
          <w:sz w:val="24"/>
          <w:szCs w:val="24"/>
        </w:rPr>
      </w:pPr>
    </w:p>
    <w:p w14:paraId="4792BCB6" w14:textId="77777777" w:rsidR="008C4FA9" w:rsidRDefault="008C4FA9" w:rsidP="00007DF9">
      <w:pPr>
        <w:spacing w:after="0" w:line="240" w:lineRule="auto"/>
        <w:rPr>
          <w:color w:val="FF0000"/>
          <w:sz w:val="24"/>
          <w:szCs w:val="24"/>
        </w:rPr>
      </w:pPr>
    </w:p>
    <w:p w14:paraId="635E7971" w14:textId="77777777" w:rsidR="008C4FA9" w:rsidRDefault="008C4FA9" w:rsidP="00007DF9">
      <w:pPr>
        <w:spacing w:after="0" w:line="240" w:lineRule="auto"/>
        <w:rPr>
          <w:color w:val="FF0000"/>
          <w:sz w:val="24"/>
          <w:szCs w:val="24"/>
        </w:rPr>
      </w:pPr>
    </w:p>
    <w:p w14:paraId="3A65D066" w14:textId="77777777" w:rsidR="008C4FA9" w:rsidRDefault="008C4FA9" w:rsidP="00007DF9">
      <w:pPr>
        <w:spacing w:after="0" w:line="240" w:lineRule="auto"/>
        <w:rPr>
          <w:color w:val="FF0000"/>
          <w:sz w:val="24"/>
          <w:szCs w:val="24"/>
        </w:rPr>
      </w:pPr>
    </w:p>
    <w:p w14:paraId="6EF8A58E" w14:textId="77777777" w:rsidR="008C4FA9" w:rsidRDefault="008C4FA9" w:rsidP="00007DF9">
      <w:pPr>
        <w:spacing w:after="0" w:line="240" w:lineRule="auto"/>
        <w:rPr>
          <w:color w:val="FF0000"/>
          <w:sz w:val="24"/>
          <w:szCs w:val="24"/>
        </w:rPr>
      </w:pPr>
    </w:p>
    <w:p w14:paraId="53F423E2" w14:textId="77777777" w:rsidR="008C4FA9" w:rsidRDefault="008C4FA9" w:rsidP="00007DF9">
      <w:pPr>
        <w:spacing w:after="0" w:line="240" w:lineRule="auto"/>
        <w:rPr>
          <w:color w:val="FF0000"/>
          <w:sz w:val="24"/>
          <w:szCs w:val="24"/>
        </w:rPr>
      </w:pPr>
    </w:p>
    <w:p w14:paraId="58117323" w14:textId="77777777" w:rsidR="008C4FA9" w:rsidRDefault="008C4FA9" w:rsidP="00007DF9">
      <w:pPr>
        <w:spacing w:after="0" w:line="240" w:lineRule="auto"/>
        <w:rPr>
          <w:color w:val="FF0000"/>
          <w:sz w:val="24"/>
          <w:szCs w:val="24"/>
        </w:rPr>
      </w:pPr>
    </w:p>
    <w:p w14:paraId="307ADDFB" w14:textId="77777777" w:rsidR="008C4FA9" w:rsidRDefault="008C4FA9" w:rsidP="00007DF9">
      <w:pPr>
        <w:spacing w:after="0" w:line="240" w:lineRule="auto"/>
        <w:rPr>
          <w:color w:val="FF0000"/>
          <w:sz w:val="24"/>
          <w:szCs w:val="24"/>
        </w:rPr>
      </w:pPr>
    </w:p>
    <w:p w14:paraId="74A2BEF9" w14:textId="77777777" w:rsidR="008C4FA9" w:rsidRDefault="008C4FA9" w:rsidP="00007DF9">
      <w:pPr>
        <w:spacing w:after="0" w:line="240" w:lineRule="auto"/>
        <w:rPr>
          <w:color w:val="FF0000"/>
          <w:sz w:val="24"/>
          <w:szCs w:val="24"/>
        </w:rPr>
      </w:pPr>
    </w:p>
    <w:p w14:paraId="228539AA" w14:textId="77777777" w:rsidR="008C4FA9" w:rsidRDefault="008C4FA9" w:rsidP="00007DF9">
      <w:pPr>
        <w:spacing w:after="0" w:line="240" w:lineRule="auto"/>
        <w:rPr>
          <w:color w:val="FF0000"/>
          <w:sz w:val="24"/>
          <w:szCs w:val="24"/>
        </w:rPr>
      </w:pPr>
    </w:p>
    <w:p w14:paraId="6C01F51D" w14:textId="77777777" w:rsidR="008C4FA9" w:rsidRDefault="008C4FA9" w:rsidP="00007DF9">
      <w:pPr>
        <w:spacing w:after="0" w:line="240" w:lineRule="auto"/>
        <w:rPr>
          <w:color w:val="FF0000"/>
          <w:sz w:val="24"/>
          <w:szCs w:val="24"/>
        </w:rPr>
      </w:pPr>
    </w:p>
    <w:p w14:paraId="222548E1" w14:textId="77777777" w:rsidR="008C4FA9" w:rsidRDefault="008C4FA9" w:rsidP="00007DF9">
      <w:pPr>
        <w:spacing w:after="0" w:line="240" w:lineRule="auto"/>
        <w:rPr>
          <w:color w:val="FF0000"/>
          <w:sz w:val="24"/>
          <w:szCs w:val="24"/>
        </w:rPr>
      </w:pPr>
    </w:p>
    <w:p w14:paraId="0B69B695" w14:textId="77777777" w:rsidR="008C4FA9" w:rsidRDefault="008C4FA9" w:rsidP="00007DF9">
      <w:pPr>
        <w:spacing w:after="0" w:line="240" w:lineRule="auto"/>
        <w:rPr>
          <w:color w:val="FF0000"/>
          <w:sz w:val="24"/>
          <w:szCs w:val="24"/>
        </w:rPr>
      </w:pPr>
    </w:p>
    <w:p w14:paraId="718E399C" w14:textId="77777777" w:rsidR="008C4FA9" w:rsidRDefault="008C4FA9" w:rsidP="00007DF9">
      <w:pPr>
        <w:spacing w:after="0" w:line="240" w:lineRule="auto"/>
        <w:rPr>
          <w:color w:val="FF0000"/>
          <w:sz w:val="24"/>
          <w:szCs w:val="24"/>
        </w:rPr>
      </w:pPr>
    </w:p>
    <w:p w14:paraId="7844FA73" w14:textId="77777777" w:rsidR="008C4FA9" w:rsidRDefault="008C4FA9" w:rsidP="00007DF9">
      <w:pPr>
        <w:spacing w:after="0" w:line="240" w:lineRule="auto"/>
        <w:rPr>
          <w:color w:val="FF0000"/>
          <w:sz w:val="24"/>
          <w:szCs w:val="24"/>
        </w:rPr>
      </w:pPr>
    </w:p>
    <w:p w14:paraId="0948F375" w14:textId="77777777" w:rsidR="008C4FA9" w:rsidRDefault="008C4FA9" w:rsidP="00007DF9">
      <w:pPr>
        <w:spacing w:after="0" w:line="240" w:lineRule="auto"/>
        <w:rPr>
          <w:color w:val="FF0000"/>
          <w:sz w:val="24"/>
          <w:szCs w:val="24"/>
        </w:rPr>
      </w:pPr>
    </w:p>
    <w:p w14:paraId="4EB095B6" w14:textId="6827840C" w:rsidR="004F7A97" w:rsidRDefault="004F7A97">
      <w:pPr>
        <w:rPr>
          <w:color w:val="FF0000"/>
          <w:sz w:val="24"/>
          <w:szCs w:val="24"/>
        </w:rPr>
      </w:pPr>
      <w:r>
        <w:rPr>
          <w:color w:val="FF0000"/>
          <w:sz w:val="24"/>
          <w:szCs w:val="24"/>
        </w:rPr>
        <w:br w:type="page"/>
      </w:r>
    </w:p>
    <w:p w14:paraId="128C55BD" w14:textId="77777777" w:rsidR="00935920" w:rsidRPr="001E7442" w:rsidRDefault="00D71373" w:rsidP="001E7442">
      <w:pPr>
        <w:pStyle w:val="Heading1"/>
        <w:rPr>
          <w:rFonts w:asciiTheme="minorHAnsi" w:hAnsiTheme="minorHAnsi"/>
          <w:sz w:val="36"/>
          <w:szCs w:val="36"/>
        </w:rPr>
      </w:pPr>
      <w:bookmarkStart w:id="4" w:name="_Toc409167385"/>
      <w:r w:rsidRPr="001E7442">
        <w:rPr>
          <w:rFonts w:asciiTheme="minorHAnsi" w:hAnsiTheme="minorHAnsi"/>
          <w:sz w:val="36"/>
          <w:szCs w:val="36"/>
        </w:rPr>
        <w:lastRenderedPageBreak/>
        <w:t xml:space="preserve">Chapter 3. </w:t>
      </w:r>
      <w:r w:rsidR="00935920" w:rsidRPr="001E7442">
        <w:rPr>
          <w:rFonts w:asciiTheme="minorHAnsi" w:hAnsiTheme="minorHAnsi"/>
          <w:sz w:val="36"/>
          <w:szCs w:val="36"/>
        </w:rPr>
        <w:t>Summary of findings</w:t>
      </w:r>
      <w:bookmarkEnd w:id="4"/>
    </w:p>
    <w:p w14:paraId="298A3053" w14:textId="77777777" w:rsidR="00FE6BCC" w:rsidRPr="00887818" w:rsidRDefault="008B4364" w:rsidP="008B4364">
      <w:pPr>
        <w:pStyle w:val="ListParagraph"/>
        <w:widowControl w:val="0"/>
        <w:tabs>
          <w:tab w:val="left" w:pos="1890"/>
        </w:tabs>
        <w:spacing w:before="20"/>
        <w:ind w:left="0"/>
        <w:rPr>
          <w:rFonts w:cs="Arial"/>
          <w:sz w:val="24"/>
          <w:szCs w:val="24"/>
        </w:rPr>
      </w:pPr>
      <w:r w:rsidRPr="008A1127">
        <w:rPr>
          <w:rFonts w:cs="Arial"/>
          <w:sz w:val="24"/>
          <w:szCs w:val="24"/>
        </w:rPr>
        <w:t xml:space="preserve">The analysis identified a number of statistically significant </w:t>
      </w:r>
      <w:r w:rsidR="00887818">
        <w:rPr>
          <w:rFonts w:cs="Arial"/>
          <w:sz w:val="24"/>
          <w:szCs w:val="24"/>
        </w:rPr>
        <w:t xml:space="preserve">positive </w:t>
      </w:r>
      <w:r w:rsidRPr="008A1127">
        <w:rPr>
          <w:rFonts w:cs="Arial"/>
          <w:sz w:val="24"/>
          <w:szCs w:val="24"/>
        </w:rPr>
        <w:t xml:space="preserve">associations </w:t>
      </w:r>
      <w:r w:rsidR="00887818">
        <w:rPr>
          <w:rFonts w:cs="Arial"/>
          <w:sz w:val="24"/>
          <w:szCs w:val="24"/>
        </w:rPr>
        <w:t xml:space="preserve">(even after controlling for other possible factors) </w:t>
      </w:r>
      <w:r w:rsidRPr="008A1127">
        <w:rPr>
          <w:rFonts w:cs="Arial"/>
          <w:sz w:val="24"/>
          <w:szCs w:val="24"/>
        </w:rPr>
        <w:t xml:space="preserve">between </w:t>
      </w:r>
      <w:r w:rsidR="006C46D9" w:rsidRPr="008A1127">
        <w:rPr>
          <w:rFonts w:cs="Arial"/>
          <w:sz w:val="24"/>
          <w:szCs w:val="24"/>
        </w:rPr>
        <w:t>engagement with culture</w:t>
      </w:r>
      <w:r w:rsidRPr="008A1127">
        <w:rPr>
          <w:rFonts w:cs="Arial"/>
          <w:sz w:val="24"/>
          <w:szCs w:val="24"/>
        </w:rPr>
        <w:t xml:space="preserve"> and sport </w:t>
      </w:r>
      <w:r w:rsidR="00FE6BCC" w:rsidRPr="008A1127">
        <w:rPr>
          <w:rFonts w:cs="Arial"/>
          <w:sz w:val="24"/>
          <w:szCs w:val="24"/>
        </w:rPr>
        <w:t>on the one hand and a number of wider social impacts on the other</w:t>
      </w:r>
      <w:r w:rsidR="00887818">
        <w:rPr>
          <w:rFonts w:cs="Arial"/>
          <w:sz w:val="24"/>
          <w:szCs w:val="24"/>
        </w:rPr>
        <w:t xml:space="preserve">. </w:t>
      </w:r>
      <w:r w:rsidR="00B6511C">
        <w:rPr>
          <w:rFonts w:cs="Arial"/>
          <w:sz w:val="24"/>
          <w:szCs w:val="24"/>
        </w:rPr>
        <w:t xml:space="preserve">Our results are generally supported by the previous empirical literature in these fields. </w:t>
      </w:r>
      <w:r w:rsidR="00887818">
        <w:rPr>
          <w:rFonts w:cs="Arial"/>
          <w:sz w:val="24"/>
          <w:szCs w:val="24"/>
        </w:rPr>
        <w:t xml:space="preserve">The study </w:t>
      </w:r>
      <w:r w:rsidR="00FE6BCC" w:rsidRPr="008A1127">
        <w:rPr>
          <w:rFonts w:cs="Arial"/>
          <w:sz w:val="24"/>
          <w:szCs w:val="24"/>
        </w:rPr>
        <w:t xml:space="preserve">has also valued these </w:t>
      </w:r>
      <w:r w:rsidR="008F03DC" w:rsidRPr="008A1127">
        <w:rPr>
          <w:rFonts w:cs="Arial"/>
          <w:sz w:val="24"/>
          <w:szCs w:val="24"/>
        </w:rPr>
        <w:t>relationships</w:t>
      </w:r>
      <w:r w:rsidR="005255E7" w:rsidRPr="00870A90">
        <w:rPr>
          <w:rFonts w:cs="Arial"/>
          <w:sz w:val="24"/>
          <w:szCs w:val="24"/>
        </w:rPr>
        <w:t xml:space="preserve"> in terms of NHS cost savings, </w:t>
      </w:r>
      <w:r w:rsidR="005255E7" w:rsidRPr="00C8445C">
        <w:rPr>
          <w:rFonts w:cs="Arial"/>
          <w:sz w:val="24"/>
          <w:szCs w:val="24"/>
        </w:rPr>
        <w:t xml:space="preserve">QALY values, </w:t>
      </w:r>
      <w:r w:rsidR="005255E7" w:rsidRPr="004A439E">
        <w:rPr>
          <w:rFonts w:cs="Arial"/>
          <w:color w:val="000000"/>
          <w:sz w:val="24"/>
          <w:szCs w:val="24"/>
        </w:rPr>
        <w:t xml:space="preserve">life time earnings, and </w:t>
      </w:r>
      <w:r w:rsidR="00887818">
        <w:rPr>
          <w:rFonts w:cs="Arial"/>
          <w:color w:val="000000"/>
          <w:sz w:val="24"/>
          <w:szCs w:val="24"/>
        </w:rPr>
        <w:t>impacts on the public purse.</w:t>
      </w:r>
    </w:p>
    <w:p w14:paraId="356C9BF2" w14:textId="77777777" w:rsidR="00FE6BCC" w:rsidRPr="00887818" w:rsidRDefault="00FE6BCC" w:rsidP="008B4364">
      <w:pPr>
        <w:pStyle w:val="ListParagraph"/>
        <w:widowControl w:val="0"/>
        <w:tabs>
          <w:tab w:val="left" w:pos="1890"/>
        </w:tabs>
        <w:spacing w:before="20"/>
        <w:ind w:left="0"/>
        <w:rPr>
          <w:rFonts w:cs="Arial"/>
          <w:sz w:val="24"/>
          <w:szCs w:val="24"/>
        </w:rPr>
      </w:pPr>
    </w:p>
    <w:p w14:paraId="22A76ACF" w14:textId="77777777" w:rsidR="004E6AA6" w:rsidRDefault="008F03DC" w:rsidP="008B4364">
      <w:pPr>
        <w:pStyle w:val="ListParagraph"/>
        <w:widowControl w:val="0"/>
        <w:tabs>
          <w:tab w:val="left" w:pos="1890"/>
        </w:tabs>
        <w:spacing w:before="20"/>
        <w:ind w:left="0"/>
        <w:rPr>
          <w:rFonts w:cs="Arial"/>
          <w:sz w:val="24"/>
          <w:szCs w:val="24"/>
        </w:rPr>
      </w:pPr>
      <w:r w:rsidRPr="00887818">
        <w:rPr>
          <w:rFonts w:cs="Arial"/>
          <w:sz w:val="24"/>
          <w:szCs w:val="24"/>
        </w:rPr>
        <w:t xml:space="preserve">Due to the observational nature of </w:t>
      </w:r>
      <w:r w:rsidR="006C46D9" w:rsidRPr="00887818">
        <w:rPr>
          <w:rFonts w:cs="Arial"/>
          <w:sz w:val="24"/>
          <w:szCs w:val="24"/>
        </w:rPr>
        <w:t>the</w:t>
      </w:r>
      <w:r w:rsidRPr="00887818">
        <w:rPr>
          <w:rFonts w:cs="Arial"/>
          <w:sz w:val="24"/>
          <w:szCs w:val="24"/>
        </w:rPr>
        <w:t xml:space="preserve"> data</w:t>
      </w:r>
      <w:r w:rsidR="00887818">
        <w:rPr>
          <w:rFonts w:cs="Arial"/>
          <w:sz w:val="24"/>
          <w:szCs w:val="24"/>
        </w:rPr>
        <w:t xml:space="preserve"> (ie, the study is not based on data from experiments like randomised trials)</w:t>
      </w:r>
      <w:r w:rsidRPr="00887818">
        <w:rPr>
          <w:rFonts w:cs="Arial"/>
          <w:sz w:val="24"/>
          <w:szCs w:val="24"/>
        </w:rPr>
        <w:t xml:space="preserve">, causation cannot be directly </w:t>
      </w:r>
      <w:r w:rsidR="006C46D9" w:rsidRPr="00887818">
        <w:rPr>
          <w:rFonts w:cs="Arial"/>
          <w:sz w:val="24"/>
          <w:szCs w:val="24"/>
        </w:rPr>
        <w:t>inferred and future resear</w:t>
      </w:r>
      <w:r w:rsidR="000B2C1C" w:rsidRPr="00887818">
        <w:rPr>
          <w:rFonts w:cs="Arial"/>
          <w:sz w:val="24"/>
          <w:szCs w:val="24"/>
        </w:rPr>
        <w:t>ch should consider this further;</w:t>
      </w:r>
      <w:r w:rsidR="006C46D9" w:rsidRPr="00887818">
        <w:rPr>
          <w:rFonts w:cs="Arial"/>
          <w:sz w:val="24"/>
          <w:szCs w:val="24"/>
        </w:rPr>
        <w:t xml:space="preserve"> however, the main determinants of each social outcome have been controlled for (e.g. age, education, income). Multiple regression analysis of this sort is </w:t>
      </w:r>
      <w:r w:rsidR="00887818">
        <w:rPr>
          <w:rFonts w:cs="Arial"/>
          <w:sz w:val="24"/>
          <w:szCs w:val="24"/>
        </w:rPr>
        <w:t>one of the optimal statistical strategies</w:t>
      </w:r>
      <w:r w:rsidR="006C46D9" w:rsidRPr="00887818">
        <w:rPr>
          <w:rFonts w:cs="Arial"/>
          <w:sz w:val="24"/>
          <w:szCs w:val="24"/>
        </w:rPr>
        <w:t xml:space="preserve"> for identifying causal relationships in instances like this where interventions have not been randomised</w:t>
      </w:r>
      <w:r w:rsidR="00887818">
        <w:rPr>
          <w:rFonts w:cs="Arial"/>
          <w:sz w:val="24"/>
          <w:szCs w:val="24"/>
        </w:rPr>
        <w:t xml:space="preserve"> and this or similar types of analysis have been used extensively in the health economics and policy evaluation literature. Hence the results are informative for policy purposes. </w:t>
      </w:r>
    </w:p>
    <w:p w14:paraId="0BB93D27" w14:textId="77777777" w:rsidR="004E6AA6" w:rsidRDefault="004E6AA6" w:rsidP="008B4364">
      <w:pPr>
        <w:pStyle w:val="ListParagraph"/>
        <w:widowControl w:val="0"/>
        <w:tabs>
          <w:tab w:val="left" w:pos="1890"/>
        </w:tabs>
        <w:spacing w:before="20"/>
        <w:ind w:left="0"/>
        <w:rPr>
          <w:rFonts w:cs="Arial"/>
          <w:sz w:val="24"/>
          <w:szCs w:val="24"/>
        </w:rPr>
      </w:pPr>
    </w:p>
    <w:p w14:paraId="5C6BAC40" w14:textId="77777777" w:rsidR="008B4364" w:rsidRDefault="004E6AA6" w:rsidP="008B4364">
      <w:pPr>
        <w:pStyle w:val="ListParagraph"/>
        <w:widowControl w:val="0"/>
        <w:tabs>
          <w:tab w:val="left" w:pos="1890"/>
        </w:tabs>
        <w:spacing w:before="20"/>
        <w:ind w:left="0"/>
        <w:rPr>
          <w:rFonts w:cs="Arial"/>
          <w:sz w:val="24"/>
          <w:szCs w:val="24"/>
        </w:rPr>
      </w:pPr>
      <w:r>
        <w:rPr>
          <w:rFonts w:cs="Arial"/>
          <w:sz w:val="24"/>
          <w:szCs w:val="24"/>
        </w:rPr>
        <w:t xml:space="preserve">Any bias that may impact on our estimates of causality is likely to be </w:t>
      </w:r>
      <w:r w:rsidRPr="004E6AA6">
        <w:rPr>
          <w:rFonts w:cs="Arial"/>
          <w:i/>
          <w:sz w:val="24"/>
          <w:szCs w:val="24"/>
        </w:rPr>
        <w:t>positive</w:t>
      </w:r>
      <w:r>
        <w:rPr>
          <w:rFonts w:cs="Arial"/>
          <w:i/>
          <w:sz w:val="24"/>
          <w:szCs w:val="24"/>
        </w:rPr>
        <w:t xml:space="preserve">. </w:t>
      </w:r>
      <w:r>
        <w:rPr>
          <w:rFonts w:cs="Arial"/>
          <w:sz w:val="24"/>
          <w:szCs w:val="24"/>
        </w:rPr>
        <w:t xml:space="preserve">Casual estimates may become biased if there are factors that we cannot control for that drive engagement in culture/sport </w:t>
      </w:r>
      <w:r w:rsidRPr="004E6AA6">
        <w:rPr>
          <w:rFonts w:cs="Arial"/>
          <w:i/>
          <w:sz w:val="24"/>
          <w:szCs w:val="24"/>
        </w:rPr>
        <w:t>and</w:t>
      </w:r>
      <w:r>
        <w:rPr>
          <w:rFonts w:cs="Arial"/>
          <w:sz w:val="24"/>
          <w:szCs w:val="24"/>
        </w:rPr>
        <w:t xml:space="preserve"> that impact on the outcome of interest (ie, health and education) as well. If any such factors exist we believe that they are likely to be positive influences </w:t>
      </w:r>
      <w:r w:rsidR="00624D06">
        <w:rPr>
          <w:rFonts w:cs="Arial"/>
          <w:sz w:val="24"/>
          <w:szCs w:val="24"/>
        </w:rPr>
        <w:t xml:space="preserve">- </w:t>
      </w:r>
      <w:r>
        <w:rPr>
          <w:rFonts w:cs="Arial"/>
          <w:sz w:val="24"/>
          <w:szCs w:val="24"/>
        </w:rPr>
        <w:t xml:space="preserve">ie, </w:t>
      </w:r>
      <w:r w:rsidR="00624D06">
        <w:rPr>
          <w:rFonts w:cs="Arial"/>
          <w:sz w:val="24"/>
          <w:szCs w:val="24"/>
        </w:rPr>
        <w:t xml:space="preserve">that they are </w:t>
      </w:r>
      <w:r>
        <w:rPr>
          <w:rFonts w:cs="Arial"/>
          <w:sz w:val="24"/>
          <w:szCs w:val="24"/>
        </w:rPr>
        <w:t xml:space="preserve">factors that </w:t>
      </w:r>
      <w:r w:rsidR="004A4997">
        <w:rPr>
          <w:rFonts w:cs="Arial"/>
          <w:sz w:val="24"/>
          <w:szCs w:val="24"/>
        </w:rPr>
        <w:t xml:space="preserve">both </w:t>
      </w:r>
      <w:r w:rsidR="00624D06">
        <w:rPr>
          <w:rFonts w:cs="Arial"/>
          <w:sz w:val="24"/>
          <w:szCs w:val="24"/>
        </w:rPr>
        <w:t xml:space="preserve">make it more likely that some people engage in culture/sport and that </w:t>
      </w:r>
      <w:r>
        <w:rPr>
          <w:rFonts w:cs="Arial"/>
          <w:sz w:val="24"/>
          <w:szCs w:val="24"/>
        </w:rPr>
        <w:t xml:space="preserve">make </w:t>
      </w:r>
      <w:r w:rsidR="004A4997">
        <w:rPr>
          <w:rFonts w:cs="Arial"/>
          <w:sz w:val="24"/>
          <w:szCs w:val="24"/>
        </w:rPr>
        <w:t xml:space="preserve">them </w:t>
      </w:r>
      <w:r>
        <w:rPr>
          <w:rFonts w:cs="Arial"/>
          <w:sz w:val="24"/>
          <w:szCs w:val="24"/>
        </w:rPr>
        <w:t xml:space="preserve">healthy </w:t>
      </w:r>
      <w:r w:rsidR="00624D06">
        <w:rPr>
          <w:rFonts w:cs="Arial"/>
          <w:sz w:val="24"/>
          <w:szCs w:val="24"/>
        </w:rPr>
        <w:t>anyway (eg, this could be due to that person’s upbringing)</w:t>
      </w:r>
      <w:r w:rsidR="004A4997">
        <w:rPr>
          <w:rFonts w:cs="Arial"/>
          <w:sz w:val="24"/>
          <w:szCs w:val="24"/>
        </w:rPr>
        <w:t xml:space="preserve">. </w:t>
      </w:r>
      <w:r w:rsidR="00D2250A">
        <w:rPr>
          <w:rFonts w:cs="Arial"/>
          <w:sz w:val="24"/>
          <w:szCs w:val="24"/>
        </w:rPr>
        <w:t xml:space="preserve">In such a circumstance some of the observed positive relationship between engagement in culture/sport and the outcomes of interest (health and education) would be due to that person’s upbringing and not wholly due to the act of engaging in culture/sport. </w:t>
      </w:r>
      <w:r w:rsidR="00D2250A" w:rsidRPr="00D2250A">
        <w:rPr>
          <w:rFonts w:cs="Arial"/>
          <w:b/>
          <w:sz w:val="24"/>
          <w:szCs w:val="24"/>
        </w:rPr>
        <w:t xml:space="preserve">We therefore recommend that the </w:t>
      </w:r>
      <w:r w:rsidR="00150DB5">
        <w:rPr>
          <w:rFonts w:cs="Arial"/>
          <w:b/>
          <w:sz w:val="24"/>
          <w:szCs w:val="24"/>
        </w:rPr>
        <w:t xml:space="preserve">predicted </w:t>
      </w:r>
      <w:r w:rsidR="00D2250A" w:rsidRPr="00D2250A">
        <w:rPr>
          <w:rFonts w:cs="Arial"/>
          <w:b/>
          <w:sz w:val="24"/>
          <w:szCs w:val="24"/>
        </w:rPr>
        <w:t>impact and value estimates derived in this study be seen an</w:t>
      </w:r>
      <w:r w:rsidR="00B6511C">
        <w:rPr>
          <w:rFonts w:cs="Arial"/>
          <w:b/>
          <w:sz w:val="24"/>
          <w:szCs w:val="24"/>
        </w:rPr>
        <w:t xml:space="preserve">d used as </w:t>
      </w:r>
      <w:r w:rsidR="00B6511C" w:rsidRPr="00B6511C">
        <w:rPr>
          <w:rFonts w:cs="Arial"/>
          <w:b/>
          <w:sz w:val="24"/>
          <w:szCs w:val="24"/>
          <w:u w:val="single"/>
        </w:rPr>
        <w:t>upper-</w:t>
      </w:r>
      <w:r w:rsidR="00D2250A" w:rsidRPr="00B6511C">
        <w:rPr>
          <w:rFonts w:cs="Arial"/>
          <w:b/>
          <w:sz w:val="24"/>
          <w:szCs w:val="24"/>
          <w:u w:val="single"/>
        </w:rPr>
        <w:t>bound</w:t>
      </w:r>
      <w:r w:rsidR="00D2250A">
        <w:rPr>
          <w:rFonts w:cs="Arial"/>
          <w:b/>
          <w:sz w:val="24"/>
          <w:szCs w:val="24"/>
        </w:rPr>
        <w:t xml:space="preserve"> estimates of the impact of culture and sport on health and education.</w:t>
      </w:r>
    </w:p>
    <w:p w14:paraId="29BBFE19" w14:textId="77777777" w:rsidR="00D2250A" w:rsidRPr="00887818" w:rsidRDefault="00D2250A" w:rsidP="008B4364">
      <w:pPr>
        <w:pStyle w:val="ListParagraph"/>
        <w:widowControl w:val="0"/>
        <w:tabs>
          <w:tab w:val="left" w:pos="1890"/>
        </w:tabs>
        <w:spacing w:before="20"/>
        <w:ind w:left="0"/>
        <w:rPr>
          <w:rFonts w:cs="Arial"/>
          <w:sz w:val="24"/>
          <w:szCs w:val="24"/>
        </w:rPr>
      </w:pPr>
    </w:p>
    <w:p w14:paraId="2C0FDFAC" w14:textId="77777777" w:rsidR="008B4364" w:rsidRPr="00887818" w:rsidRDefault="006C46D9" w:rsidP="008B4364">
      <w:pPr>
        <w:pStyle w:val="ListParagraph"/>
        <w:widowControl w:val="0"/>
        <w:tabs>
          <w:tab w:val="left" w:pos="1890"/>
        </w:tabs>
        <w:spacing w:before="20"/>
        <w:ind w:left="0"/>
        <w:rPr>
          <w:rFonts w:cs="Arial"/>
          <w:sz w:val="24"/>
          <w:szCs w:val="24"/>
        </w:rPr>
      </w:pPr>
      <w:r w:rsidRPr="00887818">
        <w:rPr>
          <w:rFonts w:cs="Arial"/>
          <w:sz w:val="24"/>
          <w:szCs w:val="24"/>
        </w:rPr>
        <w:t xml:space="preserve">The benefits of sport </w:t>
      </w:r>
      <w:r w:rsidR="004E0263">
        <w:rPr>
          <w:rFonts w:cs="Arial"/>
          <w:sz w:val="24"/>
          <w:szCs w:val="24"/>
        </w:rPr>
        <w:t xml:space="preserve">and </w:t>
      </w:r>
      <w:r w:rsidR="004E0263" w:rsidRPr="00887818">
        <w:rPr>
          <w:rFonts w:cs="Arial"/>
          <w:sz w:val="24"/>
          <w:szCs w:val="24"/>
        </w:rPr>
        <w:t xml:space="preserve">culture </w:t>
      </w:r>
      <w:r w:rsidRPr="00887818">
        <w:rPr>
          <w:rFonts w:cs="Arial"/>
          <w:sz w:val="24"/>
          <w:szCs w:val="24"/>
        </w:rPr>
        <w:t xml:space="preserve">are </w:t>
      </w:r>
      <w:r w:rsidR="004E0263">
        <w:rPr>
          <w:rFonts w:cs="Arial"/>
          <w:sz w:val="24"/>
          <w:szCs w:val="24"/>
        </w:rPr>
        <w:t xml:space="preserve">estimated </w:t>
      </w:r>
      <w:r w:rsidRPr="00887818">
        <w:rPr>
          <w:rFonts w:cs="Arial"/>
          <w:sz w:val="24"/>
          <w:szCs w:val="24"/>
        </w:rPr>
        <w:t>as follows</w:t>
      </w:r>
      <w:r w:rsidR="00004A19">
        <w:rPr>
          <w:rFonts w:cs="Arial"/>
          <w:sz w:val="24"/>
          <w:szCs w:val="24"/>
        </w:rPr>
        <w:t xml:space="preserve"> (we do not report results for statistically insignificant cultural and sport variables and hence not all types of activities are mentioned in each of the results sections).</w:t>
      </w:r>
    </w:p>
    <w:p w14:paraId="7804941C" w14:textId="77777777" w:rsidR="00AA35EA" w:rsidRPr="00887818" w:rsidRDefault="00AA35EA" w:rsidP="00AA35EA">
      <w:pPr>
        <w:pStyle w:val="ListParagraph"/>
        <w:widowControl w:val="0"/>
        <w:tabs>
          <w:tab w:val="left" w:pos="1890"/>
        </w:tabs>
        <w:spacing w:before="20"/>
        <w:ind w:left="0"/>
        <w:rPr>
          <w:rFonts w:cs="Arial"/>
          <w:sz w:val="24"/>
          <w:szCs w:val="24"/>
        </w:rPr>
      </w:pPr>
    </w:p>
    <w:p w14:paraId="62B2F313" w14:textId="77777777" w:rsidR="00AA35EA" w:rsidRPr="00887818" w:rsidRDefault="00150DB5" w:rsidP="00AA35EA">
      <w:pPr>
        <w:pStyle w:val="ListParagraph"/>
        <w:widowControl w:val="0"/>
        <w:tabs>
          <w:tab w:val="left" w:pos="1890"/>
        </w:tabs>
        <w:spacing w:before="20"/>
        <w:ind w:left="0"/>
        <w:rPr>
          <w:rFonts w:cs="Arial"/>
          <w:b/>
          <w:sz w:val="24"/>
          <w:szCs w:val="24"/>
          <w:u w:val="single"/>
        </w:rPr>
      </w:pPr>
      <w:r>
        <w:rPr>
          <w:rFonts w:cs="Arial"/>
          <w:b/>
          <w:sz w:val="24"/>
          <w:szCs w:val="24"/>
          <w:u w:val="single"/>
        </w:rPr>
        <w:t xml:space="preserve">Health and </w:t>
      </w:r>
      <w:r w:rsidR="00AA35EA" w:rsidRPr="00887818">
        <w:rPr>
          <w:rFonts w:cs="Arial"/>
          <w:b/>
          <w:sz w:val="24"/>
          <w:szCs w:val="24"/>
          <w:u w:val="single"/>
        </w:rPr>
        <w:t>medical service usage</w:t>
      </w:r>
    </w:p>
    <w:p w14:paraId="06241851" w14:textId="77777777" w:rsidR="00AA35EA" w:rsidRDefault="00AA35EA" w:rsidP="00AA35EA">
      <w:pPr>
        <w:pStyle w:val="ListParagraph"/>
        <w:widowControl w:val="0"/>
        <w:tabs>
          <w:tab w:val="left" w:pos="1890"/>
        </w:tabs>
        <w:spacing w:before="20"/>
        <w:ind w:left="0"/>
        <w:rPr>
          <w:rFonts w:cs="Arial"/>
          <w:sz w:val="24"/>
          <w:szCs w:val="24"/>
        </w:rPr>
      </w:pPr>
      <w:r w:rsidRPr="00952A8B">
        <w:rPr>
          <w:rFonts w:cs="Arial"/>
          <w:sz w:val="24"/>
          <w:szCs w:val="24"/>
        </w:rPr>
        <w:t>After controlling for the main determinants of health and health service usage</w:t>
      </w:r>
      <w:r>
        <w:rPr>
          <w:rFonts w:cs="Arial"/>
          <w:sz w:val="24"/>
          <w:szCs w:val="24"/>
        </w:rPr>
        <w:t>:</w:t>
      </w:r>
    </w:p>
    <w:p w14:paraId="31C58AEE" w14:textId="77777777" w:rsidR="00AA35EA" w:rsidRDefault="00AA35EA" w:rsidP="00AA35EA">
      <w:pPr>
        <w:pStyle w:val="ListParagraph"/>
        <w:numPr>
          <w:ilvl w:val="0"/>
          <w:numId w:val="21"/>
        </w:numPr>
        <w:tabs>
          <w:tab w:val="left" w:pos="1890"/>
        </w:tabs>
        <w:spacing w:after="0" w:line="240" w:lineRule="auto"/>
        <w:rPr>
          <w:rFonts w:cs="Arial"/>
          <w:sz w:val="24"/>
          <w:szCs w:val="24"/>
        </w:rPr>
      </w:pPr>
      <w:r>
        <w:rPr>
          <w:rFonts w:cs="Arial"/>
          <w:sz w:val="24"/>
          <w:szCs w:val="24"/>
        </w:rPr>
        <w:t>T</w:t>
      </w:r>
      <w:r w:rsidRPr="00952A8B">
        <w:rPr>
          <w:rFonts w:cs="Arial"/>
          <w:sz w:val="24"/>
          <w:szCs w:val="24"/>
        </w:rPr>
        <w:t>hose engaging with the arts as an audience member are 5.4% mo</w:t>
      </w:r>
      <w:r w:rsidRPr="00D14007">
        <w:rPr>
          <w:rFonts w:cs="Arial"/>
          <w:sz w:val="24"/>
          <w:szCs w:val="24"/>
        </w:rPr>
        <w:t>re likely to report good health than those who do not. S</w:t>
      </w:r>
      <w:r w:rsidRPr="00952A8B">
        <w:rPr>
          <w:rFonts w:cs="Arial"/>
          <w:sz w:val="24"/>
          <w:szCs w:val="24"/>
        </w:rPr>
        <w:t xml:space="preserve">ports participants are 14.1% more likely to report good health than non-participants. </w:t>
      </w:r>
    </w:p>
    <w:p w14:paraId="026FAC73" w14:textId="77777777" w:rsidR="00AA35EA" w:rsidRPr="00D14007" w:rsidRDefault="00515EEB" w:rsidP="00AA35EA">
      <w:pPr>
        <w:pStyle w:val="ListParagraph"/>
        <w:numPr>
          <w:ilvl w:val="0"/>
          <w:numId w:val="21"/>
        </w:numPr>
        <w:tabs>
          <w:tab w:val="left" w:pos="1890"/>
        </w:tabs>
        <w:spacing w:after="0" w:line="240" w:lineRule="auto"/>
        <w:rPr>
          <w:rFonts w:cs="Arial"/>
          <w:sz w:val="24"/>
          <w:szCs w:val="24"/>
        </w:rPr>
      </w:pPr>
      <w:r>
        <w:rPr>
          <w:rFonts w:cs="Arial"/>
          <w:sz w:val="24"/>
          <w:szCs w:val="24"/>
        </w:rPr>
        <w:t xml:space="preserve">Those who visit </w:t>
      </w:r>
      <w:r w:rsidR="00AA35EA" w:rsidRPr="00952A8B">
        <w:rPr>
          <w:rFonts w:cs="Arial"/>
          <w:sz w:val="24"/>
          <w:szCs w:val="24"/>
        </w:rPr>
        <w:t>heritage</w:t>
      </w:r>
      <w:r w:rsidR="00333CD6">
        <w:rPr>
          <w:rFonts w:cs="Arial"/>
          <w:sz w:val="24"/>
          <w:szCs w:val="24"/>
        </w:rPr>
        <w:t xml:space="preserve"> sites, libraries</w:t>
      </w:r>
      <w:r w:rsidR="00AA35EA" w:rsidRPr="00952A8B">
        <w:rPr>
          <w:rFonts w:cs="Arial"/>
          <w:sz w:val="24"/>
          <w:szCs w:val="24"/>
        </w:rPr>
        <w:t xml:space="preserve"> or museum</w:t>
      </w:r>
      <w:r w:rsidR="00333CD6">
        <w:rPr>
          <w:rFonts w:cs="Arial"/>
          <w:sz w:val="24"/>
          <w:szCs w:val="24"/>
        </w:rPr>
        <w:t>s</w:t>
      </w:r>
      <w:r w:rsidR="00AA35EA" w:rsidRPr="00952A8B">
        <w:rPr>
          <w:rFonts w:cs="Arial"/>
          <w:sz w:val="24"/>
          <w:szCs w:val="24"/>
        </w:rPr>
        <w:t xml:space="preserve"> are more likely to report good health than those who do not</w:t>
      </w:r>
      <w:r w:rsidR="008C04BC">
        <w:rPr>
          <w:rFonts w:cs="Arial"/>
          <w:sz w:val="24"/>
          <w:szCs w:val="24"/>
        </w:rPr>
        <w:t xml:space="preserve"> (2.76</w:t>
      </w:r>
      <w:r w:rsidR="00607B76">
        <w:rPr>
          <w:rFonts w:cs="Arial"/>
          <w:sz w:val="24"/>
          <w:szCs w:val="24"/>
        </w:rPr>
        <w:t xml:space="preserve">%, 1.12% and </w:t>
      </w:r>
      <w:r w:rsidR="00333CD6">
        <w:rPr>
          <w:rFonts w:cs="Arial"/>
          <w:sz w:val="24"/>
          <w:szCs w:val="24"/>
        </w:rPr>
        <w:t xml:space="preserve">2.01% </w:t>
      </w:r>
      <w:r w:rsidR="00607B76">
        <w:rPr>
          <w:rFonts w:cs="Arial"/>
          <w:sz w:val="24"/>
          <w:szCs w:val="24"/>
        </w:rPr>
        <w:t>respectively)</w:t>
      </w:r>
      <w:r w:rsidR="00AA35EA" w:rsidRPr="00952A8B">
        <w:rPr>
          <w:rFonts w:cs="Arial"/>
          <w:sz w:val="24"/>
          <w:szCs w:val="24"/>
        </w:rPr>
        <w:t>.</w:t>
      </w:r>
      <w:r w:rsidR="00AA35EA">
        <w:rPr>
          <w:rFonts w:cs="Arial"/>
          <w:sz w:val="24"/>
          <w:szCs w:val="24"/>
        </w:rPr>
        <w:t xml:space="preserve"> </w:t>
      </w:r>
    </w:p>
    <w:p w14:paraId="11375F0B" w14:textId="0567441F" w:rsidR="00AA35EA" w:rsidRDefault="00AA35EA" w:rsidP="00DE761E">
      <w:pPr>
        <w:pStyle w:val="ListParagraph"/>
        <w:numPr>
          <w:ilvl w:val="0"/>
          <w:numId w:val="21"/>
        </w:numPr>
        <w:tabs>
          <w:tab w:val="left" w:pos="1890"/>
        </w:tabs>
        <w:spacing w:after="0" w:line="240" w:lineRule="auto"/>
        <w:rPr>
          <w:sz w:val="24"/>
          <w:szCs w:val="24"/>
        </w:rPr>
      </w:pPr>
      <w:r w:rsidRPr="00952A8B">
        <w:rPr>
          <w:rFonts w:cs="Arial"/>
          <w:sz w:val="24"/>
          <w:szCs w:val="24"/>
        </w:rPr>
        <w:lastRenderedPageBreak/>
        <w:t>In turn</w:t>
      </w:r>
      <w:r>
        <w:rPr>
          <w:rFonts w:cs="Arial"/>
          <w:sz w:val="24"/>
          <w:szCs w:val="24"/>
        </w:rPr>
        <w:t>,</w:t>
      </w:r>
      <w:r w:rsidRPr="00952A8B">
        <w:rPr>
          <w:rFonts w:cs="Arial"/>
          <w:sz w:val="24"/>
          <w:szCs w:val="24"/>
        </w:rPr>
        <w:t xml:space="preserve"> </w:t>
      </w:r>
      <w:r w:rsidRPr="00870A90">
        <w:rPr>
          <w:sz w:val="24"/>
          <w:szCs w:val="24"/>
        </w:rPr>
        <w:t xml:space="preserve">people in good health are 25.4% less likely to </w:t>
      </w:r>
      <w:r>
        <w:rPr>
          <w:sz w:val="24"/>
          <w:szCs w:val="24"/>
        </w:rPr>
        <w:t xml:space="preserve">frequently </w:t>
      </w:r>
      <w:r w:rsidRPr="00870A90">
        <w:rPr>
          <w:sz w:val="24"/>
          <w:szCs w:val="24"/>
        </w:rPr>
        <w:t xml:space="preserve">visit GPs </w:t>
      </w:r>
      <w:r>
        <w:rPr>
          <w:sz w:val="24"/>
          <w:szCs w:val="24"/>
        </w:rPr>
        <w:t xml:space="preserve">(defined as </w:t>
      </w:r>
      <w:r w:rsidRPr="00870A90">
        <w:rPr>
          <w:sz w:val="24"/>
          <w:szCs w:val="24"/>
        </w:rPr>
        <w:t>6</w:t>
      </w:r>
      <w:r w:rsidR="005C23FB">
        <w:rPr>
          <w:sz w:val="24"/>
          <w:szCs w:val="24"/>
        </w:rPr>
        <w:t>+</w:t>
      </w:r>
      <w:r w:rsidRPr="00870A90">
        <w:rPr>
          <w:sz w:val="24"/>
          <w:szCs w:val="24"/>
        </w:rPr>
        <w:t xml:space="preserve"> </w:t>
      </w:r>
      <w:r>
        <w:rPr>
          <w:sz w:val="24"/>
          <w:szCs w:val="24"/>
        </w:rPr>
        <w:t xml:space="preserve">GP visits or more per year) </w:t>
      </w:r>
      <w:r w:rsidRPr="00870A90">
        <w:rPr>
          <w:sz w:val="24"/>
          <w:szCs w:val="24"/>
        </w:rPr>
        <w:t xml:space="preserve">and 8.4% less likely to have used psychotherapy services in the last year than those who are not in good health. </w:t>
      </w:r>
    </w:p>
    <w:p w14:paraId="1445E35F" w14:textId="77777777" w:rsidR="00AA35EA" w:rsidRPr="00952A8B" w:rsidRDefault="00AA35EA" w:rsidP="00AA35EA">
      <w:pPr>
        <w:pStyle w:val="ListParagraph"/>
        <w:numPr>
          <w:ilvl w:val="0"/>
          <w:numId w:val="21"/>
        </w:numPr>
        <w:tabs>
          <w:tab w:val="left" w:pos="1890"/>
        </w:tabs>
        <w:spacing w:after="0" w:line="240" w:lineRule="auto"/>
        <w:rPr>
          <w:sz w:val="24"/>
          <w:szCs w:val="24"/>
        </w:rPr>
      </w:pPr>
      <w:r w:rsidRPr="00C8445C">
        <w:rPr>
          <w:rFonts w:cs="Arial"/>
          <w:sz w:val="24"/>
          <w:szCs w:val="24"/>
        </w:rPr>
        <w:t xml:space="preserve">The estimated </w:t>
      </w:r>
      <w:r>
        <w:rPr>
          <w:rFonts w:cs="Arial"/>
          <w:sz w:val="24"/>
          <w:szCs w:val="24"/>
        </w:rPr>
        <w:t xml:space="preserve">per person </w:t>
      </w:r>
      <w:r w:rsidRPr="00104145">
        <w:rPr>
          <w:rFonts w:cs="Arial"/>
          <w:sz w:val="24"/>
          <w:szCs w:val="24"/>
        </w:rPr>
        <w:t xml:space="preserve">annual </w:t>
      </w:r>
      <w:r w:rsidRPr="00870A90">
        <w:rPr>
          <w:rFonts w:cs="Arial"/>
          <w:sz w:val="24"/>
          <w:szCs w:val="24"/>
        </w:rPr>
        <w:t xml:space="preserve">NHS cost savings </w:t>
      </w:r>
      <w:r>
        <w:rPr>
          <w:rFonts w:cs="Arial"/>
          <w:sz w:val="24"/>
          <w:szCs w:val="24"/>
        </w:rPr>
        <w:t>due to</w:t>
      </w:r>
      <w:r w:rsidR="00EF3F9E">
        <w:rPr>
          <w:rFonts w:cs="Arial"/>
          <w:sz w:val="24"/>
          <w:szCs w:val="24"/>
        </w:rPr>
        <w:t xml:space="preserve"> predicted</w:t>
      </w:r>
      <w:r>
        <w:rPr>
          <w:rFonts w:cs="Arial"/>
          <w:sz w:val="24"/>
          <w:szCs w:val="24"/>
        </w:rPr>
        <w:t xml:space="preserve"> reductions in GP visits are:</w:t>
      </w:r>
    </w:p>
    <w:p w14:paraId="58306ABC" w14:textId="77777777" w:rsidR="00AA35EA" w:rsidRPr="00952A8B" w:rsidRDefault="00AA35EA" w:rsidP="00AA35EA">
      <w:pPr>
        <w:pStyle w:val="ListParagraph"/>
        <w:numPr>
          <w:ilvl w:val="0"/>
          <w:numId w:val="28"/>
        </w:numPr>
        <w:tabs>
          <w:tab w:val="left" w:pos="1890"/>
        </w:tabs>
        <w:spacing w:after="0" w:line="240" w:lineRule="auto"/>
        <w:rPr>
          <w:sz w:val="24"/>
          <w:szCs w:val="24"/>
        </w:rPr>
      </w:pPr>
      <w:r w:rsidRPr="00952A8B">
        <w:rPr>
          <w:rFonts w:eastAsia="Times New Roman" w:cs="Times New Roman"/>
          <w:color w:val="000000"/>
          <w:sz w:val="24"/>
          <w:szCs w:val="24"/>
          <w:lang w:eastAsia="en-GB"/>
        </w:rPr>
        <w:t xml:space="preserve">£13.25 for </w:t>
      </w:r>
      <w:r>
        <w:rPr>
          <w:rFonts w:eastAsia="Times New Roman" w:cs="Times New Roman"/>
          <w:color w:val="000000"/>
          <w:sz w:val="24"/>
          <w:szCs w:val="24"/>
          <w:lang w:eastAsia="en-GB"/>
        </w:rPr>
        <w:t>people who participate in sport.</w:t>
      </w:r>
    </w:p>
    <w:p w14:paraId="547B831D" w14:textId="77777777" w:rsidR="00AA35EA" w:rsidRPr="00952A8B" w:rsidRDefault="00AA35EA" w:rsidP="00AA35EA">
      <w:pPr>
        <w:pStyle w:val="ListParagraph"/>
        <w:numPr>
          <w:ilvl w:val="0"/>
          <w:numId w:val="28"/>
        </w:numPr>
        <w:tabs>
          <w:tab w:val="left" w:pos="1890"/>
        </w:tabs>
        <w:spacing w:after="0" w:line="240" w:lineRule="auto"/>
        <w:rPr>
          <w:sz w:val="24"/>
          <w:szCs w:val="24"/>
        </w:rPr>
      </w:pPr>
      <w:r w:rsidRPr="00952A8B">
        <w:rPr>
          <w:rFonts w:eastAsia="Times New Roman" w:cs="Times New Roman"/>
          <w:color w:val="000000"/>
          <w:sz w:val="24"/>
          <w:szCs w:val="24"/>
          <w:lang w:eastAsia="en-GB"/>
        </w:rPr>
        <w:t>£5.07</w:t>
      </w:r>
      <w:r>
        <w:rPr>
          <w:rFonts w:eastAsia="Times New Roman" w:cs="Times New Roman"/>
          <w:color w:val="000000"/>
          <w:sz w:val="24"/>
          <w:szCs w:val="24"/>
          <w:lang w:eastAsia="en-GB"/>
        </w:rPr>
        <w:t xml:space="preserve"> for those who engage </w:t>
      </w:r>
      <w:r w:rsidRPr="00952A8B">
        <w:rPr>
          <w:rFonts w:cs="Arial"/>
          <w:sz w:val="24"/>
          <w:szCs w:val="24"/>
        </w:rPr>
        <w:t>with the arts as an</w:t>
      </w:r>
      <w:r>
        <w:rPr>
          <w:rFonts w:cs="Arial"/>
          <w:sz w:val="24"/>
          <w:szCs w:val="24"/>
        </w:rPr>
        <w:t xml:space="preserve"> </w:t>
      </w:r>
      <w:r w:rsidRPr="00952A8B">
        <w:rPr>
          <w:rFonts w:cs="Arial"/>
          <w:sz w:val="24"/>
          <w:szCs w:val="24"/>
        </w:rPr>
        <w:t>audience member</w:t>
      </w:r>
    </w:p>
    <w:p w14:paraId="2161E10E" w14:textId="77777777" w:rsidR="00AA35EA" w:rsidRPr="00982696" w:rsidRDefault="00AA35EA" w:rsidP="00AA35EA">
      <w:pPr>
        <w:pStyle w:val="ListParagraph"/>
        <w:numPr>
          <w:ilvl w:val="0"/>
          <w:numId w:val="28"/>
        </w:numPr>
        <w:tabs>
          <w:tab w:val="left" w:pos="1890"/>
        </w:tabs>
        <w:spacing w:after="0" w:line="240" w:lineRule="auto"/>
        <w:rPr>
          <w:sz w:val="24"/>
          <w:szCs w:val="24"/>
        </w:rPr>
      </w:pPr>
      <w:r>
        <w:rPr>
          <w:rFonts w:eastAsia="Times New Roman" w:cs="Times New Roman"/>
          <w:color w:val="000000"/>
          <w:sz w:val="24"/>
          <w:szCs w:val="24"/>
          <w:lang w:eastAsia="en-GB"/>
        </w:rPr>
        <w:t>F</w:t>
      </w:r>
      <w:r w:rsidRPr="00952A8B">
        <w:rPr>
          <w:rFonts w:eastAsia="Times New Roman" w:cs="Times New Roman"/>
          <w:color w:val="000000"/>
          <w:sz w:val="24"/>
          <w:szCs w:val="24"/>
          <w:lang w:eastAsia="en-GB"/>
        </w:rPr>
        <w:t xml:space="preserve">or those who </w:t>
      </w:r>
      <w:r>
        <w:rPr>
          <w:rFonts w:eastAsia="Times New Roman" w:cs="Times New Roman"/>
          <w:color w:val="000000"/>
          <w:sz w:val="24"/>
          <w:szCs w:val="24"/>
          <w:lang w:eastAsia="en-GB"/>
        </w:rPr>
        <w:t>visit</w:t>
      </w:r>
      <w:r w:rsidRPr="004A439E">
        <w:rPr>
          <w:rFonts w:eastAsia="Times New Roman" w:cs="Times New Roman"/>
          <w:color w:val="000000"/>
          <w:sz w:val="24"/>
          <w:szCs w:val="24"/>
          <w:lang w:eastAsia="en-GB"/>
        </w:rPr>
        <w:t xml:space="preserve"> heritage</w:t>
      </w:r>
      <w:r>
        <w:rPr>
          <w:rFonts w:eastAsia="Times New Roman" w:cs="Times New Roman"/>
          <w:color w:val="000000"/>
          <w:sz w:val="24"/>
          <w:szCs w:val="24"/>
          <w:lang w:eastAsia="en-GB"/>
        </w:rPr>
        <w:t>, libraries</w:t>
      </w:r>
      <w:r w:rsidRPr="004A439E">
        <w:rPr>
          <w:rFonts w:eastAsia="Times New Roman" w:cs="Times New Roman"/>
          <w:color w:val="000000"/>
          <w:sz w:val="24"/>
          <w:szCs w:val="24"/>
          <w:lang w:eastAsia="en-GB"/>
        </w:rPr>
        <w:t xml:space="preserve"> </w:t>
      </w:r>
      <w:r w:rsidRPr="00952A8B">
        <w:rPr>
          <w:rFonts w:eastAsia="Times New Roman" w:cs="Times New Roman"/>
          <w:color w:val="000000"/>
          <w:sz w:val="24"/>
          <w:szCs w:val="24"/>
          <w:lang w:eastAsia="en-GB"/>
        </w:rPr>
        <w:t>or museum</w:t>
      </w:r>
      <w:r>
        <w:rPr>
          <w:rFonts w:eastAsia="Times New Roman" w:cs="Times New Roman"/>
          <w:color w:val="000000"/>
          <w:sz w:val="24"/>
          <w:szCs w:val="24"/>
          <w:lang w:eastAsia="en-GB"/>
        </w:rPr>
        <w:t>s</w:t>
      </w:r>
      <w:r w:rsidRPr="00952A8B">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they</w:t>
      </w:r>
      <w:r w:rsidRPr="00952A8B">
        <w:rPr>
          <w:rFonts w:eastAsia="Times New Roman" w:cs="Times New Roman"/>
          <w:color w:val="000000"/>
          <w:sz w:val="24"/>
          <w:szCs w:val="24"/>
          <w:lang w:eastAsia="en-GB"/>
        </w:rPr>
        <w:t xml:space="preserve"> </w:t>
      </w:r>
      <w:r w:rsidR="00982696">
        <w:rPr>
          <w:rFonts w:eastAsia="Times New Roman" w:cs="Times New Roman"/>
          <w:color w:val="000000"/>
          <w:sz w:val="24"/>
          <w:szCs w:val="24"/>
          <w:lang w:eastAsia="en-GB"/>
        </w:rPr>
        <w:t xml:space="preserve">are £2.59, </w:t>
      </w:r>
      <w:r w:rsidRPr="00952A8B">
        <w:rPr>
          <w:rFonts w:eastAsia="Times New Roman" w:cs="Times New Roman"/>
          <w:color w:val="000000"/>
          <w:sz w:val="24"/>
          <w:szCs w:val="24"/>
          <w:lang w:eastAsia="en-GB"/>
        </w:rPr>
        <w:t xml:space="preserve">£1.05 </w:t>
      </w:r>
      <w:r w:rsidR="00982696">
        <w:rPr>
          <w:rFonts w:eastAsia="Times New Roman" w:cs="Times New Roman"/>
          <w:color w:val="000000"/>
          <w:sz w:val="24"/>
          <w:szCs w:val="24"/>
          <w:lang w:eastAsia="en-GB"/>
        </w:rPr>
        <w:t>and £1.89 respectively</w:t>
      </w:r>
      <w:r w:rsidRPr="00952A8B">
        <w:rPr>
          <w:rFonts w:eastAsia="Times New Roman" w:cs="Times New Roman"/>
          <w:color w:val="000000"/>
          <w:sz w:val="24"/>
          <w:szCs w:val="24"/>
          <w:lang w:eastAsia="en-GB"/>
        </w:rPr>
        <w:t>.</w:t>
      </w:r>
    </w:p>
    <w:p w14:paraId="430390AE" w14:textId="77777777" w:rsidR="00AA35EA" w:rsidRPr="00FF4B06" w:rsidRDefault="00AA35EA" w:rsidP="00AA35EA">
      <w:pPr>
        <w:pStyle w:val="ListParagraph"/>
        <w:numPr>
          <w:ilvl w:val="0"/>
          <w:numId w:val="26"/>
        </w:numPr>
        <w:tabs>
          <w:tab w:val="left" w:pos="1890"/>
        </w:tabs>
        <w:spacing w:after="0" w:line="240" w:lineRule="auto"/>
        <w:ind w:left="709"/>
        <w:rPr>
          <w:sz w:val="24"/>
          <w:szCs w:val="24"/>
        </w:rPr>
      </w:pPr>
      <w:r w:rsidRPr="00C8445C">
        <w:rPr>
          <w:rFonts w:cs="Arial"/>
          <w:sz w:val="24"/>
          <w:szCs w:val="24"/>
        </w:rPr>
        <w:t xml:space="preserve">The estimated </w:t>
      </w:r>
      <w:r>
        <w:rPr>
          <w:rFonts w:cs="Arial"/>
          <w:sz w:val="24"/>
          <w:szCs w:val="24"/>
        </w:rPr>
        <w:t xml:space="preserve">per person </w:t>
      </w:r>
      <w:r w:rsidRPr="00104145">
        <w:rPr>
          <w:rFonts w:cs="Arial"/>
          <w:sz w:val="24"/>
          <w:szCs w:val="24"/>
        </w:rPr>
        <w:t xml:space="preserve">annual </w:t>
      </w:r>
      <w:r w:rsidRPr="00870A90">
        <w:rPr>
          <w:rFonts w:cs="Arial"/>
          <w:sz w:val="24"/>
          <w:szCs w:val="24"/>
        </w:rPr>
        <w:t xml:space="preserve">NHS cost savings </w:t>
      </w:r>
      <w:r>
        <w:rPr>
          <w:rFonts w:cs="Arial"/>
          <w:sz w:val="24"/>
          <w:szCs w:val="24"/>
        </w:rPr>
        <w:t>due to</w:t>
      </w:r>
      <w:r w:rsidR="00EF3F9E">
        <w:rPr>
          <w:rFonts w:cs="Arial"/>
          <w:sz w:val="24"/>
          <w:szCs w:val="24"/>
        </w:rPr>
        <w:t xml:space="preserve"> predicted </w:t>
      </w:r>
      <w:r>
        <w:rPr>
          <w:rFonts w:cs="Arial"/>
          <w:sz w:val="24"/>
          <w:szCs w:val="24"/>
        </w:rPr>
        <w:t>reductions in psychotherapy usage are:</w:t>
      </w:r>
    </w:p>
    <w:p w14:paraId="7AD23EB2" w14:textId="77777777" w:rsidR="00AA35EA" w:rsidRPr="00FF4B06" w:rsidRDefault="00AA35EA" w:rsidP="00AA35EA">
      <w:pPr>
        <w:pStyle w:val="ListParagraph"/>
        <w:numPr>
          <w:ilvl w:val="0"/>
          <w:numId w:val="27"/>
        </w:numPr>
        <w:tabs>
          <w:tab w:val="left" w:pos="1890"/>
        </w:tabs>
        <w:spacing w:after="0" w:line="240" w:lineRule="auto"/>
        <w:rPr>
          <w:sz w:val="24"/>
          <w:szCs w:val="24"/>
        </w:rPr>
      </w:pPr>
      <w:r>
        <w:rPr>
          <w:rFonts w:cs="Arial"/>
          <w:sz w:val="24"/>
          <w:szCs w:val="24"/>
        </w:rPr>
        <w:t xml:space="preserve">£17.86 </w:t>
      </w:r>
      <w:r w:rsidRPr="00952A8B">
        <w:rPr>
          <w:rFonts w:eastAsia="Times New Roman" w:cs="Times New Roman"/>
          <w:color w:val="000000"/>
          <w:sz w:val="24"/>
          <w:szCs w:val="24"/>
          <w:lang w:eastAsia="en-GB"/>
        </w:rPr>
        <w:t xml:space="preserve">for </w:t>
      </w:r>
      <w:r>
        <w:rPr>
          <w:rFonts w:eastAsia="Times New Roman" w:cs="Times New Roman"/>
          <w:color w:val="000000"/>
          <w:sz w:val="24"/>
          <w:szCs w:val="24"/>
          <w:lang w:eastAsia="en-GB"/>
        </w:rPr>
        <w:t>people who participate in sport.</w:t>
      </w:r>
    </w:p>
    <w:p w14:paraId="6EBC2A8C" w14:textId="77777777" w:rsidR="007F1AE3" w:rsidRPr="007F1AE3" w:rsidRDefault="00AA35EA" w:rsidP="00513F36">
      <w:pPr>
        <w:pStyle w:val="ListParagraph"/>
        <w:numPr>
          <w:ilvl w:val="0"/>
          <w:numId w:val="27"/>
        </w:numPr>
        <w:tabs>
          <w:tab w:val="left" w:pos="1890"/>
        </w:tabs>
        <w:spacing w:after="0" w:line="240" w:lineRule="auto"/>
        <w:rPr>
          <w:sz w:val="24"/>
          <w:szCs w:val="24"/>
        </w:rPr>
      </w:pPr>
      <w:r w:rsidRPr="007F1AE3">
        <w:rPr>
          <w:rFonts w:eastAsia="Times New Roman" w:cs="Times New Roman"/>
          <w:color w:val="000000"/>
          <w:sz w:val="24"/>
          <w:szCs w:val="24"/>
          <w:lang w:eastAsia="en-GB"/>
        </w:rPr>
        <w:t xml:space="preserve">£6.84 for those who engage </w:t>
      </w:r>
      <w:r w:rsidRPr="007F1AE3">
        <w:rPr>
          <w:rFonts w:cs="Arial"/>
          <w:sz w:val="24"/>
          <w:szCs w:val="24"/>
        </w:rPr>
        <w:t>with the arts as an audience member</w:t>
      </w:r>
    </w:p>
    <w:p w14:paraId="43B92EAD" w14:textId="77777777" w:rsidR="00AA35EA" w:rsidRPr="00982696" w:rsidRDefault="00AA35EA" w:rsidP="00513F36">
      <w:pPr>
        <w:pStyle w:val="ListParagraph"/>
        <w:numPr>
          <w:ilvl w:val="0"/>
          <w:numId w:val="27"/>
        </w:numPr>
        <w:tabs>
          <w:tab w:val="left" w:pos="1890"/>
        </w:tabs>
        <w:spacing w:after="0" w:line="240" w:lineRule="auto"/>
        <w:rPr>
          <w:sz w:val="24"/>
          <w:szCs w:val="24"/>
        </w:rPr>
      </w:pPr>
      <w:r w:rsidRPr="007F1AE3">
        <w:rPr>
          <w:rFonts w:eastAsia="Times New Roman" w:cs="Times New Roman"/>
          <w:color w:val="000000"/>
          <w:sz w:val="24"/>
          <w:szCs w:val="24"/>
          <w:lang w:eastAsia="en-GB"/>
        </w:rPr>
        <w:t xml:space="preserve">For those who visit heritage, libraries or museums they are £3.50, £1.42 and £2.55 respectively.  </w:t>
      </w:r>
    </w:p>
    <w:p w14:paraId="32407964" w14:textId="77777777" w:rsidR="00420985" w:rsidRPr="00982696" w:rsidRDefault="00D56460" w:rsidP="00982696">
      <w:pPr>
        <w:pStyle w:val="ListParagraph"/>
        <w:numPr>
          <w:ilvl w:val="0"/>
          <w:numId w:val="26"/>
        </w:numPr>
        <w:ind w:left="851" w:hanging="425"/>
        <w:rPr>
          <w:sz w:val="24"/>
          <w:szCs w:val="24"/>
        </w:rPr>
      </w:pPr>
      <w:r>
        <w:rPr>
          <w:sz w:val="24"/>
          <w:szCs w:val="24"/>
        </w:rPr>
        <w:t>Since these are different medical services the cost savings can be added together.</w:t>
      </w:r>
    </w:p>
    <w:p w14:paraId="6E7DC34C" w14:textId="77777777" w:rsidR="00D81434" w:rsidRDefault="00D81434" w:rsidP="00D81434">
      <w:pPr>
        <w:pStyle w:val="ListParagraph"/>
        <w:tabs>
          <w:tab w:val="left" w:pos="709"/>
        </w:tabs>
        <w:spacing w:after="0" w:line="240" w:lineRule="auto"/>
        <w:ind w:left="0"/>
        <w:jc w:val="both"/>
        <w:rPr>
          <w:rFonts w:cs="Arial"/>
          <w:b/>
          <w:sz w:val="24"/>
          <w:szCs w:val="24"/>
        </w:rPr>
      </w:pPr>
    </w:p>
    <w:p w14:paraId="69BA2FDF" w14:textId="77777777" w:rsidR="00D81434" w:rsidRPr="00D81434" w:rsidRDefault="00D81434" w:rsidP="00D81434">
      <w:pPr>
        <w:pStyle w:val="ListParagraph"/>
        <w:tabs>
          <w:tab w:val="left" w:pos="709"/>
        </w:tabs>
        <w:spacing w:after="0" w:line="240" w:lineRule="auto"/>
        <w:ind w:left="0"/>
        <w:rPr>
          <w:rFonts w:cs="Arial"/>
          <w:b/>
          <w:sz w:val="24"/>
          <w:szCs w:val="24"/>
        </w:rPr>
      </w:pPr>
      <w:r>
        <w:rPr>
          <w:rFonts w:cs="Arial"/>
          <w:b/>
          <w:sz w:val="24"/>
          <w:szCs w:val="24"/>
        </w:rPr>
        <w:t>Table 1: Summary of health and medical service usage results</w:t>
      </w:r>
    </w:p>
    <w:tbl>
      <w:tblPr>
        <w:tblW w:w="9747" w:type="dxa"/>
        <w:tblInd w:w="93" w:type="dxa"/>
        <w:tblLayout w:type="fixed"/>
        <w:tblLook w:val="04A0" w:firstRow="1" w:lastRow="0" w:firstColumn="1" w:lastColumn="0" w:noHBand="0" w:noVBand="1"/>
      </w:tblPr>
      <w:tblGrid>
        <w:gridCol w:w="1185"/>
        <w:gridCol w:w="1620"/>
        <w:gridCol w:w="1127"/>
        <w:gridCol w:w="1620"/>
        <w:gridCol w:w="1213"/>
        <w:gridCol w:w="1260"/>
        <w:gridCol w:w="1722"/>
      </w:tblGrid>
      <w:tr w:rsidR="00725045" w:rsidRPr="00725045" w14:paraId="162DDFAE" w14:textId="77777777" w:rsidTr="00E6227D">
        <w:trPr>
          <w:trHeight w:val="2540"/>
        </w:trPr>
        <w:tc>
          <w:tcPr>
            <w:tcW w:w="1185" w:type="dxa"/>
            <w:tcBorders>
              <w:top w:val="single" w:sz="8" w:space="0" w:color="auto"/>
              <w:left w:val="single" w:sz="8" w:space="0" w:color="auto"/>
              <w:bottom w:val="nil"/>
              <w:right w:val="nil"/>
            </w:tcBorders>
            <w:shd w:val="clear" w:color="000000" w:fill="0070C0"/>
            <w:vAlign w:val="center"/>
            <w:hideMark/>
          </w:tcPr>
          <w:p w14:paraId="26CB6231" w14:textId="77777777" w:rsidR="00725045" w:rsidRPr="00725045" w:rsidRDefault="00725045" w:rsidP="00725045">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Activity</w:t>
            </w:r>
          </w:p>
        </w:tc>
        <w:tc>
          <w:tcPr>
            <w:tcW w:w="1620" w:type="dxa"/>
            <w:tcBorders>
              <w:top w:val="single" w:sz="8" w:space="0" w:color="auto"/>
              <w:left w:val="single" w:sz="8" w:space="0" w:color="auto"/>
              <w:bottom w:val="nil"/>
              <w:right w:val="single" w:sz="8" w:space="0" w:color="auto"/>
            </w:tcBorders>
            <w:shd w:val="clear" w:color="000000" w:fill="0070C0"/>
            <w:vAlign w:val="center"/>
            <w:hideMark/>
          </w:tcPr>
          <w:p w14:paraId="6382C605" w14:textId="77777777" w:rsidR="00725045" w:rsidRPr="00725045" w:rsidRDefault="00725045" w:rsidP="00725045">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Type of impact</w:t>
            </w:r>
          </w:p>
        </w:tc>
        <w:tc>
          <w:tcPr>
            <w:tcW w:w="1127" w:type="dxa"/>
            <w:tcBorders>
              <w:top w:val="single" w:sz="8" w:space="0" w:color="auto"/>
              <w:left w:val="nil"/>
              <w:bottom w:val="nil"/>
              <w:right w:val="single" w:sz="8" w:space="0" w:color="auto"/>
            </w:tcBorders>
            <w:shd w:val="clear" w:color="000000" w:fill="0070C0"/>
            <w:vAlign w:val="center"/>
            <w:hideMark/>
          </w:tcPr>
          <w:p w14:paraId="2AF38DF3" w14:textId="77777777" w:rsidR="00725045" w:rsidRPr="00725045" w:rsidRDefault="00725045" w:rsidP="00725045">
            <w:pPr>
              <w:spacing w:after="0" w:line="240" w:lineRule="auto"/>
              <w:ind w:hanging="151"/>
              <w:jc w:val="center"/>
              <w:rPr>
                <w:rFonts w:ascii="Calibri" w:eastAsia="Times New Roman" w:hAnsi="Calibri" w:cs="Times New Roman"/>
                <w:b/>
                <w:bCs/>
                <w:color w:val="FFFFFF"/>
                <w:lang w:val="en-US"/>
              </w:rPr>
            </w:pPr>
            <w:r>
              <w:rPr>
                <w:rFonts w:ascii="Calibri" w:eastAsia="Times New Roman" w:hAnsi="Calibri" w:cs="Times New Roman"/>
                <w:b/>
                <w:bCs/>
                <w:color w:val="FFFFFF"/>
                <w:lang w:val="en-US"/>
              </w:rPr>
              <w:t xml:space="preserve">Probability </w:t>
            </w:r>
            <w:r w:rsidRPr="00725045">
              <w:rPr>
                <w:rFonts w:ascii="Calibri" w:eastAsia="Times New Roman" w:hAnsi="Calibri" w:cs="Times New Roman"/>
                <w:b/>
                <w:bCs/>
                <w:color w:val="FFFFFF"/>
                <w:lang w:val="en-US"/>
              </w:rPr>
              <w:t>impact on likelihood of reporting good general health</w:t>
            </w:r>
          </w:p>
        </w:tc>
        <w:tc>
          <w:tcPr>
            <w:tcW w:w="1620" w:type="dxa"/>
            <w:tcBorders>
              <w:top w:val="single" w:sz="8" w:space="0" w:color="auto"/>
              <w:left w:val="nil"/>
              <w:bottom w:val="nil"/>
              <w:right w:val="single" w:sz="8" w:space="0" w:color="auto"/>
            </w:tcBorders>
            <w:shd w:val="clear" w:color="000000" w:fill="0070C0"/>
            <w:vAlign w:val="center"/>
            <w:hideMark/>
          </w:tcPr>
          <w:p w14:paraId="5C997ED7" w14:textId="77777777" w:rsidR="00725045" w:rsidRPr="00725045" w:rsidRDefault="00725045" w:rsidP="00725045">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Probability impact on likelihood of visit GP 6+ times / using psychotherapy</w:t>
            </w:r>
          </w:p>
        </w:tc>
        <w:tc>
          <w:tcPr>
            <w:tcW w:w="1213" w:type="dxa"/>
            <w:tcBorders>
              <w:top w:val="single" w:sz="8" w:space="0" w:color="auto"/>
              <w:left w:val="nil"/>
              <w:bottom w:val="nil"/>
              <w:right w:val="single" w:sz="8" w:space="0" w:color="auto"/>
            </w:tcBorders>
            <w:shd w:val="clear" w:color="000000" w:fill="0070C0"/>
            <w:vAlign w:val="center"/>
            <w:hideMark/>
          </w:tcPr>
          <w:p w14:paraId="07A3D699" w14:textId="77777777" w:rsidR="00725045" w:rsidRPr="00725045" w:rsidRDefault="00725045" w:rsidP="003B1137">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Estimated annual cost savings</w:t>
            </w:r>
            <w:r w:rsidR="003B1137">
              <w:rPr>
                <w:rFonts w:ascii="Calibri" w:eastAsia="Times New Roman" w:hAnsi="Calibri" w:cs="Times New Roman"/>
                <w:b/>
                <w:bCs/>
                <w:color w:val="FFFFFF"/>
                <w:lang w:val="en-US"/>
              </w:rPr>
              <w:t xml:space="preserve"> (per person)</w:t>
            </w:r>
          </w:p>
        </w:tc>
        <w:tc>
          <w:tcPr>
            <w:tcW w:w="1260" w:type="dxa"/>
            <w:tcBorders>
              <w:top w:val="single" w:sz="8" w:space="0" w:color="auto"/>
              <w:left w:val="nil"/>
              <w:bottom w:val="nil"/>
              <w:right w:val="single" w:sz="8" w:space="0" w:color="auto"/>
            </w:tcBorders>
            <w:shd w:val="clear" w:color="000000" w:fill="0070C0"/>
            <w:vAlign w:val="center"/>
            <w:hideMark/>
          </w:tcPr>
          <w:p w14:paraId="336C72EA" w14:textId="77777777" w:rsidR="00725045" w:rsidRPr="00725045" w:rsidRDefault="003B1137" w:rsidP="00725045">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 xml:space="preserve">Estimated </w:t>
            </w:r>
            <w:r>
              <w:rPr>
                <w:rFonts w:ascii="Calibri" w:eastAsia="Times New Roman" w:hAnsi="Calibri" w:cs="Times New Roman"/>
                <w:b/>
                <w:bCs/>
                <w:color w:val="FFFFFF"/>
                <w:lang w:val="en-US"/>
              </w:rPr>
              <w:t>p</w:t>
            </w:r>
            <w:r w:rsidR="00725045" w:rsidRPr="00725045">
              <w:rPr>
                <w:rFonts w:ascii="Calibri" w:eastAsia="Times New Roman" w:hAnsi="Calibri" w:cs="Times New Roman"/>
                <w:b/>
                <w:bCs/>
                <w:color w:val="FFFFFF"/>
                <w:lang w:val="en-US"/>
              </w:rPr>
              <w:t>opulation level annual NHS cost savings</w:t>
            </w:r>
          </w:p>
        </w:tc>
        <w:tc>
          <w:tcPr>
            <w:tcW w:w="1722" w:type="dxa"/>
            <w:tcBorders>
              <w:top w:val="single" w:sz="8" w:space="0" w:color="auto"/>
              <w:left w:val="nil"/>
              <w:bottom w:val="nil"/>
              <w:right w:val="single" w:sz="8" w:space="0" w:color="auto"/>
            </w:tcBorders>
            <w:shd w:val="clear" w:color="000000" w:fill="0070C0"/>
            <w:vAlign w:val="center"/>
            <w:hideMark/>
          </w:tcPr>
          <w:p w14:paraId="628151D9" w14:textId="77777777" w:rsidR="00725045" w:rsidRPr="00725045" w:rsidRDefault="00725045" w:rsidP="00725045">
            <w:pPr>
              <w:spacing w:after="0" w:line="240" w:lineRule="auto"/>
              <w:jc w:val="center"/>
              <w:rPr>
                <w:rFonts w:ascii="Calibri" w:eastAsia="Times New Roman" w:hAnsi="Calibri" w:cs="Times New Roman"/>
                <w:b/>
                <w:bCs/>
                <w:color w:val="FFFFFF"/>
                <w:lang w:val="en-US"/>
              </w:rPr>
            </w:pPr>
            <w:r w:rsidRPr="00725045">
              <w:rPr>
                <w:rFonts w:ascii="Calibri" w:eastAsia="Times New Roman" w:hAnsi="Calibri" w:cs="Times New Roman"/>
                <w:b/>
                <w:bCs/>
                <w:color w:val="FFFFFF"/>
                <w:lang w:val="en-US"/>
              </w:rPr>
              <w:t>Total potent</w:t>
            </w:r>
            <w:r>
              <w:rPr>
                <w:rFonts w:ascii="Calibri" w:eastAsia="Times New Roman" w:hAnsi="Calibri" w:cs="Times New Roman"/>
                <w:b/>
                <w:bCs/>
                <w:color w:val="FFFFFF"/>
                <w:lang w:val="en-US"/>
              </w:rPr>
              <w:t xml:space="preserve">ial NHS cost savings (GP visits + </w:t>
            </w:r>
            <w:r w:rsidRPr="00725045">
              <w:rPr>
                <w:rFonts w:ascii="Calibri" w:eastAsia="Times New Roman" w:hAnsi="Calibri" w:cs="Times New Roman"/>
                <w:b/>
                <w:bCs/>
                <w:color w:val="FFFFFF"/>
                <w:lang w:val="en-US"/>
              </w:rPr>
              <w:t>Psychotherapy)</w:t>
            </w:r>
          </w:p>
        </w:tc>
      </w:tr>
      <w:tr w:rsidR="00725045" w:rsidRPr="00725045" w14:paraId="63EBE3BA" w14:textId="77777777" w:rsidTr="00E6227D">
        <w:trPr>
          <w:trHeight w:val="320"/>
        </w:trPr>
        <w:tc>
          <w:tcPr>
            <w:tcW w:w="974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8EAD4A0" w14:textId="77777777" w:rsidR="00725045" w:rsidRPr="00725045" w:rsidRDefault="00725045" w:rsidP="00725045">
            <w:pPr>
              <w:spacing w:after="0" w:line="240" w:lineRule="auto"/>
              <w:jc w:val="center"/>
              <w:rPr>
                <w:rFonts w:ascii="Calibri" w:eastAsia="Times New Roman" w:hAnsi="Calibri" w:cs="Times New Roman"/>
                <w:b/>
                <w:bCs/>
                <w:color w:val="000000"/>
                <w:lang w:val="en-US"/>
              </w:rPr>
            </w:pPr>
            <w:r w:rsidRPr="00725045">
              <w:rPr>
                <w:rFonts w:ascii="Calibri" w:eastAsia="Times New Roman" w:hAnsi="Calibri" w:cs="Times New Roman"/>
                <w:b/>
                <w:bCs/>
                <w:color w:val="000000"/>
                <w:lang w:val="en-US"/>
              </w:rPr>
              <w:t>Sports</w:t>
            </w:r>
          </w:p>
        </w:tc>
      </w:tr>
      <w:tr w:rsidR="00725045" w:rsidRPr="00725045" w14:paraId="49DB4A34" w14:textId="77777777" w:rsidTr="00E6227D">
        <w:trPr>
          <w:trHeight w:val="340"/>
        </w:trPr>
        <w:tc>
          <w:tcPr>
            <w:tcW w:w="11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8C3C19"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All sports</w:t>
            </w:r>
          </w:p>
        </w:tc>
        <w:tc>
          <w:tcPr>
            <w:tcW w:w="1620" w:type="dxa"/>
            <w:tcBorders>
              <w:top w:val="nil"/>
              <w:left w:val="nil"/>
              <w:bottom w:val="nil"/>
              <w:right w:val="single" w:sz="8" w:space="0" w:color="auto"/>
            </w:tcBorders>
            <w:shd w:val="clear" w:color="000000" w:fill="FFFFFF"/>
            <w:vAlign w:val="center"/>
            <w:hideMark/>
          </w:tcPr>
          <w:p w14:paraId="7DEA69A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E39B6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14.10%</w:t>
            </w:r>
          </w:p>
        </w:tc>
        <w:tc>
          <w:tcPr>
            <w:tcW w:w="1620" w:type="dxa"/>
            <w:tcBorders>
              <w:top w:val="nil"/>
              <w:left w:val="nil"/>
              <w:bottom w:val="nil"/>
              <w:right w:val="single" w:sz="8" w:space="0" w:color="auto"/>
            </w:tcBorders>
            <w:shd w:val="clear" w:color="000000" w:fill="FFFFFF"/>
            <w:noWrap/>
            <w:vAlign w:val="bottom"/>
            <w:hideMark/>
          </w:tcPr>
          <w:p w14:paraId="4ACDD51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-3.58%</w:t>
            </w:r>
          </w:p>
        </w:tc>
        <w:tc>
          <w:tcPr>
            <w:tcW w:w="1213" w:type="dxa"/>
            <w:tcBorders>
              <w:top w:val="nil"/>
              <w:left w:val="nil"/>
              <w:bottom w:val="nil"/>
              <w:right w:val="nil"/>
            </w:tcBorders>
            <w:shd w:val="clear" w:color="000000" w:fill="FFFFFF"/>
            <w:vAlign w:val="center"/>
            <w:hideMark/>
          </w:tcPr>
          <w:p w14:paraId="557504A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£13.25</w:t>
            </w:r>
          </w:p>
        </w:tc>
        <w:tc>
          <w:tcPr>
            <w:tcW w:w="1260" w:type="dxa"/>
            <w:tcBorders>
              <w:top w:val="nil"/>
              <w:left w:val="single" w:sz="8" w:space="0" w:color="auto"/>
              <w:bottom w:val="nil"/>
              <w:right w:val="single" w:sz="8" w:space="0" w:color="auto"/>
            </w:tcBorders>
            <w:shd w:val="clear" w:color="000000" w:fill="FFFFFF"/>
            <w:vAlign w:val="center"/>
            <w:hideMark/>
          </w:tcPr>
          <w:p w14:paraId="053FB1EB"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£384.9M</w:t>
            </w:r>
          </w:p>
        </w:tc>
        <w:tc>
          <w:tcPr>
            <w:tcW w:w="1722" w:type="dxa"/>
            <w:vMerge w:val="restart"/>
            <w:tcBorders>
              <w:top w:val="nil"/>
              <w:left w:val="nil"/>
              <w:bottom w:val="nil"/>
              <w:right w:val="single" w:sz="8" w:space="0" w:color="auto"/>
            </w:tcBorders>
            <w:shd w:val="clear" w:color="auto" w:fill="auto"/>
            <w:noWrap/>
            <w:vAlign w:val="center"/>
            <w:hideMark/>
          </w:tcPr>
          <w:p w14:paraId="77992988" w14:textId="77777777" w:rsidR="00725045" w:rsidRPr="00725045" w:rsidRDefault="00725045" w:rsidP="00725045">
            <w:pPr>
              <w:spacing w:after="0" w:line="240" w:lineRule="auto"/>
              <w:jc w:val="center"/>
              <w:rPr>
                <w:rFonts w:ascii="Calibri" w:eastAsia="Times New Roman" w:hAnsi="Calibri" w:cs="Times New Roman"/>
                <w:color w:val="000000"/>
                <w:sz w:val="24"/>
                <w:szCs w:val="24"/>
                <w:lang w:val="en-US"/>
              </w:rPr>
            </w:pPr>
            <w:r w:rsidRPr="00725045">
              <w:rPr>
                <w:rFonts w:ascii="Calibri" w:eastAsia="Times New Roman" w:hAnsi="Calibri" w:cs="Times New Roman"/>
                <w:color w:val="000000"/>
                <w:sz w:val="24"/>
                <w:szCs w:val="24"/>
                <w:lang w:val="en-US"/>
              </w:rPr>
              <w:t>£903.7M</w:t>
            </w:r>
          </w:p>
        </w:tc>
      </w:tr>
      <w:tr w:rsidR="00725045" w:rsidRPr="00725045" w14:paraId="420915A4" w14:textId="77777777" w:rsidTr="00E6227D">
        <w:trPr>
          <w:trHeight w:val="340"/>
        </w:trPr>
        <w:tc>
          <w:tcPr>
            <w:tcW w:w="1185" w:type="dxa"/>
            <w:vMerge/>
            <w:tcBorders>
              <w:top w:val="nil"/>
              <w:left w:val="single" w:sz="8" w:space="0" w:color="auto"/>
              <w:bottom w:val="single" w:sz="8" w:space="0" w:color="000000"/>
              <w:right w:val="single" w:sz="8" w:space="0" w:color="auto"/>
            </w:tcBorders>
            <w:vAlign w:val="center"/>
            <w:hideMark/>
          </w:tcPr>
          <w:p w14:paraId="7CBA9A35"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1DBAE3FC"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single" w:sz="8" w:space="0" w:color="000000"/>
              <w:right w:val="single" w:sz="8" w:space="0" w:color="auto"/>
            </w:tcBorders>
            <w:vAlign w:val="center"/>
            <w:hideMark/>
          </w:tcPr>
          <w:p w14:paraId="25C8F06C"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28BC29B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-1.18%</w:t>
            </w:r>
          </w:p>
        </w:tc>
        <w:tc>
          <w:tcPr>
            <w:tcW w:w="1213" w:type="dxa"/>
            <w:tcBorders>
              <w:top w:val="nil"/>
              <w:left w:val="nil"/>
              <w:bottom w:val="single" w:sz="8" w:space="0" w:color="auto"/>
              <w:right w:val="nil"/>
            </w:tcBorders>
            <w:shd w:val="clear" w:color="000000" w:fill="FFFFFF"/>
            <w:vAlign w:val="center"/>
            <w:hideMark/>
          </w:tcPr>
          <w:p w14:paraId="55991A16"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£17.86</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14:paraId="6D8A9834"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£518.8M</w:t>
            </w:r>
          </w:p>
        </w:tc>
        <w:tc>
          <w:tcPr>
            <w:tcW w:w="1722" w:type="dxa"/>
            <w:vMerge/>
            <w:tcBorders>
              <w:top w:val="nil"/>
              <w:left w:val="nil"/>
              <w:bottom w:val="nil"/>
              <w:right w:val="single" w:sz="8" w:space="0" w:color="auto"/>
            </w:tcBorders>
            <w:vAlign w:val="center"/>
            <w:hideMark/>
          </w:tcPr>
          <w:p w14:paraId="78FDF767"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r w:rsidR="00725045" w:rsidRPr="00725045" w14:paraId="7A4C95C3" w14:textId="77777777" w:rsidTr="00E6227D">
        <w:trPr>
          <w:trHeight w:val="340"/>
        </w:trPr>
        <w:tc>
          <w:tcPr>
            <w:tcW w:w="1185" w:type="dxa"/>
            <w:vMerge w:val="restart"/>
            <w:tcBorders>
              <w:top w:val="nil"/>
              <w:left w:val="single" w:sz="8" w:space="0" w:color="auto"/>
              <w:bottom w:val="nil"/>
              <w:right w:val="single" w:sz="8" w:space="0" w:color="auto"/>
            </w:tcBorders>
            <w:shd w:val="clear" w:color="000000" w:fill="FFFFFF"/>
            <w:vAlign w:val="center"/>
            <w:hideMark/>
          </w:tcPr>
          <w:p w14:paraId="71900BB8"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Team sports</w:t>
            </w:r>
          </w:p>
        </w:tc>
        <w:tc>
          <w:tcPr>
            <w:tcW w:w="1620" w:type="dxa"/>
            <w:tcBorders>
              <w:top w:val="nil"/>
              <w:left w:val="nil"/>
              <w:bottom w:val="nil"/>
              <w:right w:val="single" w:sz="8" w:space="0" w:color="auto"/>
            </w:tcBorders>
            <w:shd w:val="clear" w:color="000000" w:fill="FFFFFF"/>
            <w:vAlign w:val="center"/>
            <w:hideMark/>
          </w:tcPr>
          <w:p w14:paraId="3E1E753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nil"/>
              <w:right w:val="single" w:sz="8" w:space="0" w:color="auto"/>
            </w:tcBorders>
            <w:shd w:val="clear" w:color="000000" w:fill="FFFFFF"/>
            <w:vAlign w:val="center"/>
            <w:hideMark/>
          </w:tcPr>
          <w:p w14:paraId="3182F9F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7.60%</w:t>
            </w:r>
          </w:p>
        </w:tc>
        <w:tc>
          <w:tcPr>
            <w:tcW w:w="1620" w:type="dxa"/>
            <w:tcBorders>
              <w:top w:val="nil"/>
              <w:left w:val="nil"/>
              <w:bottom w:val="nil"/>
              <w:right w:val="single" w:sz="8" w:space="0" w:color="auto"/>
            </w:tcBorders>
            <w:shd w:val="clear" w:color="000000" w:fill="FFFFFF"/>
            <w:noWrap/>
            <w:vAlign w:val="bottom"/>
            <w:hideMark/>
          </w:tcPr>
          <w:p w14:paraId="08BC942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-1.93%</w:t>
            </w:r>
          </w:p>
        </w:tc>
        <w:tc>
          <w:tcPr>
            <w:tcW w:w="1213" w:type="dxa"/>
            <w:tcBorders>
              <w:top w:val="nil"/>
              <w:left w:val="nil"/>
              <w:bottom w:val="nil"/>
              <w:right w:val="nil"/>
            </w:tcBorders>
            <w:shd w:val="clear" w:color="000000" w:fill="FFFFFF"/>
            <w:vAlign w:val="center"/>
            <w:hideMark/>
          </w:tcPr>
          <w:p w14:paraId="458BAB8D"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£7.14</w:t>
            </w:r>
          </w:p>
        </w:tc>
        <w:tc>
          <w:tcPr>
            <w:tcW w:w="1260" w:type="dxa"/>
            <w:tcBorders>
              <w:top w:val="nil"/>
              <w:left w:val="single" w:sz="8" w:space="0" w:color="auto"/>
              <w:bottom w:val="nil"/>
              <w:right w:val="single" w:sz="8" w:space="0" w:color="auto"/>
            </w:tcBorders>
            <w:shd w:val="clear" w:color="000000" w:fill="FFFFFF"/>
            <w:vAlign w:val="center"/>
            <w:hideMark/>
          </w:tcPr>
          <w:p w14:paraId="1A4119D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£38.3M</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8909DF" w14:textId="77777777" w:rsidR="00725045" w:rsidRPr="00725045" w:rsidRDefault="001A231F" w:rsidP="0072504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£90.1</w:t>
            </w:r>
            <w:r w:rsidR="00725045" w:rsidRPr="00725045">
              <w:rPr>
                <w:rFonts w:ascii="Calibri" w:eastAsia="Times New Roman" w:hAnsi="Calibri" w:cs="Times New Roman"/>
                <w:color w:val="000000"/>
                <w:sz w:val="24"/>
                <w:szCs w:val="24"/>
                <w:lang w:val="en-US"/>
              </w:rPr>
              <w:t>M</w:t>
            </w:r>
          </w:p>
        </w:tc>
      </w:tr>
      <w:tr w:rsidR="00725045" w:rsidRPr="00725045" w14:paraId="5C0EE089" w14:textId="77777777" w:rsidTr="00E6227D">
        <w:trPr>
          <w:trHeight w:val="340"/>
        </w:trPr>
        <w:tc>
          <w:tcPr>
            <w:tcW w:w="1185" w:type="dxa"/>
            <w:vMerge/>
            <w:tcBorders>
              <w:top w:val="nil"/>
              <w:left w:val="single" w:sz="8" w:space="0" w:color="auto"/>
              <w:bottom w:val="nil"/>
              <w:right w:val="single" w:sz="8" w:space="0" w:color="auto"/>
            </w:tcBorders>
            <w:vAlign w:val="center"/>
            <w:hideMark/>
          </w:tcPr>
          <w:p w14:paraId="671A4D4D"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nil"/>
              <w:right w:val="single" w:sz="8" w:space="0" w:color="auto"/>
            </w:tcBorders>
            <w:shd w:val="clear" w:color="000000" w:fill="FFFFFF"/>
            <w:vAlign w:val="center"/>
            <w:hideMark/>
          </w:tcPr>
          <w:p w14:paraId="77147FBA"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nil"/>
              <w:right w:val="single" w:sz="8" w:space="0" w:color="auto"/>
            </w:tcBorders>
            <w:vAlign w:val="center"/>
            <w:hideMark/>
          </w:tcPr>
          <w:p w14:paraId="6874ECF7"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nil"/>
              <w:right w:val="single" w:sz="8" w:space="0" w:color="auto"/>
            </w:tcBorders>
            <w:shd w:val="clear" w:color="000000" w:fill="FFFFFF"/>
            <w:noWrap/>
            <w:vAlign w:val="bottom"/>
            <w:hideMark/>
          </w:tcPr>
          <w:p w14:paraId="68B3BD3C"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-0.64%</w:t>
            </w:r>
          </w:p>
        </w:tc>
        <w:tc>
          <w:tcPr>
            <w:tcW w:w="1213" w:type="dxa"/>
            <w:tcBorders>
              <w:top w:val="nil"/>
              <w:left w:val="nil"/>
              <w:bottom w:val="nil"/>
              <w:right w:val="nil"/>
            </w:tcBorders>
            <w:shd w:val="clear" w:color="000000" w:fill="FFFFFF"/>
            <w:vAlign w:val="center"/>
            <w:hideMark/>
          </w:tcPr>
          <w:p w14:paraId="526F8A2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£9.63</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14:paraId="1C13CE7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£51.7M</w:t>
            </w:r>
          </w:p>
        </w:tc>
        <w:tc>
          <w:tcPr>
            <w:tcW w:w="1722" w:type="dxa"/>
            <w:vMerge/>
            <w:tcBorders>
              <w:top w:val="single" w:sz="8" w:space="0" w:color="auto"/>
              <w:left w:val="single" w:sz="8" w:space="0" w:color="auto"/>
              <w:bottom w:val="single" w:sz="8" w:space="0" w:color="000000"/>
              <w:right w:val="single" w:sz="8" w:space="0" w:color="auto"/>
            </w:tcBorders>
            <w:vAlign w:val="center"/>
            <w:hideMark/>
          </w:tcPr>
          <w:p w14:paraId="3EE46BF8"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r w:rsidR="00725045" w:rsidRPr="00725045" w14:paraId="2D5B6B34" w14:textId="77777777" w:rsidTr="00E6227D">
        <w:trPr>
          <w:trHeight w:val="340"/>
        </w:trPr>
        <w:tc>
          <w:tcPr>
            <w:tcW w:w="11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C8C0A2"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Individual sports</w:t>
            </w:r>
          </w:p>
        </w:tc>
        <w:tc>
          <w:tcPr>
            <w:tcW w:w="1620" w:type="dxa"/>
            <w:tcBorders>
              <w:top w:val="single" w:sz="8" w:space="0" w:color="auto"/>
              <w:left w:val="nil"/>
              <w:bottom w:val="nil"/>
              <w:right w:val="single" w:sz="8" w:space="0" w:color="auto"/>
            </w:tcBorders>
            <w:shd w:val="clear" w:color="000000" w:fill="FFFFFF"/>
            <w:vAlign w:val="center"/>
            <w:hideMark/>
          </w:tcPr>
          <w:p w14:paraId="4D92F106"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355BC8"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12.90%</w:t>
            </w:r>
          </w:p>
        </w:tc>
        <w:tc>
          <w:tcPr>
            <w:tcW w:w="1620" w:type="dxa"/>
            <w:tcBorders>
              <w:top w:val="single" w:sz="8" w:space="0" w:color="auto"/>
              <w:left w:val="nil"/>
              <w:bottom w:val="nil"/>
              <w:right w:val="single" w:sz="8" w:space="0" w:color="auto"/>
            </w:tcBorders>
            <w:shd w:val="clear" w:color="000000" w:fill="FFFFFF"/>
            <w:noWrap/>
            <w:vAlign w:val="bottom"/>
            <w:hideMark/>
          </w:tcPr>
          <w:p w14:paraId="2F0ED10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-3.28%</w:t>
            </w:r>
          </w:p>
        </w:tc>
        <w:tc>
          <w:tcPr>
            <w:tcW w:w="1213" w:type="dxa"/>
            <w:tcBorders>
              <w:top w:val="single" w:sz="8" w:space="0" w:color="auto"/>
              <w:left w:val="nil"/>
              <w:bottom w:val="nil"/>
              <w:right w:val="nil"/>
            </w:tcBorders>
            <w:shd w:val="clear" w:color="000000" w:fill="FFFFFF"/>
            <w:vAlign w:val="center"/>
            <w:hideMark/>
          </w:tcPr>
          <w:p w14:paraId="66753342"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£12.12</w:t>
            </w:r>
          </w:p>
        </w:tc>
        <w:tc>
          <w:tcPr>
            <w:tcW w:w="1260" w:type="dxa"/>
            <w:tcBorders>
              <w:top w:val="nil"/>
              <w:left w:val="single" w:sz="8" w:space="0" w:color="auto"/>
              <w:bottom w:val="nil"/>
              <w:right w:val="single" w:sz="8" w:space="0" w:color="auto"/>
            </w:tcBorders>
            <w:shd w:val="clear" w:color="000000" w:fill="FFFFFF"/>
            <w:vAlign w:val="center"/>
            <w:hideMark/>
          </w:tcPr>
          <w:p w14:paraId="393C5CA5" w14:textId="5F567279" w:rsidR="00725045" w:rsidRPr="00725045" w:rsidRDefault="00582E4A" w:rsidP="00725045">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£347.0</w:t>
            </w:r>
            <w:r w:rsidR="00725045" w:rsidRPr="00725045">
              <w:rPr>
                <w:rFonts w:ascii="Calibri" w:eastAsia="Times New Roman" w:hAnsi="Calibri" w:cs="Times New Roman"/>
                <w:color w:val="000000"/>
                <w:lang w:val="en-US"/>
              </w:rPr>
              <w:t>M</w:t>
            </w:r>
          </w:p>
        </w:tc>
        <w:tc>
          <w:tcPr>
            <w:tcW w:w="1722" w:type="dxa"/>
            <w:vMerge w:val="restart"/>
            <w:tcBorders>
              <w:top w:val="nil"/>
              <w:left w:val="nil"/>
              <w:bottom w:val="single" w:sz="8" w:space="0" w:color="000000"/>
              <w:right w:val="single" w:sz="8" w:space="0" w:color="auto"/>
            </w:tcBorders>
            <w:shd w:val="clear" w:color="auto" w:fill="auto"/>
            <w:noWrap/>
            <w:vAlign w:val="center"/>
            <w:hideMark/>
          </w:tcPr>
          <w:p w14:paraId="5BBAEE78" w14:textId="77777777" w:rsidR="00725045" w:rsidRPr="00725045" w:rsidRDefault="001A231F" w:rsidP="0072504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£814.9</w:t>
            </w:r>
            <w:r w:rsidR="00725045" w:rsidRPr="00725045">
              <w:rPr>
                <w:rFonts w:ascii="Calibri" w:eastAsia="Times New Roman" w:hAnsi="Calibri" w:cs="Times New Roman"/>
                <w:color w:val="000000"/>
                <w:sz w:val="24"/>
                <w:szCs w:val="24"/>
                <w:lang w:val="en-US"/>
              </w:rPr>
              <w:t>M</w:t>
            </w:r>
          </w:p>
        </w:tc>
      </w:tr>
      <w:tr w:rsidR="00725045" w:rsidRPr="00725045" w14:paraId="5D1B4B4B" w14:textId="77777777" w:rsidTr="00E6227D">
        <w:trPr>
          <w:trHeight w:val="340"/>
        </w:trPr>
        <w:tc>
          <w:tcPr>
            <w:tcW w:w="1185" w:type="dxa"/>
            <w:vMerge/>
            <w:tcBorders>
              <w:top w:val="single" w:sz="8" w:space="0" w:color="auto"/>
              <w:left w:val="single" w:sz="8" w:space="0" w:color="auto"/>
              <w:bottom w:val="single" w:sz="8" w:space="0" w:color="000000"/>
              <w:right w:val="single" w:sz="8" w:space="0" w:color="auto"/>
            </w:tcBorders>
            <w:vAlign w:val="center"/>
            <w:hideMark/>
          </w:tcPr>
          <w:p w14:paraId="272C7C2A"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70A41BAA"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62C642BD"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6AFB41C5"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-1.08%</w:t>
            </w:r>
          </w:p>
        </w:tc>
        <w:tc>
          <w:tcPr>
            <w:tcW w:w="1213" w:type="dxa"/>
            <w:tcBorders>
              <w:top w:val="nil"/>
              <w:left w:val="nil"/>
              <w:bottom w:val="single" w:sz="8" w:space="0" w:color="auto"/>
              <w:right w:val="nil"/>
            </w:tcBorders>
            <w:shd w:val="clear" w:color="000000" w:fill="FFFFFF"/>
            <w:vAlign w:val="center"/>
            <w:hideMark/>
          </w:tcPr>
          <w:p w14:paraId="44171F1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£16.34</w:t>
            </w:r>
          </w:p>
        </w:tc>
        <w:tc>
          <w:tcPr>
            <w:tcW w:w="1260" w:type="dxa"/>
            <w:tcBorders>
              <w:top w:val="nil"/>
              <w:left w:val="single" w:sz="8" w:space="0" w:color="auto"/>
              <w:bottom w:val="single" w:sz="8" w:space="0" w:color="auto"/>
              <w:right w:val="single" w:sz="8" w:space="0" w:color="auto"/>
            </w:tcBorders>
            <w:shd w:val="clear" w:color="000000" w:fill="FFFFFF"/>
            <w:vAlign w:val="center"/>
            <w:hideMark/>
          </w:tcPr>
          <w:p w14:paraId="4610D7BA"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£467.9M</w:t>
            </w:r>
          </w:p>
        </w:tc>
        <w:tc>
          <w:tcPr>
            <w:tcW w:w="1722" w:type="dxa"/>
            <w:vMerge/>
            <w:tcBorders>
              <w:top w:val="nil"/>
              <w:left w:val="nil"/>
              <w:bottom w:val="single" w:sz="8" w:space="0" w:color="000000"/>
              <w:right w:val="single" w:sz="8" w:space="0" w:color="auto"/>
            </w:tcBorders>
            <w:vAlign w:val="center"/>
            <w:hideMark/>
          </w:tcPr>
          <w:p w14:paraId="0F30C5A7"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r w:rsidR="00725045" w:rsidRPr="00725045" w14:paraId="3CE4B1B5" w14:textId="77777777" w:rsidTr="00E6227D">
        <w:trPr>
          <w:trHeight w:val="340"/>
        </w:trPr>
        <w:tc>
          <w:tcPr>
            <w:tcW w:w="9747"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245BDA" w14:textId="77777777" w:rsidR="00725045" w:rsidRPr="00725045" w:rsidRDefault="00725045" w:rsidP="00725045">
            <w:pPr>
              <w:spacing w:after="0" w:line="240" w:lineRule="auto"/>
              <w:jc w:val="center"/>
              <w:rPr>
                <w:rFonts w:ascii="Calibri" w:eastAsia="Times New Roman" w:hAnsi="Calibri" w:cs="Times New Roman"/>
                <w:b/>
                <w:bCs/>
                <w:color w:val="000000"/>
                <w:lang w:val="en-US"/>
              </w:rPr>
            </w:pPr>
            <w:r w:rsidRPr="00725045">
              <w:rPr>
                <w:rFonts w:ascii="Calibri" w:eastAsia="Times New Roman" w:hAnsi="Calibri" w:cs="Times New Roman"/>
                <w:b/>
                <w:bCs/>
                <w:color w:val="000000"/>
                <w:lang w:val="en-US"/>
              </w:rPr>
              <w:t>Cultural activities</w:t>
            </w:r>
          </w:p>
        </w:tc>
      </w:tr>
      <w:tr w:rsidR="00725045" w:rsidRPr="00725045" w14:paraId="0DDE04D7" w14:textId="77777777" w:rsidTr="00E6227D">
        <w:trPr>
          <w:trHeight w:val="340"/>
        </w:trPr>
        <w:tc>
          <w:tcPr>
            <w:tcW w:w="11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823BCE"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Audience arts</w:t>
            </w:r>
          </w:p>
        </w:tc>
        <w:tc>
          <w:tcPr>
            <w:tcW w:w="1620" w:type="dxa"/>
            <w:tcBorders>
              <w:top w:val="nil"/>
              <w:left w:val="nil"/>
              <w:bottom w:val="nil"/>
              <w:right w:val="single" w:sz="8" w:space="0" w:color="auto"/>
            </w:tcBorders>
            <w:shd w:val="clear" w:color="000000" w:fill="FFFFFF"/>
            <w:vAlign w:val="center"/>
            <w:hideMark/>
          </w:tcPr>
          <w:p w14:paraId="1B3D1984"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08A1F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5.40%</w:t>
            </w:r>
          </w:p>
        </w:tc>
        <w:tc>
          <w:tcPr>
            <w:tcW w:w="1620" w:type="dxa"/>
            <w:tcBorders>
              <w:top w:val="nil"/>
              <w:left w:val="nil"/>
              <w:bottom w:val="nil"/>
              <w:right w:val="single" w:sz="8" w:space="0" w:color="auto"/>
            </w:tcBorders>
            <w:shd w:val="clear" w:color="000000" w:fill="FFFFFF"/>
            <w:noWrap/>
            <w:vAlign w:val="bottom"/>
            <w:hideMark/>
          </w:tcPr>
          <w:p w14:paraId="703A3F5E"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-1.37%</w:t>
            </w:r>
          </w:p>
        </w:tc>
        <w:tc>
          <w:tcPr>
            <w:tcW w:w="1213" w:type="dxa"/>
            <w:tcBorders>
              <w:top w:val="nil"/>
              <w:left w:val="nil"/>
              <w:bottom w:val="nil"/>
              <w:right w:val="single" w:sz="8" w:space="0" w:color="auto"/>
            </w:tcBorders>
            <w:shd w:val="clear" w:color="000000" w:fill="FFFFFF"/>
            <w:vAlign w:val="center"/>
            <w:hideMark/>
          </w:tcPr>
          <w:p w14:paraId="059DF3A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£5.07</w:t>
            </w:r>
          </w:p>
        </w:tc>
        <w:tc>
          <w:tcPr>
            <w:tcW w:w="1260" w:type="dxa"/>
            <w:tcBorders>
              <w:top w:val="nil"/>
              <w:left w:val="nil"/>
              <w:bottom w:val="nil"/>
              <w:right w:val="single" w:sz="8" w:space="0" w:color="auto"/>
            </w:tcBorders>
            <w:shd w:val="clear" w:color="000000" w:fill="FFFFFF"/>
            <w:vAlign w:val="center"/>
            <w:hideMark/>
          </w:tcPr>
          <w:p w14:paraId="17994D46"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£168.8M</w:t>
            </w:r>
          </w:p>
        </w:tc>
        <w:tc>
          <w:tcPr>
            <w:tcW w:w="17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3636B7" w14:textId="77777777" w:rsidR="00725045" w:rsidRPr="00725045" w:rsidRDefault="00725045" w:rsidP="00725045">
            <w:pPr>
              <w:spacing w:after="0" w:line="240" w:lineRule="auto"/>
              <w:jc w:val="center"/>
              <w:rPr>
                <w:rFonts w:ascii="Calibri" w:eastAsia="Times New Roman" w:hAnsi="Calibri" w:cs="Times New Roman"/>
                <w:color w:val="000000"/>
                <w:sz w:val="24"/>
                <w:szCs w:val="24"/>
                <w:lang w:val="en-US"/>
              </w:rPr>
            </w:pPr>
            <w:r w:rsidRPr="00725045">
              <w:rPr>
                <w:rFonts w:ascii="Calibri" w:eastAsia="Times New Roman" w:hAnsi="Calibri" w:cs="Times New Roman"/>
                <w:color w:val="000000"/>
                <w:sz w:val="24"/>
                <w:szCs w:val="24"/>
                <w:lang w:val="en-US"/>
              </w:rPr>
              <w:t>£396.6M</w:t>
            </w:r>
          </w:p>
        </w:tc>
      </w:tr>
      <w:tr w:rsidR="00725045" w:rsidRPr="00725045" w14:paraId="0B5DA0FB" w14:textId="77777777" w:rsidTr="00E6227D">
        <w:trPr>
          <w:trHeight w:val="340"/>
        </w:trPr>
        <w:tc>
          <w:tcPr>
            <w:tcW w:w="1185" w:type="dxa"/>
            <w:vMerge/>
            <w:tcBorders>
              <w:top w:val="nil"/>
              <w:left w:val="single" w:sz="8" w:space="0" w:color="auto"/>
              <w:bottom w:val="single" w:sz="8" w:space="0" w:color="000000"/>
              <w:right w:val="single" w:sz="8" w:space="0" w:color="auto"/>
            </w:tcBorders>
            <w:vAlign w:val="center"/>
            <w:hideMark/>
          </w:tcPr>
          <w:p w14:paraId="196C7769"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712DBFAC"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single" w:sz="8" w:space="0" w:color="000000"/>
              <w:right w:val="single" w:sz="8" w:space="0" w:color="auto"/>
            </w:tcBorders>
            <w:vAlign w:val="center"/>
            <w:hideMark/>
          </w:tcPr>
          <w:p w14:paraId="031F2319"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5C922210"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-0.45%</w:t>
            </w:r>
          </w:p>
        </w:tc>
        <w:tc>
          <w:tcPr>
            <w:tcW w:w="1213" w:type="dxa"/>
            <w:tcBorders>
              <w:top w:val="nil"/>
              <w:left w:val="nil"/>
              <w:bottom w:val="single" w:sz="8" w:space="0" w:color="auto"/>
              <w:right w:val="single" w:sz="8" w:space="0" w:color="auto"/>
            </w:tcBorders>
            <w:shd w:val="clear" w:color="000000" w:fill="FFFFFF"/>
            <w:vAlign w:val="center"/>
            <w:hideMark/>
          </w:tcPr>
          <w:p w14:paraId="6D31B18E"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£6.84</w:t>
            </w:r>
          </w:p>
        </w:tc>
        <w:tc>
          <w:tcPr>
            <w:tcW w:w="1260" w:type="dxa"/>
            <w:tcBorders>
              <w:top w:val="nil"/>
              <w:left w:val="nil"/>
              <w:bottom w:val="single" w:sz="8" w:space="0" w:color="auto"/>
              <w:right w:val="single" w:sz="8" w:space="0" w:color="auto"/>
            </w:tcBorders>
            <w:shd w:val="clear" w:color="000000" w:fill="FFFFFF"/>
            <w:vAlign w:val="center"/>
            <w:hideMark/>
          </w:tcPr>
          <w:p w14:paraId="26757B1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£227.8M</w:t>
            </w:r>
          </w:p>
        </w:tc>
        <w:tc>
          <w:tcPr>
            <w:tcW w:w="1722" w:type="dxa"/>
            <w:vMerge/>
            <w:tcBorders>
              <w:top w:val="nil"/>
              <w:left w:val="single" w:sz="8" w:space="0" w:color="auto"/>
              <w:bottom w:val="single" w:sz="8" w:space="0" w:color="000000"/>
              <w:right w:val="single" w:sz="8" w:space="0" w:color="auto"/>
            </w:tcBorders>
            <w:vAlign w:val="center"/>
            <w:hideMark/>
          </w:tcPr>
          <w:p w14:paraId="03FFE76B"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r w:rsidR="00725045" w:rsidRPr="00725045" w14:paraId="773CCE94" w14:textId="77777777" w:rsidTr="00E6227D">
        <w:trPr>
          <w:trHeight w:val="340"/>
        </w:trPr>
        <w:tc>
          <w:tcPr>
            <w:tcW w:w="1185" w:type="dxa"/>
            <w:vMerge w:val="restart"/>
            <w:tcBorders>
              <w:top w:val="nil"/>
              <w:left w:val="single" w:sz="8" w:space="0" w:color="auto"/>
              <w:bottom w:val="nil"/>
              <w:right w:val="single" w:sz="8" w:space="0" w:color="auto"/>
            </w:tcBorders>
            <w:shd w:val="clear" w:color="000000" w:fill="FFFFFF"/>
            <w:vAlign w:val="center"/>
            <w:hideMark/>
          </w:tcPr>
          <w:p w14:paraId="21F57E00"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Heritage</w:t>
            </w:r>
          </w:p>
        </w:tc>
        <w:tc>
          <w:tcPr>
            <w:tcW w:w="1620" w:type="dxa"/>
            <w:tcBorders>
              <w:top w:val="nil"/>
              <w:left w:val="nil"/>
              <w:bottom w:val="nil"/>
              <w:right w:val="single" w:sz="8" w:space="0" w:color="auto"/>
            </w:tcBorders>
            <w:shd w:val="clear" w:color="000000" w:fill="FFFFFF"/>
            <w:vAlign w:val="center"/>
            <w:hideMark/>
          </w:tcPr>
          <w:p w14:paraId="61EF7E0B"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nil"/>
              <w:right w:val="single" w:sz="8" w:space="0" w:color="auto"/>
            </w:tcBorders>
            <w:shd w:val="clear" w:color="000000" w:fill="FFFFFF"/>
            <w:vAlign w:val="center"/>
            <w:hideMark/>
          </w:tcPr>
          <w:p w14:paraId="3BC3671B"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2.76%</w:t>
            </w:r>
          </w:p>
        </w:tc>
        <w:tc>
          <w:tcPr>
            <w:tcW w:w="1620" w:type="dxa"/>
            <w:tcBorders>
              <w:top w:val="nil"/>
              <w:left w:val="nil"/>
              <w:bottom w:val="nil"/>
              <w:right w:val="single" w:sz="8" w:space="0" w:color="auto"/>
            </w:tcBorders>
            <w:shd w:val="clear" w:color="000000" w:fill="FFFFFF"/>
            <w:noWrap/>
            <w:vAlign w:val="bottom"/>
            <w:hideMark/>
          </w:tcPr>
          <w:p w14:paraId="52573AFE"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-0.70%</w:t>
            </w:r>
          </w:p>
        </w:tc>
        <w:tc>
          <w:tcPr>
            <w:tcW w:w="1213" w:type="dxa"/>
            <w:tcBorders>
              <w:top w:val="nil"/>
              <w:left w:val="nil"/>
              <w:bottom w:val="nil"/>
              <w:right w:val="single" w:sz="8" w:space="0" w:color="auto"/>
            </w:tcBorders>
            <w:shd w:val="clear" w:color="000000" w:fill="FFFFFF"/>
            <w:vAlign w:val="center"/>
            <w:hideMark/>
          </w:tcPr>
          <w:p w14:paraId="777F075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£2.59</w:t>
            </w:r>
          </w:p>
        </w:tc>
        <w:tc>
          <w:tcPr>
            <w:tcW w:w="1260" w:type="dxa"/>
            <w:tcBorders>
              <w:top w:val="nil"/>
              <w:left w:val="nil"/>
              <w:bottom w:val="nil"/>
              <w:right w:val="single" w:sz="8" w:space="0" w:color="auto"/>
            </w:tcBorders>
            <w:shd w:val="clear" w:color="000000" w:fill="FFFFFF"/>
            <w:vAlign w:val="center"/>
            <w:hideMark/>
          </w:tcPr>
          <w:p w14:paraId="5F49E2CE"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£82.2M</w:t>
            </w:r>
          </w:p>
        </w:tc>
        <w:tc>
          <w:tcPr>
            <w:tcW w:w="1722" w:type="dxa"/>
            <w:vMerge w:val="restart"/>
            <w:tcBorders>
              <w:top w:val="nil"/>
              <w:left w:val="single" w:sz="8" w:space="0" w:color="auto"/>
              <w:bottom w:val="nil"/>
              <w:right w:val="single" w:sz="8" w:space="0" w:color="auto"/>
            </w:tcBorders>
            <w:shd w:val="clear" w:color="auto" w:fill="auto"/>
            <w:noWrap/>
            <w:vAlign w:val="center"/>
            <w:hideMark/>
          </w:tcPr>
          <w:p w14:paraId="308EF43E" w14:textId="77777777" w:rsidR="00725045" w:rsidRPr="00725045" w:rsidRDefault="001A231F" w:rsidP="0072504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£193.2</w:t>
            </w:r>
            <w:r w:rsidR="00725045" w:rsidRPr="00725045">
              <w:rPr>
                <w:rFonts w:ascii="Calibri" w:eastAsia="Times New Roman" w:hAnsi="Calibri" w:cs="Times New Roman"/>
                <w:color w:val="000000"/>
                <w:sz w:val="24"/>
                <w:szCs w:val="24"/>
                <w:lang w:val="en-US"/>
              </w:rPr>
              <w:t>M</w:t>
            </w:r>
          </w:p>
        </w:tc>
      </w:tr>
      <w:tr w:rsidR="00725045" w:rsidRPr="00725045" w14:paraId="37882D16" w14:textId="77777777" w:rsidTr="00E6227D">
        <w:trPr>
          <w:trHeight w:val="340"/>
        </w:trPr>
        <w:tc>
          <w:tcPr>
            <w:tcW w:w="1185" w:type="dxa"/>
            <w:vMerge/>
            <w:tcBorders>
              <w:top w:val="nil"/>
              <w:left w:val="single" w:sz="8" w:space="0" w:color="auto"/>
              <w:bottom w:val="nil"/>
              <w:right w:val="single" w:sz="8" w:space="0" w:color="auto"/>
            </w:tcBorders>
            <w:vAlign w:val="center"/>
            <w:hideMark/>
          </w:tcPr>
          <w:p w14:paraId="72CDFEB8"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nil"/>
              <w:right w:val="single" w:sz="8" w:space="0" w:color="auto"/>
            </w:tcBorders>
            <w:shd w:val="clear" w:color="000000" w:fill="FFFFFF"/>
            <w:vAlign w:val="center"/>
            <w:hideMark/>
          </w:tcPr>
          <w:p w14:paraId="63B1DBE4"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nil"/>
              <w:right w:val="single" w:sz="8" w:space="0" w:color="auto"/>
            </w:tcBorders>
            <w:vAlign w:val="center"/>
            <w:hideMark/>
          </w:tcPr>
          <w:p w14:paraId="394DAE31"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nil"/>
              <w:right w:val="single" w:sz="8" w:space="0" w:color="auto"/>
            </w:tcBorders>
            <w:shd w:val="clear" w:color="000000" w:fill="FFFFFF"/>
            <w:noWrap/>
            <w:vAlign w:val="bottom"/>
            <w:hideMark/>
          </w:tcPr>
          <w:p w14:paraId="74206B02"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-0.23%</w:t>
            </w:r>
          </w:p>
        </w:tc>
        <w:tc>
          <w:tcPr>
            <w:tcW w:w="1213" w:type="dxa"/>
            <w:tcBorders>
              <w:top w:val="nil"/>
              <w:left w:val="nil"/>
              <w:bottom w:val="nil"/>
              <w:right w:val="single" w:sz="8" w:space="0" w:color="auto"/>
            </w:tcBorders>
            <w:shd w:val="clear" w:color="000000" w:fill="FFFFFF"/>
            <w:vAlign w:val="center"/>
            <w:hideMark/>
          </w:tcPr>
          <w:p w14:paraId="1AB62A6F"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£3.50</w:t>
            </w:r>
          </w:p>
        </w:tc>
        <w:tc>
          <w:tcPr>
            <w:tcW w:w="1260" w:type="dxa"/>
            <w:tcBorders>
              <w:top w:val="nil"/>
              <w:left w:val="nil"/>
              <w:bottom w:val="nil"/>
              <w:right w:val="single" w:sz="8" w:space="0" w:color="auto"/>
            </w:tcBorders>
            <w:shd w:val="clear" w:color="000000" w:fill="FFFFFF"/>
            <w:vAlign w:val="center"/>
            <w:hideMark/>
          </w:tcPr>
          <w:p w14:paraId="59869DCB"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£111.1M</w:t>
            </w:r>
          </w:p>
        </w:tc>
        <w:tc>
          <w:tcPr>
            <w:tcW w:w="1722" w:type="dxa"/>
            <w:vMerge/>
            <w:tcBorders>
              <w:top w:val="nil"/>
              <w:left w:val="single" w:sz="8" w:space="0" w:color="auto"/>
              <w:bottom w:val="nil"/>
              <w:right w:val="single" w:sz="8" w:space="0" w:color="auto"/>
            </w:tcBorders>
            <w:vAlign w:val="center"/>
            <w:hideMark/>
          </w:tcPr>
          <w:p w14:paraId="1C605ACD"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r w:rsidR="00725045" w:rsidRPr="00725045" w14:paraId="00F8429E" w14:textId="77777777" w:rsidTr="00E6227D">
        <w:trPr>
          <w:trHeight w:val="340"/>
        </w:trPr>
        <w:tc>
          <w:tcPr>
            <w:tcW w:w="118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366AD2"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Library</w:t>
            </w:r>
          </w:p>
        </w:tc>
        <w:tc>
          <w:tcPr>
            <w:tcW w:w="1620" w:type="dxa"/>
            <w:tcBorders>
              <w:top w:val="single" w:sz="8" w:space="0" w:color="auto"/>
              <w:left w:val="nil"/>
              <w:bottom w:val="nil"/>
              <w:right w:val="single" w:sz="8" w:space="0" w:color="auto"/>
            </w:tcBorders>
            <w:shd w:val="clear" w:color="000000" w:fill="FFFFFF"/>
            <w:vAlign w:val="center"/>
            <w:hideMark/>
          </w:tcPr>
          <w:p w14:paraId="08AD0596"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BBF261"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1.12%</w:t>
            </w:r>
          </w:p>
        </w:tc>
        <w:tc>
          <w:tcPr>
            <w:tcW w:w="1620" w:type="dxa"/>
            <w:tcBorders>
              <w:top w:val="single" w:sz="8" w:space="0" w:color="auto"/>
              <w:left w:val="nil"/>
              <w:bottom w:val="nil"/>
              <w:right w:val="single" w:sz="8" w:space="0" w:color="auto"/>
            </w:tcBorders>
            <w:shd w:val="clear" w:color="000000" w:fill="FFFFFF"/>
            <w:noWrap/>
            <w:vAlign w:val="bottom"/>
            <w:hideMark/>
          </w:tcPr>
          <w:p w14:paraId="754E577D"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-0.28%</w:t>
            </w:r>
          </w:p>
        </w:tc>
        <w:tc>
          <w:tcPr>
            <w:tcW w:w="1213" w:type="dxa"/>
            <w:tcBorders>
              <w:top w:val="single" w:sz="8" w:space="0" w:color="auto"/>
              <w:left w:val="nil"/>
              <w:bottom w:val="nil"/>
              <w:right w:val="single" w:sz="8" w:space="0" w:color="auto"/>
            </w:tcBorders>
            <w:shd w:val="clear" w:color="000000" w:fill="FFFFFF"/>
            <w:vAlign w:val="center"/>
            <w:hideMark/>
          </w:tcPr>
          <w:p w14:paraId="597F581C"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£1.05</w:t>
            </w:r>
          </w:p>
        </w:tc>
        <w:tc>
          <w:tcPr>
            <w:tcW w:w="1260" w:type="dxa"/>
            <w:tcBorders>
              <w:top w:val="single" w:sz="8" w:space="0" w:color="auto"/>
              <w:left w:val="nil"/>
              <w:bottom w:val="nil"/>
              <w:right w:val="single" w:sz="8" w:space="0" w:color="auto"/>
            </w:tcBorders>
            <w:shd w:val="clear" w:color="000000" w:fill="FFFFFF"/>
            <w:vAlign w:val="center"/>
            <w:hideMark/>
          </w:tcPr>
          <w:p w14:paraId="0564143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£18.0M</w:t>
            </w:r>
          </w:p>
        </w:tc>
        <w:tc>
          <w:tcPr>
            <w:tcW w:w="172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679CD3" w14:textId="77777777" w:rsidR="00725045" w:rsidRPr="00725045" w:rsidRDefault="00725045" w:rsidP="00725045">
            <w:pPr>
              <w:spacing w:after="0" w:line="240" w:lineRule="auto"/>
              <w:jc w:val="center"/>
              <w:rPr>
                <w:rFonts w:ascii="Calibri" w:eastAsia="Times New Roman" w:hAnsi="Calibri" w:cs="Times New Roman"/>
                <w:color w:val="000000"/>
                <w:sz w:val="24"/>
                <w:szCs w:val="24"/>
                <w:lang w:val="en-US"/>
              </w:rPr>
            </w:pPr>
            <w:r w:rsidRPr="00725045">
              <w:rPr>
                <w:rFonts w:ascii="Calibri" w:eastAsia="Times New Roman" w:hAnsi="Calibri" w:cs="Times New Roman"/>
                <w:color w:val="000000"/>
                <w:sz w:val="24"/>
                <w:szCs w:val="24"/>
                <w:lang w:val="en-US"/>
              </w:rPr>
              <w:t>£42.3M</w:t>
            </w:r>
          </w:p>
        </w:tc>
      </w:tr>
      <w:tr w:rsidR="00725045" w:rsidRPr="00725045" w14:paraId="2CC08C01" w14:textId="77777777" w:rsidTr="00E6227D">
        <w:trPr>
          <w:trHeight w:val="340"/>
        </w:trPr>
        <w:tc>
          <w:tcPr>
            <w:tcW w:w="1185" w:type="dxa"/>
            <w:vMerge/>
            <w:tcBorders>
              <w:top w:val="single" w:sz="8" w:space="0" w:color="auto"/>
              <w:left w:val="single" w:sz="8" w:space="0" w:color="auto"/>
              <w:bottom w:val="single" w:sz="8" w:space="0" w:color="000000"/>
              <w:right w:val="single" w:sz="8" w:space="0" w:color="auto"/>
            </w:tcBorders>
            <w:vAlign w:val="center"/>
            <w:hideMark/>
          </w:tcPr>
          <w:p w14:paraId="4F205388"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263161B9"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single" w:sz="8" w:space="0" w:color="auto"/>
              <w:left w:val="single" w:sz="8" w:space="0" w:color="auto"/>
              <w:bottom w:val="single" w:sz="8" w:space="0" w:color="000000"/>
              <w:right w:val="single" w:sz="8" w:space="0" w:color="auto"/>
            </w:tcBorders>
            <w:vAlign w:val="center"/>
            <w:hideMark/>
          </w:tcPr>
          <w:p w14:paraId="4F7EC8ED"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4DEF1A51"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-0.09%</w:t>
            </w:r>
          </w:p>
        </w:tc>
        <w:tc>
          <w:tcPr>
            <w:tcW w:w="1213" w:type="dxa"/>
            <w:tcBorders>
              <w:top w:val="nil"/>
              <w:left w:val="nil"/>
              <w:bottom w:val="single" w:sz="8" w:space="0" w:color="auto"/>
              <w:right w:val="single" w:sz="8" w:space="0" w:color="auto"/>
            </w:tcBorders>
            <w:shd w:val="clear" w:color="000000" w:fill="FFFFFF"/>
            <w:vAlign w:val="center"/>
            <w:hideMark/>
          </w:tcPr>
          <w:p w14:paraId="68D176AE"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£1.42</w:t>
            </w:r>
          </w:p>
        </w:tc>
        <w:tc>
          <w:tcPr>
            <w:tcW w:w="1260" w:type="dxa"/>
            <w:tcBorders>
              <w:top w:val="nil"/>
              <w:left w:val="nil"/>
              <w:bottom w:val="single" w:sz="8" w:space="0" w:color="auto"/>
              <w:right w:val="single" w:sz="8" w:space="0" w:color="auto"/>
            </w:tcBorders>
            <w:shd w:val="clear" w:color="000000" w:fill="FFFFFF"/>
            <w:vAlign w:val="center"/>
            <w:hideMark/>
          </w:tcPr>
          <w:p w14:paraId="46C2E892"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£24.3M</w:t>
            </w:r>
          </w:p>
        </w:tc>
        <w:tc>
          <w:tcPr>
            <w:tcW w:w="1722" w:type="dxa"/>
            <w:vMerge/>
            <w:tcBorders>
              <w:top w:val="single" w:sz="8" w:space="0" w:color="auto"/>
              <w:left w:val="single" w:sz="8" w:space="0" w:color="auto"/>
              <w:bottom w:val="single" w:sz="8" w:space="0" w:color="000000"/>
              <w:right w:val="single" w:sz="8" w:space="0" w:color="auto"/>
            </w:tcBorders>
            <w:vAlign w:val="center"/>
            <w:hideMark/>
          </w:tcPr>
          <w:p w14:paraId="3E611071"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r w:rsidR="00725045" w:rsidRPr="00725045" w14:paraId="416B2992" w14:textId="77777777" w:rsidTr="00E6227D">
        <w:trPr>
          <w:trHeight w:val="340"/>
        </w:trPr>
        <w:tc>
          <w:tcPr>
            <w:tcW w:w="11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C7CABE" w14:textId="77777777" w:rsidR="00725045" w:rsidRPr="00725045" w:rsidRDefault="00725045" w:rsidP="00725045">
            <w:pPr>
              <w:spacing w:after="0" w:line="240" w:lineRule="auto"/>
              <w:jc w:val="center"/>
              <w:rPr>
                <w:rFonts w:ascii="Calibri" w:eastAsia="Times New Roman" w:hAnsi="Calibri" w:cs="Times New Roman"/>
                <w:b/>
                <w:bCs/>
                <w:i/>
                <w:iCs/>
                <w:color w:val="000000"/>
                <w:lang w:val="en-US"/>
              </w:rPr>
            </w:pPr>
            <w:r w:rsidRPr="00725045">
              <w:rPr>
                <w:rFonts w:ascii="Calibri" w:eastAsia="Times New Roman" w:hAnsi="Calibri" w:cs="Times New Roman"/>
                <w:b/>
                <w:bCs/>
                <w:i/>
                <w:iCs/>
                <w:color w:val="000000"/>
                <w:lang w:val="en-US"/>
              </w:rPr>
              <w:t>Museum</w:t>
            </w:r>
          </w:p>
        </w:tc>
        <w:tc>
          <w:tcPr>
            <w:tcW w:w="1620" w:type="dxa"/>
            <w:tcBorders>
              <w:top w:val="nil"/>
              <w:left w:val="nil"/>
              <w:bottom w:val="nil"/>
              <w:right w:val="single" w:sz="8" w:space="0" w:color="auto"/>
            </w:tcBorders>
            <w:shd w:val="clear" w:color="000000" w:fill="FFFFFF"/>
            <w:vAlign w:val="center"/>
            <w:hideMark/>
          </w:tcPr>
          <w:p w14:paraId="18B9C6B3"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GP Visits</w:t>
            </w:r>
          </w:p>
        </w:tc>
        <w:tc>
          <w:tcPr>
            <w:tcW w:w="112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087541"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2.01%</w:t>
            </w:r>
          </w:p>
        </w:tc>
        <w:tc>
          <w:tcPr>
            <w:tcW w:w="1620" w:type="dxa"/>
            <w:tcBorders>
              <w:top w:val="nil"/>
              <w:left w:val="nil"/>
              <w:bottom w:val="nil"/>
              <w:right w:val="single" w:sz="8" w:space="0" w:color="auto"/>
            </w:tcBorders>
            <w:shd w:val="clear" w:color="000000" w:fill="FFFFFF"/>
            <w:noWrap/>
            <w:vAlign w:val="bottom"/>
            <w:hideMark/>
          </w:tcPr>
          <w:p w14:paraId="2187093E"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-0.51%</w:t>
            </w:r>
          </w:p>
        </w:tc>
        <w:tc>
          <w:tcPr>
            <w:tcW w:w="1213" w:type="dxa"/>
            <w:tcBorders>
              <w:top w:val="nil"/>
              <w:left w:val="nil"/>
              <w:bottom w:val="nil"/>
              <w:right w:val="single" w:sz="8" w:space="0" w:color="auto"/>
            </w:tcBorders>
            <w:shd w:val="clear" w:color="000000" w:fill="FFFFFF"/>
            <w:vAlign w:val="center"/>
            <w:hideMark/>
          </w:tcPr>
          <w:p w14:paraId="547A6611"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£1.89</w:t>
            </w:r>
          </w:p>
        </w:tc>
        <w:tc>
          <w:tcPr>
            <w:tcW w:w="1260" w:type="dxa"/>
            <w:tcBorders>
              <w:top w:val="nil"/>
              <w:left w:val="nil"/>
              <w:bottom w:val="nil"/>
              <w:right w:val="single" w:sz="8" w:space="0" w:color="auto"/>
            </w:tcBorders>
            <w:shd w:val="clear" w:color="000000" w:fill="FFFFFF"/>
            <w:vAlign w:val="center"/>
            <w:hideMark/>
          </w:tcPr>
          <w:p w14:paraId="76AA6C25"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£44.7M</w:t>
            </w:r>
          </w:p>
        </w:tc>
        <w:tc>
          <w:tcPr>
            <w:tcW w:w="172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03BCB5" w14:textId="77777777" w:rsidR="00725045" w:rsidRPr="00725045" w:rsidRDefault="001A231F" w:rsidP="00725045">
            <w:pPr>
              <w:spacing w:after="0" w:line="240" w:lineRule="auto"/>
              <w:jc w:val="center"/>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£105.1</w:t>
            </w:r>
            <w:r w:rsidR="00725045" w:rsidRPr="00725045">
              <w:rPr>
                <w:rFonts w:ascii="Calibri" w:eastAsia="Times New Roman" w:hAnsi="Calibri" w:cs="Times New Roman"/>
                <w:color w:val="000000"/>
                <w:sz w:val="24"/>
                <w:szCs w:val="24"/>
                <w:lang w:val="en-US"/>
              </w:rPr>
              <w:t>M</w:t>
            </w:r>
          </w:p>
        </w:tc>
      </w:tr>
      <w:tr w:rsidR="00725045" w:rsidRPr="00725045" w14:paraId="33646738" w14:textId="77777777" w:rsidTr="00E6227D">
        <w:trPr>
          <w:trHeight w:val="340"/>
        </w:trPr>
        <w:tc>
          <w:tcPr>
            <w:tcW w:w="1185" w:type="dxa"/>
            <w:vMerge/>
            <w:tcBorders>
              <w:top w:val="nil"/>
              <w:left w:val="single" w:sz="8" w:space="0" w:color="auto"/>
              <w:bottom w:val="single" w:sz="8" w:space="0" w:color="000000"/>
              <w:right w:val="single" w:sz="8" w:space="0" w:color="auto"/>
            </w:tcBorders>
            <w:vAlign w:val="center"/>
            <w:hideMark/>
          </w:tcPr>
          <w:p w14:paraId="47269A43" w14:textId="77777777" w:rsidR="00725045" w:rsidRPr="00725045" w:rsidRDefault="00725045" w:rsidP="00725045">
            <w:pPr>
              <w:spacing w:after="0" w:line="240" w:lineRule="auto"/>
              <w:rPr>
                <w:rFonts w:ascii="Calibri" w:eastAsia="Times New Roman" w:hAnsi="Calibri" w:cs="Times New Roman"/>
                <w:b/>
                <w:bCs/>
                <w:i/>
                <w:iCs/>
                <w:color w:val="000000"/>
                <w:lang w:val="en-US"/>
              </w:rPr>
            </w:pPr>
          </w:p>
        </w:tc>
        <w:tc>
          <w:tcPr>
            <w:tcW w:w="1620" w:type="dxa"/>
            <w:tcBorders>
              <w:top w:val="nil"/>
              <w:left w:val="nil"/>
              <w:bottom w:val="single" w:sz="8" w:space="0" w:color="auto"/>
              <w:right w:val="single" w:sz="8" w:space="0" w:color="auto"/>
            </w:tcBorders>
            <w:shd w:val="clear" w:color="000000" w:fill="FFFFFF"/>
            <w:vAlign w:val="center"/>
            <w:hideMark/>
          </w:tcPr>
          <w:p w14:paraId="2EF8CD1D"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Psychotherapy</w:t>
            </w:r>
          </w:p>
        </w:tc>
        <w:tc>
          <w:tcPr>
            <w:tcW w:w="1127" w:type="dxa"/>
            <w:vMerge/>
            <w:tcBorders>
              <w:top w:val="nil"/>
              <w:left w:val="single" w:sz="8" w:space="0" w:color="auto"/>
              <w:bottom w:val="single" w:sz="8" w:space="0" w:color="000000"/>
              <w:right w:val="single" w:sz="8" w:space="0" w:color="auto"/>
            </w:tcBorders>
            <w:vAlign w:val="center"/>
            <w:hideMark/>
          </w:tcPr>
          <w:p w14:paraId="19E1A409" w14:textId="77777777" w:rsidR="00725045" w:rsidRPr="00725045" w:rsidRDefault="00725045" w:rsidP="00725045">
            <w:pPr>
              <w:spacing w:after="0" w:line="240" w:lineRule="auto"/>
              <w:rPr>
                <w:rFonts w:ascii="Calibri" w:eastAsia="Times New Roman" w:hAnsi="Calibri" w:cs="Times New Roman"/>
                <w:color w:val="000000"/>
                <w:lang w:val="en-US"/>
              </w:rPr>
            </w:pPr>
          </w:p>
        </w:tc>
        <w:tc>
          <w:tcPr>
            <w:tcW w:w="1620" w:type="dxa"/>
            <w:tcBorders>
              <w:top w:val="nil"/>
              <w:left w:val="nil"/>
              <w:bottom w:val="single" w:sz="8" w:space="0" w:color="auto"/>
              <w:right w:val="single" w:sz="8" w:space="0" w:color="auto"/>
            </w:tcBorders>
            <w:shd w:val="clear" w:color="000000" w:fill="FFFFFF"/>
            <w:noWrap/>
            <w:vAlign w:val="bottom"/>
            <w:hideMark/>
          </w:tcPr>
          <w:p w14:paraId="005EA03A"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-0.17%</w:t>
            </w:r>
          </w:p>
        </w:tc>
        <w:tc>
          <w:tcPr>
            <w:tcW w:w="1213" w:type="dxa"/>
            <w:tcBorders>
              <w:top w:val="nil"/>
              <w:left w:val="nil"/>
              <w:bottom w:val="single" w:sz="8" w:space="0" w:color="auto"/>
              <w:right w:val="single" w:sz="8" w:space="0" w:color="auto"/>
            </w:tcBorders>
            <w:shd w:val="clear" w:color="000000" w:fill="FFFFFF"/>
            <w:vAlign w:val="center"/>
            <w:hideMark/>
          </w:tcPr>
          <w:p w14:paraId="493571F7"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£2.55</w:t>
            </w:r>
          </w:p>
        </w:tc>
        <w:tc>
          <w:tcPr>
            <w:tcW w:w="1260" w:type="dxa"/>
            <w:tcBorders>
              <w:top w:val="nil"/>
              <w:left w:val="nil"/>
              <w:bottom w:val="single" w:sz="8" w:space="0" w:color="auto"/>
              <w:right w:val="single" w:sz="8" w:space="0" w:color="auto"/>
            </w:tcBorders>
            <w:shd w:val="clear" w:color="000000" w:fill="FFFFFF"/>
            <w:vAlign w:val="center"/>
            <w:hideMark/>
          </w:tcPr>
          <w:p w14:paraId="2261E09C" w14:textId="77777777" w:rsidR="00725045" w:rsidRPr="00725045" w:rsidRDefault="00725045" w:rsidP="00725045">
            <w:pPr>
              <w:spacing w:after="0" w:line="240" w:lineRule="auto"/>
              <w:jc w:val="center"/>
              <w:rPr>
                <w:rFonts w:ascii="Calibri" w:eastAsia="Times New Roman" w:hAnsi="Calibri" w:cs="Times New Roman"/>
                <w:color w:val="000000"/>
                <w:lang w:val="en-US"/>
              </w:rPr>
            </w:pPr>
            <w:r w:rsidRPr="00725045">
              <w:rPr>
                <w:rFonts w:ascii="Calibri" w:eastAsia="Times New Roman" w:hAnsi="Calibri" w:cs="Times New Roman"/>
                <w:color w:val="000000"/>
                <w:lang w:val="en-US"/>
              </w:rPr>
              <w:t>£60.3M</w:t>
            </w:r>
          </w:p>
        </w:tc>
        <w:tc>
          <w:tcPr>
            <w:tcW w:w="1722" w:type="dxa"/>
            <w:vMerge/>
            <w:tcBorders>
              <w:top w:val="nil"/>
              <w:left w:val="single" w:sz="8" w:space="0" w:color="auto"/>
              <w:bottom w:val="single" w:sz="8" w:space="0" w:color="000000"/>
              <w:right w:val="single" w:sz="8" w:space="0" w:color="auto"/>
            </w:tcBorders>
            <w:vAlign w:val="center"/>
            <w:hideMark/>
          </w:tcPr>
          <w:p w14:paraId="1FF2744D" w14:textId="77777777" w:rsidR="00725045" w:rsidRPr="00725045" w:rsidRDefault="00725045" w:rsidP="00725045">
            <w:pPr>
              <w:spacing w:after="0" w:line="240" w:lineRule="auto"/>
              <w:rPr>
                <w:rFonts w:ascii="Calibri" w:eastAsia="Times New Roman" w:hAnsi="Calibri" w:cs="Times New Roman"/>
                <w:color w:val="000000"/>
                <w:sz w:val="24"/>
                <w:szCs w:val="24"/>
                <w:lang w:val="en-US"/>
              </w:rPr>
            </w:pPr>
          </w:p>
        </w:tc>
      </w:tr>
    </w:tbl>
    <w:p w14:paraId="2DD8A07E" w14:textId="047941B9" w:rsidR="00AA35EA" w:rsidRPr="00341F87" w:rsidRDefault="00341F87" w:rsidP="005C23FB">
      <w:pPr>
        <w:pStyle w:val="ListParagraph"/>
        <w:widowControl w:val="0"/>
        <w:tabs>
          <w:tab w:val="left" w:pos="1890"/>
          <w:tab w:val="left" w:pos="5720"/>
        </w:tabs>
        <w:spacing w:before="20"/>
        <w:ind w:left="0"/>
        <w:rPr>
          <w:rFonts w:cs="Arial"/>
          <w:b/>
          <w:sz w:val="24"/>
          <w:szCs w:val="24"/>
          <w:u w:val="single"/>
        </w:rPr>
      </w:pPr>
      <w:r>
        <w:rPr>
          <w:rFonts w:cs="Arial"/>
          <w:b/>
          <w:sz w:val="24"/>
          <w:szCs w:val="24"/>
          <w:u w:val="single"/>
        </w:rPr>
        <w:lastRenderedPageBreak/>
        <w:t>Clinical depression</w:t>
      </w:r>
    </w:p>
    <w:p w14:paraId="6A91D0BF" w14:textId="77777777" w:rsidR="00AA35EA" w:rsidRPr="00952A8B" w:rsidRDefault="00AA35EA" w:rsidP="00AA35EA">
      <w:pPr>
        <w:pStyle w:val="ListParagraph"/>
        <w:widowControl w:val="0"/>
        <w:tabs>
          <w:tab w:val="left" w:pos="1890"/>
        </w:tabs>
        <w:spacing w:before="20"/>
        <w:ind w:left="0"/>
        <w:rPr>
          <w:rFonts w:cs="Arial"/>
          <w:b/>
          <w:sz w:val="24"/>
          <w:szCs w:val="24"/>
          <w:u w:val="single"/>
        </w:rPr>
      </w:pPr>
      <w:r w:rsidRPr="00952A8B">
        <w:rPr>
          <w:rFonts w:cs="Arial"/>
          <w:sz w:val="24"/>
          <w:szCs w:val="24"/>
        </w:rPr>
        <w:t xml:space="preserve">After controlling for the main determinants of </w:t>
      </w:r>
      <w:r>
        <w:rPr>
          <w:rFonts w:cs="Arial"/>
          <w:sz w:val="24"/>
          <w:szCs w:val="24"/>
        </w:rPr>
        <w:t>mental health:</w:t>
      </w:r>
    </w:p>
    <w:p w14:paraId="77021A75" w14:textId="77777777" w:rsidR="00AA35EA" w:rsidRPr="00952A8B" w:rsidRDefault="00AA35EA" w:rsidP="00AA35EA">
      <w:pPr>
        <w:pStyle w:val="ListParagraph"/>
        <w:widowControl w:val="0"/>
        <w:numPr>
          <w:ilvl w:val="0"/>
          <w:numId w:val="22"/>
        </w:numPr>
        <w:tabs>
          <w:tab w:val="left" w:pos="1890"/>
        </w:tabs>
        <w:spacing w:before="20"/>
        <w:rPr>
          <w:rFonts w:cs="Arial"/>
          <w:sz w:val="24"/>
          <w:szCs w:val="24"/>
        </w:rPr>
      </w:pPr>
      <w:r w:rsidRPr="00952A8B">
        <w:rPr>
          <w:rFonts w:cs="Arial"/>
          <w:sz w:val="24"/>
          <w:szCs w:val="24"/>
        </w:rPr>
        <w:t>Sports participants are 0.5% less likely to report having clinical depression than non-participants.</w:t>
      </w:r>
      <w:r>
        <w:rPr>
          <w:rFonts w:cs="Arial"/>
          <w:sz w:val="24"/>
          <w:szCs w:val="24"/>
        </w:rPr>
        <w:t xml:space="preserve"> </w:t>
      </w:r>
    </w:p>
    <w:p w14:paraId="26BDEA00" w14:textId="77777777" w:rsidR="00AA35EA" w:rsidRPr="003B2CA5" w:rsidRDefault="00AA35EA" w:rsidP="00AA35EA">
      <w:pPr>
        <w:pStyle w:val="ListParagraph"/>
        <w:widowControl w:val="0"/>
        <w:numPr>
          <w:ilvl w:val="0"/>
          <w:numId w:val="22"/>
        </w:numPr>
        <w:tabs>
          <w:tab w:val="left" w:pos="1890"/>
        </w:tabs>
        <w:spacing w:before="20"/>
        <w:rPr>
          <w:rFonts w:cs="Arial"/>
          <w:sz w:val="24"/>
          <w:szCs w:val="24"/>
          <w:u w:val="single"/>
        </w:rPr>
      </w:pPr>
      <w:r w:rsidRPr="00952A8B">
        <w:rPr>
          <w:rFonts w:cs="Arial"/>
          <w:sz w:val="24"/>
          <w:szCs w:val="24"/>
        </w:rPr>
        <w:t>The annual QALY value due to this</w:t>
      </w:r>
      <w:r w:rsidR="00EF3F9E">
        <w:rPr>
          <w:rFonts w:cs="Arial"/>
          <w:sz w:val="24"/>
          <w:szCs w:val="24"/>
        </w:rPr>
        <w:t xml:space="preserve"> predicted</w:t>
      </w:r>
      <w:r w:rsidRPr="00952A8B">
        <w:rPr>
          <w:rFonts w:cs="Arial"/>
          <w:sz w:val="24"/>
          <w:szCs w:val="24"/>
        </w:rPr>
        <w:t xml:space="preserve"> reduction in the risk of depression is</w:t>
      </w:r>
      <w:r>
        <w:rPr>
          <w:rFonts w:cs="Arial"/>
          <w:sz w:val="24"/>
          <w:szCs w:val="24"/>
        </w:rPr>
        <w:t xml:space="preserve"> </w:t>
      </w:r>
      <w:r w:rsidR="00B83FEA">
        <w:rPr>
          <w:rFonts w:cs="Arial"/>
          <w:sz w:val="24"/>
          <w:szCs w:val="24"/>
        </w:rPr>
        <w:t xml:space="preserve">about </w:t>
      </w:r>
      <w:r>
        <w:rPr>
          <w:rFonts w:eastAsia="Times New Roman" w:cs="Times New Roman"/>
          <w:color w:val="000000"/>
          <w:sz w:val="24"/>
          <w:szCs w:val="24"/>
          <w:lang w:val="en-US" w:eastAsia="en-GB"/>
        </w:rPr>
        <w:t>£40</w:t>
      </w:r>
      <w:r w:rsidRPr="00D2250A">
        <w:rPr>
          <w:rFonts w:eastAsia="Times New Roman" w:cs="Times New Roman"/>
          <w:color w:val="000000"/>
          <w:sz w:val="24"/>
          <w:szCs w:val="24"/>
          <w:lang w:val="en-US" w:eastAsia="en-GB"/>
        </w:rPr>
        <w:t xml:space="preserve"> for p</w:t>
      </w:r>
      <w:r>
        <w:rPr>
          <w:rFonts w:eastAsia="Times New Roman" w:cs="Times New Roman"/>
          <w:color w:val="000000"/>
          <w:sz w:val="24"/>
          <w:szCs w:val="24"/>
          <w:lang w:val="en-US" w:eastAsia="en-GB"/>
        </w:rPr>
        <w:t>eople who play any sport and £34</w:t>
      </w:r>
      <w:r w:rsidRPr="00D2250A">
        <w:rPr>
          <w:rFonts w:eastAsia="Times New Roman" w:cs="Times New Roman"/>
          <w:color w:val="000000"/>
          <w:sz w:val="24"/>
          <w:szCs w:val="24"/>
          <w:lang w:val="en-US" w:eastAsia="en-GB"/>
        </w:rPr>
        <w:t xml:space="preserve"> for people who play an individual sport</w:t>
      </w:r>
      <w:r w:rsidR="007F1AE3">
        <w:rPr>
          <w:rFonts w:eastAsia="Times New Roman" w:cs="Times New Roman"/>
          <w:color w:val="000000"/>
          <w:sz w:val="24"/>
          <w:szCs w:val="24"/>
          <w:lang w:val="en-US" w:eastAsia="en-GB"/>
        </w:rPr>
        <w:t xml:space="preserve"> (team sports did not come out as significant on its own)</w:t>
      </w:r>
      <w:r w:rsidRPr="00D2250A">
        <w:rPr>
          <w:rFonts w:eastAsia="Times New Roman" w:cs="Times New Roman"/>
          <w:color w:val="000000"/>
          <w:sz w:val="24"/>
          <w:szCs w:val="24"/>
          <w:lang w:val="en-US" w:eastAsia="en-GB"/>
        </w:rPr>
        <w:t>.</w:t>
      </w:r>
    </w:p>
    <w:p w14:paraId="5EC6C044" w14:textId="77777777" w:rsidR="003B2CA5" w:rsidRDefault="003B2CA5" w:rsidP="003B2CA5">
      <w:pPr>
        <w:pStyle w:val="ListParagraph"/>
        <w:widowControl w:val="0"/>
        <w:tabs>
          <w:tab w:val="left" w:pos="1890"/>
        </w:tabs>
        <w:spacing w:after="0" w:line="240" w:lineRule="auto"/>
        <w:ind w:left="0"/>
        <w:contextualSpacing w:val="0"/>
        <w:rPr>
          <w:rFonts w:cs="Arial"/>
          <w:sz w:val="24"/>
          <w:szCs w:val="24"/>
          <w:u w:val="single"/>
        </w:rPr>
      </w:pPr>
    </w:p>
    <w:p w14:paraId="09CAC85F" w14:textId="77777777" w:rsidR="003B2CA5" w:rsidRPr="003B2CA5" w:rsidRDefault="003B2CA5" w:rsidP="003B2CA5">
      <w:pPr>
        <w:pStyle w:val="ListParagraph"/>
        <w:widowControl w:val="0"/>
        <w:tabs>
          <w:tab w:val="left" w:pos="1890"/>
        </w:tabs>
        <w:spacing w:after="0" w:line="240" w:lineRule="auto"/>
        <w:ind w:left="0"/>
        <w:contextualSpacing w:val="0"/>
        <w:rPr>
          <w:rFonts w:cs="Arial"/>
          <w:b/>
          <w:sz w:val="24"/>
          <w:szCs w:val="24"/>
        </w:rPr>
      </w:pPr>
      <w:r>
        <w:rPr>
          <w:rFonts w:cs="Arial"/>
          <w:b/>
          <w:sz w:val="24"/>
          <w:szCs w:val="24"/>
        </w:rPr>
        <w:t>Table 2: Summary of clinical depression results</w:t>
      </w:r>
    </w:p>
    <w:tbl>
      <w:tblPr>
        <w:tblW w:w="8826" w:type="dxa"/>
        <w:tblInd w:w="93" w:type="dxa"/>
        <w:tblLook w:val="04A0" w:firstRow="1" w:lastRow="0" w:firstColumn="1" w:lastColumn="0" w:noHBand="0" w:noVBand="1"/>
      </w:tblPr>
      <w:tblGrid>
        <w:gridCol w:w="2136"/>
        <w:gridCol w:w="2136"/>
        <w:gridCol w:w="2418"/>
        <w:gridCol w:w="2136"/>
      </w:tblGrid>
      <w:tr w:rsidR="00FB1590" w:rsidRPr="00FB1590" w14:paraId="1CBBF767" w14:textId="77777777" w:rsidTr="00FB1590">
        <w:trPr>
          <w:trHeight w:val="436"/>
        </w:trPr>
        <w:tc>
          <w:tcPr>
            <w:tcW w:w="2136" w:type="dxa"/>
            <w:tcBorders>
              <w:top w:val="single" w:sz="8" w:space="0" w:color="auto"/>
              <w:left w:val="single" w:sz="8" w:space="0" w:color="auto"/>
              <w:bottom w:val="double" w:sz="6" w:space="0" w:color="auto"/>
              <w:right w:val="nil"/>
            </w:tcBorders>
            <w:shd w:val="clear" w:color="000000" w:fill="0070C0"/>
            <w:noWrap/>
            <w:vAlign w:val="center"/>
            <w:hideMark/>
          </w:tcPr>
          <w:p w14:paraId="4375ABEB" w14:textId="77777777" w:rsidR="00FB1590" w:rsidRPr="00FB1590" w:rsidRDefault="00FB1590" w:rsidP="00FB1590">
            <w:pPr>
              <w:spacing w:after="0" w:line="240" w:lineRule="auto"/>
              <w:jc w:val="center"/>
              <w:rPr>
                <w:rFonts w:ascii="Calibri" w:eastAsia="Times New Roman" w:hAnsi="Calibri" w:cs="Times New Roman"/>
                <w:b/>
                <w:bCs/>
                <w:color w:val="FFFFFF"/>
                <w:lang w:val="en-US"/>
              </w:rPr>
            </w:pPr>
            <w:r w:rsidRPr="00FB1590">
              <w:rPr>
                <w:rFonts w:ascii="Calibri" w:eastAsia="Times New Roman" w:hAnsi="Calibri" w:cs="Times New Roman"/>
                <w:b/>
                <w:bCs/>
                <w:color w:val="FFFFFF"/>
                <w:lang w:val="en-US"/>
              </w:rPr>
              <w:t>Activity</w:t>
            </w:r>
          </w:p>
        </w:tc>
        <w:tc>
          <w:tcPr>
            <w:tcW w:w="2136" w:type="dxa"/>
            <w:tcBorders>
              <w:top w:val="single" w:sz="8" w:space="0" w:color="auto"/>
              <w:left w:val="nil"/>
              <w:bottom w:val="double" w:sz="6" w:space="0" w:color="auto"/>
              <w:right w:val="nil"/>
            </w:tcBorders>
            <w:shd w:val="clear" w:color="000000" w:fill="0070C0"/>
            <w:noWrap/>
            <w:vAlign w:val="center"/>
            <w:hideMark/>
          </w:tcPr>
          <w:p w14:paraId="1451342F" w14:textId="77777777" w:rsidR="00FB1590" w:rsidRPr="00FB1590" w:rsidRDefault="00FB1590" w:rsidP="00FB1590">
            <w:pPr>
              <w:spacing w:after="0" w:line="240" w:lineRule="auto"/>
              <w:jc w:val="center"/>
              <w:rPr>
                <w:rFonts w:ascii="Calibri" w:eastAsia="Times New Roman" w:hAnsi="Calibri" w:cs="Times New Roman"/>
                <w:b/>
                <w:bCs/>
                <w:color w:val="FFFFFF"/>
                <w:lang w:val="en-US"/>
              </w:rPr>
            </w:pPr>
            <w:r w:rsidRPr="00FB1590">
              <w:rPr>
                <w:rFonts w:ascii="Calibri" w:eastAsia="Times New Roman" w:hAnsi="Calibri" w:cs="Times New Roman"/>
                <w:b/>
                <w:bCs/>
                <w:color w:val="FFFFFF"/>
                <w:lang w:val="en-US"/>
              </w:rPr>
              <w:t>Probability impact  on likelihood of having clinical depression</w:t>
            </w:r>
          </w:p>
        </w:tc>
        <w:tc>
          <w:tcPr>
            <w:tcW w:w="2418" w:type="dxa"/>
            <w:tcBorders>
              <w:top w:val="single" w:sz="8" w:space="0" w:color="auto"/>
              <w:left w:val="single" w:sz="8" w:space="0" w:color="auto"/>
              <w:bottom w:val="double" w:sz="6" w:space="0" w:color="auto"/>
              <w:right w:val="nil"/>
            </w:tcBorders>
            <w:shd w:val="clear" w:color="000000" w:fill="0070C0"/>
            <w:noWrap/>
            <w:vAlign w:val="center"/>
            <w:hideMark/>
          </w:tcPr>
          <w:p w14:paraId="0A4BB270" w14:textId="77777777" w:rsidR="00FB1590" w:rsidRPr="00FB1590" w:rsidRDefault="00FB1590" w:rsidP="00FB1590">
            <w:pPr>
              <w:spacing w:after="0" w:line="240" w:lineRule="auto"/>
              <w:jc w:val="center"/>
              <w:rPr>
                <w:rFonts w:ascii="Calibri" w:eastAsia="Times New Roman" w:hAnsi="Calibri" w:cs="Times New Roman"/>
                <w:b/>
                <w:bCs/>
                <w:color w:val="FFFFFF"/>
                <w:lang w:val="en-US"/>
              </w:rPr>
            </w:pPr>
            <w:r w:rsidRPr="00FB1590">
              <w:rPr>
                <w:rFonts w:ascii="Calibri" w:eastAsia="Times New Roman" w:hAnsi="Calibri" w:cs="Times New Roman"/>
                <w:b/>
                <w:bCs/>
                <w:color w:val="FFFFFF"/>
                <w:lang w:val="en-US"/>
              </w:rPr>
              <w:t>Annual per person QALY value</w:t>
            </w:r>
          </w:p>
        </w:tc>
        <w:tc>
          <w:tcPr>
            <w:tcW w:w="2136" w:type="dxa"/>
            <w:tcBorders>
              <w:top w:val="single" w:sz="8" w:space="0" w:color="auto"/>
              <w:left w:val="single" w:sz="8" w:space="0" w:color="auto"/>
              <w:bottom w:val="double" w:sz="6" w:space="0" w:color="auto"/>
              <w:right w:val="nil"/>
            </w:tcBorders>
            <w:shd w:val="clear" w:color="000000" w:fill="0070C0"/>
            <w:noWrap/>
            <w:vAlign w:val="center"/>
            <w:hideMark/>
          </w:tcPr>
          <w:p w14:paraId="1509317B" w14:textId="77777777" w:rsidR="00FB1590" w:rsidRPr="00FB1590" w:rsidRDefault="00FB1590" w:rsidP="00FB1590">
            <w:pPr>
              <w:spacing w:after="0" w:line="240" w:lineRule="auto"/>
              <w:jc w:val="center"/>
              <w:rPr>
                <w:rFonts w:ascii="Calibri" w:eastAsia="Times New Roman" w:hAnsi="Calibri" w:cs="Times New Roman"/>
                <w:b/>
                <w:bCs/>
                <w:color w:val="FFFFFF"/>
                <w:lang w:val="en-US"/>
              </w:rPr>
            </w:pPr>
            <w:r w:rsidRPr="00FB1590">
              <w:rPr>
                <w:rFonts w:ascii="Calibri" w:eastAsia="Times New Roman" w:hAnsi="Calibri" w:cs="Times New Roman"/>
                <w:b/>
                <w:bCs/>
                <w:color w:val="FFFFFF"/>
                <w:lang w:val="en-US"/>
              </w:rPr>
              <w:t>Total population annual QALY value</w:t>
            </w:r>
          </w:p>
        </w:tc>
      </w:tr>
      <w:tr w:rsidR="00FB1590" w:rsidRPr="00FB1590" w14:paraId="7C0FA38F" w14:textId="77777777" w:rsidTr="00FB1590">
        <w:trPr>
          <w:trHeight w:val="436"/>
        </w:trPr>
        <w:tc>
          <w:tcPr>
            <w:tcW w:w="2136" w:type="dxa"/>
            <w:tcBorders>
              <w:top w:val="nil"/>
              <w:left w:val="single" w:sz="8" w:space="0" w:color="auto"/>
              <w:bottom w:val="nil"/>
              <w:right w:val="nil"/>
            </w:tcBorders>
            <w:shd w:val="clear" w:color="auto" w:fill="auto"/>
            <w:noWrap/>
            <w:vAlign w:val="center"/>
            <w:hideMark/>
          </w:tcPr>
          <w:p w14:paraId="720EFB56" w14:textId="77777777" w:rsidR="00FB1590" w:rsidRPr="001946C5" w:rsidRDefault="00FB1590" w:rsidP="001946C5">
            <w:pPr>
              <w:spacing w:after="0" w:line="240" w:lineRule="auto"/>
              <w:jc w:val="center"/>
              <w:rPr>
                <w:rFonts w:ascii="Calibri" w:eastAsia="Times New Roman" w:hAnsi="Calibri" w:cs="Times New Roman"/>
                <w:b/>
                <w:i/>
                <w:color w:val="000000"/>
                <w:lang w:val="en-US"/>
              </w:rPr>
            </w:pPr>
            <w:r w:rsidRPr="001946C5">
              <w:rPr>
                <w:rFonts w:ascii="Calibri" w:eastAsia="Times New Roman" w:hAnsi="Calibri" w:cs="Times New Roman"/>
                <w:b/>
                <w:i/>
                <w:color w:val="000000"/>
                <w:lang w:val="en-US"/>
              </w:rPr>
              <w:t>All sports</w:t>
            </w:r>
          </w:p>
        </w:tc>
        <w:tc>
          <w:tcPr>
            <w:tcW w:w="2136" w:type="dxa"/>
            <w:tcBorders>
              <w:top w:val="nil"/>
              <w:left w:val="nil"/>
              <w:bottom w:val="nil"/>
              <w:right w:val="nil"/>
            </w:tcBorders>
            <w:shd w:val="clear" w:color="auto" w:fill="auto"/>
            <w:noWrap/>
            <w:vAlign w:val="center"/>
            <w:hideMark/>
          </w:tcPr>
          <w:p w14:paraId="43CD190A" w14:textId="77777777" w:rsidR="00FB1590" w:rsidRPr="00FB1590" w:rsidRDefault="00FB1590" w:rsidP="00FB1590">
            <w:pPr>
              <w:spacing w:after="0" w:line="240" w:lineRule="auto"/>
              <w:jc w:val="center"/>
              <w:rPr>
                <w:rFonts w:ascii="Calibri" w:eastAsia="Times New Roman" w:hAnsi="Calibri" w:cs="Times New Roman"/>
                <w:color w:val="000000"/>
                <w:lang w:val="en-US"/>
              </w:rPr>
            </w:pPr>
            <w:r w:rsidRPr="00FB1590">
              <w:rPr>
                <w:rFonts w:ascii="Calibri" w:eastAsia="Times New Roman" w:hAnsi="Calibri" w:cs="Times New Roman"/>
                <w:color w:val="000000"/>
                <w:lang w:val="en-US"/>
              </w:rPr>
              <w:t>-0.54%</w:t>
            </w:r>
          </w:p>
        </w:tc>
        <w:tc>
          <w:tcPr>
            <w:tcW w:w="2418" w:type="dxa"/>
            <w:tcBorders>
              <w:top w:val="nil"/>
              <w:left w:val="nil"/>
              <w:bottom w:val="nil"/>
              <w:right w:val="nil"/>
            </w:tcBorders>
            <w:shd w:val="clear" w:color="auto" w:fill="auto"/>
            <w:noWrap/>
            <w:vAlign w:val="center"/>
            <w:hideMark/>
          </w:tcPr>
          <w:p w14:paraId="2E4665C8" w14:textId="77777777" w:rsidR="00FB1590" w:rsidRPr="00FB1590" w:rsidRDefault="00FB1590" w:rsidP="00FB1590">
            <w:pPr>
              <w:spacing w:after="0" w:line="240" w:lineRule="auto"/>
              <w:jc w:val="center"/>
              <w:rPr>
                <w:rFonts w:ascii="Calibri" w:eastAsia="Times New Roman" w:hAnsi="Calibri" w:cs="Times New Roman"/>
                <w:color w:val="000000"/>
                <w:lang w:val="en-US"/>
              </w:rPr>
            </w:pPr>
            <w:r w:rsidRPr="00FB1590">
              <w:rPr>
                <w:rFonts w:ascii="Calibri" w:eastAsia="Times New Roman" w:hAnsi="Calibri" w:cs="Times New Roman"/>
                <w:color w:val="000000"/>
                <w:lang w:val="en-US"/>
              </w:rPr>
              <w:t>£39.96</w:t>
            </w:r>
          </w:p>
        </w:tc>
        <w:tc>
          <w:tcPr>
            <w:tcW w:w="2136" w:type="dxa"/>
            <w:tcBorders>
              <w:top w:val="nil"/>
              <w:left w:val="nil"/>
              <w:bottom w:val="nil"/>
              <w:right w:val="single" w:sz="8" w:space="0" w:color="auto"/>
            </w:tcBorders>
            <w:shd w:val="clear" w:color="auto" w:fill="auto"/>
            <w:noWrap/>
            <w:vAlign w:val="center"/>
            <w:hideMark/>
          </w:tcPr>
          <w:p w14:paraId="5DBB78A1" w14:textId="77777777" w:rsidR="00FB1590" w:rsidRPr="00FA0017" w:rsidRDefault="00FA0017" w:rsidP="00FB1590">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£1.16Bn</w:t>
            </w:r>
          </w:p>
        </w:tc>
      </w:tr>
      <w:tr w:rsidR="00FB1590" w:rsidRPr="00FB1590" w14:paraId="6A7AA34A" w14:textId="77777777" w:rsidTr="00FB1590">
        <w:trPr>
          <w:trHeight w:val="436"/>
        </w:trPr>
        <w:tc>
          <w:tcPr>
            <w:tcW w:w="2136" w:type="dxa"/>
            <w:tcBorders>
              <w:top w:val="nil"/>
              <w:left w:val="single" w:sz="8" w:space="0" w:color="auto"/>
              <w:bottom w:val="single" w:sz="8" w:space="0" w:color="auto"/>
              <w:right w:val="nil"/>
            </w:tcBorders>
            <w:shd w:val="clear" w:color="auto" w:fill="auto"/>
            <w:noWrap/>
            <w:vAlign w:val="center"/>
            <w:hideMark/>
          </w:tcPr>
          <w:p w14:paraId="7F029470" w14:textId="77777777" w:rsidR="00FB1590" w:rsidRPr="001946C5" w:rsidRDefault="00FB1590" w:rsidP="001946C5">
            <w:pPr>
              <w:spacing w:after="0" w:line="240" w:lineRule="auto"/>
              <w:jc w:val="center"/>
              <w:rPr>
                <w:rFonts w:ascii="Calibri" w:eastAsia="Times New Roman" w:hAnsi="Calibri" w:cs="Times New Roman"/>
                <w:b/>
                <w:i/>
                <w:color w:val="000000"/>
                <w:lang w:val="en-US"/>
              </w:rPr>
            </w:pPr>
            <w:r w:rsidRPr="001946C5">
              <w:rPr>
                <w:rFonts w:ascii="Calibri" w:eastAsia="Times New Roman" w:hAnsi="Calibri" w:cs="Times New Roman"/>
                <w:b/>
                <w:i/>
                <w:color w:val="000000"/>
                <w:lang w:val="en-US"/>
              </w:rPr>
              <w:t>Individual sports</w:t>
            </w:r>
          </w:p>
        </w:tc>
        <w:tc>
          <w:tcPr>
            <w:tcW w:w="2136" w:type="dxa"/>
            <w:tcBorders>
              <w:top w:val="nil"/>
              <w:left w:val="nil"/>
              <w:bottom w:val="single" w:sz="8" w:space="0" w:color="auto"/>
              <w:right w:val="nil"/>
            </w:tcBorders>
            <w:shd w:val="clear" w:color="auto" w:fill="auto"/>
            <w:noWrap/>
            <w:vAlign w:val="center"/>
            <w:hideMark/>
          </w:tcPr>
          <w:p w14:paraId="210597AF" w14:textId="77777777" w:rsidR="00FB1590" w:rsidRPr="00FB1590" w:rsidRDefault="00FB1590" w:rsidP="00FB1590">
            <w:pPr>
              <w:spacing w:after="0" w:line="240" w:lineRule="auto"/>
              <w:jc w:val="center"/>
              <w:rPr>
                <w:rFonts w:ascii="Calibri" w:eastAsia="Times New Roman" w:hAnsi="Calibri" w:cs="Times New Roman"/>
                <w:color w:val="000000"/>
                <w:lang w:val="en-US"/>
              </w:rPr>
            </w:pPr>
            <w:r w:rsidRPr="00FB1590">
              <w:rPr>
                <w:rFonts w:ascii="Calibri" w:eastAsia="Times New Roman" w:hAnsi="Calibri" w:cs="Times New Roman"/>
                <w:color w:val="000000"/>
                <w:lang w:val="en-US"/>
              </w:rPr>
              <w:t>-0.46%</w:t>
            </w:r>
          </w:p>
        </w:tc>
        <w:tc>
          <w:tcPr>
            <w:tcW w:w="2418" w:type="dxa"/>
            <w:tcBorders>
              <w:top w:val="nil"/>
              <w:left w:val="nil"/>
              <w:bottom w:val="single" w:sz="8" w:space="0" w:color="auto"/>
              <w:right w:val="nil"/>
            </w:tcBorders>
            <w:shd w:val="clear" w:color="auto" w:fill="auto"/>
            <w:noWrap/>
            <w:vAlign w:val="center"/>
            <w:hideMark/>
          </w:tcPr>
          <w:p w14:paraId="6E98C5F3" w14:textId="77777777" w:rsidR="00FB1590" w:rsidRPr="00FB1590" w:rsidRDefault="00FB1590" w:rsidP="00FB1590">
            <w:pPr>
              <w:spacing w:after="0" w:line="240" w:lineRule="auto"/>
              <w:jc w:val="center"/>
              <w:rPr>
                <w:rFonts w:ascii="Calibri" w:eastAsia="Times New Roman" w:hAnsi="Calibri" w:cs="Times New Roman"/>
                <w:color w:val="000000"/>
                <w:lang w:val="en-US"/>
              </w:rPr>
            </w:pPr>
            <w:r w:rsidRPr="00FB1590">
              <w:rPr>
                <w:rFonts w:ascii="Calibri" w:eastAsia="Times New Roman" w:hAnsi="Calibri" w:cs="Times New Roman"/>
                <w:color w:val="000000"/>
                <w:lang w:val="en-US"/>
              </w:rPr>
              <w:t>£34.04</w:t>
            </w:r>
          </w:p>
        </w:tc>
        <w:tc>
          <w:tcPr>
            <w:tcW w:w="2136" w:type="dxa"/>
            <w:tcBorders>
              <w:top w:val="nil"/>
              <w:left w:val="nil"/>
              <w:bottom w:val="single" w:sz="8" w:space="0" w:color="auto"/>
              <w:right w:val="single" w:sz="8" w:space="0" w:color="auto"/>
            </w:tcBorders>
            <w:shd w:val="clear" w:color="auto" w:fill="auto"/>
            <w:noWrap/>
            <w:vAlign w:val="center"/>
            <w:hideMark/>
          </w:tcPr>
          <w:p w14:paraId="75EEF003" w14:textId="77777777" w:rsidR="00FB1590" w:rsidRPr="00FB1590" w:rsidRDefault="00AC3C50" w:rsidP="00FB1590">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£974.7</w:t>
            </w:r>
            <w:r w:rsidR="00FB1590" w:rsidRPr="00FB1590">
              <w:rPr>
                <w:rFonts w:ascii="Calibri" w:eastAsia="Times New Roman" w:hAnsi="Calibri" w:cs="Times New Roman"/>
                <w:color w:val="000000"/>
                <w:lang w:val="en-US"/>
              </w:rPr>
              <w:t>M</w:t>
            </w:r>
          </w:p>
        </w:tc>
      </w:tr>
    </w:tbl>
    <w:p w14:paraId="7DD745FD" w14:textId="77777777" w:rsidR="00A33D5A" w:rsidRPr="00952A8B" w:rsidRDefault="00A33D5A" w:rsidP="00AA35EA">
      <w:pPr>
        <w:pStyle w:val="ListParagraph"/>
        <w:widowControl w:val="0"/>
        <w:tabs>
          <w:tab w:val="left" w:pos="1890"/>
        </w:tabs>
        <w:spacing w:before="20"/>
        <w:ind w:left="0"/>
        <w:rPr>
          <w:rFonts w:cs="Arial"/>
          <w:sz w:val="24"/>
          <w:szCs w:val="24"/>
          <w:u w:val="single"/>
        </w:rPr>
      </w:pPr>
    </w:p>
    <w:p w14:paraId="46A501A2" w14:textId="77777777" w:rsidR="00AA35EA" w:rsidRDefault="00AA35EA" w:rsidP="00AA35EA">
      <w:pPr>
        <w:pStyle w:val="ListParagraph"/>
        <w:widowControl w:val="0"/>
        <w:tabs>
          <w:tab w:val="left" w:pos="1890"/>
        </w:tabs>
        <w:spacing w:before="20"/>
        <w:ind w:left="0"/>
        <w:rPr>
          <w:rFonts w:cs="Arial"/>
          <w:b/>
          <w:sz w:val="24"/>
          <w:szCs w:val="24"/>
          <w:u w:val="single"/>
        </w:rPr>
      </w:pPr>
      <w:r>
        <w:rPr>
          <w:rFonts w:cs="Arial"/>
          <w:b/>
          <w:sz w:val="24"/>
          <w:szCs w:val="24"/>
          <w:u w:val="single"/>
        </w:rPr>
        <w:t xml:space="preserve">Education </w:t>
      </w:r>
    </w:p>
    <w:p w14:paraId="433C6E1B" w14:textId="77777777" w:rsidR="00AA35EA" w:rsidRPr="00952A8B" w:rsidRDefault="00AA35EA" w:rsidP="00AA35EA">
      <w:pPr>
        <w:pStyle w:val="ListParagraph"/>
        <w:widowControl w:val="0"/>
        <w:tabs>
          <w:tab w:val="left" w:pos="1890"/>
        </w:tabs>
        <w:spacing w:before="20"/>
        <w:ind w:left="0"/>
        <w:rPr>
          <w:rFonts w:cs="Arial"/>
          <w:b/>
          <w:sz w:val="24"/>
          <w:szCs w:val="24"/>
          <w:u w:val="single"/>
        </w:rPr>
      </w:pPr>
      <w:r w:rsidRPr="00952A8B">
        <w:rPr>
          <w:rFonts w:cs="Arial"/>
          <w:sz w:val="24"/>
          <w:szCs w:val="24"/>
        </w:rPr>
        <w:t>After controlling for the main determinants of</w:t>
      </w:r>
      <w:r>
        <w:rPr>
          <w:rFonts w:cs="Arial"/>
          <w:sz w:val="24"/>
          <w:szCs w:val="24"/>
        </w:rPr>
        <w:t xml:space="preserve"> education attendance and looking at the sub-sample of 16-18 year olds:</w:t>
      </w:r>
    </w:p>
    <w:p w14:paraId="0058DBE0" w14:textId="77777777" w:rsidR="00AA35EA" w:rsidRPr="00BE732E" w:rsidRDefault="004E7E87" w:rsidP="00B33794">
      <w:pPr>
        <w:pStyle w:val="ListParagraph"/>
        <w:numPr>
          <w:ilvl w:val="0"/>
          <w:numId w:val="24"/>
        </w:numPr>
        <w:tabs>
          <w:tab w:val="left" w:pos="1890"/>
        </w:tabs>
        <w:spacing w:after="0" w:line="240" w:lineRule="auto"/>
        <w:rPr>
          <w:rFonts w:cs="Arial"/>
          <w:sz w:val="24"/>
          <w:szCs w:val="24"/>
        </w:rPr>
      </w:pPr>
      <w:r w:rsidRPr="00B33794">
        <w:rPr>
          <w:rFonts w:cs="Arial"/>
          <w:sz w:val="24"/>
          <w:szCs w:val="24"/>
        </w:rPr>
        <w:t>We predict that p</w:t>
      </w:r>
      <w:r w:rsidR="00AA35EA" w:rsidRPr="00B33794">
        <w:rPr>
          <w:rFonts w:cs="Arial"/>
          <w:sz w:val="24"/>
          <w:szCs w:val="24"/>
        </w:rPr>
        <w:t xml:space="preserve">articipants in arts are </w:t>
      </w:r>
      <w:r w:rsidR="00B33794" w:rsidRPr="00B33794">
        <w:rPr>
          <w:rFonts w:cs="Arial"/>
          <w:sz w:val="24"/>
          <w:szCs w:val="24"/>
        </w:rPr>
        <w:t xml:space="preserve">about </w:t>
      </w:r>
      <w:r w:rsidRPr="00B33794">
        <w:rPr>
          <w:rFonts w:cs="Arial"/>
          <w:sz w:val="24"/>
          <w:szCs w:val="24"/>
        </w:rPr>
        <w:t xml:space="preserve">1% more likely </w:t>
      </w:r>
      <w:r w:rsidR="00AA35EA" w:rsidRPr="00B33794">
        <w:rPr>
          <w:rFonts w:cs="Arial"/>
          <w:sz w:val="24"/>
          <w:szCs w:val="24"/>
        </w:rPr>
        <w:t xml:space="preserve">to go on to further education than those who do not. </w:t>
      </w:r>
      <w:r w:rsidRPr="00B33794">
        <w:rPr>
          <w:rFonts w:cs="Arial"/>
          <w:sz w:val="24"/>
          <w:szCs w:val="24"/>
        </w:rPr>
        <w:t xml:space="preserve">For </w:t>
      </w:r>
      <w:r w:rsidR="00B33794">
        <w:rPr>
          <w:rFonts w:cs="Arial"/>
          <w:sz w:val="24"/>
          <w:szCs w:val="24"/>
        </w:rPr>
        <w:t>t</w:t>
      </w:r>
      <w:r w:rsidR="00AA35EA" w:rsidRPr="00B33794">
        <w:rPr>
          <w:rFonts w:cs="Arial"/>
          <w:sz w:val="24"/>
          <w:szCs w:val="24"/>
        </w:rPr>
        <w:t xml:space="preserve">hose who visit </w:t>
      </w:r>
      <w:r w:rsidR="00B33794">
        <w:rPr>
          <w:rFonts w:cs="Arial"/>
          <w:sz w:val="24"/>
          <w:szCs w:val="24"/>
        </w:rPr>
        <w:t xml:space="preserve">heritage sites and for those that visit </w:t>
      </w:r>
      <w:r w:rsidR="00AA35EA" w:rsidRPr="00B33794">
        <w:rPr>
          <w:rFonts w:cs="Arial"/>
          <w:sz w:val="24"/>
          <w:szCs w:val="24"/>
        </w:rPr>
        <w:t xml:space="preserve">libraries </w:t>
      </w:r>
      <w:r w:rsidR="00B33794">
        <w:rPr>
          <w:rFonts w:cs="Arial"/>
          <w:sz w:val="24"/>
          <w:szCs w:val="24"/>
        </w:rPr>
        <w:t>this figure is estimated to be about 1% and 0.7% respectively.</w:t>
      </w:r>
    </w:p>
    <w:p w14:paraId="6BF7E096" w14:textId="77777777" w:rsidR="001B46B5" w:rsidRDefault="00AA35EA" w:rsidP="00AA35EA">
      <w:pPr>
        <w:pStyle w:val="ListParagraph"/>
        <w:numPr>
          <w:ilvl w:val="0"/>
          <w:numId w:val="24"/>
        </w:numPr>
        <w:tabs>
          <w:tab w:val="left" w:pos="1890"/>
        </w:tabs>
        <w:spacing w:after="0" w:line="240" w:lineRule="auto"/>
        <w:rPr>
          <w:rFonts w:cs="Arial"/>
          <w:sz w:val="24"/>
          <w:szCs w:val="24"/>
        </w:rPr>
      </w:pPr>
      <w:r>
        <w:rPr>
          <w:rFonts w:cs="Arial"/>
          <w:sz w:val="24"/>
          <w:szCs w:val="24"/>
        </w:rPr>
        <w:t xml:space="preserve">The per-person lifetime </w:t>
      </w:r>
      <w:r w:rsidR="001B46B5">
        <w:rPr>
          <w:rFonts w:cs="Arial"/>
          <w:sz w:val="24"/>
          <w:szCs w:val="24"/>
        </w:rPr>
        <w:t>private benefits in wages from the</w:t>
      </w:r>
      <w:r>
        <w:rPr>
          <w:rFonts w:cs="Arial"/>
          <w:sz w:val="24"/>
          <w:szCs w:val="24"/>
        </w:rPr>
        <w:t xml:space="preserve"> higher likelihood of attending further/higher education are estimated as </w:t>
      </w:r>
      <w:r w:rsidR="001B46B5">
        <w:rPr>
          <w:rFonts w:cs="Arial"/>
          <w:sz w:val="24"/>
          <w:szCs w:val="24"/>
        </w:rPr>
        <w:t>£2</w:t>
      </w:r>
      <w:r w:rsidRPr="00792308">
        <w:rPr>
          <w:rFonts w:cs="Arial"/>
          <w:sz w:val="24"/>
          <w:szCs w:val="24"/>
        </w:rPr>
        <w:t>,</w:t>
      </w:r>
      <w:r w:rsidR="001B46B5">
        <w:rPr>
          <w:rFonts w:cs="Arial"/>
          <w:sz w:val="24"/>
          <w:szCs w:val="24"/>
        </w:rPr>
        <w:t>38</w:t>
      </w:r>
      <w:r>
        <w:rPr>
          <w:rFonts w:cs="Arial"/>
          <w:sz w:val="24"/>
          <w:szCs w:val="24"/>
        </w:rPr>
        <w:t>0 (p</w:t>
      </w:r>
      <w:r w:rsidRPr="00952A8B">
        <w:rPr>
          <w:rFonts w:cs="Arial"/>
          <w:sz w:val="24"/>
          <w:szCs w:val="24"/>
        </w:rPr>
        <w:t>articipants in arts</w:t>
      </w:r>
      <w:r w:rsidR="001B46B5">
        <w:rPr>
          <w:rFonts w:cs="Arial"/>
          <w:sz w:val="24"/>
          <w:szCs w:val="24"/>
        </w:rPr>
        <w:t>); £2,465</w:t>
      </w:r>
      <w:r>
        <w:rPr>
          <w:rFonts w:cs="Arial"/>
          <w:sz w:val="24"/>
          <w:szCs w:val="24"/>
        </w:rPr>
        <w:t xml:space="preserve"> (</w:t>
      </w:r>
      <w:r w:rsidRPr="00952A8B">
        <w:rPr>
          <w:rFonts w:cs="Arial"/>
          <w:sz w:val="24"/>
          <w:szCs w:val="24"/>
        </w:rPr>
        <w:t>heritage</w:t>
      </w:r>
      <w:r w:rsidR="00515EEB">
        <w:rPr>
          <w:rFonts w:cs="Arial"/>
          <w:sz w:val="24"/>
          <w:szCs w:val="24"/>
        </w:rPr>
        <w:t xml:space="preserve"> visits</w:t>
      </w:r>
      <w:r w:rsidR="001B46B5">
        <w:rPr>
          <w:rFonts w:cs="Arial"/>
          <w:sz w:val="24"/>
          <w:szCs w:val="24"/>
        </w:rPr>
        <w:t>) and £1,587</w:t>
      </w:r>
      <w:r>
        <w:rPr>
          <w:rFonts w:cs="Arial"/>
          <w:sz w:val="24"/>
          <w:szCs w:val="24"/>
        </w:rPr>
        <w:t xml:space="preserve"> (libraries). </w:t>
      </w:r>
    </w:p>
    <w:p w14:paraId="1F6FCDE3" w14:textId="77777777" w:rsidR="001B46B5" w:rsidRDefault="001B46B5" w:rsidP="001B46B5">
      <w:pPr>
        <w:pStyle w:val="ListParagraph"/>
        <w:numPr>
          <w:ilvl w:val="0"/>
          <w:numId w:val="24"/>
        </w:numPr>
        <w:tabs>
          <w:tab w:val="left" w:pos="1890"/>
        </w:tabs>
        <w:spacing w:after="0" w:line="240" w:lineRule="auto"/>
        <w:rPr>
          <w:rFonts w:cs="Arial"/>
          <w:sz w:val="24"/>
          <w:szCs w:val="24"/>
        </w:rPr>
      </w:pPr>
      <w:r>
        <w:rPr>
          <w:rFonts w:cs="Arial"/>
          <w:sz w:val="24"/>
          <w:szCs w:val="24"/>
        </w:rPr>
        <w:t>The per-person lifetime public benefits in increased tax receipts from the higher likelihood of attending further/higher education are estimated as £790.59 (p</w:t>
      </w:r>
      <w:r w:rsidRPr="00952A8B">
        <w:rPr>
          <w:rFonts w:cs="Arial"/>
          <w:sz w:val="24"/>
          <w:szCs w:val="24"/>
        </w:rPr>
        <w:t>articipants in arts</w:t>
      </w:r>
      <w:r>
        <w:rPr>
          <w:rFonts w:cs="Arial"/>
          <w:sz w:val="24"/>
          <w:szCs w:val="24"/>
        </w:rPr>
        <w:t>); £818.62 (</w:t>
      </w:r>
      <w:r w:rsidRPr="00952A8B">
        <w:rPr>
          <w:rFonts w:cs="Arial"/>
          <w:sz w:val="24"/>
          <w:szCs w:val="24"/>
        </w:rPr>
        <w:t>heritage</w:t>
      </w:r>
      <w:r>
        <w:rPr>
          <w:rFonts w:cs="Arial"/>
          <w:sz w:val="24"/>
          <w:szCs w:val="24"/>
        </w:rPr>
        <w:t xml:space="preserve"> visits) and £527.06 (libraries). </w:t>
      </w:r>
    </w:p>
    <w:p w14:paraId="1F3A34D7" w14:textId="77777777" w:rsidR="00450D36" w:rsidRDefault="00450D36" w:rsidP="00450D36">
      <w:pPr>
        <w:pStyle w:val="ListParagraph"/>
        <w:tabs>
          <w:tab w:val="left" w:pos="1890"/>
        </w:tabs>
        <w:spacing w:after="0" w:line="240" w:lineRule="auto"/>
        <w:rPr>
          <w:rFonts w:cs="Arial"/>
          <w:sz w:val="24"/>
          <w:szCs w:val="24"/>
        </w:rPr>
      </w:pPr>
    </w:p>
    <w:p w14:paraId="1709D880" w14:textId="77777777" w:rsidR="003B2CA5" w:rsidRPr="003B2CA5" w:rsidRDefault="003B2CA5" w:rsidP="003B2CA5">
      <w:pPr>
        <w:pStyle w:val="ListParagraph"/>
        <w:tabs>
          <w:tab w:val="left" w:pos="1890"/>
        </w:tabs>
        <w:spacing w:after="0" w:line="240" w:lineRule="auto"/>
        <w:ind w:left="0"/>
        <w:rPr>
          <w:rFonts w:cs="Arial"/>
          <w:b/>
          <w:sz w:val="24"/>
          <w:szCs w:val="24"/>
        </w:rPr>
      </w:pPr>
      <w:r>
        <w:rPr>
          <w:rFonts w:cs="Arial"/>
          <w:b/>
          <w:sz w:val="24"/>
          <w:szCs w:val="24"/>
        </w:rPr>
        <w:t>Table 3: Summary of education results</w:t>
      </w:r>
    </w:p>
    <w:tbl>
      <w:tblPr>
        <w:tblW w:w="9427" w:type="dxa"/>
        <w:tblInd w:w="93" w:type="dxa"/>
        <w:tblLook w:val="04A0" w:firstRow="1" w:lastRow="0" w:firstColumn="1" w:lastColumn="0" w:noHBand="0" w:noVBand="1"/>
      </w:tblPr>
      <w:tblGrid>
        <w:gridCol w:w="1614"/>
        <w:gridCol w:w="1542"/>
        <w:gridCol w:w="1217"/>
        <w:gridCol w:w="1614"/>
        <w:gridCol w:w="1826"/>
        <w:gridCol w:w="1614"/>
      </w:tblGrid>
      <w:tr w:rsidR="00450D36" w:rsidRPr="00450D36" w14:paraId="5096917A" w14:textId="77777777" w:rsidTr="00450D36">
        <w:trPr>
          <w:trHeight w:val="1362"/>
        </w:trPr>
        <w:tc>
          <w:tcPr>
            <w:tcW w:w="1614" w:type="dxa"/>
            <w:tcBorders>
              <w:top w:val="single" w:sz="8" w:space="0" w:color="auto"/>
              <w:left w:val="single" w:sz="8" w:space="0" w:color="auto"/>
              <w:bottom w:val="nil"/>
              <w:right w:val="nil"/>
            </w:tcBorders>
            <w:shd w:val="clear" w:color="000000" w:fill="0070C0"/>
            <w:vAlign w:val="center"/>
            <w:hideMark/>
          </w:tcPr>
          <w:p w14:paraId="6FC36969" w14:textId="77777777" w:rsidR="00450D36" w:rsidRPr="00450D36" w:rsidRDefault="00450D36" w:rsidP="00450D36">
            <w:pPr>
              <w:spacing w:after="0" w:line="240" w:lineRule="auto"/>
              <w:jc w:val="center"/>
              <w:rPr>
                <w:rFonts w:ascii="Calibri" w:eastAsia="Times New Roman" w:hAnsi="Calibri" w:cs="Times New Roman"/>
                <w:b/>
                <w:bCs/>
                <w:color w:val="FFFFFF"/>
                <w:lang w:val="en-US"/>
              </w:rPr>
            </w:pPr>
            <w:r w:rsidRPr="00450D36">
              <w:rPr>
                <w:rFonts w:ascii="Calibri" w:eastAsia="Times New Roman" w:hAnsi="Calibri" w:cs="Times New Roman"/>
                <w:b/>
                <w:bCs/>
                <w:color w:val="FFFFFF"/>
                <w:lang w:val="en-US"/>
              </w:rPr>
              <w:t>Activity</w:t>
            </w:r>
          </w:p>
        </w:tc>
        <w:tc>
          <w:tcPr>
            <w:tcW w:w="1542" w:type="dxa"/>
            <w:tcBorders>
              <w:top w:val="single" w:sz="8" w:space="0" w:color="auto"/>
              <w:left w:val="single" w:sz="8" w:space="0" w:color="auto"/>
              <w:bottom w:val="nil"/>
              <w:right w:val="single" w:sz="8" w:space="0" w:color="auto"/>
            </w:tcBorders>
            <w:shd w:val="clear" w:color="000000" w:fill="0070C0"/>
            <w:vAlign w:val="center"/>
            <w:hideMark/>
          </w:tcPr>
          <w:p w14:paraId="36AFC2DA" w14:textId="77777777" w:rsidR="00450D36" w:rsidRPr="00450D36" w:rsidRDefault="00450D36" w:rsidP="00450D36">
            <w:pPr>
              <w:spacing w:after="0" w:line="240" w:lineRule="auto"/>
              <w:jc w:val="center"/>
              <w:rPr>
                <w:rFonts w:ascii="Calibri" w:eastAsia="Times New Roman" w:hAnsi="Calibri" w:cs="Times New Roman"/>
                <w:b/>
                <w:bCs/>
                <w:color w:val="FFFFFF"/>
                <w:lang w:val="en-US"/>
              </w:rPr>
            </w:pPr>
            <w:r w:rsidRPr="00450D36">
              <w:rPr>
                <w:rFonts w:ascii="Calibri" w:eastAsia="Times New Roman" w:hAnsi="Calibri" w:cs="Times New Roman"/>
                <w:b/>
                <w:bCs/>
                <w:color w:val="FFFFFF"/>
                <w:lang w:val="en-US"/>
              </w:rPr>
              <w:t>Type of impact</w:t>
            </w:r>
          </w:p>
        </w:tc>
        <w:tc>
          <w:tcPr>
            <w:tcW w:w="1217" w:type="dxa"/>
            <w:tcBorders>
              <w:top w:val="single" w:sz="8" w:space="0" w:color="auto"/>
              <w:left w:val="nil"/>
              <w:bottom w:val="nil"/>
              <w:right w:val="single" w:sz="8" w:space="0" w:color="auto"/>
            </w:tcBorders>
            <w:shd w:val="clear" w:color="000000" w:fill="0070C0"/>
            <w:vAlign w:val="center"/>
            <w:hideMark/>
          </w:tcPr>
          <w:p w14:paraId="0FD2F9A5" w14:textId="77777777" w:rsidR="00450D36" w:rsidRPr="00450D36" w:rsidRDefault="00450D36" w:rsidP="00450D36">
            <w:pPr>
              <w:spacing w:after="0" w:line="240" w:lineRule="auto"/>
              <w:jc w:val="center"/>
              <w:rPr>
                <w:rFonts w:ascii="Calibri" w:eastAsia="Times New Roman" w:hAnsi="Calibri" w:cs="Times New Roman"/>
                <w:b/>
                <w:bCs/>
                <w:color w:val="FFFFFF"/>
                <w:lang w:val="en-US"/>
              </w:rPr>
            </w:pPr>
            <w:r w:rsidRPr="00450D36">
              <w:rPr>
                <w:rFonts w:ascii="Calibri" w:eastAsia="Times New Roman" w:hAnsi="Calibri" w:cs="Times New Roman"/>
                <w:b/>
                <w:bCs/>
                <w:color w:val="FFFFFF"/>
                <w:lang w:val="en-US"/>
              </w:rPr>
              <w:t>Probability impact on likelihood of being very likely to enter further education</w:t>
            </w:r>
          </w:p>
        </w:tc>
        <w:tc>
          <w:tcPr>
            <w:tcW w:w="1614" w:type="dxa"/>
            <w:tcBorders>
              <w:top w:val="single" w:sz="8" w:space="0" w:color="auto"/>
              <w:left w:val="nil"/>
              <w:bottom w:val="nil"/>
              <w:right w:val="single" w:sz="8" w:space="0" w:color="auto"/>
            </w:tcBorders>
            <w:shd w:val="clear" w:color="000000" w:fill="0070C0"/>
            <w:vAlign w:val="center"/>
            <w:hideMark/>
          </w:tcPr>
          <w:p w14:paraId="2BBFD741" w14:textId="77777777" w:rsidR="00450D36" w:rsidRPr="00450D36" w:rsidRDefault="00450D36" w:rsidP="00450D36">
            <w:pPr>
              <w:spacing w:after="0" w:line="240" w:lineRule="auto"/>
              <w:jc w:val="center"/>
              <w:rPr>
                <w:rFonts w:ascii="Calibri" w:eastAsia="Times New Roman" w:hAnsi="Calibri" w:cs="Times New Roman"/>
                <w:b/>
                <w:bCs/>
                <w:color w:val="FFFFFF"/>
                <w:lang w:val="en-US"/>
              </w:rPr>
            </w:pPr>
            <w:r w:rsidRPr="00450D36">
              <w:rPr>
                <w:rFonts w:ascii="Calibri" w:eastAsia="Times New Roman" w:hAnsi="Calibri" w:cs="Times New Roman"/>
                <w:b/>
                <w:bCs/>
                <w:color w:val="FFFFFF"/>
                <w:lang w:val="en-US"/>
              </w:rPr>
              <w:t>Probability impact on actually entering into further education</w:t>
            </w:r>
          </w:p>
        </w:tc>
        <w:tc>
          <w:tcPr>
            <w:tcW w:w="1826" w:type="dxa"/>
            <w:tcBorders>
              <w:top w:val="single" w:sz="8" w:space="0" w:color="auto"/>
              <w:left w:val="nil"/>
              <w:bottom w:val="nil"/>
              <w:right w:val="single" w:sz="8" w:space="0" w:color="auto"/>
            </w:tcBorders>
            <w:shd w:val="clear" w:color="000000" w:fill="0070C0"/>
            <w:vAlign w:val="center"/>
            <w:hideMark/>
          </w:tcPr>
          <w:p w14:paraId="79B1A7CF" w14:textId="77777777" w:rsidR="00450D36" w:rsidRPr="00450D36" w:rsidRDefault="00450D36" w:rsidP="00450D36">
            <w:pPr>
              <w:spacing w:after="0" w:line="240" w:lineRule="auto"/>
              <w:jc w:val="center"/>
              <w:rPr>
                <w:rFonts w:ascii="Calibri" w:eastAsia="Times New Roman" w:hAnsi="Calibri" w:cs="Times New Roman"/>
                <w:b/>
                <w:bCs/>
                <w:color w:val="FFFFFF"/>
                <w:lang w:val="en-US"/>
              </w:rPr>
            </w:pPr>
            <w:r w:rsidRPr="00450D36">
              <w:rPr>
                <w:rFonts w:ascii="Calibri" w:eastAsia="Times New Roman" w:hAnsi="Calibri" w:cs="Times New Roman"/>
                <w:b/>
                <w:bCs/>
                <w:color w:val="FFFFFF"/>
                <w:lang w:val="en-US"/>
              </w:rPr>
              <w:t>Net private benefits</w:t>
            </w:r>
            <w:r w:rsidR="003B1137">
              <w:rPr>
                <w:rFonts w:ascii="Calibri" w:eastAsia="Times New Roman" w:hAnsi="Calibri" w:cs="Times New Roman"/>
                <w:b/>
                <w:bCs/>
                <w:color w:val="FFFFFF"/>
                <w:lang w:val="en-US"/>
              </w:rPr>
              <w:t xml:space="preserve"> (per person)</w:t>
            </w:r>
          </w:p>
        </w:tc>
        <w:tc>
          <w:tcPr>
            <w:tcW w:w="1614" w:type="dxa"/>
            <w:tcBorders>
              <w:top w:val="single" w:sz="8" w:space="0" w:color="auto"/>
              <w:left w:val="nil"/>
              <w:bottom w:val="nil"/>
              <w:right w:val="single" w:sz="8" w:space="0" w:color="auto"/>
            </w:tcBorders>
            <w:shd w:val="clear" w:color="000000" w:fill="0070C0"/>
            <w:vAlign w:val="center"/>
            <w:hideMark/>
          </w:tcPr>
          <w:p w14:paraId="2F7FB02E" w14:textId="77777777" w:rsidR="00450D36" w:rsidRPr="00450D36" w:rsidRDefault="00450D36" w:rsidP="00450D36">
            <w:pPr>
              <w:spacing w:after="0" w:line="240" w:lineRule="auto"/>
              <w:jc w:val="center"/>
              <w:rPr>
                <w:rFonts w:ascii="Calibri" w:eastAsia="Times New Roman" w:hAnsi="Calibri" w:cs="Times New Roman"/>
                <w:b/>
                <w:bCs/>
                <w:color w:val="FFFFFF"/>
                <w:lang w:val="en-US"/>
              </w:rPr>
            </w:pPr>
            <w:r w:rsidRPr="00450D36">
              <w:rPr>
                <w:rFonts w:ascii="Calibri" w:eastAsia="Times New Roman" w:hAnsi="Calibri" w:cs="Times New Roman"/>
                <w:b/>
                <w:bCs/>
                <w:color w:val="FFFFFF"/>
                <w:lang w:val="en-US"/>
              </w:rPr>
              <w:t>Net public benefits</w:t>
            </w:r>
            <w:r w:rsidR="003B1137">
              <w:rPr>
                <w:rFonts w:ascii="Calibri" w:eastAsia="Times New Roman" w:hAnsi="Calibri" w:cs="Times New Roman"/>
                <w:b/>
                <w:bCs/>
                <w:color w:val="FFFFFF"/>
                <w:lang w:val="en-US"/>
              </w:rPr>
              <w:t xml:space="preserve"> (per person)</w:t>
            </w:r>
          </w:p>
        </w:tc>
      </w:tr>
      <w:tr w:rsidR="00450D36" w:rsidRPr="00450D36" w14:paraId="0DE7EBD0" w14:textId="77777777" w:rsidTr="00450D36">
        <w:trPr>
          <w:trHeight w:val="288"/>
        </w:trPr>
        <w:tc>
          <w:tcPr>
            <w:tcW w:w="1614" w:type="dxa"/>
            <w:tcBorders>
              <w:top w:val="single" w:sz="8" w:space="0" w:color="auto"/>
              <w:left w:val="single" w:sz="8" w:space="0" w:color="auto"/>
              <w:bottom w:val="nil"/>
              <w:right w:val="nil"/>
            </w:tcBorders>
            <w:shd w:val="clear" w:color="000000" w:fill="FFFFFF"/>
            <w:vAlign w:val="center"/>
            <w:hideMark/>
          </w:tcPr>
          <w:p w14:paraId="3B57DB13" w14:textId="77777777" w:rsidR="00450D36" w:rsidRPr="00450D36" w:rsidRDefault="00450D36" w:rsidP="00450D36">
            <w:pPr>
              <w:spacing w:after="0" w:line="240" w:lineRule="auto"/>
              <w:jc w:val="center"/>
              <w:rPr>
                <w:rFonts w:ascii="Calibri" w:eastAsia="Times New Roman" w:hAnsi="Calibri" w:cs="Times New Roman"/>
                <w:b/>
                <w:bCs/>
                <w:i/>
                <w:iCs/>
                <w:color w:val="000000"/>
                <w:lang w:val="en-US"/>
              </w:rPr>
            </w:pPr>
            <w:r w:rsidRPr="00450D36">
              <w:rPr>
                <w:rFonts w:ascii="Calibri" w:eastAsia="Times New Roman" w:hAnsi="Calibri" w:cs="Times New Roman"/>
                <w:b/>
                <w:bCs/>
                <w:i/>
                <w:iCs/>
                <w:color w:val="000000"/>
                <w:lang w:val="en-US"/>
              </w:rPr>
              <w:t>Participation arts</w:t>
            </w:r>
          </w:p>
        </w:tc>
        <w:tc>
          <w:tcPr>
            <w:tcW w:w="1542" w:type="dxa"/>
            <w:tcBorders>
              <w:top w:val="single" w:sz="8" w:space="0" w:color="auto"/>
              <w:left w:val="nil"/>
              <w:bottom w:val="nil"/>
              <w:right w:val="nil"/>
            </w:tcBorders>
            <w:shd w:val="clear" w:color="000000" w:fill="FFFFFF"/>
            <w:vAlign w:val="center"/>
            <w:hideMark/>
          </w:tcPr>
          <w:p w14:paraId="347C3501"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Further/higher education</w:t>
            </w:r>
          </w:p>
        </w:tc>
        <w:tc>
          <w:tcPr>
            <w:tcW w:w="1217" w:type="dxa"/>
            <w:tcBorders>
              <w:top w:val="single" w:sz="8" w:space="0" w:color="auto"/>
              <w:left w:val="nil"/>
              <w:bottom w:val="nil"/>
              <w:right w:val="nil"/>
            </w:tcBorders>
            <w:shd w:val="clear" w:color="000000" w:fill="FFFFFF"/>
            <w:noWrap/>
            <w:vAlign w:val="bottom"/>
            <w:hideMark/>
          </w:tcPr>
          <w:p w14:paraId="1C0A3DAF"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14.10%</w:t>
            </w:r>
          </w:p>
        </w:tc>
        <w:tc>
          <w:tcPr>
            <w:tcW w:w="1614" w:type="dxa"/>
            <w:tcBorders>
              <w:top w:val="single" w:sz="8" w:space="0" w:color="auto"/>
              <w:left w:val="nil"/>
              <w:bottom w:val="nil"/>
              <w:right w:val="nil"/>
            </w:tcBorders>
            <w:shd w:val="clear" w:color="000000" w:fill="FFFFFF"/>
            <w:noWrap/>
            <w:vAlign w:val="bottom"/>
            <w:hideMark/>
          </w:tcPr>
          <w:p w14:paraId="4FED1FA4"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0.99%</w:t>
            </w:r>
          </w:p>
        </w:tc>
        <w:tc>
          <w:tcPr>
            <w:tcW w:w="1826" w:type="dxa"/>
            <w:tcBorders>
              <w:top w:val="single" w:sz="8" w:space="0" w:color="auto"/>
              <w:left w:val="nil"/>
              <w:bottom w:val="nil"/>
              <w:right w:val="nil"/>
            </w:tcBorders>
            <w:shd w:val="clear" w:color="000000" w:fill="FFFFFF"/>
            <w:noWrap/>
            <w:vAlign w:val="center"/>
            <w:hideMark/>
          </w:tcPr>
          <w:p w14:paraId="56E3B1D7"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£2,380.15</w:t>
            </w:r>
          </w:p>
        </w:tc>
        <w:tc>
          <w:tcPr>
            <w:tcW w:w="1614" w:type="dxa"/>
            <w:tcBorders>
              <w:top w:val="single" w:sz="8" w:space="0" w:color="auto"/>
              <w:left w:val="nil"/>
              <w:bottom w:val="nil"/>
              <w:right w:val="single" w:sz="8" w:space="0" w:color="auto"/>
            </w:tcBorders>
            <w:shd w:val="clear" w:color="000000" w:fill="FFFFFF"/>
            <w:noWrap/>
            <w:vAlign w:val="center"/>
            <w:hideMark/>
          </w:tcPr>
          <w:p w14:paraId="782A6815"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£790.59</w:t>
            </w:r>
          </w:p>
        </w:tc>
      </w:tr>
      <w:tr w:rsidR="00450D36" w:rsidRPr="00450D36" w14:paraId="1EC6E80D" w14:textId="77777777" w:rsidTr="00450D36">
        <w:trPr>
          <w:trHeight w:val="288"/>
        </w:trPr>
        <w:tc>
          <w:tcPr>
            <w:tcW w:w="1614" w:type="dxa"/>
            <w:tcBorders>
              <w:top w:val="nil"/>
              <w:left w:val="single" w:sz="8" w:space="0" w:color="auto"/>
              <w:bottom w:val="nil"/>
              <w:right w:val="nil"/>
            </w:tcBorders>
            <w:shd w:val="clear" w:color="000000" w:fill="FFFFFF"/>
            <w:noWrap/>
            <w:vAlign w:val="bottom"/>
            <w:hideMark/>
          </w:tcPr>
          <w:p w14:paraId="154E398C" w14:textId="77777777" w:rsidR="00450D36" w:rsidRPr="00450D36" w:rsidRDefault="00450D36" w:rsidP="00450D36">
            <w:pPr>
              <w:spacing w:after="0" w:line="240" w:lineRule="auto"/>
              <w:jc w:val="center"/>
              <w:rPr>
                <w:rFonts w:ascii="Calibri" w:eastAsia="Times New Roman" w:hAnsi="Calibri" w:cs="Times New Roman"/>
                <w:b/>
                <w:bCs/>
                <w:i/>
                <w:iCs/>
                <w:color w:val="000000"/>
                <w:lang w:val="en-US"/>
              </w:rPr>
            </w:pPr>
            <w:r w:rsidRPr="00450D36">
              <w:rPr>
                <w:rFonts w:ascii="Calibri" w:eastAsia="Times New Roman" w:hAnsi="Calibri" w:cs="Times New Roman"/>
                <w:b/>
                <w:bCs/>
                <w:i/>
                <w:iCs/>
                <w:color w:val="000000"/>
                <w:lang w:val="en-US"/>
              </w:rPr>
              <w:t>Heritage</w:t>
            </w:r>
          </w:p>
        </w:tc>
        <w:tc>
          <w:tcPr>
            <w:tcW w:w="1542" w:type="dxa"/>
            <w:tcBorders>
              <w:top w:val="nil"/>
              <w:left w:val="nil"/>
              <w:bottom w:val="nil"/>
              <w:right w:val="nil"/>
            </w:tcBorders>
            <w:shd w:val="clear" w:color="000000" w:fill="FFFFFF"/>
            <w:vAlign w:val="center"/>
            <w:hideMark/>
          </w:tcPr>
          <w:p w14:paraId="75025F10"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Further/higher education</w:t>
            </w:r>
          </w:p>
        </w:tc>
        <w:tc>
          <w:tcPr>
            <w:tcW w:w="1217" w:type="dxa"/>
            <w:tcBorders>
              <w:top w:val="nil"/>
              <w:left w:val="nil"/>
              <w:bottom w:val="nil"/>
              <w:right w:val="nil"/>
            </w:tcBorders>
            <w:shd w:val="clear" w:color="000000" w:fill="FFFFFF"/>
            <w:noWrap/>
            <w:vAlign w:val="bottom"/>
            <w:hideMark/>
          </w:tcPr>
          <w:p w14:paraId="7705D348"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14.60%</w:t>
            </w:r>
          </w:p>
        </w:tc>
        <w:tc>
          <w:tcPr>
            <w:tcW w:w="1614" w:type="dxa"/>
            <w:tcBorders>
              <w:top w:val="nil"/>
              <w:left w:val="nil"/>
              <w:bottom w:val="nil"/>
              <w:right w:val="nil"/>
            </w:tcBorders>
            <w:shd w:val="clear" w:color="000000" w:fill="FFFFFF"/>
            <w:noWrap/>
            <w:vAlign w:val="bottom"/>
            <w:hideMark/>
          </w:tcPr>
          <w:p w14:paraId="358775B5"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1.02%</w:t>
            </w:r>
          </w:p>
        </w:tc>
        <w:tc>
          <w:tcPr>
            <w:tcW w:w="1826" w:type="dxa"/>
            <w:tcBorders>
              <w:top w:val="nil"/>
              <w:left w:val="nil"/>
              <w:bottom w:val="nil"/>
              <w:right w:val="nil"/>
            </w:tcBorders>
            <w:shd w:val="clear" w:color="000000" w:fill="FFFFFF"/>
            <w:noWrap/>
            <w:vAlign w:val="center"/>
            <w:hideMark/>
          </w:tcPr>
          <w:p w14:paraId="28BB60AB"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£2,464.55</w:t>
            </w:r>
          </w:p>
        </w:tc>
        <w:tc>
          <w:tcPr>
            <w:tcW w:w="1614" w:type="dxa"/>
            <w:tcBorders>
              <w:top w:val="nil"/>
              <w:left w:val="nil"/>
              <w:bottom w:val="nil"/>
              <w:right w:val="single" w:sz="8" w:space="0" w:color="auto"/>
            </w:tcBorders>
            <w:shd w:val="clear" w:color="000000" w:fill="FFFFFF"/>
            <w:noWrap/>
            <w:vAlign w:val="center"/>
            <w:hideMark/>
          </w:tcPr>
          <w:p w14:paraId="377857A3"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£818.62</w:t>
            </w:r>
          </w:p>
        </w:tc>
      </w:tr>
      <w:tr w:rsidR="00450D36" w:rsidRPr="00450D36" w14:paraId="79EED424" w14:textId="77777777" w:rsidTr="00450D36">
        <w:trPr>
          <w:trHeight w:val="307"/>
        </w:trPr>
        <w:tc>
          <w:tcPr>
            <w:tcW w:w="1614" w:type="dxa"/>
            <w:tcBorders>
              <w:top w:val="nil"/>
              <w:left w:val="single" w:sz="8" w:space="0" w:color="auto"/>
              <w:bottom w:val="single" w:sz="8" w:space="0" w:color="auto"/>
              <w:right w:val="nil"/>
            </w:tcBorders>
            <w:shd w:val="clear" w:color="000000" w:fill="FFFFFF"/>
            <w:noWrap/>
            <w:vAlign w:val="bottom"/>
            <w:hideMark/>
          </w:tcPr>
          <w:p w14:paraId="4FC0FA69" w14:textId="77777777" w:rsidR="00450D36" w:rsidRPr="00450D36" w:rsidRDefault="00450D36" w:rsidP="00450D36">
            <w:pPr>
              <w:spacing w:after="0" w:line="240" w:lineRule="auto"/>
              <w:jc w:val="center"/>
              <w:rPr>
                <w:rFonts w:ascii="Calibri" w:eastAsia="Times New Roman" w:hAnsi="Calibri" w:cs="Times New Roman"/>
                <w:b/>
                <w:bCs/>
                <w:i/>
                <w:iCs/>
                <w:color w:val="000000"/>
                <w:lang w:val="en-US"/>
              </w:rPr>
            </w:pPr>
            <w:r w:rsidRPr="00450D36">
              <w:rPr>
                <w:rFonts w:ascii="Calibri" w:eastAsia="Times New Roman" w:hAnsi="Calibri" w:cs="Times New Roman"/>
                <w:b/>
                <w:bCs/>
                <w:i/>
                <w:iCs/>
                <w:color w:val="000000"/>
                <w:lang w:val="en-US"/>
              </w:rPr>
              <w:t>Library</w:t>
            </w:r>
          </w:p>
        </w:tc>
        <w:tc>
          <w:tcPr>
            <w:tcW w:w="1542" w:type="dxa"/>
            <w:tcBorders>
              <w:top w:val="nil"/>
              <w:left w:val="nil"/>
              <w:bottom w:val="single" w:sz="8" w:space="0" w:color="auto"/>
              <w:right w:val="nil"/>
            </w:tcBorders>
            <w:shd w:val="clear" w:color="000000" w:fill="FFFFFF"/>
            <w:vAlign w:val="center"/>
            <w:hideMark/>
          </w:tcPr>
          <w:p w14:paraId="3953771F"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Further/higher education</w:t>
            </w:r>
          </w:p>
        </w:tc>
        <w:tc>
          <w:tcPr>
            <w:tcW w:w="1217" w:type="dxa"/>
            <w:tcBorders>
              <w:top w:val="nil"/>
              <w:left w:val="nil"/>
              <w:bottom w:val="single" w:sz="8" w:space="0" w:color="auto"/>
              <w:right w:val="nil"/>
            </w:tcBorders>
            <w:shd w:val="clear" w:color="000000" w:fill="FFFFFF"/>
            <w:noWrap/>
            <w:vAlign w:val="bottom"/>
            <w:hideMark/>
          </w:tcPr>
          <w:p w14:paraId="520DA618"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9.40%</w:t>
            </w:r>
          </w:p>
        </w:tc>
        <w:tc>
          <w:tcPr>
            <w:tcW w:w="1614" w:type="dxa"/>
            <w:tcBorders>
              <w:top w:val="nil"/>
              <w:left w:val="nil"/>
              <w:bottom w:val="single" w:sz="8" w:space="0" w:color="auto"/>
              <w:right w:val="nil"/>
            </w:tcBorders>
            <w:shd w:val="clear" w:color="000000" w:fill="FFFFFF"/>
            <w:noWrap/>
            <w:vAlign w:val="bottom"/>
            <w:hideMark/>
          </w:tcPr>
          <w:p w14:paraId="70A9CBA5"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0.66%</w:t>
            </w:r>
          </w:p>
        </w:tc>
        <w:tc>
          <w:tcPr>
            <w:tcW w:w="1826" w:type="dxa"/>
            <w:tcBorders>
              <w:top w:val="nil"/>
              <w:left w:val="nil"/>
              <w:bottom w:val="single" w:sz="8" w:space="0" w:color="auto"/>
              <w:right w:val="nil"/>
            </w:tcBorders>
            <w:shd w:val="clear" w:color="000000" w:fill="FFFFFF"/>
            <w:noWrap/>
            <w:vAlign w:val="center"/>
            <w:hideMark/>
          </w:tcPr>
          <w:p w14:paraId="3CF66C7B"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£1,586.77</w:t>
            </w:r>
          </w:p>
        </w:tc>
        <w:tc>
          <w:tcPr>
            <w:tcW w:w="1614" w:type="dxa"/>
            <w:tcBorders>
              <w:top w:val="nil"/>
              <w:left w:val="nil"/>
              <w:bottom w:val="single" w:sz="8" w:space="0" w:color="auto"/>
              <w:right w:val="single" w:sz="8" w:space="0" w:color="auto"/>
            </w:tcBorders>
            <w:shd w:val="clear" w:color="000000" w:fill="FFFFFF"/>
            <w:noWrap/>
            <w:vAlign w:val="center"/>
            <w:hideMark/>
          </w:tcPr>
          <w:p w14:paraId="54AC881E" w14:textId="77777777" w:rsidR="00450D36" w:rsidRPr="00450D36" w:rsidRDefault="00450D36" w:rsidP="00450D36">
            <w:pPr>
              <w:spacing w:after="0" w:line="240" w:lineRule="auto"/>
              <w:jc w:val="center"/>
              <w:rPr>
                <w:rFonts w:ascii="Calibri" w:eastAsia="Times New Roman" w:hAnsi="Calibri" w:cs="Times New Roman"/>
                <w:color w:val="000000"/>
                <w:lang w:val="en-US"/>
              </w:rPr>
            </w:pPr>
            <w:r w:rsidRPr="00450D36">
              <w:rPr>
                <w:rFonts w:ascii="Calibri" w:eastAsia="Times New Roman" w:hAnsi="Calibri" w:cs="Times New Roman"/>
                <w:color w:val="000000"/>
                <w:lang w:val="en-US"/>
              </w:rPr>
              <w:t>£527.06</w:t>
            </w:r>
          </w:p>
        </w:tc>
      </w:tr>
    </w:tbl>
    <w:p w14:paraId="5A4D62D6" w14:textId="77777777" w:rsidR="00450D36" w:rsidRPr="00450D36" w:rsidRDefault="00450D36" w:rsidP="00450D36">
      <w:pPr>
        <w:tabs>
          <w:tab w:val="left" w:pos="1890"/>
        </w:tabs>
        <w:spacing w:after="0" w:line="240" w:lineRule="auto"/>
        <w:rPr>
          <w:rFonts w:cs="Arial"/>
          <w:sz w:val="24"/>
          <w:szCs w:val="24"/>
        </w:rPr>
      </w:pPr>
    </w:p>
    <w:p w14:paraId="65D58C06" w14:textId="77777777" w:rsidR="00C50838" w:rsidRDefault="003B2099" w:rsidP="004D4A7D">
      <w:pPr>
        <w:spacing w:after="0" w:line="240" w:lineRule="auto"/>
        <w:rPr>
          <w:b/>
          <w:sz w:val="36"/>
          <w:szCs w:val="24"/>
        </w:rPr>
      </w:pPr>
      <w:r>
        <w:rPr>
          <w:rFonts w:cs="Arial"/>
          <w:sz w:val="24"/>
          <w:szCs w:val="24"/>
        </w:rPr>
        <w:lastRenderedPageBreak/>
        <w:t xml:space="preserve">These figures only represent the increase </w:t>
      </w:r>
      <w:r w:rsidR="001B4A53">
        <w:rPr>
          <w:rFonts w:cs="Arial"/>
          <w:sz w:val="24"/>
          <w:szCs w:val="24"/>
        </w:rPr>
        <w:t xml:space="preserve">in earnings </w:t>
      </w:r>
      <w:r>
        <w:rPr>
          <w:rFonts w:cs="Arial"/>
          <w:sz w:val="24"/>
          <w:szCs w:val="24"/>
        </w:rPr>
        <w:t xml:space="preserve">resulting from the increased likelihood of attending further education associated with cultural engagement and does not include any consideration of additional increases in lifetime earnings resulting from attainment and/or occupations, which would need to be considered in addition to this figure.  </w:t>
      </w:r>
      <w:r w:rsidRPr="007A3860">
        <w:rPr>
          <w:rFonts w:cs="Arial"/>
          <w:sz w:val="24"/>
          <w:szCs w:val="24"/>
        </w:rPr>
        <w:t>This figure includes increases in life time earnings for the individual plus increased tax receipts for the exchequer.</w:t>
      </w:r>
    </w:p>
    <w:p w14:paraId="489F917A" w14:textId="77777777" w:rsidR="004F7A97" w:rsidRDefault="004F7A97">
      <w:pPr>
        <w:rPr>
          <w:b/>
          <w:sz w:val="36"/>
          <w:szCs w:val="24"/>
        </w:rPr>
      </w:pPr>
      <w:r>
        <w:rPr>
          <w:b/>
          <w:sz w:val="36"/>
          <w:szCs w:val="24"/>
        </w:rPr>
        <w:br w:type="page"/>
      </w:r>
    </w:p>
    <w:p w14:paraId="0CEC0276" w14:textId="77777777" w:rsidR="00935920" w:rsidRPr="001E7442" w:rsidRDefault="00935920" w:rsidP="001E7442">
      <w:pPr>
        <w:pStyle w:val="Heading1"/>
        <w:rPr>
          <w:rFonts w:asciiTheme="minorHAnsi" w:hAnsiTheme="minorHAnsi"/>
          <w:sz w:val="36"/>
          <w:szCs w:val="36"/>
        </w:rPr>
      </w:pPr>
      <w:bookmarkStart w:id="5" w:name="_Toc409167386"/>
      <w:r w:rsidRPr="001E7442">
        <w:rPr>
          <w:rFonts w:asciiTheme="minorHAnsi" w:hAnsiTheme="minorHAnsi"/>
          <w:sz w:val="36"/>
          <w:szCs w:val="36"/>
        </w:rPr>
        <w:lastRenderedPageBreak/>
        <w:t>Annex A</w:t>
      </w:r>
      <w:r w:rsidR="009879DD" w:rsidRPr="001E7442">
        <w:rPr>
          <w:rFonts w:asciiTheme="minorHAnsi" w:hAnsiTheme="minorHAnsi"/>
          <w:sz w:val="36"/>
          <w:szCs w:val="36"/>
        </w:rPr>
        <w:t>: Literature review and logic model</w:t>
      </w:r>
      <w:bookmarkEnd w:id="5"/>
    </w:p>
    <w:p w14:paraId="552730F2" w14:textId="77777777" w:rsidR="00AF1642" w:rsidRPr="004D4A7D" w:rsidRDefault="00AF1642" w:rsidP="004D4A7D">
      <w:pPr>
        <w:spacing w:after="0" w:line="240" w:lineRule="auto"/>
        <w:rPr>
          <w:b/>
          <w:sz w:val="24"/>
          <w:szCs w:val="24"/>
        </w:rPr>
      </w:pPr>
    </w:p>
    <w:p w14:paraId="5B8DAA13" w14:textId="77777777" w:rsidR="00783CFC" w:rsidRPr="004D4A7D" w:rsidRDefault="00783CFC" w:rsidP="004D4A7D">
      <w:pPr>
        <w:spacing w:after="0" w:line="240" w:lineRule="auto"/>
        <w:contextualSpacing/>
        <w:jc w:val="both"/>
        <w:rPr>
          <w:rFonts w:cs="Arial"/>
          <w:b/>
          <w:sz w:val="24"/>
          <w:szCs w:val="24"/>
        </w:rPr>
      </w:pPr>
      <w:r w:rsidRPr="004D4A7D">
        <w:rPr>
          <w:rFonts w:cs="Arial"/>
          <w:b/>
          <w:sz w:val="24"/>
          <w:szCs w:val="24"/>
        </w:rPr>
        <w:t>A.1. Literature review</w:t>
      </w:r>
    </w:p>
    <w:p w14:paraId="64C285E6" w14:textId="77777777" w:rsidR="00783CFC" w:rsidRDefault="00783CFC" w:rsidP="004D4A7D">
      <w:pPr>
        <w:spacing w:after="0" w:line="240" w:lineRule="auto"/>
        <w:contextualSpacing/>
        <w:jc w:val="both"/>
        <w:rPr>
          <w:rFonts w:cs="Arial"/>
          <w:b/>
          <w:sz w:val="24"/>
          <w:szCs w:val="24"/>
        </w:rPr>
      </w:pPr>
    </w:p>
    <w:p w14:paraId="1597B115" w14:textId="77777777" w:rsidR="00D51BD7" w:rsidRDefault="00D51BD7" w:rsidP="00D51BD7">
      <w:pPr>
        <w:spacing w:after="0" w:line="240" w:lineRule="auto"/>
        <w:contextualSpacing/>
        <w:jc w:val="both"/>
        <w:rPr>
          <w:rFonts w:cs="Arial"/>
          <w:sz w:val="24"/>
          <w:szCs w:val="24"/>
        </w:rPr>
      </w:pPr>
      <w:r>
        <w:rPr>
          <w:rFonts w:cs="Arial"/>
          <w:sz w:val="24"/>
          <w:szCs w:val="24"/>
        </w:rPr>
        <w:t xml:space="preserve">A literature review was conducted in order to gain insight into the existing research on the </w:t>
      </w:r>
      <w:r w:rsidRPr="00BE3194">
        <w:rPr>
          <w:rFonts w:cs="Arial"/>
          <w:sz w:val="24"/>
          <w:szCs w:val="24"/>
        </w:rPr>
        <w:t>social impact</w:t>
      </w:r>
      <w:r>
        <w:rPr>
          <w:rFonts w:cs="Arial"/>
          <w:sz w:val="24"/>
          <w:szCs w:val="24"/>
        </w:rPr>
        <w:t>s</w:t>
      </w:r>
      <w:r w:rsidRPr="00BE3194">
        <w:rPr>
          <w:rFonts w:cs="Arial"/>
          <w:sz w:val="24"/>
          <w:szCs w:val="24"/>
        </w:rPr>
        <w:t xml:space="preserve"> of engaging in culture and sports</w:t>
      </w:r>
      <w:r>
        <w:rPr>
          <w:rFonts w:cs="Arial"/>
          <w:sz w:val="24"/>
          <w:szCs w:val="24"/>
        </w:rPr>
        <w:t xml:space="preserve">. This investigation informed the choice of </w:t>
      </w:r>
      <w:r w:rsidRPr="00BE3194">
        <w:rPr>
          <w:rFonts w:cs="Arial"/>
          <w:sz w:val="24"/>
          <w:szCs w:val="24"/>
        </w:rPr>
        <w:t>social measures</w:t>
      </w:r>
      <w:r>
        <w:rPr>
          <w:rFonts w:cs="Arial"/>
          <w:sz w:val="24"/>
          <w:szCs w:val="24"/>
        </w:rPr>
        <w:t>,</w:t>
      </w:r>
      <w:r w:rsidRPr="00BE3194">
        <w:rPr>
          <w:rFonts w:cs="Arial"/>
          <w:sz w:val="24"/>
          <w:szCs w:val="24"/>
        </w:rPr>
        <w:t xml:space="preserve"> included within the British Household Panel Survey</w:t>
      </w:r>
      <w:r>
        <w:rPr>
          <w:rFonts w:cs="Arial"/>
          <w:sz w:val="24"/>
          <w:szCs w:val="24"/>
        </w:rPr>
        <w:t xml:space="preserve"> and the</w:t>
      </w:r>
      <w:r w:rsidRPr="00BE3194">
        <w:rPr>
          <w:rFonts w:cs="Arial"/>
          <w:sz w:val="24"/>
          <w:szCs w:val="24"/>
        </w:rPr>
        <w:t xml:space="preserve"> Understanding Society dataset</w:t>
      </w:r>
      <w:r>
        <w:rPr>
          <w:rFonts w:cs="Arial"/>
          <w:sz w:val="24"/>
          <w:szCs w:val="24"/>
        </w:rPr>
        <w:t>s,</w:t>
      </w:r>
      <w:r w:rsidRPr="00BE3194">
        <w:rPr>
          <w:rFonts w:cs="Arial"/>
          <w:sz w:val="24"/>
          <w:szCs w:val="24"/>
        </w:rPr>
        <w:t xml:space="preserve"> </w:t>
      </w:r>
      <w:r>
        <w:rPr>
          <w:rFonts w:cs="Arial"/>
          <w:sz w:val="24"/>
          <w:szCs w:val="24"/>
        </w:rPr>
        <w:t xml:space="preserve">which were chosen for the current analysis and the control variables included in the model specifications. This review also lead to the development of a logic model </w:t>
      </w:r>
      <w:r>
        <w:rPr>
          <w:sz w:val="24"/>
          <w:szCs w:val="24"/>
        </w:rPr>
        <w:t xml:space="preserve">which maps out the </w:t>
      </w:r>
      <w:r w:rsidRPr="00C74B8B">
        <w:rPr>
          <w:rFonts w:cs="Arial"/>
          <w:sz w:val="24"/>
          <w:szCs w:val="24"/>
        </w:rPr>
        <w:t xml:space="preserve">links </w:t>
      </w:r>
      <w:r>
        <w:rPr>
          <w:rFonts w:cs="Arial"/>
          <w:sz w:val="24"/>
          <w:szCs w:val="24"/>
        </w:rPr>
        <w:t xml:space="preserve">between </w:t>
      </w:r>
      <w:r w:rsidRPr="00C74B8B">
        <w:rPr>
          <w:rFonts w:cs="Arial"/>
          <w:sz w:val="24"/>
          <w:szCs w:val="24"/>
        </w:rPr>
        <w:t>culture and sport to health and educational outcomes</w:t>
      </w:r>
      <w:r>
        <w:rPr>
          <w:rFonts w:cs="Arial"/>
          <w:sz w:val="24"/>
          <w:szCs w:val="24"/>
        </w:rPr>
        <w:t xml:space="preserve">. </w:t>
      </w:r>
    </w:p>
    <w:p w14:paraId="77713503" w14:textId="77777777" w:rsidR="00D51BD7" w:rsidRDefault="00D51BD7" w:rsidP="00D51BD7">
      <w:pPr>
        <w:spacing w:after="0" w:line="240" w:lineRule="auto"/>
        <w:contextualSpacing/>
        <w:jc w:val="both"/>
        <w:rPr>
          <w:rFonts w:cs="Arial"/>
          <w:sz w:val="24"/>
          <w:szCs w:val="24"/>
        </w:rPr>
      </w:pPr>
    </w:p>
    <w:p w14:paraId="4D0BB1BE" w14:textId="77777777" w:rsidR="00D51BD7" w:rsidRPr="004D4A7D" w:rsidRDefault="00D51BD7" w:rsidP="00D51BD7">
      <w:pPr>
        <w:spacing w:after="0" w:line="240" w:lineRule="auto"/>
        <w:contextualSpacing/>
        <w:jc w:val="both"/>
        <w:rPr>
          <w:rFonts w:cs="Arial"/>
          <w:sz w:val="24"/>
          <w:szCs w:val="24"/>
        </w:rPr>
      </w:pPr>
      <w:r>
        <w:rPr>
          <w:rFonts w:cs="Arial"/>
          <w:sz w:val="24"/>
          <w:szCs w:val="24"/>
        </w:rPr>
        <w:t>This literature review</w:t>
      </w:r>
      <w:r w:rsidRPr="00C74B8B">
        <w:rPr>
          <w:rFonts w:cs="Arial"/>
          <w:sz w:val="24"/>
          <w:szCs w:val="24"/>
        </w:rPr>
        <w:t xml:space="preserve"> </w:t>
      </w:r>
      <w:r>
        <w:rPr>
          <w:rFonts w:cs="Arial"/>
          <w:sz w:val="24"/>
          <w:szCs w:val="24"/>
        </w:rPr>
        <w:t>focused on</w:t>
      </w:r>
      <w:r w:rsidRPr="00C74B8B">
        <w:rPr>
          <w:rFonts w:cs="Arial"/>
          <w:sz w:val="24"/>
          <w:szCs w:val="24"/>
        </w:rPr>
        <w:t xml:space="preserve"> the </w:t>
      </w:r>
      <w:r>
        <w:rPr>
          <w:rFonts w:cs="Arial"/>
          <w:sz w:val="24"/>
          <w:szCs w:val="24"/>
        </w:rPr>
        <w:t>relationship</w:t>
      </w:r>
      <w:r w:rsidRPr="00C74B8B">
        <w:rPr>
          <w:rFonts w:cs="Arial"/>
          <w:sz w:val="24"/>
          <w:szCs w:val="24"/>
        </w:rPr>
        <w:t xml:space="preserve"> of </w:t>
      </w:r>
      <w:r>
        <w:rPr>
          <w:rFonts w:cs="Arial"/>
          <w:sz w:val="24"/>
          <w:szCs w:val="24"/>
        </w:rPr>
        <w:t>engaging in culture and sport and</w:t>
      </w:r>
      <w:r w:rsidRPr="004D4A7D">
        <w:rPr>
          <w:rFonts w:cs="Arial"/>
          <w:sz w:val="24"/>
          <w:szCs w:val="24"/>
        </w:rPr>
        <w:t>:</w:t>
      </w:r>
    </w:p>
    <w:p w14:paraId="54AEB764" w14:textId="77777777" w:rsidR="00D51BD7" w:rsidRPr="004D4A7D" w:rsidRDefault="00D51BD7" w:rsidP="004D4A7D">
      <w:pPr>
        <w:spacing w:after="0" w:line="240" w:lineRule="auto"/>
        <w:contextualSpacing/>
        <w:jc w:val="both"/>
        <w:rPr>
          <w:rFonts w:cs="Arial"/>
          <w:b/>
          <w:sz w:val="24"/>
          <w:szCs w:val="24"/>
        </w:rPr>
      </w:pPr>
    </w:p>
    <w:p w14:paraId="4DBE4A59" w14:textId="77777777" w:rsidR="00C8445C" w:rsidRPr="004D4A7D" w:rsidRDefault="00C8445C" w:rsidP="00C8445C">
      <w:pPr>
        <w:pStyle w:val="ListParagraph"/>
        <w:numPr>
          <w:ilvl w:val="0"/>
          <w:numId w:val="8"/>
        </w:numPr>
        <w:spacing w:after="0" w:line="240" w:lineRule="auto"/>
        <w:jc w:val="both"/>
        <w:rPr>
          <w:rFonts w:cs="Arial"/>
          <w:sz w:val="24"/>
          <w:szCs w:val="24"/>
        </w:rPr>
      </w:pPr>
      <w:r w:rsidRPr="004D4A7D">
        <w:rPr>
          <w:rFonts w:cs="Arial"/>
          <w:sz w:val="24"/>
          <w:szCs w:val="24"/>
        </w:rPr>
        <w:t>Mental health outcomes, including clinical depression</w:t>
      </w:r>
    </w:p>
    <w:p w14:paraId="18371C10" w14:textId="77777777" w:rsidR="00C8445C" w:rsidRPr="004D4A7D" w:rsidRDefault="00C8445C" w:rsidP="00C8445C">
      <w:pPr>
        <w:pStyle w:val="ListParagraph"/>
        <w:numPr>
          <w:ilvl w:val="0"/>
          <w:numId w:val="8"/>
        </w:numPr>
        <w:spacing w:after="0" w:line="240" w:lineRule="auto"/>
        <w:jc w:val="both"/>
        <w:rPr>
          <w:rFonts w:cs="Arial"/>
          <w:sz w:val="24"/>
          <w:szCs w:val="24"/>
        </w:rPr>
      </w:pPr>
      <w:r w:rsidRPr="004D4A7D">
        <w:rPr>
          <w:rFonts w:cs="Arial"/>
          <w:sz w:val="24"/>
          <w:szCs w:val="24"/>
        </w:rPr>
        <w:t>M</w:t>
      </w:r>
      <w:r>
        <w:rPr>
          <w:rFonts w:cs="Arial"/>
          <w:sz w:val="24"/>
          <w:szCs w:val="24"/>
        </w:rPr>
        <w:t>edical service utilisation</w:t>
      </w:r>
    </w:p>
    <w:p w14:paraId="153C6297" w14:textId="77777777" w:rsidR="00272DBF" w:rsidRPr="004D4A7D" w:rsidRDefault="001D276F" w:rsidP="004D4A7D">
      <w:pPr>
        <w:pStyle w:val="ListParagraph"/>
        <w:numPr>
          <w:ilvl w:val="0"/>
          <w:numId w:val="8"/>
        </w:numPr>
        <w:spacing w:after="0" w:line="240" w:lineRule="auto"/>
        <w:jc w:val="both"/>
        <w:rPr>
          <w:rFonts w:cs="Arial"/>
          <w:sz w:val="24"/>
          <w:szCs w:val="24"/>
        </w:rPr>
      </w:pPr>
      <w:r w:rsidRPr="004D4A7D">
        <w:rPr>
          <w:rFonts w:cs="Arial"/>
          <w:sz w:val="24"/>
          <w:szCs w:val="24"/>
        </w:rPr>
        <w:t>E</w:t>
      </w:r>
      <w:r w:rsidR="00272DBF" w:rsidRPr="004D4A7D">
        <w:rPr>
          <w:rFonts w:cs="Arial"/>
          <w:sz w:val="24"/>
          <w:szCs w:val="24"/>
        </w:rPr>
        <w:t>ducational outcomes, including education behaviours and engagement in further education</w:t>
      </w:r>
    </w:p>
    <w:p w14:paraId="489EE6FD" w14:textId="77777777" w:rsidR="009879DD" w:rsidRPr="004D4A7D" w:rsidRDefault="009879DD" w:rsidP="004D4A7D">
      <w:pPr>
        <w:spacing w:after="0" w:line="240" w:lineRule="auto"/>
        <w:rPr>
          <w:b/>
          <w:sz w:val="24"/>
          <w:szCs w:val="24"/>
        </w:rPr>
      </w:pPr>
    </w:p>
    <w:p w14:paraId="1310513A" w14:textId="77777777" w:rsidR="00C8445C" w:rsidRPr="004D4A7D" w:rsidRDefault="00C8445C" w:rsidP="00C8445C">
      <w:pPr>
        <w:spacing w:after="0" w:line="240" w:lineRule="auto"/>
        <w:contextualSpacing/>
        <w:jc w:val="both"/>
        <w:rPr>
          <w:rFonts w:cs="Arial"/>
          <w:b/>
          <w:sz w:val="24"/>
          <w:szCs w:val="24"/>
        </w:rPr>
      </w:pPr>
      <w:r w:rsidRPr="004D4A7D">
        <w:rPr>
          <w:rFonts w:cs="Arial"/>
          <w:b/>
          <w:sz w:val="24"/>
          <w:szCs w:val="24"/>
        </w:rPr>
        <w:t>Sport, culture, and mental health (including depression)</w:t>
      </w:r>
    </w:p>
    <w:p w14:paraId="7408E553" w14:textId="77777777" w:rsidR="00C8445C" w:rsidRDefault="00C8445C" w:rsidP="00C8445C">
      <w:pPr>
        <w:spacing w:after="0" w:line="240" w:lineRule="auto"/>
        <w:contextualSpacing/>
        <w:jc w:val="both"/>
        <w:rPr>
          <w:rFonts w:cs="Lucida Sans Unicode"/>
          <w:sz w:val="24"/>
          <w:szCs w:val="24"/>
        </w:rPr>
      </w:pPr>
      <w:r w:rsidRPr="004D4A7D">
        <w:rPr>
          <w:rFonts w:cs="Arial"/>
          <w:sz w:val="24"/>
          <w:szCs w:val="24"/>
        </w:rPr>
        <w:t xml:space="preserve">There exists a large body of evidence </w:t>
      </w:r>
      <w:r>
        <w:rPr>
          <w:rFonts w:cs="Arial"/>
          <w:sz w:val="24"/>
          <w:szCs w:val="24"/>
        </w:rPr>
        <w:t>that</w:t>
      </w:r>
      <w:r w:rsidRPr="004D4A7D">
        <w:rPr>
          <w:rFonts w:cs="Arial"/>
          <w:sz w:val="24"/>
          <w:szCs w:val="24"/>
        </w:rPr>
        <w:t xml:space="preserve"> suggests that art and cultural activities can play a therapeutic role in clinical and health care settings (Arts Council England, 2004; Staricoff, 2004;</w:t>
      </w:r>
      <w:r w:rsidRPr="004D4A7D">
        <w:rPr>
          <w:sz w:val="24"/>
          <w:szCs w:val="24"/>
        </w:rPr>
        <w:t xml:space="preserve"> </w:t>
      </w:r>
      <w:r w:rsidRPr="004D4A7D">
        <w:rPr>
          <w:rFonts w:cs="Arial"/>
          <w:sz w:val="24"/>
          <w:szCs w:val="24"/>
        </w:rPr>
        <w:t>Bygren et al, 2009a; 2009b; Aldridge, 1993). Exposure to art and cultural activities in healthcare environment</w:t>
      </w:r>
      <w:r>
        <w:rPr>
          <w:rFonts w:cs="Arial"/>
          <w:sz w:val="24"/>
          <w:szCs w:val="24"/>
        </w:rPr>
        <w:t>s</w:t>
      </w:r>
      <w:r w:rsidRPr="004D4A7D">
        <w:rPr>
          <w:rFonts w:cs="Arial"/>
          <w:sz w:val="24"/>
          <w:szCs w:val="24"/>
        </w:rPr>
        <w:t xml:space="preserve"> has been found to reduce anxiety and depression (</w:t>
      </w:r>
      <w:r w:rsidRPr="004D4A7D">
        <w:rPr>
          <w:rFonts w:cs="Lucida Sans Unicode"/>
          <w:bCs/>
          <w:kern w:val="36"/>
          <w:sz w:val="24"/>
          <w:szCs w:val="24"/>
        </w:rPr>
        <w:t xml:space="preserve">Daykin et al, </w:t>
      </w:r>
      <w:r w:rsidRPr="004D4A7D">
        <w:rPr>
          <w:rFonts w:cs="Arial"/>
          <w:bCs/>
          <w:sz w:val="24"/>
          <w:szCs w:val="24"/>
        </w:rPr>
        <w:t>2008) and increase feelings of empowerment, social inclusion and mental health (Hacking et al. 2008).</w:t>
      </w:r>
      <w:r w:rsidRPr="004D4A7D">
        <w:rPr>
          <w:rFonts w:cs="Lucida Sans Unicode"/>
          <w:sz w:val="24"/>
          <w:szCs w:val="24"/>
        </w:rPr>
        <w:t xml:space="preserve"> Undertaking activities such as expressive writing (Smyth et al, 2008), </w:t>
      </w:r>
      <w:r>
        <w:rPr>
          <w:rFonts w:cs="Lucida Sans Unicode"/>
          <w:sz w:val="24"/>
          <w:szCs w:val="24"/>
        </w:rPr>
        <w:t>making</w:t>
      </w:r>
      <w:r w:rsidRPr="004D4A7D">
        <w:rPr>
          <w:rFonts w:cs="Lucida Sans Unicode"/>
          <w:sz w:val="24"/>
          <w:szCs w:val="24"/>
        </w:rPr>
        <w:t xml:space="preserve"> music (Aldridg</w:t>
      </w:r>
      <w:r>
        <w:rPr>
          <w:rFonts w:cs="Lucida Sans Unicode"/>
          <w:sz w:val="24"/>
          <w:szCs w:val="24"/>
        </w:rPr>
        <w:t>e, 1993)</w:t>
      </w:r>
      <w:r w:rsidRPr="004D4A7D">
        <w:rPr>
          <w:rFonts w:cs="Lucida Sans Unicode"/>
          <w:sz w:val="24"/>
          <w:szCs w:val="24"/>
        </w:rPr>
        <w:t xml:space="preserve"> and reading literature (McArdle et al 2001) </w:t>
      </w:r>
      <w:r w:rsidR="006E5AD9">
        <w:rPr>
          <w:rFonts w:cs="Lucida Sans Unicode"/>
          <w:sz w:val="24"/>
          <w:szCs w:val="24"/>
        </w:rPr>
        <w:t>including</w:t>
      </w:r>
      <w:r w:rsidRPr="004D4A7D">
        <w:rPr>
          <w:rFonts w:cs="Lucida Sans Unicode"/>
          <w:sz w:val="24"/>
          <w:szCs w:val="24"/>
        </w:rPr>
        <w:t xml:space="preserve"> poetry (Collins et al 2006) have all been found to have positive effects on patients’ health outcomes. </w:t>
      </w:r>
    </w:p>
    <w:p w14:paraId="14529764" w14:textId="77777777" w:rsidR="00C8445C" w:rsidRPr="004D4A7D" w:rsidRDefault="00C8445C" w:rsidP="00C8445C">
      <w:pPr>
        <w:spacing w:after="0" w:line="240" w:lineRule="auto"/>
        <w:contextualSpacing/>
        <w:jc w:val="both"/>
        <w:rPr>
          <w:rFonts w:cs="Lucida Sans Unicode"/>
          <w:sz w:val="24"/>
          <w:szCs w:val="24"/>
        </w:rPr>
      </w:pPr>
    </w:p>
    <w:p w14:paraId="3F86A315" w14:textId="77777777" w:rsidR="00C8445C" w:rsidRPr="0059182A" w:rsidRDefault="00C8445C" w:rsidP="0059182A">
      <w:pPr>
        <w:jc w:val="both"/>
        <w:rPr>
          <w:rFonts w:cs="Arial"/>
          <w:sz w:val="24"/>
          <w:szCs w:val="24"/>
        </w:rPr>
      </w:pPr>
      <w:r w:rsidRPr="0059182A">
        <w:rPr>
          <w:rFonts w:cs="Arial"/>
          <w:sz w:val="24"/>
          <w:szCs w:val="24"/>
        </w:rPr>
        <w:t>Whilst these studies focus on the impact of cultural engagement on the health of a subset of the population, healthcare patients, there has been far less focus to date on the mental health benefits of cultural attendance by the general public (O’Neill, 2010). The population-level evidence from epidemiological studies on cultural participation and health that does exists suggests that participating in a range of cultural activities has a positive association with self-reported health (Wilkinson et al, 2007; Johansson et al. 2001) and longevity (Jacobs et al, 2008)</w:t>
      </w:r>
      <w:r w:rsidR="00211C08" w:rsidRPr="0059182A">
        <w:rPr>
          <w:rFonts w:cs="Arial"/>
          <w:sz w:val="24"/>
          <w:szCs w:val="24"/>
        </w:rPr>
        <w:t>,</w:t>
      </w:r>
      <w:r w:rsidRPr="0059182A">
        <w:rPr>
          <w:rFonts w:cs="Arial"/>
          <w:sz w:val="24"/>
          <w:szCs w:val="24"/>
        </w:rPr>
        <w:t xml:space="preserve"> and </w:t>
      </w:r>
      <w:r w:rsidR="00211C08" w:rsidRPr="0059182A">
        <w:rPr>
          <w:rFonts w:cs="Arial"/>
          <w:sz w:val="24"/>
          <w:szCs w:val="24"/>
        </w:rPr>
        <w:t xml:space="preserve">is </w:t>
      </w:r>
      <w:r w:rsidRPr="0059182A">
        <w:rPr>
          <w:rFonts w:cs="Arial"/>
          <w:sz w:val="24"/>
          <w:szCs w:val="24"/>
        </w:rPr>
        <w:t xml:space="preserve">negatively associated with risk factors for disease (Konlaann et al, 2000; Bygren 1996). </w:t>
      </w:r>
      <w:r w:rsidR="00211C08" w:rsidRPr="0059182A">
        <w:rPr>
          <w:rFonts w:cs="Arial"/>
          <w:sz w:val="24"/>
          <w:szCs w:val="24"/>
        </w:rPr>
        <w:t>Participating</w:t>
      </w:r>
      <w:r w:rsidRPr="0059182A">
        <w:rPr>
          <w:rFonts w:cs="Arial"/>
          <w:sz w:val="24"/>
          <w:szCs w:val="24"/>
        </w:rPr>
        <w:t xml:space="preserve"> in cultural activities is</w:t>
      </w:r>
      <w:r w:rsidR="00211C08" w:rsidRPr="0059182A">
        <w:rPr>
          <w:rFonts w:cs="Arial"/>
          <w:sz w:val="24"/>
          <w:szCs w:val="24"/>
        </w:rPr>
        <w:t xml:space="preserve"> also positively</w:t>
      </w:r>
      <w:r w:rsidRPr="0059182A">
        <w:rPr>
          <w:rFonts w:cs="Arial"/>
          <w:sz w:val="24"/>
          <w:szCs w:val="24"/>
        </w:rPr>
        <w:t xml:space="preserve"> associated with healthy eating and physical activity (</w:t>
      </w:r>
      <w:r w:rsidRPr="0059182A">
        <w:rPr>
          <w:rFonts w:cs="Arial"/>
          <w:sz w:val="24"/>
          <w:szCs w:val="24"/>
        </w:rPr>
        <w:fldChar w:fldCharType="begin"/>
      </w:r>
      <w:r w:rsidRPr="0059182A">
        <w:rPr>
          <w:rFonts w:cs="Arial"/>
          <w:sz w:val="24"/>
          <w:szCs w:val="24"/>
        </w:rPr>
        <w:instrText xml:space="preserve"> ADDIN ZOTERO_ITEM CSL_CITATION {"citationID":"yoKNtLTi","properties":{"formattedCitation":"(Renton et al. 2012)","plainCitation":"(Renton et al. 2012)"},"citationItems":[{"id":2050,"uris":["http://zotero.org/users/1148429/items/TV7R5FKM"],"uri":["http://zotero.org/users/1148429/items/TV7R5FKM"],"itemData":{"id":2050,"type":"article-journal","title":"Think of your art-eries: Arts participation, behavioural cardiovascular risk factors and mental well-being in deprived communities in London","container-title":"Public Health","page":"S57-S64","volume":"126, Supplement 1","source":"ScienceDirect","abstract":"SummaryObjectives \r\nTo investigate the association of participation in arts and cultural activities with health behaviours and mental well-being in low-income populations in London. \r\nStudy design \r\nCross-sectional, community-based observational study. \r\nMethods \r\nData were taken from the cross-sectional baseline survey of the Well London cluster randomized trial, conducted during 2008 in 40 of the most deprived census lower super output areas in London (selected using the English Indices of Multiple Deprivation). Multiple imputation was used to account for missing data in the Well London survey. Descriptive statistics and regression analyses were used to examine the association between participation in arts and cultural activities and physical activity (meeting target of five sessions of at least 30 min of moderate-intensity physical activity per week), healthy eating (meeting target of at least five portions of fruit or vegetables per day) and mental well-being (Hope Scale score; feeling anxious or depressed). \r\nResults \r\nThis study found that levels of arts and cultural engagement in low-income groups in London are &amp;gt;75%, but this is well below the national average for England. Individuals who were more socially disadvantaged (unemployed, living in rented social housing, low educational attainment, low disposable income) were less likely to participate in arts or cultural activities. Arts participation was strongly associated with healthy eating, physical activity and positive mental well-being, with no evidence of confounding by socio-economic or sociodemographic factors. Neither positive mental well-being nor social capital appeared to mediate the relationship between arts participation and health behaviours. \r\nConclusion \r\nThis study suggests that arts and cultural activities are independently associated with health behaviours and mental well-being. Further qualitative and prospective intervention studies are needed to elucidate the nature of the relationship between health behaviours, mental well-being and arts participation. If arts activities are to be recommended for health improvement, social inequalities in access to arts and cultural activities must be addressed in order to prevent further reinforcement of health inequalities.","DOI":"10.1016/j.puhe.2012.05.025","ISSN":"0033-3506","shortTitle":"Public Health International Conference 2011: Health and Wellbeing – The 21st Century Agenda 8th–9th September 2011, London, UK","journalAbbreviation":"Public Health","author":[{"family":"Renton","given":"A."},{"family":"Phillips","given":"G."},{"family":"Daykin","given":"N."},{"family":"Yu","given":"G."},{"family":"Taylor","given":"K."},{"family":"Petticrew","given":"M."}],"issued":{"date-parts":[["2012",9,1]]},"accessed":{"date-parts":[["2013",2,17]]}}}],"schema":"https://github.com/citation-style-language/schema/raw/master/csl-citation.json"} </w:instrText>
      </w:r>
      <w:r w:rsidRPr="0059182A">
        <w:rPr>
          <w:rFonts w:cs="Arial"/>
          <w:sz w:val="24"/>
          <w:szCs w:val="24"/>
        </w:rPr>
        <w:fldChar w:fldCharType="separate"/>
      </w:r>
      <w:r w:rsidRPr="0059182A">
        <w:rPr>
          <w:rFonts w:cs="Arial"/>
          <w:sz w:val="24"/>
          <w:szCs w:val="24"/>
        </w:rPr>
        <w:t>Renton et al. 2012)</w:t>
      </w:r>
      <w:r w:rsidRPr="0059182A">
        <w:rPr>
          <w:rFonts w:cs="Arial"/>
          <w:sz w:val="24"/>
          <w:szCs w:val="24"/>
        </w:rPr>
        <w:fldChar w:fldCharType="end"/>
      </w:r>
      <w:r w:rsidRPr="0059182A">
        <w:rPr>
          <w:rFonts w:cs="Arial"/>
          <w:sz w:val="24"/>
          <w:szCs w:val="24"/>
        </w:rPr>
        <w:t>.</w:t>
      </w:r>
    </w:p>
    <w:p w14:paraId="31C1A331" w14:textId="77777777" w:rsidR="00C8445C" w:rsidRPr="004D4A7D" w:rsidRDefault="00C8445C" w:rsidP="00C8445C">
      <w:pPr>
        <w:spacing w:after="0" w:line="240" w:lineRule="auto"/>
        <w:contextualSpacing/>
        <w:jc w:val="both"/>
        <w:rPr>
          <w:rFonts w:cs="Arial"/>
          <w:bCs/>
          <w:sz w:val="24"/>
          <w:szCs w:val="24"/>
        </w:rPr>
      </w:pPr>
      <w:r w:rsidRPr="004D4A7D">
        <w:rPr>
          <w:rFonts w:cs="Arial"/>
          <w:bCs/>
          <w:sz w:val="24"/>
          <w:szCs w:val="24"/>
        </w:rPr>
        <w:t>Windsor (2005) explored a whole range of cultural activities including attending performing arts events, attending non-performing arts or cultural events or venues, participating in dance activities, accessing art forms through CD</w:t>
      </w:r>
      <w:r w:rsidR="004B5B04">
        <w:rPr>
          <w:rFonts w:cs="Arial"/>
          <w:bCs/>
          <w:sz w:val="24"/>
          <w:szCs w:val="24"/>
        </w:rPr>
        <w:t>s, mini discs, tapes or records,</w:t>
      </w:r>
      <w:r w:rsidRPr="004D4A7D">
        <w:rPr>
          <w:rFonts w:cs="Arial"/>
          <w:bCs/>
          <w:sz w:val="24"/>
          <w:szCs w:val="24"/>
        </w:rPr>
        <w:t xml:space="preserve"> </w:t>
      </w:r>
      <w:r w:rsidR="004B5B04">
        <w:rPr>
          <w:rFonts w:cs="Arial"/>
          <w:bCs/>
          <w:sz w:val="24"/>
          <w:szCs w:val="24"/>
        </w:rPr>
        <w:t xml:space="preserve">and </w:t>
      </w:r>
      <w:r w:rsidRPr="004D4A7D">
        <w:rPr>
          <w:rFonts w:cs="Arial"/>
          <w:bCs/>
          <w:sz w:val="24"/>
          <w:szCs w:val="24"/>
        </w:rPr>
        <w:t xml:space="preserve">listening to the arts through the radio or viewing the arts on television, videos or DVDs. She found that people undertaking these activities were all more likely to </w:t>
      </w:r>
      <w:r w:rsidR="00A07332">
        <w:rPr>
          <w:rFonts w:cs="Arial"/>
          <w:bCs/>
          <w:sz w:val="24"/>
          <w:szCs w:val="24"/>
        </w:rPr>
        <w:t>report high levels of</w:t>
      </w:r>
      <w:r w:rsidRPr="004D4A7D">
        <w:rPr>
          <w:rFonts w:cs="Arial"/>
          <w:bCs/>
          <w:sz w:val="24"/>
          <w:szCs w:val="24"/>
        </w:rPr>
        <w:t xml:space="preserve"> health than those that didn’t. </w:t>
      </w:r>
    </w:p>
    <w:p w14:paraId="1355166F" w14:textId="77777777" w:rsidR="00C8445C" w:rsidRPr="004D4A7D" w:rsidRDefault="00C8445C" w:rsidP="00C8445C">
      <w:pPr>
        <w:spacing w:after="0" w:line="240" w:lineRule="auto"/>
        <w:contextualSpacing/>
        <w:jc w:val="both"/>
        <w:rPr>
          <w:rFonts w:cs="Arial"/>
          <w:bCs/>
          <w:iCs/>
          <w:sz w:val="24"/>
          <w:szCs w:val="24"/>
        </w:rPr>
      </w:pPr>
      <w:r w:rsidRPr="004D4A7D">
        <w:rPr>
          <w:rFonts w:cs="Arial"/>
          <w:bCs/>
          <w:sz w:val="24"/>
          <w:szCs w:val="24"/>
        </w:rPr>
        <w:lastRenderedPageBreak/>
        <w:t>Cuypers et al. (2012)</w:t>
      </w:r>
      <w:r w:rsidRPr="004D4A7D">
        <w:rPr>
          <w:rFonts w:eastAsiaTheme="minorEastAsia" w:cs="Arial"/>
          <w:sz w:val="24"/>
          <w:szCs w:val="24"/>
        </w:rPr>
        <w:t xml:space="preserve"> </w:t>
      </w:r>
      <w:r w:rsidRPr="004D4A7D">
        <w:rPr>
          <w:rFonts w:cs="Arial"/>
          <w:bCs/>
          <w:sz w:val="24"/>
          <w:szCs w:val="24"/>
        </w:rPr>
        <w:t>found evidence to suggest that participation in receptive and creative cultural activities is significantly associated with good healt</w:t>
      </w:r>
      <w:r w:rsidR="004B5B04">
        <w:rPr>
          <w:rFonts w:cs="Arial"/>
          <w:bCs/>
          <w:sz w:val="24"/>
          <w:szCs w:val="24"/>
        </w:rPr>
        <w:t xml:space="preserve">h, good satisfaction with life and </w:t>
      </w:r>
      <w:r w:rsidRPr="004D4A7D">
        <w:rPr>
          <w:rFonts w:cs="Arial"/>
          <w:bCs/>
          <w:sz w:val="24"/>
          <w:szCs w:val="24"/>
        </w:rPr>
        <w:t xml:space="preserve">low anxiety and depression scores. </w:t>
      </w:r>
      <w:r w:rsidR="005A2A90">
        <w:rPr>
          <w:rFonts w:cs="Arial"/>
          <w:bCs/>
          <w:sz w:val="24"/>
          <w:szCs w:val="24"/>
        </w:rPr>
        <w:t>Relatedly</w:t>
      </w:r>
      <w:r w:rsidR="00D1581B">
        <w:rPr>
          <w:rFonts w:cs="Arial"/>
          <w:bCs/>
          <w:sz w:val="24"/>
          <w:szCs w:val="24"/>
        </w:rPr>
        <w:t xml:space="preserve">, </w:t>
      </w:r>
      <w:r w:rsidR="004B5B04">
        <w:rPr>
          <w:rFonts w:cs="Arial"/>
          <w:bCs/>
          <w:sz w:val="24"/>
          <w:szCs w:val="24"/>
        </w:rPr>
        <w:t>Clow and Fredhoi (2006)</w:t>
      </w:r>
      <w:r w:rsidRPr="004D4A7D">
        <w:rPr>
          <w:rFonts w:cs="Arial"/>
          <w:sz w:val="24"/>
          <w:szCs w:val="24"/>
        </w:rPr>
        <w:t xml:space="preserve"> </w:t>
      </w:r>
      <w:r w:rsidR="004B5B04">
        <w:rPr>
          <w:rFonts w:cs="Arial"/>
          <w:bCs/>
          <w:sz w:val="24"/>
          <w:szCs w:val="24"/>
        </w:rPr>
        <w:t xml:space="preserve">investigated the stress levels, as measured by cortisol, </w:t>
      </w:r>
      <w:r w:rsidRPr="004D4A7D">
        <w:rPr>
          <w:rFonts w:cs="Arial"/>
          <w:bCs/>
          <w:sz w:val="24"/>
          <w:szCs w:val="24"/>
        </w:rPr>
        <w:t>of worker</w:t>
      </w:r>
      <w:r w:rsidR="004B5B04">
        <w:rPr>
          <w:rFonts w:cs="Arial"/>
          <w:bCs/>
          <w:sz w:val="24"/>
          <w:szCs w:val="24"/>
        </w:rPr>
        <w:t>s</w:t>
      </w:r>
      <w:r w:rsidRPr="004D4A7D">
        <w:rPr>
          <w:rFonts w:cs="Arial"/>
          <w:bCs/>
          <w:sz w:val="24"/>
          <w:szCs w:val="24"/>
        </w:rPr>
        <w:t xml:space="preserve"> in London prior to and directly after a 30 minute visit to an</w:t>
      </w:r>
      <w:r w:rsidRPr="004D4A7D">
        <w:rPr>
          <w:rFonts w:cs="Arial"/>
          <w:sz w:val="24"/>
          <w:szCs w:val="24"/>
        </w:rPr>
        <w:t xml:space="preserve"> </w:t>
      </w:r>
      <w:r w:rsidRPr="004D4A7D">
        <w:rPr>
          <w:rFonts w:cs="Arial"/>
          <w:bCs/>
          <w:sz w:val="24"/>
          <w:szCs w:val="24"/>
        </w:rPr>
        <w:t xml:space="preserve">art gallery. They found a large and rapid drop in cortisol levels </w:t>
      </w:r>
      <w:r w:rsidR="004B5B04">
        <w:rPr>
          <w:rFonts w:cs="Arial"/>
          <w:bCs/>
          <w:sz w:val="24"/>
          <w:szCs w:val="24"/>
        </w:rPr>
        <w:t>that</w:t>
      </w:r>
      <w:r w:rsidRPr="004D4A7D">
        <w:rPr>
          <w:rFonts w:cs="Arial"/>
          <w:bCs/>
          <w:sz w:val="24"/>
          <w:szCs w:val="24"/>
        </w:rPr>
        <w:t xml:space="preserve"> they suggest would </w:t>
      </w:r>
      <w:r w:rsidRPr="004D4A7D">
        <w:rPr>
          <w:rFonts w:cs="Arial"/>
          <w:bCs/>
          <w:iCs/>
          <w:sz w:val="24"/>
          <w:szCs w:val="24"/>
        </w:rPr>
        <w:t xml:space="preserve">take about 5 hours of normal daytime decline to achieve a similar effect. </w:t>
      </w:r>
    </w:p>
    <w:p w14:paraId="424A6B7A" w14:textId="77777777" w:rsidR="00C8445C" w:rsidRPr="004D4A7D" w:rsidRDefault="00C8445C" w:rsidP="00C8445C">
      <w:pPr>
        <w:spacing w:after="0" w:line="240" w:lineRule="auto"/>
        <w:contextualSpacing/>
        <w:jc w:val="both"/>
        <w:rPr>
          <w:rFonts w:cs="Arial"/>
          <w:bCs/>
          <w:iCs/>
          <w:sz w:val="24"/>
          <w:szCs w:val="24"/>
        </w:rPr>
      </w:pPr>
    </w:p>
    <w:p w14:paraId="3C0A0847" w14:textId="77777777" w:rsidR="00C8445C" w:rsidRPr="004D4A7D" w:rsidRDefault="00C8445C" w:rsidP="00C8445C">
      <w:pPr>
        <w:spacing w:after="0" w:line="240" w:lineRule="auto"/>
        <w:contextualSpacing/>
        <w:jc w:val="both"/>
        <w:rPr>
          <w:sz w:val="24"/>
          <w:szCs w:val="24"/>
        </w:rPr>
      </w:pPr>
      <w:r w:rsidRPr="004D4A7D">
        <w:rPr>
          <w:rFonts w:cs="Arial"/>
          <w:sz w:val="24"/>
          <w:szCs w:val="24"/>
        </w:rPr>
        <w:t xml:space="preserve">Like cultural </w:t>
      </w:r>
      <w:r w:rsidR="004B5B04">
        <w:rPr>
          <w:rFonts w:cs="Arial"/>
          <w:sz w:val="24"/>
          <w:szCs w:val="24"/>
        </w:rPr>
        <w:t>participation,</w:t>
      </w:r>
      <w:r w:rsidRPr="004D4A7D">
        <w:rPr>
          <w:rFonts w:cs="Arial"/>
          <w:sz w:val="24"/>
          <w:szCs w:val="24"/>
        </w:rPr>
        <w:t xml:space="preserve"> there has been much work that has looked at the beneficial effects of participation in sports</w:t>
      </w:r>
      <w:r w:rsidRPr="004D4A7D">
        <w:rPr>
          <w:sz w:val="24"/>
          <w:szCs w:val="24"/>
        </w:rPr>
        <w:t xml:space="preserve"> for people in clinical populations (Warburton et al, 2006a; Taylor et al, 2004;</w:t>
      </w:r>
      <w:r w:rsidRPr="004D4A7D">
        <w:rPr>
          <w:rFonts w:cs="Arial"/>
          <w:noProof/>
          <w:sz w:val="24"/>
          <w:szCs w:val="24"/>
        </w:rPr>
        <w:t xml:space="preserve"> Murphy et al., 2012</w:t>
      </w:r>
      <w:r w:rsidRPr="004D4A7D">
        <w:rPr>
          <w:sz w:val="24"/>
          <w:szCs w:val="24"/>
        </w:rPr>
        <w:t xml:space="preserve">). Specifically related to patients suffering from depression, </w:t>
      </w:r>
      <w:r w:rsidRPr="004D4A7D">
        <w:rPr>
          <w:rFonts w:cs="Arial"/>
          <w:sz w:val="24"/>
          <w:szCs w:val="24"/>
        </w:rPr>
        <w:t xml:space="preserve">Harrris et al. (2006) finds that </w:t>
      </w:r>
      <w:r w:rsidR="00A07332">
        <w:rPr>
          <w:rFonts w:cs="Arial"/>
          <w:sz w:val="24"/>
          <w:szCs w:val="24"/>
        </w:rPr>
        <w:t>among</w:t>
      </w:r>
      <w:r w:rsidRPr="004D4A7D">
        <w:rPr>
          <w:rFonts w:cs="Arial"/>
          <w:sz w:val="24"/>
          <w:szCs w:val="24"/>
        </w:rPr>
        <w:t xml:space="preserve"> those that undertake physical activity there is a lower incidence of reduced concurrent depression. They also suggest that engaging in physical activity can decrease the susceptibility to depression in the context of medical problems and negative life events such as divorce or legal problems.</w:t>
      </w:r>
      <w:r w:rsidRPr="004D4A7D">
        <w:rPr>
          <w:sz w:val="24"/>
          <w:szCs w:val="24"/>
        </w:rPr>
        <w:t xml:space="preserve"> Similarly, Blumenthal et al. (1999) showed that 16 weeks of group exercise training in older patients with major depression was as effective as antidepressant treatment with sertraline.</w:t>
      </w:r>
    </w:p>
    <w:p w14:paraId="67EC6747" w14:textId="77777777" w:rsidR="00C8445C" w:rsidRPr="004D4A7D" w:rsidRDefault="00C8445C" w:rsidP="00C8445C">
      <w:pPr>
        <w:spacing w:after="0" w:line="240" w:lineRule="auto"/>
        <w:contextualSpacing/>
        <w:jc w:val="both"/>
        <w:rPr>
          <w:sz w:val="24"/>
          <w:szCs w:val="24"/>
        </w:rPr>
      </w:pPr>
    </w:p>
    <w:p w14:paraId="734306AD" w14:textId="77777777" w:rsidR="00C8445C" w:rsidRDefault="00C8445C" w:rsidP="00C8445C">
      <w:pPr>
        <w:spacing w:after="0" w:line="240" w:lineRule="auto"/>
        <w:contextualSpacing/>
        <w:jc w:val="both"/>
        <w:rPr>
          <w:sz w:val="24"/>
          <w:szCs w:val="24"/>
        </w:rPr>
      </w:pPr>
      <w:r w:rsidRPr="004D4A7D">
        <w:rPr>
          <w:sz w:val="24"/>
          <w:szCs w:val="24"/>
        </w:rPr>
        <w:t>More generally speaking</w:t>
      </w:r>
      <w:r w:rsidR="004B5B04">
        <w:rPr>
          <w:sz w:val="24"/>
          <w:szCs w:val="24"/>
        </w:rPr>
        <w:t>,</w:t>
      </w:r>
      <w:r w:rsidRPr="004D4A7D">
        <w:rPr>
          <w:sz w:val="24"/>
          <w:szCs w:val="24"/>
        </w:rPr>
        <w:t xml:space="preserve"> there are many studies to suggest that engaging in physical activity and sport leads to better health outcomes and acts as a protective factor against mental health problems (Leadbetter and O’Connor, 2013). Participating in </w:t>
      </w:r>
      <w:r w:rsidRPr="004D4A7D">
        <w:rPr>
          <w:rFonts w:cs="Arial"/>
          <w:sz w:val="24"/>
          <w:szCs w:val="24"/>
        </w:rPr>
        <w:t>sporting activities such as cycling, general physical activity program</w:t>
      </w:r>
      <w:r w:rsidR="004B5B04">
        <w:rPr>
          <w:rFonts w:cs="Arial"/>
          <w:sz w:val="24"/>
          <w:szCs w:val="24"/>
        </w:rPr>
        <w:t>mes, small-sided football games and running</w:t>
      </w:r>
      <w:r w:rsidRPr="004D4A7D">
        <w:rPr>
          <w:rFonts w:cs="Arial"/>
          <w:sz w:val="24"/>
          <w:szCs w:val="24"/>
        </w:rPr>
        <w:t xml:space="preserve"> is positively associated with life expectancy and negatively associated with risk factors for disease (</w:t>
      </w:r>
      <w:r w:rsidRPr="004D4A7D">
        <w:rPr>
          <w:rFonts w:cs="Arial"/>
          <w:sz w:val="24"/>
          <w:szCs w:val="24"/>
        </w:rPr>
        <w:fldChar w:fldCharType="begin"/>
      </w:r>
      <w:r w:rsidRPr="004D4A7D">
        <w:rPr>
          <w:rFonts w:cs="Arial"/>
          <w:sz w:val="24"/>
          <w:szCs w:val="24"/>
        </w:rPr>
        <w:instrText xml:space="preserve"> ADDIN ZOTERO_ITEM CSL_CITATION {"citationID":"Hof5OqMK","properties":{"formattedCitation":"(Andersen et al. 2000)","plainCitation":"(Andersen et al. 2000)"},"citationItems":[{"id":2043,"uris":["http://zotero.org/users/1148429/items/GFUGHW8J"],"uri":["http://zotero.org/users/1148429/items/GFUGHW8J"],"itemData":{"id":2043,"type":"article-journal","title":"All-cause mortality associated with physical activity during leisure time, work, sports, and cycling to work","container-title":"Archives of internal medicine","page":"1621","volume":"160","issue":"11","source":"Google Scholar","author":[{"family":"Andersen","given":"Lars Bo"},{"family":"Schnohr","given":"Peter"},{"family":"Schroll","given":"Marianne"},{"family":"Hein","given":"Hans Ole"}],"issued":{"date-parts":[["2000"]]},"accessed":{"date-parts":[["2013",2,17]]}}}],"schema":"https://github.com/citation-style-language/schema/raw/master/csl-citation.json"} </w:instrText>
      </w:r>
      <w:r w:rsidRPr="004D4A7D">
        <w:rPr>
          <w:rFonts w:cs="Arial"/>
          <w:sz w:val="24"/>
          <w:szCs w:val="24"/>
        </w:rPr>
        <w:fldChar w:fldCharType="separate"/>
      </w:r>
      <w:r w:rsidRPr="004D4A7D">
        <w:rPr>
          <w:rFonts w:cs="Arial"/>
          <w:noProof/>
          <w:sz w:val="24"/>
          <w:szCs w:val="24"/>
        </w:rPr>
        <w:t xml:space="preserve">Andersen et al., 2000, </w:t>
      </w:r>
      <w:r w:rsidRPr="004D4A7D">
        <w:rPr>
          <w:rFonts w:cs="Arial"/>
          <w:sz w:val="24"/>
          <w:szCs w:val="24"/>
        </w:rPr>
        <w:fldChar w:fldCharType="end"/>
      </w:r>
      <w:r w:rsidRPr="004D4A7D">
        <w:rPr>
          <w:rFonts w:cs="Arial"/>
          <w:sz w:val="24"/>
          <w:szCs w:val="24"/>
        </w:rPr>
        <w:fldChar w:fldCharType="begin"/>
      </w:r>
      <w:r w:rsidRPr="004D4A7D">
        <w:rPr>
          <w:rFonts w:cs="Arial"/>
          <w:sz w:val="24"/>
          <w:szCs w:val="24"/>
        </w:rPr>
        <w:instrText xml:space="preserve"> ADDIN ZOTERO_ITEM CSL_CITATION {"citationID":"2G5qVTtp","properties":{"formattedCitation":"(Krustrup et al. 2010)","plainCitation":"(Krustrup et al. 2010)"},"citationItems":[{"id":2039,"uris":["http://zotero.org/users/1148429/items/M5DJ4KET"],"uri":["http://zotero.org/users/1148429/items/M5DJ4KET"],"itemData":{"id":2039,"type":"article-journal","title":"Executive summary: The health and fitness benefits of regular participation in small-sided football games","container-title":"Scandinavian Journal of Medicine &amp; Science in Sports","page":"132-135","volume":"20","issue":"s1","source":"IngentaConnect","abstract":"The present special issue of Scandinavian Journal of Medicine &amp; Science in Sports deals with health and fitness benefits of regular participation in small-sided football games. One review article and 13 original articles were the result of a 2-year multi-center study in Copenhagen and Zurich and include studies of different age groups analyzed from a physiological, medical, social and psychological perspective. The main groups investigated were middle-aged, former untrained, healthy men and women who were followed for up to 16 months. In addition, elderly, children and hypertensive patients were studied. A summary and interpretations of the main findings divided into an analysis of the physical demands during training of various groups and the effect of a period of training on performance, muscle adaptations and health profile follow. In addition, social and psychological effects on participation in recreational football are considered, the comparison of football training and endurance running is summarized and the effects of football practice on the elderly and children and youngsters are presented.","DOI":"10.1111/j.1600-0838.2010.01106.x","shortTitle":"Executive summary","journalAbbreviation":"Scandinavian Journal of Medicine &amp; Science in Sports","author":[{"family":"Krustrup","given":"P."},{"family":"Dvorak","given":"J."},{"family":"Junge","given":"A."},{"family":"Bangsbo","given":"J."}],"issued":{"date-parts":[["2010"]]}}}],"schema":"https://github.com/citation-style-language/schema/raw/master/csl-citation.json"} </w:instrText>
      </w:r>
      <w:r w:rsidRPr="004D4A7D">
        <w:rPr>
          <w:rFonts w:cs="Arial"/>
          <w:sz w:val="24"/>
          <w:szCs w:val="24"/>
        </w:rPr>
        <w:fldChar w:fldCharType="separate"/>
      </w:r>
      <w:r w:rsidRPr="004D4A7D">
        <w:rPr>
          <w:rFonts w:cs="Arial"/>
          <w:noProof/>
          <w:sz w:val="24"/>
          <w:szCs w:val="24"/>
        </w:rPr>
        <w:t xml:space="preserve">Krustrup et al., 2010; </w:t>
      </w:r>
      <w:r w:rsidRPr="004D4A7D">
        <w:rPr>
          <w:rFonts w:cs="Arial"/>
          <w:sz w:val="24"/>
          <w:szCs w:val="24"/>
        </w:rPr>
        <w:fldChar w:fldCharType="end"/>
      </w:r>
      <w:r w:rsidRPr="004D4A7D">
        <w:rPr>
          <w:rFonts w:cs="Arial"/>
          <w:sz w:val="24"/>
          <w:szCs w:val="24"/>
        </w:rPr>
        <w:fldChar w:fldCharType="begin"/>
      </w:r>
      <w:r w:rsidRPr="004D4A7D">
        <w:rPr>
          <w:rFonts w:cs="Arial"/>
          <w:sz w:val="24"/>
          <w:szCs w:val="24"/>
        </w:rPr>
        <w:instrText xml:space="preserve"> ADDIN ZOTERO_ITEM CSL_CITATION {"citationID":"8lloLUvW","properties":{"formattedCitation":"(Sabia et al. 2012)","plainCitation":"(Sabia et al. 2012)","dontUpdate":true},"citationItems":[{"id":2030,"uris":["http://zotero.org/users/1148429/items/ET9I76HQ"],"uri":["http://zotero.org/users/1148429/items/ET9I76HQ"],"itemData":{"id":2030,"type":"article-journal","title":"Effect of intensity and type of physical activity on mortality: results from the Whitehall II cohort study","container-title":"Journal Information","volume":"102","issue":"4","source":"Google Scholar","URL":"http://ajph.aphapublications.org/doi/abs/10.2105/AJPH.2011.300257","shortTitle":"Effect of intensity and type of physical activity on mortality","author":[{"family":"Sabia","given":"Séverine"},{"family":"Dugravot","given":"Aline"},{"family":"Kivimaki","given":"Mika"},{"family":"Brunner","given":"Eric"},{"family":"Shipley","given":"Martin J."},{"family":"Singh-Manoux","given":"Archana"}],"issued":{"date-parts":[["2012"]]},"accessed":{"date-parts":[["2013",2,17]]}}}],"schema":"https://github.com/citation-style-language/schema/raw/master/csl-citation.json"} </w:instrText>
      </w:r>
      <w:r w:rsidRPr="004D4A7D">
        <w:rPr>
          <w:rFonts w:cs="Arial"/>
          <w:sz w:val="24"/>
          <w:szCs w:val="24"/>
        </w:rPr>
        <w:fldChar w:fldCharType="separate"/>
      </w:r>
      <w:r w:rsidRPr="004D4A7D">
        <w:rPr>
          <w:rFonts w:cs="Arial"/>
          <w:noProof/>
          <w:sz w:val="24"/>
          <w:szCs w:val="24"/>
        </w:rPr>
        <w:t xml:space="preserve">Sabia et al., 2012 </w:t>
      </w:r>
      <w:r w:rsidRPr="004D4A7D">
        <w:rPr>
          <w:rFonts w:cs="Arial"/>
          <w:sz w:val="24"/>
          <w:szCs w:val="24"/>
        </w:rPr>
        <w:fldChar w:fldCharType="end"/>
      </w:r>
      <w:r w:rsidRPr="004D4A7D">
        <w:rPr>
          <w:rFonts w:cs="Arial"/>
          <w:sz w:val="24"/>
          <w:szCs w:val="24"/>
        </w:rPr>
        <w:fldChar w:fldCharType="begin"/>
      </w:r>
      <w:r w:rsidRPr="004D4A7D">
        <w:rPr>
          <w:rFonts w:cs="Arial"/>
          <w:sz w:val="24"/>
          <w:szCs w:val="24"/>
        </w:rPr>
        <w:instrText xml:space="preserve"> ADDIN ZOTERO_ITEM CSL_CITATION {"citationID":"Xtyp92my","properties":{"formattedCitation":"(Murphy et al. 2012)","plainCitation":"(Murphy et al. 2012)"},"citationItems":[{"id":2036,"uris":["http://zotero.org/users/1148429/items/U7M74VEH"],"uri":["http://zotero.org/users/1148429/items/U7M74VEH"],"itemData":{"id":2036,"type":"article-journal","title":"An evaluation of the effectiveness and cost effectiveness of the National Exercise Referral Scheme in Wales, UK: a randomised controlled trial of a public health policy initiative","container-title":"Journal of Epidemiology and Community Health","page":"745-753","volume":"66","issue":"8","source":"jech.bmj.com","abstract":"Background The Wales National Exercise Referral Scheme (NERS) is a 16-week programme including motivational interviewing, goal setting and relapse prevention.\nMethod A pragmatic randomised controlled trial with nested economic evaluation of 2160 inactive participants with coronary heart disease risk (CHD, 1559, 72%), mild to moderate depression, anxiety or stress (79, 4%) or both (522, 24%) randomised to receive (1) NERS or (2) normal care and brief written information. Outcome measures at 12 months included the 7-day physical activity recall, the hospital anxiety and depression scale.\nResults Ordinal regression identified increased physical activity among those randomised to NERS compared with those receiving normal care in all participants (OR 1.19, 95% CI 0.99 to 1.43), and among those referred for CHD only (OR 1.29, 95% CI 1.04 to 1.60). For those referred for mental health reason alone, or in combination with CHD, there were significantly lower levels of anxiety (OR −1.56, 95% CI −2.75 to −0.38) and depression (OR −1.39, 95% CI −2.60 to −0.18), but no effect on physical activity. The base-case incremental cost-effectiveness ratio was £12 111 per quality adjusted life year, falling to £9741 if participants were to contribute £2 per session.\nConclusions NERS was effective in increasing physical activity among those referred for CHD risk only. Among mental health referrals, NERS did not influence physical activity but was associated with reduced anxiety and depression. Effects were dependent on adherence. NERS is likely to be cost effective with respect to prevailing payer thresholds.\nTrial registration Current Controlled Trials ISRCTN47680448.","DOI":"10.1136/jech-2011-200689","ISSN":", 1470-2738","shortTitle":"An evaluation of the effectiveness and cost effectiveness of the National Exercise Referral Scheme in Wales, UK","journalAbbreviation":"J Epidemiol Community Health","language":"en","author":[{"family":"Murphy","given":"Simon Mark"},{"family":"Edwards","given":"Rhiannon Tudor"},{"family":"Williams","given":"Nefyn"},{"family":"Raisanen","given":"Larry"},{"family":"Moore","given":"Graham"},{"family":"Linck","given":"Pat"},{"family":"Hounsome","given":"Natalia"},{"family":"Din","given":"Nafees Ud"},{"family":"Moore","given":"Laurence"}],"issued":{"date-parts":[["2012",8,1]]},"accessed":{"date-parts":[["2013",2,17]]}}}],"schema":"https://github.com/citation-style-language/schema/raw/master/csl-citation.json"} </w:instrText>
      </w:r>
      <w:r w:rsidRPr="004D4A7D">
        <w:rPr>
          <w:rFonts w:cs="Arial"/>
          <w:sz w:val="24"/>
          <w:szCs w:val="24"/>
        </w:rPr>
        <w:fldChar w:fldCharType="separate"/>
      </w:r>
      <w:r w:rsidRPr="004D4A7D">
        <w:rPr>
          <w:rFonts w:cs="Arial"/>
          <w:noProof/>
          <w:sz w:val="24"/>
          <w:szCs w:val="24"/>
        </w:rPr>
        <w:t>)</w:t>
      </w:r>
      <w:r w:rsidRPr="004D4A7D">
        <w:rPr>
          <w:rFonts w:cs="Arial"/>
          <w:sz w:val="24"/>
          <w:szCs w:val="24"/>
        </w:rPr>
        <w:fldChar w:fldCharType="end"/>
      </w:r>
      <w:r w:rsidRPr="004D4A7D">
        <w:rPr>
          <w:rFonts w:cs="Arial"/>
          <w:sz w:val="24"/>
          <w:szCs w:val="24"/>
        </w:rPr>
        <w:t xml:space="preserve">. </w:t>
      </w:r>
      <w:r w:rsidRPr="004D4A7D">
        <w:rPr>
          <w:sz w:val="24"/>
          <w:szCs w:val="24"/>
        </w:rPr>
        <w:t>A CASE study (2010) finds positive association</w:t>
      </w:r>
      <w:r w:rsidR="004B5B04">
        <w:rPr>
          <w:sz w:val="24"/>
          <w:szCs w:val="24"/>
        </w:rPr>
        <w:t>s</w:t>
      </w:r>
      <w:r w:rsidRPr="004D4A7D">
        <w:rPr>
          <w:sz w:val="24"/>
          <w:szCs w:val="24"/>
        </w:rPr>
        <w:t xml:space="preserve"> between participation in sport and self-assessed health and life satisfaction. </w:t>
      </w:r>
    </w:p>
    <w:p w14:paraId="6D640CA9" w14:textId="77777777" w:rsidR="00A07332" w:rsidRDefault="00A07332" w:rsidP="00C8445C">
      <w:pPr>
        <w:spacing w:after="0" w:line="240" w:lineRule="auto"/>
        <w:contextualSpacing/>
        <w:jc w:val="both"/>
        <w:rPr>
          <w:sz w:val="24"/>
          <w:szCs w:val="24"/>
        </w:rPr>
      </w:pPr>
    </w:p>
    <w:p w14:paraId="3246AC4D" w14:textId="77777777" w:rsidR="00C8445C" w:rsidRPr="004D4A7D" w:rsidRDefault="00A07332" w:rsidP="00C8445C">
      <w:pPr>
        <w:spacing w:after="0" w:line="240" w:lineRule="auto"/>
        <w:contextualSpacing/>
        <w:jc w:val="both"/>
        <w:rPr>
          <w:sz w:val="24"/>
          <w:szCs w:val="24"/>
        </w:rPr>
      </w:pPr>
      <w:r>
        <w:rPr>
          <w:sz w:val="24"/>
          <w:szCs w:val="24"/>
        </w:rPr>
        <w:t>Many</w:t>
      </w:r>
      <w:r w:rsidR="00811226">
        <w:rPr>
          <w:sz w:val="24"/>
          <w:szCs w:val="24"/>
        </w:rPr>
        <w:t xml:space="preserve"> </w:t>
      </w:r>
      <w:r w:rsidRPr="00013FF5">
        <w:rPr>
          <w:sz w:val="24"/>
          <w:szCs w:val="24"/>
        </w:rPr>
        <w:t>studies demonstrat</w:t>
      </w:r>
      <w:r>
        <w:rPr>
          <w:sz w:val="24"/>
          <w:szCs w:val="24"/>
        </w:rPr>
        <w:t>e</w:t>
      </w:r>
      <w:r w:rsidRPr="00013FF5">
        <w:rPr>
          <w:sz w:val="24"/>
          <w:szCs w:val="24"/>
        </w:rPr>
        <w:t xml:space="preserve"> a link between physical activity and decreased depression</w:t>
      </w:r>
      <w:r w:rsidR="0007598E">
        <w:rPr>
          <w:sz w:val="24"/>
          <w:szCs w:val="24"/>
        </w:rPr>
        <w:t xml:space="preserve"> at a population level</w:t>
      </w:r>
      <w:r w:rsidR="007455D6">
        <w:rPr>
          <w:sz w:val="24"/>
          <w:szCs w:val="24"/>
        </w:rPr>
        <w:t xml:space="preserve"> </w:t>
      </w:r>
      <w:r>
        <w:rPr>
          <w:sz w:val="24"/>
          <w:szCs w:val="24"/>
        </w:rPr>
        <w:t>(</w:t>
      </w:r>
      <w:r w:rsidRPr="00013FF5">
        <w:rPr>
          <w:sz w:val="24"/>
          <w:szCs w:val="24"/>
        </w:rPr>
        <w:t>Harris et al.</w:t>
      </w:r>
      <w:r>
        <w:rPr>
          <w:sz w:val="24"/>
          <w:szCs w:val="24"/>
        </w:rPr>
        <w:t xml:space="preserve">, </w:t>
      </w:r>
      <w:r w:rsidRPr="00013FF5">
        <w:rPr>
          <w:sz w:val="24"/>
          <w:szCs w:val="24"/>
        </w:rPr>
        <w:t xml:space="preserve">2006; Galper et al., 2006; </w:t>
      </w:r>
      <w:r w:rsidR="0078125B">
        <w:rPr>
          <w:sz w:val="24"/>
          <w:szCs w:val="24"/>
        </w:rPr>
        <w:t xml:space="preserve">Goodwin, 2003; </w:t>
      </w:r>
      <w:r w:rsidRPr="00013FF5">
        <w:rPr>
          <w:sz w:val="24"/>
          <w:szCs w:val="24"/>
        </w:rPr>
        <w:t>Paffenbarger et al. 1993; Camacho et al., 1991</w:t>
      </w:r>
      <w:r w:rsidR="0078125B">
        <w:rPr>
          <w:sz w:val="24"/>
          <w:szCs w:val="24"/>
        </w:rPr>
        <w:t>)</w:t>
      </w:r>
      <w:r w:rsidRPr="00013FF5">
        <w:rPr>
          <w:sz w:val="24"/>
          <w:szCs w:val="24"/>
        </w:rPr>
        <w:t>.</w:t>
      </w:r>
      <w:r w:rsidR="0055763C">
        <w:rPr>
          <w:sz w:val="24"/>
          <w:szCs w:val="24"/>
        </w:rPr>
        <w:t xml:space="preserve"> </w:t>
      </w:r>
      <w:r w:rsidR="00C8445C" w:rsidRPr="004D4A7D">
        <w:rPr>
          <w:sz w:val="24"/>
          <w:szCs w:val="24"/>
        </w:rPr>
        <w:t>Galper et al. (2006) found that relative increases in fitness and habitual physical activity were associated with lower numbers of depressive symptoms</w:t>
      </w:r>
      <w:r w:rsidR="004B5B04">
        <w:rPr>
          <w:sz w:val="24"/>
          <w:szCs w:val="24"/>
        </w:rPr>
        <w:t xml:space="preserve"> and</w:t>
      </w:r>
      <w:r w:rsidR="00C8445C" w:rsidRPr="004D4A7D">
        <w:rPr>
          <w:sz w:val="24"/>
          <w:szCs w:val="24"/>
        </w:rPr>
        <w:t xml:space="preserve"> great</w:t>
      </w:r>
      <w:r w:rsidR="004B5B04">
        <w:rPr>
          <w:sz w:val="24"/>
          <w:szCs w:val="24"/>
        </w:rPr>
        <w:t>er emotional well</w:t>
      </w:r>
      <w:r w:rsidR="00C8445C" w:rsidRPr="004D4A7D">
        <w:rPr>
          <w:sz w:val="24"/>
          <w:szCs w:val="24"/>
        </w:rPr>
        <w:t>being. Paffenbarger e</w:t>
      </w:r>
      <w:r w:rsidR="004B5B04">
        <w:rPr>
          <w:sz w:val="24"/>
          <w:szCs w:val="24"/>
        </w:rPr>
        <w:t>t al. (1993) found that in a 23-</w:t>
      </w:r>
      <w:r w:rsidR="00C8445C" w:rsidRPr="004D4A7D">
        <w:rPr>
          <w:sz w:val="24"/>
          <w:szCs w:val="24"/>
        </w:rPr>
        <w:t xml:space="preserve">year study of </w:t>
      </w:r>
      <w:r w:rsidR="004B5B04">
        <w:rPr>
          <w:sz w:val="24"/>
          <w:szCs w:val="24"/>
        </w:rPr>
        <w:t xml:space="preserve">a </w:t>
      </w:r>
      <w:r w:rsidR="00C8445C" w:rsidRPr="004D4A7D">
        <w:rPr>
          <w:sz w:val="24"/>
          <w:szCs w:val="24"/>
        </w:rPr>
        <w:t>US college male student cohort</w:t>
      </w:r>
      <w:r w:rsidR="004B5B04">
        <w:rPr>
          <w:sz w:val="24"/>
          <w:szCs w:val="24"/>
        </w:rPr>
        <w:t>,</w:t>
      </w:r>
      <w:r w:rsidR="00C8445C" w:rsidRPr="004D4A7D">
        <w:rPr>
          <w:sz w:val="24"/>
          <w:szCs w:val="24"/>
        </w:rPr>
        <w:t xml:space="preserve"> later</w:t>
      </w:r>
      <w:r>
        <w:rPr>
          <w:sz w:val="24"/>
          <w:szCs w:val="24"/>
        </w:rPr>
        <w:t xml:space="preserve"> life</w:t>
      </w:r>
      <w:r w:rsidR="00C8445C" w:rsidRPr="004D4A7D">
        <w:rPr>
          <w:sz w:val="24"/>
          <w:szCs w:val="24"/>
        </w:rPr>
        <w:t xml:space="preserve"> depression rates were lower among those who, as young men, had been physically active and sports players.  Based on a cohort study of people aged over 50</w:t>
      </w:r>
      <w:r w:rsidR="004B5B04">
        <w:rPr>
          <w:sz w:val="24"/>
          <w:szCs w:val="24"/>
        </w:rPr>
        <w:t xml:space="preserve"> years</w:t>
      </w:r>
      <w:r w:rsidR="00C8445C" w:rsidRPr="004D4A7D">
        <w:rPr>
          <w:sz w:val="24"/>
          <w:szCs w:val="24"/>
        </w:rPr>
        <w:t xml:space="preserve">, Camacho et al. (1991) also </w:t>
      </w:r>
      <w:r w:rsidR="004B5B04">
        <w:rPr>
          <w:sz w:val="24"/>
          <w:szCs w:val="24"/>
        </w:rPr>
        <w:t>shows</w:t>
      </w:r>
      <w:r w:rsidR="00C8445C" w:rsidRPr="004D4A7D">
        <w:rPr>
          <w:sz w:val="24"/>
          <w:szCs w:val="24"/>
        </w:rPr>
        <w:t xml:space="preserve"> that greater physical activity is protective against depression. </w:t>
      </w:r>
      <w:r>
        <w:rPr>
          <w:sz w:val="24"/>
          <w:szCs w:val="24"/>
        </w:rPr>
        <w:t xml:space="preserve">In work that looks specifically at the impact of engagement in sport on wellbeing, </w:t>
      </w:r>
      <w:r w:rsidR="00C8445C" w:rsidRPr="004D4A7D">
        <w:rPr>
          <w:sz w:val="24"/>
          <w:szCs w:val="24"/>
        </w:rPr>
        <w:t>Dolan et al (2013) used an instrumental variable approach based on the respondent’s perceived benefits of exercise participation to estimate the causal impact of exercise participation on reports of life satisfaction. Their results suggest that exercising increases life satisfaction for both genders and more so for males.</w:t>
      </w:r>
      <w:r w:rsidR="004B5B04">
        <w:rPr>
          <w:sz w:val="24"/>
          <w:szCs w:val="24"/>
        </w:rPr>
        <w:t xml:space="preserve"> </w:t>
      </w:r>
    </w:p>
    <w:p w14:paraId="5C4CD805" w14:textId="77777777" w:rsidR="00C8445C" w:rsidRDefault="00C8445C" w:rsidP="004D4A7D">
      <w:pPr>
        <w:spacing w:after="0" w:line="240" w:lineRule="auto"/>
        <w:contextualSpacing/>
        <w:jc w:val="both"/>
        <w:rPr>
          <w:rFonts w:cs="Arial"/>
          <w:b/>
          <w:sz w:val="24"/>
          <w:szCs w:val="24"/>
        </w:rPr>
      </w:pPr>
    </w:p>
    <w:p w14:paraId="0B080DB0" w14:textId="77777777" w:rsidR="008A7869" w:rsidRDefault="008A7869" w:rsidP="008A7869">
      <w:pPr>
        <w:spacing w:after="0" w:line="240" w:lineRule="auto"/>
        <w:contextualSpacing/>
        <w:jc w:val="both"/>
        <w:rPr>
          <w:rFonts w:cs="Arial"/>
          <w:b/>
          <w:sz w:val="24"/>
          <w:szCs w:val="24"/>
        </w:rPr>
      </w:pPr>
      <w:r w:rsidRPr="004D4A7D">
        <w:rPr>
          <w:rFonts w:cs="Arial"/>
          <w:b/>
          <w:sz w:val="24"/>
          <w:szCs w:val="24"/>
        </w:rPr>
        <w:t>Sport, culture, and medical service usage</w:t>
      </w:r>
    </w:p>
    <w:p w14:paraId="4F01D28F" w14:textId="77777777" w:rsidR="008A7869" w:rsidRPr="0083145E" w:rsidRDefault="008A7869" w:rsidP="008A7869">
      <w:pPr>
        <w:spacing w:after="0" w:line="240" w:lineRule="auto"/>
        <w:contextualSpacing/>
        <w:jc w:val="both"/>
        <w:rPr>
          <w:rFonts w:cs="Arial"/>
          <w:sz w:val="24"/>
          <w:szCs w:val="24"/>
        </w:rPr>
      </w:pPr>
      <w:r w:rsidRPr="0083145E">
        <w:rPr>
          <w:rFonts w:cs="Arial"/>
          <w:sz w:val="24"/>
          <w:szCs w:val="24"/>
        </w:rPr>
        <w:t xml:space="preserve">There is a lack of research which looks at the population level effects of cultural participation on medical service usage. One example which </w:t>
      </w:r>
      <w:r>
        <w:rPr>
          <w:rFonts w:cs="Arial"/>
          <w:sz w:val="24"/>
          <w:szCs w:val="24"/>
        </w:rPr>
        <w:t xml:space="preserve">does exist, </w:t>
      </w:r>
      <w:r w:rsidRPr="0083145E">
        <w:rPr>
          <w:rFonts w:cs="Arial"/>
          <w:sz w:val="24"/>
          <w:szCs w:val="24"/>
        </w:rPr>
        <w:t xml:space="preserve">focuses specifically on </w:t>
      </w:r>
      <w:r>
        <w:rPr>
          <w:rFonts w:cs="Arial"/>
          <w:sz w:val="24"/>
          <w:szCs w:val="24"/>
        </w:rPr>
        <w:t>people aged 65 and older, and</w:t>
      </w:r>
      <w:r w:rsidRPr="0083145E">
        <w:rPr>
          <w:rFonts w:cs="Arial"/>
          <w:sz w:val="24"/>
          <w:szCs w:val="24"/>
        </w:rPr>
        <w:t xml:space="preserve"> found that </w:t>
      </w:r>
      <w:r>
        <w:rPr>
          <w:rFonts w:cs="Arial"/>
          <w:sz w:val="24"/>
          <w:szCs w:val="24"/>
        </w:rPr>
        <w:t>amongst these</w:t>
      </w:r>
      <w:r w:rsidRPr="0083145E">
        <w:rPr>
          <w:rFonts w:cs="Arial"/>
          <w:sz w:val="24"/>
          <w:szCs w:val="24"/>
        </w:rPr>
        <w:t xml:space="preserve"> people</w:t>
      </w:r>
      <w:r>
        <w:rPr>
          <w:rFonts w:cs="Arial"/>
          <w:sz w:val="24"/>
          <w:szCs w:val="24"/>
        </w:rPr>
        <w:t>, those</w:t>
      </w:r>
      <w:r w:rsidRPr="0083145E">
        <w:rPr>
          <w:rFonts w:cs="Arial"/>
          <w:sz w:val="24"/>
          <w:szCs w:val="24"/>
        </w:rPr>
        <w:t xml:space="preserve"> who participated in professionally conducted community-based cultural program</w:t>
      </w:r>
      <w:r w:rsidR="00EF6E8B">
        <w:rPr>
          <w:rFonts w:cs="Arial"/>
          <w:sz w:val="24"/>
          <w:szCs w:val="24"/>
        </w:rPr>
        <w:t>me</w:t>
      </w:r>
      <w:r w:rsidRPr="0083145E">
        <w:rPr>
          <w:rFonts w:cs="Arial"/>
          <w:sz w:val="24"/>
          <w:szCs w:val="24"/>
        </w:rPr>
        <w:t xml:space="preserve">s reported a higher overall rating of physical health, fewer doctor visits, less medication use, fewer instances of falls, and fewer other health problems than those that didn’t (Cohen et al. 2006) There is also evidence to suggest </w:t>
      </w:r>
      <w:r w:rsidRPr="0083145E">
        <w:rPr>
          <w:rFonts w:cs="Arial"/>
          <w:sz w:val="24"/>
          <w:szCs w:val="24"/>
        </w:rPr>
        <w:lastRenderedPageBreak/>
        <w:t xml:space="preserve">that that participation in the arts in healthcare settings has a beneficial impact on medical service usage. </w:t>
      </w:r>
      <w:r>
        <w:rPr>
          <w:rFonts w:cs="Arial"/>
          <w:sz w:val="24"/>
          <w:szCs w:val="24"/>
        </w:rPr>
        <w:t>Van Lith</w:t>
      </w:r>
      <w:r w:rsidRPr="0083145E">
        <w:rPr>
          <w:rFonts w:cs="Arial"/>
          <w:sz w:val="24"/>
          <w:szCs w:val="24"/>
        </w:rPr>
        <w:t xml:space="preserve"> et al (2012), for example, have found that evaluations of a wide variety of arts programmes have reported reductions in symptoms, reduced use of medication and fewer GP visits.</w:t>
      </w:r>
      <w:r>
        <w:rPr>
          <w:rFonts w:cs="Arial"/>
          <w:sz w:val="24"/>
          <w:szCs w:val="24"/>
        </w:rPr>
        <w:t xml:space="preserve"> Further </w:t>
      </w:r>
      <w:r w:rsidRPr="00320E35">
        <w:rPr>
          <w:rFonts w:cs="Arial"/>
          <w:sz w:val="24"/>
          <w:szCs w:val="24"/>
          <w:lang w:val="en"/>
        </w:rPr>
        <w:t>population-level evidence from epidemiological studies</w:t>
      </w:r>
      <w:r>
        <w:rPr>
          <w:rFonts w:cs="Arial"/>
          <w:sz w:val="24"/>
          <w:szCs w:val="24"/>
          <w:lang w:val="en"/>
        </w:rPr>
        <w:t xml:space="preserve"> </w:t>
      </w:r>
      <w:r w:rsidRPr="00320E35">
        <w:rPr>
          <w:rFonts w:cs="Arial"/>
          <w:sz w:val="24"/>
          <w:szCs w:val="24"/>
          <w:lang w:val="en"/>
        </w:rPr>
        <w:t xml:space="preserve">on cultural participation and </w:t>
      </w:r>
      <w:r>
        <w:rPr>
          <w:rFonts w:cs="Arial"/>
          <w:sz w:val="24"/>
          <w:szCs w:val="24"/>
          <w:lang w:val="en"/>
        </w:rPr>
        <w:t>medical service usage</w:t>
      </w:r>
      <w:r w:rsidRPr="00320E35">
        <w:rPr>
          <w:rFonts w:cs="Arial"/>
          <w:sz w:val="24"/>
          <w:szCs w:val="24"/>
          <w:lang w:val="en"/>
        </w:rPr>
        <w:t xml:space="preserve"> </w:t>
      </w:r>
      <w:r>
        <w:rPr>
          <w:rFonts w:cs="Arial"/>
          <w:sz w:val="24"/>
          <w:szCs w:val="24"/>
          <w:lang w:val="en"/>
        </w:rPr>
        <w:t xml:space="preserve">is needed. </w:t>
      </w:r>
    </w:p>
    <w:p w14:paraId="13F78594" w14:textId="77777777" w:rsidR="008A7869" w:rsidRPr="004D4A7D" w:rsidRDefault="008A7869" w:rsidP="008A7869">
      <w:pPr>
        <w:widowControl w:val="0"/>
        <w:autoSpaceDE w:val="0"/>
        <w:autoSpaceDN w:val="0"/>
        <w:adjustRightInd w:val="0"/>
        <w:spacing w:after="0" w:line="240" w:lineRule="auto"/>
        <w:contextualSpacing/>
        <w:rPr>
          <w:rFonts w:cs="Arial"/>
          <w:sz w:val="24"/>
          <w:szCs w:val="24"/>
        </w:rPr>
      </w:pPr>
    </w:p>
    <w:p w14:paraId="19CC3923" w14:textId="77777777" w:rsidR="008A7869" w:rsidRDefault="008A7869" w:rsidP="008A7869">
      <w:pPr>
        <w:widowControl w:val="0"/>
        <w:autoSpaceDE w:val="0"/>
        <w:autoSpaceDN w:val="0"/>
        <w:adjustRightInd w:val="0"/>
        <w:spacing w:after="0" w:line="240" w:lineRule="auto"/>
        <w:contextualSpacing/>
        <w:rPr>
          <w:rFonts w:cs="Arial"/>
          <w:sz w:val="24"/>
          <w:szCs w:val="24"/>
        </w:rPr>
      </w:pPr>
      <w:r>
        <w:rPr>
          <w:rFonts w:cs="Arial"/>
          <w:sz w:val="24"/>
          <w:szCs w:val="24"/>
        </w:rPr>
        <w:t xml:space="preserve">The evidence for the effects of sport on medical service usage is stronger. </w:t>
      </w:r>
      <w:r w:rsidRPr="004D4A7D">
        <w:rPr>
          <w:rFonts w:cs="Arial"/>
          <w:sz w:val="24"/>
          <w:szCs w:val="24"/>
        </w:rPr>
        <w:t>Helbig &amp; Hoyer (2008)</w:t>
      </w:r>
      <w:r>
        <w:rPr>
          <w:rFonts w:cs="Arial"/>
          <w:sz w:val="24"/>
          <w:szCs w:val="24"/>
        </w:rPr>
        <w:t xml:space="preserve">, for example, </w:t>
      </w:r>
      <w:r w:rsidRPr="004D4A7D">
        <w:rPr>
          <w:rFonts w:cs="Arial"/>
          <w:sz w:val="24"/>
          <w:szCs w:val="24"/>
        </w:rPr>
        <w:t xml:space="preserve">found that patients coping with long waiting lists to attend </w:t>
      </w:r>
      <w:r>
        <w:rPr>
          <w:rFonts w:cs="Arial"/>
          <w:sz w:val="24"/>
          <w:szCs w:val="24"/>
        </w:rPr>
        <w:t xml:space="preserve">CBT (Cognitive Behavioural </w:t>
      </w:r>
      <w:r w:rsidR="0032147A">
        <w:rPr>
          <w:rFonts w:cs="Arial"/>
          <w:sz w:val="24"/>
          <w:szCs w:val="24"/>
        </w:rPr>
        <w:t>Therapy</w:t>
      </w:r>
      <w:r>
        <w:rPr>
          <w:rFonts w:cs="Arial"/>
          <w:sz w:val="24"/>
          <w:szCs w:val="24"/>
        </w:rPr>
        <w:t>)</w:t>
      </w:r>
      <w:r w:rsidRPr="004D4A7D">
        <w:rPr>
          <w:rFonts w:cs="Arial"/>
          <w:sz w:val="24"/>
          <w:szCs w:val="24"/>
        </w:rPr>
        <w:t xml:space="preserve"> reported engaging in new activities like sport to handle the long waiting times, although such behaviours did not positively affect therapeutic outcomes. </w:t>
      </w:r>
    </w:p>
    <w:p w14:paraId="4AB8BA4C" w14:textId="77777777" w:rsidR="008A7869" w:rsidRDefault="008A7869" w:rsidP="008A7869">
      <w:pPr>
        <w:widowControl w:val="0"/>
        <w:autoSpaceDE w:val="0"/>
        <w:autoSpaceDN w:val="0"/>
        <w:adjustRightInd w:val="0"/>
        <w:spacing w:after="0" w:line="240" w:lineRule="auto"/>
        <w:contextualSpacing/>
        <w:rPr>
          <w:rFonts w:cs="Arial"/>
          <w:sz w:val="24"/>
          <w:szCs w:val="24"/>
        </w:rPr>
      </w:pPr>
      <w:r w:rsidRPr="004D4A7D">
        <w:rPr>
          <w:rFonts w:cs="Arial"/>
          <w:sz w:val="24"/>
          <w:szCs w:val="24"/>
        </w:rPr>
        <w:t>Among about 100 patients with coronary artery disease and ischemia, Blumenthal et al (1997) conducted a randomised experiment that assigned patients to either exercise,</w:t>
      </w:r>
      <w:r w:rsidRPr="008C1F77">
        <w:rPr>
          <w:rFonts w:cs="Arial"/>
          <w:sz w:val="24"/>
          <w:szCs w:val="24"/>
        </w:rPr>
        <w:t xml:space="preserve"> </w:t>
      </w:r>
      <w:r w:rsidRPr="004D4A7D">
        <w:rPr>
          <w:rFonts w:cs="Arial"/>
          <w:sz w:val="24"/>
          <w:szCs w:val="24"/>
        </w:rPr>
        <w:t xml:space="preserve">exercise receive stress management training or </w:t>
      </w:r>
      <w:r>
        <w:rPr>
          <w:rFonts w:cs="Arial"/>
          <w:sz w:val="24"/>
          <w:szCs w:val="24"/>
        </w:rPr>
        <w:t xml:space="preserve">continue their </w:t>
      </w:r>
      <w:r w:rsidRPr="004D4A7D">
        <w:rPr>
          <w:rFonts w:cs="Arial"/>
          <w:sz w:val="24"/>
          <w:szCs w:val="24"/>
        </w:rPr>
        <w:t>usual care. The relative risk of a cardiac event among those in the exercise group was lower than that of controls</w:t>
      </w:r>
      <w:r>
        <w:rPr>
          <w:rFonts w:cs="Arial"/>
          <w:sz w:val="24"/>
          <w:szCs w:val="24"/>
        </w:rPr>
        <w:t>,</w:t>
      </w:r>
      <w:r w:rsidRPr="004D4A7D">
        <w:rPr>
          <w:rFonts w:cs="Arial"/>
          <w:sz w:val="24"/>
          <w:szCs w:val="24"/>
        </w:rPr>
        <w:t xml:space="preserve"> but </w:t>
      </w:r>
      <w:r>
        <w:rPr>
          <w:rFonts w:cs="Arial"/>
          <w:sz w:val="24"/>
          <w:szCs w:val="24"/>
        </w:rPr>
        <w:t xml:space="preserve">the effect </w:t>
      </w:r>
      <w:r w:rsidRPr="004D4A7D">
        <w:rPr>
          <w:rFonts w:cs="Arial"/>
          <w:sz w:val="24"/>
          <w:szCs w:val="24"/>
        </w:rPr>
        <w:t>did not reach statistical significance</w:t>
      </w:r>
      <w:r>
        <w:rPr>
          <w:rFonts w:cs="Arial"/>
          <w:sz w:val="24"/>
          <w:szCs w:val="24"/>
        </w:rPr>
        <w:t>,</w:t>
      </w:r>
      <w:r w:rsidRPr="004D4A7D">
        <w:rPr>
          <w:rFonts w:cs="Arial"/>
          <w:sz w:val="24"/>
          <w:szCs w:val="24"/>
        </w:rPr>
        <w:t xml:space="preserve"> and the stress management training group had the lowest risk. </w:t>
      </w:r>
    </w:p>
    <w:p w14:paraId="2BCFD37F" w14:textId="77777777" w:rsidR="008A7869" w:rsidRDefault="008A7869" w:rsidP="008A7869">
      <w:pPr>
        <w:widowControl w:val="0"/>
        <w:autoSpaceDE w:val="0"/>
        <w:autoSpaceDN w:val="0"/>
        <w:adjustRightInd w:val="0"/>
        <w:spacing w:after="0" w:line="240" w:lineRule="auto"/>
        <w:contextualSpacing/>
        <w:rPr>
          <w:rFonts w:cs="Arial"/>
          <w:sz w:val="24"/>
          <w:szCs w:val="24"/>
        </w:rPr>
      </w:pPr>
    </w:p>
    <w:p w14:paraId="5EF17977" w14:textId="77777777" w:rsidR="008A7869" w:rsidRDefault="008A7869" w:rsidP="008A7869">
      <w:pPr>
        <w:widowControl w:val="0"/>
        <w:autoSpaceDE w:val="0"/>
        <w:autoSpaceDN w:val="0"/>
        <w:adjustRightInd w:val="0"/>
        <w:spacing w:after="0" w:line="240" w:lineRule="auto"/>
        <w:contextualSpacing/>
        <w:rPr>
          <w:rFonts w:cs="Arial"/>
          <w:b/>
          <w:sz w:val="24"/>
          <w:szCs w:val="24"/>
        </w:rPr>
      </w:pPr>
      <w:r>
        <w:rPr>
          <w:sz w:val="24"/>
          <w:szCs w:val="24"/>
        </w:rPr>
        <w:t xml:space="preserve">In longitudinal work, </w:t>
      </w:r>
      <w:r w:rsidRPr="004D4A7D">
        <w:rPr>
          <w:sz w:val="24"/>
          <w:szCs w:val="24"/>
        </w:rPr>
        <w:t xml:space="preserve">Dohle and Wansink (2013) found that whether men played a sport in high school was a strong predictor of later-life physical activity and fewer visits to the doctor. </w:t>
      </w:r>
      <w:r>
        <w:rPr>
          <w:sz w:val="24"/>
          <w:szCs w:val="24"/>
        </w:rPr>
        <w:t>Similarly based on evidence from</w:t>
      </w:r>
      <w:r w:rsidRPr="004D4A7D">
        <w:rPr>
          <w:sz w:val="24"/>
          <w:szCs w:val="24"/>
        </w:rPr>
        <w:t xml:space="preserve"> a male cohort</w:t>
      </w:r>
      <w:r>
        <w:rPr>
          <w:sz w:val="24"/>
          <w:szCs w:val="24"/>
        </w:rPr>
        <w:t xml:space="preserve"> study,</w:t>
      </w:r>
      <w:r w:rsidRPr="004D4A7D">
        <w:rPr>
          <w:sz w:val="24"/>
          <w:szCs w:val="24"/>
        </w:rPr>
        <w:t xml:space="preserve"> Warburton et al (2006b) highlight various health benefits of exercise and establish criteria for prescribing physical activity as a preventative therapy. Callaghan (2004) reviews the benefits of exercise for mental health, arguing that exercise therapy is an under-utilised treatment option for mental health patients and that doctors should make better use of exercise referral schemes</w:t>
      </w:r>
      <w:r>
        <w:rPr>
          <w:sz w:val="24"/>
          <w:szCs w:val="24"/>
        </w:rPr>
        <w:t>.</w:t>
      </w:r>
    </w:p>
    <w:p w14:paraId="70CDAB43" w14:textId="77777777" w:rsidR="00A33D5A" w:rsidRDefault="00A33D5A" w:rsidP="008A7869">
      <w:pPr>
        <w:spacing w:after="0" w:line="240" w:lineRule="auto"/>
        <w:contextualSpacing/>
        <w:jc w:val="both"/>
        <w:rPr>
          <w:sz w:val="24"/>
          <w:szCs w:val="24"/>
        </w:rPr>
      </w:pPr>
    </w:p>
    <w:p w14:paraId="1D300BCC" w14:textId="77777777" w:rsidR="008A7869" w:rsidRPr="004D4A7D" w:rsidRDefault="008A7869" w:rsidP="008A7869">
      <w:pPr>
        <w:spacing w:after="0" w:line="240" w:lineRule="auto"/>
        <w:contextualSpacing/>
        <w:jc w:val="both"/>
        <w:rPr>
          <w:rFonts w:cs="Arial"/>
          <w:b/>
          <w:sz w:val="24"/>
          <w:szCs w:val="24"/>
        </w:rPr>
      </w:pPr>
      <w:r w:rsidRPr="004D4A7D">
        <w:rPr>
          <w:rFonts w:cs="Arial"/>
          <w:b/>
          <w:sz w:val="24"/>
          <w:szCs w:val="24"/>
        </w:rPr>
        <w:t>Sports, culture, and education</w:t>
      </w:r>
    </w:p>
    <w:p w14:paraId="57415EA9" w14:textId="77777777" w:rsidR="008A7869" w:rsidRPr="004D4A7D" w:rsidRDefault="008A7869" w:rsidP="008A7869">
      <w:pPr>
        <w:spacing w:after="0" w:line="240" w:lineRule="auto"/>
        <w:contextualSpacing/>
        <w:jc w:val="both"/>
        <w:rPr>
          <w:sz w:val="24"/>
          <w:szCs w:val="24"/>
        </w:rPr>
      </w:pPr>
      <w:r w:rsidRPr="004D4A7D">
        <w:rPr>
          <w:sz w:val="24"/>
          <w:szCs w:val="24"/>
        </w:rPr>
        <w:t>Engaging in the arts and cultural activities is positively associated with higher educational performance and development in children</w:t>
      </w:r>
      <w:r>
        <w:rPr>
          <w:sz w:val="24"/>
          <w:szCs w:val="24"/>
        </w:rPr>
        <w:t>, with some studies suggesting there are benefits for adults, too</w:t>
      </w:r>
      <w:r w:rsidRPr="004D4A7D">
        <w:rPr>
          <w:sz w:val="24"/>
          <w:szCs w:val="24"/>
        </w:rPr>
        <w:t>. Studies have linked participation in arts and music related activities with a wide range of education</w:t>
      </w:r>
      <w:r>
        <w:rPr>
          <w:sz w:val="24"/>
          <w:szCs w:val="24"/>
        </w:rPr>
        <w:t>-</w:t>
      </w:r>
      <w:r w:rsidRPr="004D4A7D">
        <w:rPr>
          <w:sz w:val="24"/>
          <w:szCs w:val="24"/>
        </w:rPr>
        <w:t xml:space="preserve">related benefits such as academic achievement (Catterall et al. 1999; Bamford 2006) and IQ scores (Schellenberg, 2006). </w:t>
      </w:r>
    </w:p>
    <w:p w14:paraId="01D9532A" w14:textId="77777777" w:rsidR="008A7869" w:rsidRPr="004D4A7D" w:rsidRDefault="008A7869" w:rsidP="008A7869">
      <w:pPr>
        <w:spacing w:after="0" w:line="240" w:lineRule="auto"/>
        <w:contextualSpacing/>
        <w:jc w:val="both"/>
        <w:rPr>
          <w:sz w:val="24"/>
          <w:szCs w:val="24"/>
        </w:rPr>
      </w:pPr>
    </w:p>
    <w:p w14:paraId="0958169A" w14:textId="77777777" w:rsidR="008A7869" w:rsidRPr="00A63B41" w:rsidRDefault="008A7869" w:rsidP="008A7869">
      <w:pPr>
        <w:rPr>
          <w:rFonts w:ascii="Times" w:eastAsia="Times New Roman" w:hAnsi="Times" w:cs="Times New Roman"/>
          <w:sz w:val="24"/>
          <w:szCs w:val="24"/>
        </w:rPr>
      </w:pPr>
      <w:r w:rsidRPr="004D4A7D">
        <w:rPr>
          <w:sz w:val="24"/>
          <w:szCs w:val="24"/>
        </w:rPr>
        <w:t xml:space="preserve">There is also some evidence to </w:t>
      </w:r>
      <w:r w:rsidRPr="00B75001">
        <w:rPr>
          <w:sz w:val="24"/>
          <w:szCs w:val="24"/>
        </w:rPr>
        <w:t>suggest that participation in cultural activities such as music and arts programmes is associated with</w:t>
      </w:r>
      <w:r w:rsidRPr="00D67EE6">
        <w:rPr>
          <w:sz w:val="24"/>
          <w:szCs w:val="24"/>
        </w:rPr>
        <w:t xml:space="preserve"> both positive attitudes towards school attendance (Upitis et al 2003) and school attendance itself (Dreezen et al. 1999)</w:t>
      </w:r>
      <w:r>
        <w:rPr>
          <w:sz w:val="24"/>
          <w:szCs w:val="24"/>
        </w:rPr>
        <w:t xml:space="preserve"> and academic aspirations</w:t>
      </w:r>
      <w:r w:rsidRPr="00D67EE6">
        <w:rPr>
          <w:sz w:val="24"/>
          <w:szCs w:val="24"/>
        </w:rPr>
        <w:t>. Noble &amp; Davies (2009)</w:t>
      </w:r>
      <w:r w:rsidRPr="00D67EE6">
        <w:rPr>
          <w:rFonts w:eastAsia="Times New Roman" w:cs="Times New Roman"/>
          <w:sz w:val="24"/>
          <w:szCs w:val="24"/>
        </w:rPr>
        <w:t xml:space="preserve"> </w:t>
      </w:r>
      <w:r>
        <w:rPr>
          <w:rFonts w:eastAsia="Times New Roman" w:cs="Times New Roman"/>
          <w:sz w:val="24"/>
          <w:szCs w:val="24"/>
        </w:rPr>
        <w:t xml:space="preserve">for example, </w:t>
      </w:r>
      <w:r w:rsidRPr="00A63B41">
        <w:rPr>
          <w:rFonts w:eastAsia="Times New Roman" w:cs="Times New Roman"/>
          <w:sz w:val="24"/>
          <w:szCs w:val="24"/>
        </w:rPr>
        <w:t>finds that increased cultural capital</w:t>
      </w:r>
      <w:r>
        <w:rPr>
          <w:rFonts w:eastAsia="Times New Roman" w:cs="Times New Roman"/>
          <w:sz w:val="24"/>
          <w:szCs w:val="24"/>
        </w:rPr>
        <w:t>,</w:t>
      </w:r>
      <w:r w:rsidRPr="00A63B41">
        <w:rPr>
          <w:rFonts w:eastAsia="Times New Roman" w:cs="Times New Roman"/>
          <w:sz w:val="24"/>
          <w:szCs w:val="24"/>
        </w:rPr>
        <w:t xml:space="preserve"> which includes participation in cultural activities</w:t>
      </w:r>
      <w:r>
        <w:rPr>
          <w:rFonts w:eastAsia="Times New Roman" w:cs="Times New Roman"/>
          <w:sz w:val="24"/>
          <w:szCs w:val="24"/>
        </w:rPr>
        <w:t>,</w:t>
      </w:r>
      <w:r w:rsidRPr="00A63B41">
        <w:rPr>
          <w:rFonts w:eastAsia="Times New Roman" w:cs="Times New Roman"/>
          <w:sz w:val="24"/>
          <w:szCs w:val="24"/>
        </w:rPr>
        <w:t xml:space="preserve"> is associated with an increased </w:t>
      </w:r>
      <w:r>
        <w:rPr>
          <w:rFonts w:eastAsia="Times New Roman" w:cs="Times New Roman"/>
          <w:sz w:val="24"/>
          <w:szCs w:val="24"/>
        </w:rPr>
        <w:t xml:space="preserve">intention to participate </w:t>
      </w:r>
      <w:r w:rsidRPr="00A63B41">
        <w:rPr>
          <w:rFonts w:eastAsia="Times New Roman" w:cs="Times New Roman"/>
          <w:sz w:val="24"/>
          <w:szCs w:val="24"/>
        </w:rPr>
        <w:t>in higher education.</w:t>
      </w:r>
      <w:r>
        <w:rPr>
          <w:rFonts w:ascii="Times" w:eastAsia="Times New Roman" w:hAnsi="Times" w:cs="Times New Roman"/>
          <w:sz w:val="24"/>
          <w:szCs w:val="24"/>
        </w:rPr>
        <w:t xml:space="preserve"> </w:t>
      </w:r>
      <w:r w:rsidRPr="00B75001">
        <w:rPr>
          <w:rFonts w:ascii="Times" w:eastAsia="Times New Roman" w:hAnsi="Times" w:cs="Times New Roman"/>
          <w:sz w:val="24"/>
          <w:szCs w:val="24"/>
        </w:rPr>
        <w:t xml:space="preserve"> </w:t>
      </w:r>
    </w:p>
    <w:p w14:paraId="1367C919" w14:textId="77777777" w:rsidR="008A7869" w:rsidRDefault="008A7869" w:rsidP="008A7869">
      <w:pPr>
        <w:spacing w:after="0" w:line="240" w:lineRule="auto"/>
        <w:contextualSpacing/>
        <w:jc w:val="both"/>
        <w:rPr>
          <w:sz w:val="24"/>
          <w:szCs w:val="24"/>
        </w:rPr>
      </w:pPr>
    </w:p>
    <w:p w14:paraId="0F9A8291" w14:textId="77777777" w:rsidR="00300DA9" w:rsidRPr="004D4A7D" w:rsidRDefault="00300DA9" w:rsidP="00300DA9">
      <w:pPr>
        <w:spacing w:after="0" w:line="240" w:lineRule="auto"/>
        <w:contextualSpacing/>
        <w:jc w:val="both"/>
        <w:rPr>
          <w:sz w:val="24"/>
          <w:szCs w:val="24"/>
        </w:rPr>
      </w:pPr>
      <w:r w:rsidRPr="00F42BC2">
        <w:rPr>
          <w:sz w:val="24"/>
          <w:szCs w:val="24"/>
        </w:rPr>
        <w:t xml:space="preserve">Engagement in cultural activities can positively impact actual higher/further educational </w:t>
      </w:r>
      <w:r w:rsidR="00813CB6" w:rsidRPr="00F42BC2">
        <w:rPr>
          <w:sz w:val="24"/>
          <w:szCs w:val="24"/>
        </w:rPr>
        <w:t>attendance as well as aspirations.</w:t>
      </w:r>
      <w:r w:rsidR="001F0DCD" w:rsidRPr="00F42BC2">
        <w:rPr>
          <w:sz w:val="24"/>
          <w:szCs w:val="24"/>
        </w:rPr>
        <w:t xml:space="preserve"> Childs</w:t>
      </w:r>
      <w:r w:rsidR="0013481B" w:rsidRPr="00F42BC2">
        <w:rPr>
          <w:sz w:val="24"/>
          <w:szCs w:val="24"/>
        </w:rPr>
        <w:t xml:space="preserve"> et al</w:t>
      </w:r>
      <w:r w:rsidR="001F0DCD" w:rsidRPr="00F42BC2">
        <w:rPr>
          <w:sz w:val="24"/>
          <w:szCs w:val="24"/>
        </w:rPr>
        <w:t xml:space="preserve"> (2002) show with a sample of over 16,000 Canadian youth </w:t>
      </w:r>
      <w:r w:rsidR="004305CC" w:rsidRPr="00F42BC2">
        <w:rPr>
          <w:sz w:val="24"/>
          <w:szCs w:val="24"/>
        </w:rPr>
        <w:t>that increased frequency of attendance at art museums or galleries, opera, ballet, classical symphony, or live theatre is associated with increased likelihood of going onto further/higher education.</w:t>
      </w:r>
      <w:r w:rsidR="004305CC">
        <w:rPr>
          <w:sz w:val="24"/>
          <w:szCs w:val="24"/>
        </w:rPr>
        <w:t xml:space="preserve"> </w:t>
      </w:r>
    </w:p>
    <w:p w14:paraId="358FABA3" w14:textId="77777777" w:rsidR="00300DA9" w:rsidRPr="004D4A7D" w:rsidRDefault="00300DA9" w:rsidP="008A7869">
      <w:pPr>
        <w:spacing w:after="0" w:line="240" w:lineRule="auto"/>
        <w:contextualSpacing/>
        <w:jc w:val="both"/>
        <w:rPr>
          <w:sz w:val="24"/>
          <w:szCs w:val="24"/>
        </w:rPr>
      </w:pPr>
    </w:p>
    <w:p w14:paraId="63B85BD3" w14:textId="77777777" w:rsidR="008A7869" w:rsidRDefault="008A7869" w:rsidP="008A7869">
      <w:pPr>
        <w:spacing w:after="0" w:line="240" w:lineRule="auto"/>
        <w:rPr>
          <w:sz w:val="24"/>
          <w:szCs w:val="24"/>
        </w:rPr>
      </w:pPr>
      <w:r w:rsidRPr="004D4A7D">
        <w:rPr>
          <w:sz w:val="24"/>
          <w:szCs w:val="24"/>
        </w:rPr>
        <w:lastRenderedPageBreak/>
        <w:t>Winner and Hetland (2001) carried out a meta-analysis of the relevant literature and concluded that three areas of arts participation showed causal links to enhanced academic outcomes</w:t>
      </w:r>
      <w:r>
        <w:rPr>
          <w:sz w:val="24"/>
          <w:szCs w:val="24"/>
        </w:rPr>
        <w:t>:</w:t>
      </w:r>
      <w:r w:rsidRPr="004D4A7D">
        <w:rPr>
          <w:sz w:val="24"/>
          <w:szCs w:val="24"/>
        </w:rPr>
        <w:t xml:space="preserve"> listening to music was found to temporarily improve spatial temporal reasoning</w:t>
      </w:r>
      <w:r>
        <w:rPr>
          <w:sz w:val="24"/>
          <w:szCs w:val="24"/>
        </w:rPr>
        <w:t>,</w:t>
      </w:r>
      <w:r w:rsidRPr="004D4A7D">
        <w:rPr>
          <w:sz w:val="24"/>
          <w:szCs w:val="24"/>
        </w:rPr>
        <w:t xml:space="preserve"> learning to play music was found to improve spatial reasonin</w:t>
      </w:r>
      <w:r>
        <w:rPr>
          <w:sz w:val="24"/>
          <w:szCs w:val="24"/>
        </w:rPr>
        <w:t>g,</w:t>
      </w:r>
      <w:r w:rsidRPr="004D4A7D">
        <w:rPr>
          <w:sz w:val="24"/>
          <w:szCs w:val="24"/>
        </w:rPr>
        <w:t xml:space="preserve"> and engaging in classroom drama was found to improve verbal skills. </w:t>
      </w:r>
    </w:p>
    <w:p w14:paraId="32A79A73" w14:textId="77777777" w:rsidR="008A7869" w:rsidRPr="004D4A7D" w:rsidRDefault="008A7869" w:rsidP="008A7869">
      <w:pPr>
        <w:spacing w:after="0" w:line="240" w:lineRule="auto"/>
        <w:rPr>
          <w:rFonts w:cs="Arial"/>
          <w:sz w:val="24"/>
          <w:szCs w:val="24"/>
        </w:rPr>
      </w:pPr>
    </w:p>
    <w:p w14:paraId="62DCFDB9" w14:textId="77777777" w:rsidR="008A7869" w:rsidRDefault="008A7869" w:rsidP="008A7869">
      <w:pPr>
        <w:spacing w:after="0" w:line="240" w:lineRule="auto"/>
        <w:contextualSpacing/>
        <w:jc w:val="both"/>
        <w:rPr>
          <w:sz w:val="24"/>
          <w:szCs w:val="24"/>
        </w:rPr>
      </w:pPr>
      <w:r w:rsidRPr="004D4A7D">
        <w:rPr>
          <w:sz w:val="24"/>
          <w:szCs w:val="24"/>
        </w:rPr>
        <w:t>Catterall et al (1999) investigated the link between engaging in cultural activities and educational performance in a large US</w:t>
      </w:r>
      <w:r>
        <w:rPr>
          <w:sz w:val="24"/>
          <w:szCs w:val="24"/>
        </w:rPr>
        <w:t>-</w:t>
      </w:r>
      <w:r w:rsidRPr="004D4A7D">
        <w:rPr>
          <w:sz w:val="24"/>
          <w:szCs w:val="24"/>
        </w:rPr>
        <w:t xml:space="preserve">based National Educational Longitudinal Survey. </w:t>
      </w:r>
      <w:r>
        <w:rPr>
          <w:sz w:val="24"/>
          <w:szCs w:val="24"/>
        </w:rPr>
        <w:t>The authors</w:t>
      </w:r>
      <w:r w:rsidRPr="004D4A7D">
        <w:rPr>
          <w:sz w:val="24"/>
          <w:szCs w:val="24"/>
        </w:rPr>
        <w:t xml:space="preserve"> found that engaging in the arts is associated with positive academic developments for children</w:t>
      </w:r>
      <w:r>
        <w:rPr>
          <w:sz w:val="24"/>
          <w:szCs w:val="24"/>
        </w:rPr>
        <w:t xml:space="preserve"> a</w:t>
      </w:r>
      <w:r w:rsidRPr="004D4A7D">
        <w:rPr>
          <w:sz w:val="24"/>
          <w:szCs w:val="24"/>
        </w:rPr>
        <w:t>nd that the academic advantage accrued by arts-involved children grows over time. Importantly</w:t>
      </w:r>
      <w:r>
        <w:rPr>
          <w:sz w:val="24"/>
          <w:szCs w:val="24"/>
        </w:rPr>
        <w:t>,</w:t>
      </w:r>
      <w:r w:rsidRPr="004D4A7D">
        <w:rPr>
          <w:sz w:val="24"/>
          <w:szCs w:val="24"/>
        </w:rPr>
        <w:t xml:space="preserve"> they found that these advantages are also significant amongst children from low socio-economic backgrounds. Further findings from this work include that students from all </w:t>
      </w:r>
      <w:r>
        <w:rPr>
          <w:sz w:val="24"/>
          <w:szCs w:val="24"/>
        </w:rPr>
        <w:t>socioeconomic</w:t>
      </w:r>
      <w:r w:rsidRPr="004D4A7D">
        <w:rPr>
          <w:sz w:val="24"/>
          <w:szCs w:val="24"/>
        </w:rPr>
        <w:t xml:space="preserve"> backgrounds who report consistently high levels of involvement in instrumental music have greater mathematics proficiency</w:t>
      </w:r>
      <w:r>
        <w:rPr>
          <w:sz w:val="24"/>
          <w:szCs w:val="24"/>
        </w:rPr>
        <w:t>,</w:t>
      </w:r>
      <w:r w:rsidRPr="004D4A7D">
        <w:rPr>
          <w:sz w:val="24"/>
          <w:szCs w:val="24"/>
        </w:rPr>
        <w:t xml:space="preserve"> and that children who reported sustained involvement with theatre and drama were more likely to have high levels of reading proficiency</w:t>
      </w:r>
      <w:r>
        <w:rPr>
          <w:sz w:val="24"/>
          <w:szCs w:val="24"/>
        </w:rPr>
        <w:t>,</w:t>
      </w:r>
      <w:r w:rsidRPr="004D4A7D">
        <w:rPr>
          <w:sz w:val="24"/>
          <w:szCs w:val="24"/>
        </w:rPr>
        <w:t xml:space="preserve"> as well higher levels of motivation. </w:t>
      </w:r>
    </w:p>
    <w:p w14:paraId="52FE9B24" w14:textId="77777777" w:rsidR="008A7869" w:rsidRPr="004D4A7D" w:rsidRDefault="008A7869" w:rsidP="008A7869">
      <w:pPr>
        <w:spacing w:after="0" w:line="240" w:lineRule="auto"/>
        <w:contextualSpacing/>
        <w:jc w:val="both"/>
        <w:rPr>
          <w:sz w:val="24"/>
          <w:szCs w:val="24"/>
        </w:rPr>
      </w:pPr>
    </w:p>
    <w:p w14:paraId="0C92945D" w14:textId="77777777" w:rsidR="008A7869" w:rsidRDefault="008A7869" w:rsidP="008A7869">
      <w:pPr>
        <w:spacing w:after="0" w:line="240" w:lineRule="auto"/>
        <w:contextualSpacing/>
        <w:jc w:val="both"/>
        <w:rPr>
          <w:sz w:val="24"/>
          <w:szCs w:val="24"/>
        </w:rPr>
      </w:pPr>
      <w:r w:rsidRPr="004D4A7D">
        <w:rPr>
          <w:sz w:val="24"/>
          <w:szCs w:val="24"/>
        </w:rPr>
        <w:t>Specifically in relation to involvement in dance, experimental research carried out by Minton (2002)</w:t>
      </w:r>
      <w:r>
        <w:rPr>
          <w:sz w:val="24"/>
          <w:szCs w:val="24"/>
        </w:rPr>
        <w:t xml:space="preserve"> with</w:t>
      </w:r>
      <w:r w:rsidRPr="004D4A7D">
        <w:rPr>
          <w:sz w:val="24"/>
          <w:szCs w:val="24"/>
        </w:rPr>
        <w:t xml:space="preserve"> high school age students found that those students who were assigned to study dance scored higher than non-dancers on measures of creative thinking. According to Vaghan et al (2011)</w:t>
      </w:r>
      <w:r>
        <w:rPr>
          <w:sz w:val="24"/>
          <w:szCs w:val="24"/>
        </w:rPr>
        <w:t>,</w:t>
      </w:r>
      <w:r w:rsidRPr="004D4A7D">
        <w:rPr>
          <w:sz w:val="24"/>
          <w:szCs w:val="24"/>
        </w:rPr>
        <w:t xml:space="preserve"> the learning outcomes that have been put forward </w:t>
      </w:r>
      <w:r>
        <w:rPr>
          <w:sz w:val="24"/>
          <w:szCs w:val="24"/>
        </w:rPr>
        <w:t>in</w:t>
      </w:r>
      <w:r w:rsidRPr="004D4A7D">
        <w:rPr>
          <w:sz w:val="24"/>
          <w:szCs w:val="24"/>
        </w:rPr>
        <w:t xml:space="preserve"> the literature through which engagement in cultural activities is believed to impact upon educational attainment are the following: resilience, self-regulation</w:t>
      </w:r>
      <w:r>
        <w:rPr>
          <w:sz w:val="24"/>
          <w:szCs w:val="24"/>
        </w:rPr>
        <w:t xml:space="preserve">, </w:t>
      </w:r>
      <w:r w:rsidRPr="004D4A7D">
        <w:rPr>
          <w:sz w:val="24"/>
          <w:szCs w:val="24"/>
        </w:rPr>
        <w:t xml:space="preserve">self-identity; self-esteem, </w:t>
      </w:r>
      <w:r>
        <w:rPr>
          <w:sz w:val="24"/>
          <w:szCs w:val="24"/>
        </w:rPr>
        <w:t xml:space="preserve">academic </w:t>
      </w:r>
      <w:r w:rsidRPr="004D4A7D">
        <w:rPr>
          <w:sz w:val="24"/>
          <w:szCs w:val="24"/>
        </w:rPr>
        <w:t>self-concept</w:t>
      </w:r>
      <w:r>
        <w:rPr>
          <w:sz w:val="24"/>
          <w:szCs w:val="24"/>
        </w:rPr>
        <w:t xml:space="preserve"> (that is,</w:t>
      </w:r>
      <w:r w:rsidR="00106852">
        <w:rPr>
          <w:sz w:val="24"/>
          <w:szCs w:val="24"/>
        </w:rPr>
        <w:t xml:space="preserve"> </w:t>
      </w:r>
      <w:r w:rsidRPr="004D4A7D">
        <w:rPr>
          <w:sz w:val="24"/>
          <w:szCs w:val="24"/>
        </w:rPr>
        <w:t>self-efficacy</w:t>
      </w:r>
      <w:r>
        <w:rPr>
          <w:sz w:val="24"/>
          <w:szCs w:val="24"/>
        </w:rPr>
        <w:t xml:space="preserve"> and motivation)</w:t>
      </w:r>
      <w:r w:rsidRPr="004D4A7D">
        <w:rPr>
          <w:sz w:val="24"/>
          <w:szCs w:val="24"/>
        </w:rPr>
        <w:t xml:space="preserve"> (Oreck, Baum &amp; McCartney, 1999</w:t>
      </w:r>
      <w:r>
        <w:rPr>
          <w:sz w:val="24"/>
          <w:szCs w:val="24"/>
        </w:rPr>
        <w:t xml:space="preserve">; </w:t>
      </w:r>
      <w:r w:rsidRPr="004D4A7D">
        <w:rPr>
          <w:sz w:val="24"/>
          <w:szCs w:val="24"/>
        </w:rPr>
        <w:t>Catterall et al. 1999; Deasy, 2001</w:t>
      </w:r>
      <w:r>
        <w:rPr>
          <w:sz w:val="24"/>
          <w:szCs w:val="24"/>
        </w:rPr>
        <w:t xml:space="preserve">; </w:t>
      </w:r>
      <w:r w:rsidRPr="004D4A7D">
        <w:rPr>
          <w:sz w:val="24"/>
          <w:szCs w:val="24"/>
        </w:rPr>
        <w:t>Hunter, 2005</w:t>
      </w:r>
      <w:r>
        <w:rPr>
          <w:sz w:val="24"/>
          <w:szCs w:val="24"/>
        </w:rPr>
        <w:t xml:space="preserve">; </w:t>
      </w:r>
      <w:r w:rsidRPr="004D4A7D">
        <w:rPr>
          <w:sz w:val="24"/>
          <w:szCs w:val="24"/>
        </w:rPr>
        <w:t>Bamford, 2006).</w:t>
      </w:r>
    </w:p>
    <w:p w14:paraId="6E5276EB" w14:textId="77777777" w:rsidR="00E32F65" w:rsidRDefault="00E32F65" w:rsidP="008A7869">
      <w:pPr>
        <w:spacing w:after="0" w:line="240" w:lineRule="auto"/>
        <w:contextualSpacing/>
        <w:jc w:val="both"/>
        <w:rPr>
          <w:sz w:val="24"/>
          <w:szCs w:val="24"/>
        </w:rPr>
      </w:pPr>
    </w:p>
    <w:p w14:paraId="6CA90BFB" w14:textId="77777777" w:rsidR="00E32F65" w:rsidRDefault="00F40A56" w:rsidP="008A7869">
      <w:pPr>
        <w:spacing w:after="0" w:line="240" w:lineRule="auto"/>
        <w:contextualSpacing/>
        <w:jc w:val="both"/>
        <w:rPr>
          <w:rFonts w:eastAsia="Times New Roman" w:cs="Times New Roman"/>
          <w:sz w:val="24"/>
          <w:szCs w:val="24"/>
        </w:rPr>
      </w:pPr>
      <w:r w:rsidRPr="00F42BC2">
        <w:rPr>
          <w:sz w:val="24"/>
          <w:szCs w:val="24"/>
        </w:rPr>
        <w:t>Prior research</w:t>
      </w:r>
      <w:r w:rsidR="00E32F65" w:rsidRPr="00F42BC2">
        <w:rPr>
          <w:sz w:val="24"/>
          <w:szCs w:val="24"/>
        </w:rPr>
        <w:t xml:space="preserve"> </w:t>
      </w:r>
      <w:r w:rsidR="007442B2" w:rsidRPr="00F42BC2">
        <w:rPr>
          <w:sz w:val="24"/>
          <w:szCs w:val="24"/>
        </w:rPr>
        <w:t>suggest</w:t>
      </w:r>
      <w:r w:rsidRPr="00F42BC2">
        <w:rPr>
          <w:sz w:val="24"/>
          <w:szCs w:val="24"/>
        </w:rPr>
        <w:t>s that</w:t>
      </w:r>
      <w:r w:rsidR="00E32F65" w:rsidRPr="00F42BC2">
        <w:rPr>
          <w:sz w:val="24"/>
          <w:szCs w:val="24"/>
        </w:rPr>
        <w:t xml:space="preserve"> people who play sports as teenagers have higher educational aspirations and are more likely to go onto </w:t>
      </w:r>
      <w:r w:rsidR="007442B2" w:rsidRPr="00F42BC2">
        <w:rPr>
          <w:sz w:val="24"/>
          <w:szCs w:val="24"/>
        </w:rPr>
        <w:t>further/</w:t>
      </w:r>
      <w:r w:rsidR="00E32F65" w:rsidRPr="00F42BC2">
        <w:rPr>
          <w:sz w:val="24"/>
          <w:szCs w:val="24"/>
        </w:rPr>
        <w:t>higher education.</w:t>
      </w:r>
      <w:r w:rsidR="0013481B" w:rsidRPr="00F42BC2">
        <w:rPr>
          <w:sz w:val="24"/>
          <w:szCs w:val="24"/>
        </w:rPr>
        <w:t xml:space="preserve"> Rees &amp; Sabia (2010) show that youth who play sports in high school are more likely to have strong aspirations to attend college. </w:t>
      </w:r>
      <w:r w:rsidR="0013481B" w:rsidRPr="00F42BC2">
        <w:rPr>
          <w:rFonts w:eastAsia="Times New Roman" w:cs="Times New Roman"/>
          <w:sz w:val="24"/>
          <w:szCs w:val="24"/>
        </w:rPr>
        <w:t xml:space="preserve">Troutman &amp; Dufur (2007) show that women who play sport in high school have higher odds of completing college. </w:t>
      </w:r>
      <w:r w:rsidR="007442B2" w:rsidRPr="00F42BC2">
        <w:rPr>
          <w:sz w:val="24"/>
          <w:szCs w:val="24"/>
        </w:rPr>
        <w:t xml:space="preserve">In a longitudinal study of more than 1,000 US youth, </w:t>
      </w:r>
      <w:r w:rsidR="007442B2" w:rsidRPr="00F42BC2">
        <w:rPr>
          <w:rFonts w:eastAsia="Times New Roman" w:cs="Times New Roman"/>
          <w:sz w:val="24"/>
          <w:szCs w:val="24"/>
        </w:rPr>
        <w:t>Peck</w:t>
      </w:r>
      <w:r w:rsidR="0013481B" w:rsidRPr="00F42BC2">
        <w:rPr>
          <w:rFonts w:eastAsia="Times New Roman" w:cs="Times New Roman"/>
          <w:sz w:val="24"/>
          <w:szCs w:val="24"/>
        </w:rPr>
        <w:t xml:space="preserve"> et al</w:t>
      </w:r>
      <w:r w:rsidR="007442B2" w:rsidRPr="00F42BC2">
        <w:rPr>
          <w:rFonts w:eastAsia="Times New Roman" w:cs="Times New Roman"/>
          <w:sz w:val="24"/>
          <w:szCs w:val="24"/>
        </w:rPr>
        <w:t xml:space="preserve"> (2008) </w:t>
      </w:r>
      <w:r w:rsidR="003C0578" w:rsidRPr="00F42BC2">
        <w:rPr>
          <w:rFonts w:eastAsia="Times New Roman" w:cs="Times New Roman"/>
          <w:sz w:val="24"/>
          <w:szCs w:val="24"/>
        </w:rPr>
        <w:t>show</w:t>
      </w:r>
      <w:r w:rsidR="007442B2" w:rsidRPr="00F42BC2">
        <w:rPr>
          <w:rFonts w:eastAsia="Times New Roman" w:cs="Times New Roman"/>
          <w:sz w:val="24"/>
          <w:szCs w:val="24"/>
        </w:rPr>
        <w:t xml:space="preserve"> that </w:t>
      </w:r>
      <w:r w:rsidR="00CA63A4" w:rsidRPr="00F42BC2">
        <w:rPr>
          <w:rFonts w:eastAsia="Times New Roman" w:cs="Times New Roman"/>
          <w:sz w:val="24"/>
          <w:szCs w:val="24"/>
        </w:rPr>
        <w:t xml:space="preserve">educationally vulnerable youth (identified as vulnerable according to their academic motivation, achievement, and mental health as well as family, school, and peer contexts) who </w:t>
      </w:r>
      <w:r w:rsidR="00554AA9" w:rsidRPr="00F42BC2">
        <w:rPr>
          <w:rFonts w:eastAsia="Times New Roman" w:cs="Times New Roman"/>
          <w:sz w:val="24"/>
          <w:szCs w:val="24"/>
        </w:rPr>
        <w:t xml:space="preserve">were highly involved </w:t>
      </w:r>
      <w:r w:rsidR="00CA63A4" w:rsidRPr="00F42BC2">
        <w:rPr>
          <w:rFonts w:eastAsia="Times New Roman" w:cs="Times New Roman"/>
          <w:sz w:val="24"/>
          <w:szCs w:val="24"/>
        </w:rPr>
        <w:t xml:space="preserve">in </w:t>
      </w:r>
      <w:r w:rsidR="00554AA9" w:rsidRPr="00F42BC2">
        <w:rPr>
          <w:rFonts w:eastAsia="Times New Roman" w:cs="Times New Roman"/>
          <w:sz w:val="24"/>
          <w:szCs w:val="24"/>
        </w:rPr>
        <w:t>sports, as well as other school and community-based activities, were more than three times more likely to go onto college than those who were not highly involved.</w:t>
      </w:r>
      <w:r w:rsidR="00E276A7" w:rsidRPr="00F42BC2">
        <w:rPr>
          <w:rFonts w:eastAsia="Times New Roman" w:cs="Times New Roman"/>
          <w:sz w:val="24"/>
          <w:szCs w:val="24"/>
        </w:rPr>
        <w:t xml:space="preserve"> Notably those who were highly involved in sports only and not also other activities were not more likely to go onto further/hig</w:t>
      </w:r>
      <w:r w:rsidR="00BA4B8B" w:rsidRPr="00F42BC2">
        <w:rPr>
          <w:rFonts w:eastAsia="Times New Roman" w:cs="Times New Roman"/>
          <w:sz w:val="24"/>
          <w:szCs w:val="24"/>
        </w:rPr>
        <w:t>her education, suggesting sports may need to be combined with oth</w:t>
      </w:r>
      <w:r w:rsidR="00E6227D">
        <w:rPr>
          <w:rFonts w:eastAsia="Times New Roman" w:cs="Times New Roman"/>
          <w:sz w:val="24"/>
          <w:szCs w:val="24"/>
        </w:rPr>
        <w:t>er activities to have a benefit in this domain.</w:t>
      </w:r>
    </w:p>
    <w:p w14:paraId="2C3D8AB4" w14:textId="77777777" w:rsidR="008A7869" w:rsidRPr="004D4A7D" w:rsidRDefault="008A7869" w:rsidP="008A7869">
      <w:pPr>
        <w:spacing w:after="0" w:line="240" w:lineRule="auto"/>
        <w:contextualSpacing/>
        <w:jc w:val="both"/>
        <w:rPr>
          <w:sz w:val="24"/>
          <w:szCs w:val="24"/>
        </w:rPr>
      </w:pPr>
    </w:p>
    <w:p w14:paraId="4FFEF23B" w14:textId="77777777" w:rsidR="008A7869" w:rsidRPr="004D4A7D" w:rsidRDefault="008A7869" w:rsidP="008A7869">
      <w:pPr>
        <w:pStyle w:val="NormalWeb"/>
        <w:shd w:val="clear" w:color="auto" w:fill="FFFFFF"/>
        <w:spacing w:before="0"/>
        <w:ind w:left="0"/>
        <w:contextualSpacing/>
        <w:jc w:val="both"/>
        <w:textAlignment w:val="baseline"/>
        <w:rPr>
          <w:rFonts w:asciiTheme="minorHAnsi" w:hAnsiTheme="minorHAnsi" w:cs="Arial"/>
          <w:color w:val="000000"/>
          <w:shd w:val="clear" w:color="auto" w:fill="FFFFFF"/>
          <w:lang w:eastAsia="en-US"/>
        </w:rPr>
      </w:pPr>
      <w:r>
        <w:rPr>
          <w:rFonts w:asciiTheme="minorHAnsi" w:hAnsiTheme="minorHAnsi" w:cs="Arial"/>
          <w:color w:val="000000"/>
          <w:shd w:val="clear" w:color="auto" w:fill="FFFFFF"/>
          <w:lang w:eastAsia="en-US"/>
        </w:rPr>
        <w:t>There is evidence to suggest that</w:t>
      </w:r>
      <w:r w:rsidR="000E543F">
        <w:rPr>
          <w:rFonts w:asciiTheme="minorHAnsi" w:hAnsiTheme="minorHAnsi" w:cs="Arial"/>
          <w:color w:val="000000"/>
          <w:shd w:val="clear" w:color="auto" w:fill="FFFFFF"/>
          <w:lang w:eastAsia="en-US"/>
        </w:rPr>
        <w:t xml:space="preserve"> sports participation </w:t>
      </w:r>
      <w:r>
        <w:rPr>
          <w:rFonts w:asciiTheme="minorHAnsi" w:hAnsiTheme="minorHAnsi" w:cs="Arial"/>
          <w:color w:val="000000"/>
          <w:shd w:val="clear" w:color="auto" w:fill="FFFFFF"/>
          <w:lang w:eastAsia="en-US"/>
        </w:rPr>
        <w:t xml:space="preserve">also positively influences educational performance.  </w:t>
      </w:r>
      <w:r w:rsidRPr="004D4A7D">
        <w:rPr>
          <w:rFonts w:asciiTheme="minorHAnsi" w:hAnsiTheme="minorHAnsi" w:cs="Arial"/>
          <w:color w:val="000000"/>
          <w:shd w:val="clear" w:color="auto" w:fill="FFFFFF"/>
          <w:lang w:eastAsia="en-US"/>
        </w:rPr>
        <w:t>Trudeau and Shepard (2008)</w:t>
      </w:r>
      <w:r>
        <w:rPr>
          <w:rFonts w:asciiTheme="minorHAnsi" w:hAnsiTheme="minorHAnsi" w:cs="Arial"/>
          <w:color w:val="000000"/>
          <w:shd w:val="clear" w:color="auto" w:fill="FFFFFF"/>
          <w:lang w:eastAsia="en-US"/>
        </w:rPr>
        <w:t>,</w:t>
      </w:r>
      <w:r w:rsidRPr="004D4A7D">
        <w:rPr>
          <w:rFonts w:asciiTheme="minorHAnsi" w:hAnsiTheme="minorHAnsi" w:cs="Arial"/>
          <w:color w:val="000000"/>
          <w:shd w:val="clear" w:color="auto" w:fill="FFFFFF"/>
          <w:lang w:eastAsia="en-US"/>
        </w:rPr>
        <w:t xml:space="preserve"> </w:t>
      </w:r>
      <w:r>
        <w:rPr>
          <w:rFonts w:asciiTheme="minorHAnsi" w:hAnsiTheme="minorHAnsi" w:cs="Arial"/>
          <w:color w:val="000000"/>
          <w:shd w:val="clear" w:color="auto" w:fill="FFFFFF"/>
          <w:lang w:eastAsia="en-US"/>
        </w:rPr>
        <w:t xml:space="preserve">for example, </w:t>
      </w:r>
      <w:r w:rsidRPr="004D4A7D">
        <w:rPr>
          <w:rFonts w:asciiTheme="minorHAnsi" w:hAnsiTheme="minorHAnsi" w:cs="Arial"/>
          <w:color w:val="000000"/>
          <w:shd w:val="clear" w:color="auto" w:fill="FFFFFF"/>
          <w:lang w:eastAsia="en-US"/>
        </w:rPr>
        <w:t xml:space="preserve">reviewed quasi-experimental and longitudinal work on the relationship between physical activity and educational performance in school children and found evidence for a </w:t>
      </w:r>
      <w:r w:rsidRPr="004D4A7D">
        <w:rPr>
          <w:rFonts w:asciiTheme="minorHAnsi" w:hAnsiTheme="minorHAnsi"/>
          <w:color w:val="000000"/>
          <w:shd w:val="clear" w:color="auto" w:fill="FFFFFF"/>
          <w:lang w:eastAsia="en-US"/>
        </w:rPr>
        <w:t xml:space="preserve">positive relationship between physical activity and intellectual performance. </w:t>
      </w:r>
      <w:r w:rsidRPr="004D4A7D">
        <w:rPr>
          <w:rFonts w:asciiTheme="minorHAnsi" w:hAnsiTheme="minorHAnsi"/>
          <w:bCs/>
          <w:kern w:val="36"/>
        </w:rPr>
        <w:t xml:space="preserve">Taras (2005) reviewed the existing literature relating to </w:t>
      </w:r>
      <w:r w:rsidRPr="004D4A7D">
        <w:rPr>
          <w:rFonts w:asciiTheme="minorHAnsi" w:hAnsiTheme="minorHAnsi" w:cs="Arial"/>
          <w:bCs/>
          <w:color w:val="000000"/>
          <w:shd w:val="clear" w:color="auto" w:fill="FFFFFF"/>
          <w:lang w:eastAsia="en-US"/>
        </w:rPr>
        <w:t>sports participation and student performance at school and found some evidence to suggest that there</w:t>
      </w:r>
      <w:r w:rsidRPr="004D4A7D">
        <w:rPr>
          <w:rFonts w:asciiTheme="minorHAnsi" w:hAnsiTheme="minorHAnsi" w:cs="Arial"/>
          <w:color w:val="000000"/>
          <w:shd w:val="clear" w:color="auto" w:fill="FFFFFF"/>
          <w:lang w:eastAsia="en-US"/>
        </w:rPr>
        <w:t xml:space="preserve"> may be some short-term improvements in some behaviours related to educational performance from engaging in physical activity</w:t>
      </w:r>
      <w:r>
        <w:rPr>
          <w:rFonts w:asciiTheme="minorHAnsi" w:hAnsiTheme="minorHAnsi" w:cs="Arial"/>
          <w:color w:val="000000"/>
          <w:shd w:val="clear" w:color="auto" w:fill="FFFFFF"/>
          <w:lang w:eastAsia="en-US"/>
        </w:rPr>
        <w:t>,</w:t>
      </w:r>
      <w:r w:rsidRPr="004D4A7D">
        <w:rPr>
          <w:rFonts w:asciiTheme="minorHAnsi" w:hAnsiTheme="minorHAnsi" w:cs="Arial"/>
          <w:color w:val="000000"/>
          <w:shd w:val="clear" w:color="auto" w:fill="FFFFFF"/>
          <w:lang w:eastAsia="en-US"/>
        </w:rPr>
        <w:t xml:space="preserve"> such as improved concentration. </w:t>
      </w:r>
    </w:p>
    <w:p w14:paraId="43141B92" w14:textId="77777777" w:rsidR="008A7869" w:rsidRPr="004D4A7D" w:rsidRDefault="008A7869" w:rsidP="008A7869">
      <w:pPr>
        <w:pStyle w:val="NormalWeb"/>
        <w:shd w:val="clear" w:color="auto" w:fill="FFFFFF"/>
        <w:spacing w:before="0"/>
        <w:ind w:left="0"/>
        <w:contextualSpacing/>
        <w:jc w:val="both"/>
        <w:textAlignment w:val="baseline"/>
        <w:rPr>
          <w:rFonts w:asciiTheme="minorHAnsi" w:hAnsiTheme="minorHAnsi"/>
          <w:bCs/>
          <w:kern w:val="36"/>
        </w:rPr>
      </w:pPr>
      <w:r w:rsidRPr="004D4A7D">
        <w:rPr>
          <w:rFonts w:asciiTheme="minorHAnsi" w:hAnsiTheme="minorHAnsi"/>
          <w:bCs/>
          <w:kern w:val="36"/>
        </w:rPr>
        <w:lastRenderedPageBreak/>
        <w:t>Castelli et al. (2007) looked at cross-sectional data relating to 3</w:t>
      </w:r>
      <w:r w:rsidRPr="004D4A7D">
        <w:rPr>
          <w:rFonts w:asciiTheme="minorHAnsi" w:hAnsiTheme="minorHAnsi"/>
          <w:bCs/>
          <w:kern w:val="36"/>
          <w:vertAlign w:val="superscript"/>
        </w:rPr>
        <w:t>rd</w:t>
      </w:r>
      <w:r w:rsidRPr="004D4A7D">
        <w:rPr>
          <w:rFonts w:asciiTheme="minorHAnsi" w:hAnsiTheme="minorHAnsi"/>
          <w:bCs/>
          <w:kern w:val="36"/>
        </w:rPr>
        <w:t xml:space="preserve"> and 5</w:t>
      </w:r>
      <w:r w:rsidRPr="004D4A7D">
        <w:rPr>
          <w:rFonts w:asciiTheme="minorHAnsi" w:hAnsiTheme="minorHAnsi"/>
          <w:bCs/>
          <w:kern w:val="36"/>
          <w:vertAlign w:val="superscript"/>
        </w:rPr>
        <w:t>th</w:t>
      </w:r>
      <w:r w:rsidRPr="004D4A7D">
        <w:rPr>
          <w:rFonts w:asciiTheme="minorHAnsi" w:hAnsiTheme="minorHAnsi"/>
          <w:bCs/>
          <w:kern w:val="36"/>
        </w:rPr>
        <w:t xml:space="preserve"> grade students in the US and found that physical fitness was positively associated with total academic achievement as well as with mathematics achievement and reading ability. From these results the authors suggest that physical fitness may be globally related to academic performance</w:t>
      </w:r>
      <w:r>
        <w:rPr>
          <w:rFonts w:asciiTheme="minorHAnsi" w:hAnsiTheme="minorHAnsi"/>
          <w:bCs/>
          <w:kern w:val="36"/>
        </w:rPr>
        <w:t xml:space="preserve"> </w:t>
      </w:r>
      <w:r w:rsidRPr="004D4A7D">
        <w:rPr>
          <w:rFonts w:asciiTheme="minorHAnsi" w:hAnsiTheme="minorHAnsi"/>
          <w:bCs/>
          <w:kern w:val="36"/>
        </w:rPr>
        <w:t xml:space="preserve">amongst teenagers. Similarly, Ruiz et al (2010) carried out a cross-sectional study of adolescents in Spain </w:t>
      </w:r>
      <w:r w:rsidRPr="004D4A7D">
        <w:rPr>
          <w:rFonts w:asciiTheme="minorHAnsi" w:eastAsia="Arial Unicode MS" w:hAnsiTheme="minorHAnsi" w:cs="Arial Unicode MS"/>
          <w:color w:val="2E2E2E"/>
        </w:rPr>
        <w:t xml:space="preserve">and found that participation in sports activities was associated with better verbal, numeric and reasoning abilities. </w:t>
      </w:r>
    </w:p>
    <w:p w14:paraId="757295A4" w14:textId="77777777" w:rsidR="008A7869" w:rsidRPr="004D4A7D" w:rsidRDefault="008A7869" w:rsidP="008A7869">
      <w:pPr>
        <w:pStyle w:val="NormalWeb"/>
        <w:shd w:val="clear" w:color="auto" w:fill="FFFFFF"/>
        <w:spacing w:before="0"/>
        <w:ind w:left="0"/>
        <w:contextualSpacing/>
        <w:jc w:val="both"/>
        <w:textAlignment w:val="baseline"/>
        <w:rPr>
          <w:rFonts w:asciiTheme="minorHAnsi" w:eastAsia="Arial Unicode MS" w:hAnsiTheme="minorHAnsi" w:cs="Arial Unicode MS"/>
          <w:color w:val="2E2E2E"/>
        </w:rPr>
      </w:pPr>
    </w:p>
    <w:p w14:paraId="47E3B11C" w14:textId="77777777" w:rsidR="008A7869" w:rsidRPr="004D4A7D" w:rsidRDefault="008A7869" w:rsidP="008A7869">
      <w:pPr>
        <w:pStyle w:val="NormalWeb"/>
        <w:shd w:val="clear" w:color="auto" w:fill="FFFFFF"/>
        <w:spacing w:before="0"/>
        <w:ind w:left="0"/>
        <w:contextualSpacing/>
        <w:jc w:val="both"/>
        <w:textAlignment w:val="baseline"/>
        <w:rPr>
          <w:rFonts w:asciiTheme="minorHAnsi" w:eastAsia="Arial Unicode MS" w:hAnsiTheme="minorHAnsi" w:cs="Arial Unicode MS"/>
          <w:color w:val="2E2E2E"/>
        </w:rPr>
      </w:pPr>
      <w:r w:rsidRPr="004D4A7D">
        <w:rPr>
          <w:rFonts w:asciiTheme="minorHAnsi" w:eastAsia="Arial Unicode MS" w:hAnsiTheme="minorHAnsi" w:cs="Arial Unicode MS"/>
          <w:color w:val="2E2E2E"/>
        </w:rPr>
        <w:t>Though a lack of experimental evidence exists in this area</w:t>
      </w:r>
      <w:r>
        <w:rPr>
          <w:rFonts w:asciiTheme="minorHAnsi" w:eastAsia="Arial Unicode MS" w:hAnsiTheme="minorHAnsi" w:cs="Arial Unicode MS"/>
          <w:color w:val="2E2E2E"/>
        </w:rPr>
        <w:t>,</w:t>
      </w:r>
      <w:r w:rsidRPr="004D4A7D">
        <w:rPr>
          <w:rFonts w:asciiTheme="minorHAnsi" w:eastAsia="Arial Unicode MS" w:hAnsiTheme="minorHAnsi" w:cs="Arial Unicode MS"/>
          <w:color w:val="2E2E2E"/>
        </w:rPr>
        <w:t xml:space="preserve"> one study by Coe et al. (2006) randomly assigned 214 sixth-grade students to physical education classes or to arts or computer classes for a school semester. Whilst participation in physical education classes didn’t significantly affect children’s academic grades or performance on a standardized academic achievement test, the children involved in the study who reported high levels of physical activity (that exceeded recommended guidelines) achieved higher academic grades than did less active children. Based on these results</w:t>
      </w:r>
      <w:r>
        <w:rPr>
          <w:rFonts w:asciiTheme="minorHAnsi" w:eastAsia="Arial Unicode MS" w:hAnsiTheme="minorHAnsi" w:cs="Arial Unicode MS"/>
          <w:color w:val="2E2E2E"/>
        </w:rPr>
        <w:t>,</w:t>
      </w:r>
      <w:r w:rsidRPr="004D4A7D">
        <w:rPr>
          <w:rFonts w:asciiTheme="minorHAnsi" w:eastAsia="Arial Unicode MS" w:hAnsiTheme="minorHAnsi" w:cs="Arial Unicode MS"/>
          <w:color w:val="2E2E2E"/>
        </w:rPr>
        <w:t xml:space="preserve"> the author suggests that a threshold level of activity may be required to bring about improved academic achievement. </w:t>
      </w:r>
    </w:p>
    <w:p w14:paraId="050E54D2" w14:textId="77777777" w:rsidR="008A7869" w:rsidRPr="004D4A7D" w:rsidRDefault="008A7869" w:rsidP="008A7869">
      <w:pPr>
        <w:pStyle w:val="NormalWeb"/>
        <w:shd w:val="clear" w:color="auto" w:fill="FFFFFF"/>
        <w:spacing w:before="0"/>
        <w:ind w:left="0"/>
        <w:contextualSpacing/>
        <w:jc w:val="both"/>
        <w:textAlignment w:val="baseline"/>
        <w:rPr>
          <w:rFonts w:asciiTheme="minorHAnsi" w:eastAsia="Arial Unicode MS" w:hAnsiTheme="minorHAnsi" w:cs="Arial Unicode MS"/>
          <w:color w:val="2E2E2E"/>
        </w:rPr>
      </w:pPr>
    </w:p>
    <w:p w14:paraId="11D8A102" w14:textId="77777777" w:rsidR="008A7869" w:rsidRPr="004D4A7D" w:rsidRDefault="008A7869" w:rsidP="008A7869">
      <w:pPr>
        <w:pStyle w:val="NormalWeb"/>
        <w:shd w:val="clear" w:color="auto" w:fill="FFFFFF"/>
        <w:spacing w:before="0"/>
        <w:ind w:left="0"/>
        <w:contextualSpacing/>
        <w:jc w:val="both"/>
        <w:textAlignment w:val="baseline"/>
        <w:rPr>
          <w:rFonts w:asciiTheme="minorHAnsi" w:hAnsiTheme="minorHAnsi"/>
          <w:bCs/>
          <w:kern w:val="36"/>
        </w:rPr>
      </w:pPr>
      <w:r w:rsidRPr="004D4A7D">
        <w:rPr>
          <w:rFonts w:asciiTheme="minorHAnsi" w:eastAsiaTheme="minorHAnsi" w:hAnsiTheme="minorHAnsi" w:cstheme="minorBidi"/>
          <w:lang w:eastAsia="en-US"/>
        </w:rPr>
        <w:t>There is strong evidence relating to adults that suggests that engaging in physical activity can improve neurocognitive performance and memory.</w:t>
      </w:r>
      <w:r w:rsidRPr="004D4A7D">
        <w:rPr>
          <w:rFonts w:asciiTheme="minorHAnsi" w:hAnsiTheme="minorHAnsi"/>
        </w:rPr>
        <w:t xml:space="preserve"> Based on a systematic literature review of randomised controlled trials</w:t>
      </w:r>
      <w:r>
        <w:rPr>
          <w:rFonts w:asciiTheme="minorHAnsi" w:hAnsiTheme="minorHAnsi"/>
        </w:rPr>
        <w:t xml:space="preserve"> that</w:t>
      </w:r>
      <w:r w:rsidRPr="004D4A7D">
        <w:rPr>
          <w:rFonts w:asciiTheme="minorHAnsi" w:hAnsiTheme="minorHAnsi"/>
        </w:rPr>
        <w:t xml:space="preserve"> examined the association between aerobic exercise training on neurocognitive performance</w:t>
      </w:r>
      <w:r>
        <w:rPr>
          <w:rFonts w:asciiTheme="minorHAnsi" w:hAnsiTheme="minorHAnsi"/>
        </w:rPr>
        <w:t xml:space="preserve"> among</w:t>
      </w:r>
      <w:r w:rsidRPr="004D4A7D">
        <w:rPr>
          <w:rFonts w:asciiTheme="minorHAnsi" w:hAnsiTheme="minorHAnsi"/>
        </w:rPr>
        <w:t xml:space="preserve"> individuals aged 18+</w:t>
      </w:r>
      <w:r>
        <w:rPr>
          <w:rFonts w:asciiTheme="minorHAnsi" w:hAnsiTheme="minorHAnsi"/>
        </w:rPr>
        <w:t>,</w:t>
      </w:r>
      <w:r w:rsidRPr="004D4A7D">
        <w:rPr>
          <w:rFonts w:asciiTheme="minorHAnsi" w:hAnsiTheme="minorHAnsi"/>
        </w:rPr>
        <w:t xml:space="preserve"> Smith et al (2010) found that undertaking aerobic exercise is associated with modest improvements in attention and processing speed, executive function and memory. Similarly, </w:t>
      </w:r>
      <w:r w:rsidRPr="004D4A7D">
        <w:rPr>
          <w:rFonts w:asciiTheme="minorHAnsi" w:hAnsiTheme="minorHAnsi"/>
          <w:bCs/>
          <w:kern w:val="36"/>
        </w:rPr>
        <w:t>Hopkins et al. (2012) carried out a RCT to investigate the relationship between memory and physical exercise. They found that the experimental group assigned to exercise for a month</w:t>
      </w:r>
      <w:r>
        <w:rPr>
          <w:rFonts w:asciiTheme="minorHAnsi" w:hAnsiTheme="minorHAnsi"/>
          <w:bCs/>
          <w:kern w:val="36"/>
        </w:rPr>
        <w:t xml:space="preserve"> </w:t>
      </w:r>
      <w:r w:rsidRPr="004D4A7D">
        <w:rPr>
          <w:rFonts w:asciiTheme="minorHAnsi" w:hAnsiTheme="minorHAnsi"/>
          <w:bCs/>
          <w:kern w:val="36"/>
        </w:rPr>
        <w:t xml:space="preserve">and </w:t>
      </w:r>
      <w:r>
        <w:rPr>
          <w:rFonts w:asciiTheme="minorHAnsi" w:hAnsiTheme="minorHAnsi"/>
          <w:bCs/>
          <w:kern w:val="36"/>
        </w:rPr>
        <w:t xml:space="preserve">to exercise </w:t>
      </w:r>
      <w:r w:rsidRPr="004D4A7D">
        <w:rPr>
          <w:rFonts w:asciiTheme="minorHAnsi" w:hAnsiTheme="minorHAnsi"/>
          <w:bCs/>
          <w:kern w:val="36"/>
        </w:rPr>
        <w:t>on the day of retesting significantly improved their test scores from their baseline scores</w:t>
      </w:r>
      <w:r>
        <w:rPr>
          <w:rFonts w:asciiTheme="minorHAnsi" w:hAnsiTheme="minorHAnsi"/>
          <w:bCs/>
          <w:kern w:val="36"/>
        </w:rPr>
        <w:t xml:space="preserve"> relative to those who exercised for a month but did not exercise on the day of testing, those who only exercised on the day of testing and those who were sedentary between test days</w:t>
      </w:r>
      <w:r w:rsidRPr="004D4A7D">
        <w:rPr>
          <w:rFonts w:asciiTheme="minorHAnsi" w:hAnsiTheme="minorHAnsi"/>
          <w:bCs/>
          <w:kern w:val="36"/>
        </w:rPr>
        <w:t xml:space="preserve">. Finally, Colcombe et al (2003) found that physical activity </w:t>
      </w:r>
      <w:r>
        <w:rPr>
          <w:rFonts w:asciiTheme="minorHAnsi" w:hAnsiTheme="minorHAnsi"/>
          <w:bCs/>
          <w:kern w:val="36"/>
        </w:rPr>
        <w:t xml:space="preserve">has </w:t>
      </w:r>
      <w:r w:rsidRPr="004D4A7D">
        <w:rPr>
          <w:rFonts w:asciiTheme="minorHAnsi" w:hAnsiTheme="minorHAnsi"/>
          <w:bCs/>
          <w:kern w:val="36"/>
        </w:rPr>
        <w:t xml:space="preserve">robust but selective beneﬁts for cognition in older adults. </w:t>
      </w:r>
    </w:p>
    <w:p w14:paraId="3EA57D5A" w14:textId="77777777" w:rsidR="008A7869" w:rsidRPr="004D4A7D" w:rsidRDefault="008A7869" w:rsidP="008A7869">
      <w:pPr>
        <w:pStyle w:val="NormalWeb"/>
        <w:shd w:val="clear" w:color="auto" w:fill="FFFFFF"/>
        <w:spacing w:before="0"/>
        <w:ind w:left="0"/>
        <w:contextualSpacing/>
        <w:jc w:val="both"/>
        <w:textAlignment w:val="baseline"/>
        <w:rPr>
          <w:rFonts w:asciiTheme="minorHAnsi" w:hAnsiTheme="minorHAnsi"/>
          <w:bCs/>
          <w:kern w:val="36"/>
        </w:rPr>
      </w:pPr>
    </w:p>
    <w:p w14:paraId="6DC6C54D" w14:textId="77777777" w:rsidR="008A7869" w:rsidRPr="004D4A7D" w:rsidRDefault="008A7869" w:rsidP="008A7869">
      <w:pPr>
        <w:pStyle w:val="NormalWeb"/>
        <w:shd w:val="clear" w:color="auto" w:fill="FFFFFF"/>
        <w:spacing w:before="0"/>
        <w:ind w:left="0"/>
        <w:contextualSpacing/>
        <w:jc w:val="both"/>
        <w:textAlignment w:val="baseline"/>
      </w:pPr>
      <w:r w:rsidRPr="004D4A7D">
        <w:rPr>
          <w:rFonts w:asciiTheme="minorHAnsi" w:hAnsiTheme="minorHAnsi"/>
          <w:bCs/>
          <w:kern w:val="36"/>
        </w:rPr>
        <w:t xml:space="preserve">There is also evidence to suggest that participating in sport may impact positively on school engagement. Harrison and Narayan (2009), for example, found that participation in </w:t>
      </w:r>
      <w:r w:rsidRPr="004D4A7D">
        <w:rPr>
          <w:rFonts w:asciiTheme="minorHAnsi" w:hAnsiTheme="minorHAnsi"/>
        </w:rPr>
        <w:t>physical activity was positively associated with students completing their homework and attending class. Similarly, Collingwood et al</w:t>
      </w:r>
      <w:r>
        <w:rPr>
          <w:rFonts w:asciiTheme="minorHAnsi" w:hAnsiTheme="minorHAnsi"/>
        </w:rPr>
        <w:t>’s</w:t>
      </w:r>
      <w:r w:rsidRPr="004D4A7D">
        <w:rPr>
          <w:rFonts w:asciiTheme="minorHAnsi" w:hAnsiTheme="minorHAnsi"/>
        </w:rPr>
        <w:t xml:space="preserve"> (2000) investigation of the impact of a 12</w:t>
      </w:r>
      <w:r>
        <w:rPr>
          <w:rFonts w:asciiTheme="minorHAnsi" w:hAnsiTheme="minorHAnsi"/>
        </w:rPr>
        <w:t>-</w:t>
      </w:r>
      <w:r w:rsidRPr="004D4A7D">
        <w:rPr>
          <w:rFonts w:asciiTheme="minorHAnsi" w:hAnsiTheme="minorHAnsi"/>
        </w:rPr>
        <w:t xml:space="preserve">week youth physical training course </w:t>
      </w:r>
      <w:r>
        <w:rPr>
          <w:rFonts w:asciiTheme="minorHAnsi" w:hAnsiTheme="minorHAnsi"/>
        </w:rPr>
        <w:t>showed</w:t>
      </w:r>
      <w:r w:rsidRPr="004D4A7D">
        <w:rPr>
          <w:rFonts w:asciiTheme="minorHAnsi" w:hAnsiTheme="minorHAnsi"/>
        </w:rPr>
        <w:t xml:space="preserve"> that the participants reported significant decreases in poor school attendance upon completion of the programme.</w:t>
      </w:r>
    </w:p>
    <w:p w14:paraId="7D8C127B" w14:textId="77777777" w:rsidR="00BD1465" w:rsidRPr="004D4A7D" w:rsidRDefault="00BD1465" w:rsidP="004D4A7D">
      <w:pPr>
        <w:spacing w:after="0" w:line="240" w:lineRule="auto"/>
        <w:contextualSpacing/>
        <w:jc w:val="both"/>
        <w:rPr>
          <w:sz w:val="24"/>
          <w:szCs w:val="24"/>
        </w:rPr>
      </w:pPr>
    </w:p>
    <w:p w14:paraId="01ADEE1A" w14:textId="77777777" w:rsidR="00FD2B70" w:rsidRPr="004D4A7D" w:rsidRDefault="00783CFC" w:rsidP="004D4A7D">
      <w:pPr>
        <w:spacing w:after="0" w:line="240" w:lineRule="auto"/>
        <w:rPr>
          <w:b/>
          <w:sz w:val="24"/>
          <w:szCs w:val="24"/>
        </w:rPr>
      </w:pPr>
      <w:r w:rsidRPr="004D4A7D">
        <w:rPr>
          <w:b/>
          <w:sz w:val="24"/>
          <w:szCs w:val="24"/>
        </w:rPr>
        <w:t xml:space="preserve">A.2. </w:t>
      </w:r>
      <w:r w:rsidR="00BA6485" w:rsidRPr="004D4A7D">
        <w:rPr>
          <w:b/>
          <w:sz w:val="24"/>
          <w:szCs w:val="24"/>
        </w:rPr>
        <w:t>Logic model</w:t>
      </w:r>
    </w:p>
    <w:p w14:paraId="089400D7" w14:textId="77777777" w:rsidR="00AF1642" w:rsidRPr="004D4A7D" w:rsidRDefault="00AF1642" w:rsidP="004D4A7D">
      <w:pPr>
        <w:spacing w:after="0" w:line="240" w:lineRule="auto"/>
        <w:rPr>
          <w:b/>
          <w:sz w:val="24"/>
          <w:szCs w:val="24"/>
        </w:rPr>
      </w:pPr>
    </w:p>
    <w:p w14:paraId="30F0DDB9" w14:textId="77777777" w:rsidR="00B31C5D" w:rsidRDefault="00473447" w:rsidP="00473447">
      <w:pPr>
        <w:spacing w:after="0" w:line="240" w:lineRule="auto"/>
        <w:rPr>
          <w:iCs/>
          <w:sz w:val="24"/>
          <w:szCs w:val="24"/>
        </w:rPr>
      </w:pPr>
      <w:r w:rsidRPr="004D4A7D">
        <w:rPr>
          <w:sz w:val="24"/>
          <w:szCs w:val="24"/>
        </w:rPr>
        <w:t>A logic model was developed based on this literature review that links culture and sport to health and educational outcomes</w:t>
      </w:r>
      <w:r>
        <w:rPr>
          <w:sz w:val="24"/>
          <w:szCs w:val="24"/>
        </w:rPr>
        <w:t xml:space="preserve"> (see Figure</w:t>
      </w:r>
      <w:r w:rsidR="00BC6560">
        <w:rPr>
          <w:sz w:val="24"/>
          <w:szCs w:val="24"/>
        </w:rPr>
        <w:t>s</w:t>
      </w:r>
      <w:r>
        <w:rPr>
          <w:sz w:val="24"/>
          <w:szCs w:val="24"/>
        </w:rPr>
        <w:t xml:space="preserve"> 1</w:t>
      </w:r>
      <w:r w:rsidR="00BC6560">
        <w:rPr>
          <w:sz w:val="24"/>
          <w:szCs w:val="24"/>
        </w:rPr>
        <w:t xml:space="preserve"> and 2</w:t>
      </w:r>
      <w:r>
        <w:rPr>
          <w:sz w:val="24"/>
          <w:szCs w:val="24"/>
        </w:rPr>
        <w:t>)</w:t>
      </w:r>
      <w:r w:rsidRPr="004D4A7D">
        <w:rPr>
          <w:sz w:val="24"/>
          <w:szCs w:val="24"/>
        </w:rPr>
        <w:t xml:space="preserve">. </w:t>
      </w:r>
      <w:r>
        <w:rPr>
          <w:iCs/>
          <w:sz w:val="24"/>
          <w:szCs w:val="24"/>
        </w:rPr>
        <w:t>This model</w:t>
      </w:r>
      <w:r w:rsidRPr="00A63B41">
        <w:rPr>
          <w:iCs/>
          <w:sz w:val="24"/>
          <w:szCs w:val="24"/>
        </w:rPr>
        <w:t xml:space="preserve"> is a visual </w:t>
      </w:r>
      <w:r w:rsidR="00DB73D7">
        <w:rPr>
          <w:iCs/>
          <w:sz w:val="24"/>
          <w:szCs w:val="24"/>
        </w:rPr>
        <w:t xml:space="preserve">systematic </w:t>
      </w:r>
      <w:r w:rsidRPr="00A63B41">
        <w:rPr>
          <w:iCs/>
          <w:sz w:val="24"/>
          <w:szCs w:val="24"/>
        </w:rPr>
        <w:t>representation of the relationship between culture and sport on the one hand and health and education on the other</w:t>
      </w:r>
      <w:r>
        <w:rPr>
          <w:iCs/>
          <w:sz w:val="24"/>
          <w:szCs w:val="24"/>
        </w:rPr>
        <w:t>. In general, the literature review suggested that there were positive impacts on the overarching outcomes: reduced medical service usage, improved mental health, and better educational performance</w:t>
      </w:r>
      <w:r w:rsidR="005E360C">
        <w:rPr>
          <w:iCs/>
          <w:sz w:val="24"/>
          <w:szCs w:val="24"/>
        </w:rPr>
        <w:t xml:space="preserve"> and we have described some of the intermediary factors that may mediate the link between sport/culture and the overarching </w:t>
      </w:r>
      <w:r w:rsidR="005E360C">
        <w:rPr>
          <w:iCs/>
          <w:sz w:val="24"/>
          <w:szCs w:val="24"/>
        </w:rPr>
        <w:lastRenderedPageBreak/>
        <w:t>outcomes. But we note that t</w:t>
      </w:r>
      <w:r>
        <w:rPr>
          <w:iCs/>
          <w:sz w:val="24"/>
          <w:szCs w:val="24"/>
        </w:rPr>
        <w:t xml:space="preserve">he literature review was less clear about whether engagement in </w:t>
      </w:r>
      <w:r w:rsidR="005E360C">
        <w:rPr>
          <w:iCs/>
          <w:sz w:val="24"/>
          <w:szCs w:val="24"/>
        </w:rPr>
        <w:t>each type of cultural</w:t>
      </w:r>
      <w:r>
        <w:rPr>
          <w:iCs/>
          <w:sz w:val="24"/>
          <w:szCs w:val="24"/>
        </w:rPr>
        <w:t xml:space="preserve"> and sport</w:t>
      </w:r>
      <w:r w:rsidR="005E360C">
        <w:rPr>
          <w:iCs/>
          <w:sz w:val="24"/>
          <w:szCs w:val="24"/>
        </w:rPr>
        <w:t>ing activity</w:t>
      </w:r>
      <w:r>
        <w:rPr>
          <w:iCs/>
          <w:sz w:val="24"/>
          <w:szCs w:val="24"/>
        </w:rPr>
        <w:t xml:space="preserve"> led to </w:t>
      </w:r>
      <w:r w:rsidRPr="00DB73D7">
        <w:rPr>
          <w:i/>
          <w:iCs/>
          <w:sz w:val="24"/>
          <w:szCs w:val="24"/>
        </w:rPr>
        <w:t>all</w:t>
      </w:r>
      <w:r>
        <w:rPr>
          <w:iCs/>
          <w:sz w:val="24"/>
          <w:szCs w:val="24"/>
        </w:rPr>
        <w:t xml:space="preserve"> </w:t>
      </w:r>
      <w:r w:rsidR="00DB73D7">
        <w:rPr>
          <w:iCs/>
          <w:sz w:val="24"/>
          <w:szCs w:val="24"/>
        </w:rPr>
        <w:t xml:space="preserve">of the </w:t>
      </w:r>
      <w:r>
        <w:rPr>
          <w:iCs/>
          <w:sz w:val="24"/>
          <w:szCs w:val="24"/>
        </w:rPr>
        <w:t xml:space="preserve">short-term, intermediate, or overarching outcomes, or about whether a direct relationship between engagement in culture and sport and the overarching outcomes might exist.  For example, </w:t>
      </w:r>
      <w:r w:rsidR="00B31C5D">
        <w:rPr>
          <w:iCs/>
          <w:sz w:val="24"/>
          <w:szCs w:val="24"/>
        </w:rPr>
        <w:t>participating in a cultural activity may be linked to improved mental health via physical activity, but being an audience member might not be</w:t>
      </w:r>
      <w:r>
        <w:rPr>
          <w:iCs/>
          <w:sz w:val="24"/>
          <w:szCs w:val="24"/>
        </w:rPr>
        <w:t xml:space="preserve">. </w:t>
      </w:r>
    </w:p>
    <w:p w14:paraId="2376D3B9" w14:textId="77777777" w:rsidR="00B31C5D" w:rsidRDefault="00B31C5D" w:rsidP="00473447">
      <w:pPr>
        <w:spacing w:after="0" w:line="240" w:lineRule="auto"/>
        <w:rPr>
          <w:iCs/>
          <w:sz w:val="24"/>
          <w:szCs w:val="24"/>
        </w:rPr>
      </w:pPr>
    </w:p>
    <w:p w14:paraId="20A51C6A" w14:textId="77777777" w:rsidR="00473447" w:rsidRDefault="004C1817" w:rsidP="00473447">
      <w:pPr>
        <w:spacing w:after="0" w:line="240" w:lineRule="auto"/>
        <w:rPr>
          <w:iCs/>
          <w:sz w:val="24"/>
          <w:szCs w:val="24"/>
        </w:rPr>
      </w:pPr>
      <w:r>
        <w:rPr>
          <w:iCs/>
          <w:sz w:val="24"/>
          <w:szCs w:val="24"/>
        </w:rPr>
        <w:t>Any one of the short-term outcomes could lead to the intermediate outcomes and some may impact directly on to the overarching outcomes</w:t>
      </w:r>
      <w:r w:rsidR="009113FE">
        <w:rPr>
          <w:iCs/>
          <w:sz w:val="24"/>
          <w:szCs w:val="24"/>
        </w:rPr>
        <w:t xml:space="preserve"> themselves</w:t>
      </w:r>
      <w:r>
        <w:rPr>
          <w:iCs/>
          <w:sz w:val="24"/>
          <w:szCs w:val="24"/>
        </w:rPr>
        <w:t>.</w:t>
      </w:r>
      <w:r w:rsidR="00B31C5D">
        <w:rPr>
          <w:iCs/>
          <w:sz w:val="24"/>
          <w:szCs w:val="24"/>
        </w:rPr>
        <w:t xml:space="preserve"> There was </w:t>
      </w:r>
      <w:r w:rsidR="00E11F4C">
        <w:rPr>
          <w:iCs/>
          <w:sz w:val="24"/>
          <w:szCs w:val="24"/>
        </w:rPr>
        <w:t xml:space="preserve">quantitative </w:t>
      </w:r>
      <w:r w:rsidR="00417DEA">
        <w:rPr>
          <w:iCs/>
          <w:sz w:val="24"/>
          <w:szCs w:val="24"/>
        </w:rPr>
        <w:t>and/</w:t>
      </w:r>
      <w:r w:rsidR="00E11F4C">
        <w:rPr>
          <w:iCs/>
          <w:sz w:val="24"/>
          <w:szCs w:val="24"/>
        </w:rPr>
        <w:t>or qualitative</w:t>
      </w:r>
      <w:r w:rsidR="00B31C5D">
        <w:rPr>
          <w:iCs/>
          <w:sz w:val="24"/>
          <w:szCs w:val="24"/>
        </w:rPr>
        <w:t xml:space="preserve"> evidence for a link between engagement in culture and sport and each of the short</w:t>
      </w:r>
      <w:r w:rsidR="00DA2F35">
        <w:rPr>
          <w:iCs/>
          <w:sz w:val="24"/>
          <w:szCs w:val="24"/>
        </w:rPr>
        <w:t>-term and intermediate outcomes</w:t>
      </w:r>
      <w:r w:rsidR="00B31C5D">
        <w:rPr>
          <w:iCs/>
          <w:sz w:val="24"/>
          <w:szCs w:val="24"/>
        </w:rPr>
        <w:t>.</w:t>
      </w:r>
      <w:r w:rsidR="009113FE">
        <w:rPr>
          <w:iCs/>
          <w:sz w:val="24"/>
          <w:szCs w:val="24"/>
        </w:rPr>
        <w:t xml:space="preserve"> </w:t>
      </w:r>
      <w:r w:rsidR="0066626A">
        <w:rPr>
          <w:iCs/>
          <w:sz w:val="24"/>
          <w:szCs w:val="24"/>
        </w:rPr>
        <w:t xml:space="preserve">Also note that the process underlying the </w:t>
      </w:r>
      <w:r w:rsidR="00B31C5D">
        <w:rPr>
          <w:iCs/>
          <w:sz w:val="24"/>
          <w:szCs w:val="24"/>
        </w:rPr>
        <w:t>hypothesized</w:t>
      </w:r>
      <w:r w:rsidR="0066626A">
        <w:rPr>
          <w:iCs/>
          <w:sz w:val="24"/>
          <w:szCs w:val="24"/>
        </w:rPr>
        <w:t xml:space="preserve"> relationship from culture/sport to the overarching outcomes is likely to be different for different people (eg, sport may lead to higher resilience for some people, whilst it may lead to </w:t>
      </w:r>
      <w:r w:rsidR="0017517A">
        <w:rPr>
          <w:iCs/>
          <w:sz w:val="24"/>
          <w:szCs w:val="24"/>
        </w:rPr>
        <w:t>better memory</w:t>
      </w:r>
      <w:r w:rsidR="0066626A">
        <w:rPr>
          <w:iCs/>
          <w:sz w:val="24"/>
          <w:szCs w:val="24"/>
        </w:rPr>
        <w:t xml:space="preserve"> and self-esteem for others, which might both lead to higher educational attainment) – the logic model simply depicts the possible channels through which sport and culture may or have been found to impact on the overarching health and education outcomes. </w:t>
      </w:r>
      <w:r w:rsidR="00473447" w:rsidRPr="004D4A7D">
        <w:rPr>
          <w:iCs/>
          <w:sz w:val="24"/>
          <w:szCs w:val="24"/>
        </w:rPr>
        <w:t xml:space="preserve">Note that this logic model is derived to explain health and education outcomes </w:t>
      </w:r>
      <w:r w:rsidR="00473447" w:rsidRPr="004D4A7D">
        <w:rPr>
          <w:i/>
          <w:iCs/>
          <w:sz w:val="24"/>
          <w:szCs w:val="24"/>
        </w:rPr>
        <w:t>only</w:t>
      </w:r>
      <w:r w:rsidR="00473447" w:rsidRPr="004D4A7D">
        <w:rPr>
          <w:iCs/>
          <w:sz w:val="24"/>
          <w:szCs w:val="24"/>
        </w:rPr>
        <w:t>. There are other important outcomes</w:t>
      </w:r>
      <w:r w:rsidR="005E360C">
        <w:rPr>
          <w:iCs/>
          <w:sz w:val="24"/>
          <w:szCs w:val="24"/>
        </w:rPr>
        <w:t xml:space="preserve"> related to</w:t>
      </w:r>
      <w:r w:rsidR="00DB73D7">
        <w:rPr>
          <w:iCs/>
          <w:sz w:val="24"/>
          <w:szCs w:val="24"/>
        </w:rPr>
        <w:t xml:space="preserve"> cultural and sport engagement</w:t>
      </w:r>
      <w:r w:rsidR="00473447" w:rsidRPr="004D4A7D">
        <w:rPr>
          <w:iCs/>
          <w:sz w:val="24"/>
          <w:szCs w:val="24"/>
        </w:rPr>
        <w:t>, like charitable giving and pro-social behaviour, which are not included here for the purposes of exposition; the logic model pertains to the issues of this particular study only.</w:t>
      </w:r>
      <w:r w:rsidR="00473447">
        <w:rPr>
          <w:iCs/>
          <w:sz w:val="24"/>
          <w:szCs w:val="24"/>
        </w:rPr>
        <w:t xml:space="preserve"> </w:t>
      </w:r>
    </w:p>
    <w:p w14:paraId="793FD32D" w14:textId="77777777" w:rsidR="000F6A6B" w:rsidRPr="000F6A6B" w:rsidRDefault="000F6A6B" w:rsidP="000F6A6B">
      <w:pPr>
        <w:spacing w:after="0" w:line="240" w:lineRule="auto"/>
        <w:rPr>
          <w:b/>
          <w:iCs/>
          <w:sz w:val="24"/>
        </w:rPr>
      </w:pPr>
    </w:p>
    <w:p w14:paraId="2095648A" w14:textId="77777777" w:rsidR="000F6A6B" w:rsidRDefault="000F6A6B" w:rsidP="000F6A6B">
      <w:pPr>
        <w:spacing w:after="0" w:line="240" w:lineRule="auto"/>
        <w:rPr>
          <w:b/>
          <w:iCs/>
          <w:sz w:val="24"/>
        </w:rPr>
      </w:pPr>
      <w:r w:rsidRPr="000F6A6B">
        <w:rPr>
          <w:b/>
          <w:iCs/>
          <w:sz w:val="24"/>
        </w:rPr>
        <w:t>Figure 1. Logic model of the relationship between culture</w:t>
      </w:r>
      <w:r w:rsidR="00BC6560">
        <w:rPr>
          <w:b/>
          <w:iCs/>
          <w:sz w:val="24"/>
        </w:rPr>
        <w:t xml:space="preserve"> </w:t>
      </w:r>
      <w:r w:rsidRPr="000F6A6B">
        <w:rPr>
          <w:b/>
          <w:iCs/>
          <w:sz w:val="24"/>
        </w:rPr>
        <w:t>and health and education</w:t>
      </w:r>
    </w:p>
    <w:p w14:paraId="1E3ED5AE" w14:textId="77777777" w:rsidR="00A44348" w:rsidRPr="00B17245" w:rsidRDefault="00A26371" w:rsidP="00BC6560">
      <w:pPr>
        <w:spacing w:after="0" w:line="240" w:lineRule="auto"/>
        <w:rPr>
          <w:sz w:val="24"/>
        </w:rPr>
      </w:pPr>
      <w:r>
        <w:rPr>
          <w:noProof/>
          <w:sz w:val="24"/>
          <w:lang w:eastAsia="en-GB"/>
        </w:rPr>
        <w:drawing>
          <wp:inline distT="0" distB="0" distL="0" distR="0" wp14:anchorId="65F21DC2" wp14:editId="146C8308">
            <wp:extent cx="5731510" cy="2801621"/>
            <wp:effectExtent l="19050" t="19050" r="2159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01621"/>
                    </a:xfrm>
                    <a:prstGeom prst="rect">
                      <a:avLst/>
                    </a:prstGeom>
                    <a:noFill/>
                    <a:ln>
                      <a:solidFill>
                        <a:schemeClr val="tx1"/>
                      </a:solidFill>
                    </a:ln>
                  </pic:spPr>
                </pic:pic>
              </a:graphicData>
            </a:graphic>
          </wp:inline>
        </w:drawing>
      </w:r>
    </w:p>
    <w:p w14:paraId="6B983BFD" w14:textId="77777777" w:rsidR="00A44348" w:rsidRPr="00B17245" w:rsidRDefault="00A44348" w:rsidP="00E003E7">
      <w:pPr>
        <w:spacing w:after="0" w:line="240" w:lineRule="auto"/>
        <w:rPr>
          <w:color w:val="FF0000"/>
          <w:sz w:val="24"/>
        </w:rPr>
      </w:pPr>
    </w:p>
    <w:p w14:paraId="4A425990" w14:textId="77777777" w:rsidR="00E009EF" w:rsidRPr="00DA2F35" w:rsidRDefault="00E009EF" w:rsidP="00E003E7">
      <w:pPr>
        <w:spacing w:after="0" w:line="240" w:lineRule="auto"/>
        <w:rPr>
          <w:i/>
          <w:sz w:val="24"/>
        </w:rPr>
      </w:pPr>
    </w:p>
    <w:p w14:paraId="6E72BE81" w14:textId="77777777" w:rsidR="003B2099" w:rsidRDefault="003B2099" w:rsidP="00E003E7">
      <w:pPr>
        <w:spacing w:after="0" w:line="240" w:lineRule="auto"/>
        <w:rPr>
          <w:b/>
          <w:sz w:val="24"/>
        </w:rPr>
      </w:pPr>
    </w:p>
    <w:p w14:paraId="430348DC" w14:textId="77777777" w:rsidR="003B2099" w:rsidRDefault="003B2099" w:rsidP="00E003E7">
      <w:pPr>
        <w:spacing w:after="0" w:line="240" w:lineRule="auto"/>
        <w:rPr>
          <w:b/>
          <w:sz w:val="24"/>
        </w:rPr>
      </w:pPr>
    </w:p>
    <w:p w14:paraId="700EEC45" w14:textId="77777777" w:rsidR="003B2099" w:rsidRDefault="003B2099" w:rsidP="00E003E7">
      <w:pPr>
        <w:spacing w:after="0" w:line="240" w:lineRule="auto"/>
        <w:rPr>
          <w:b/>
          <w:sz w:val="24"/>
        </w:rPr>
      </w:pPr>
    </w:p>
    <w:p w14:paraId="3ADB0EB4" w14:textId="77777777" w:rsidR="00341F87" w:rsidRDefault="00341F87" w:rsidP="00E003E7">
      <w:pPr>
        <w:spacing w:after="0" w:line="240" w:lineRule="auto"/>
        <w:rPr>
          <w:b/>
          <w:sz w:val="24"/>
        </w:rPr>
      </w:pPr>
    </w:p>
    <w:p w14:paraId="1576B892" w14:textId="77777777" w:rsidR="004F7A97" w:rsidRDefault="004F7A97" w:rsidP="00E003E7">
      <w:pPr>
        <w:spacing w:after="0" w:line="240" w:lineRule="auto"/>
        <w:rPr>
          <w:b/>
          <w:sz w:val="24"/>
        </w:rPr>
      </w:pPr>
    </w:p>
    <w:p w14:paraId="00CFE796" w14:textId="77777777" w:rsidR="00341F87" w:rsidRDefault="00341F87" w:rsidP="00E003E7">
      <w:pPr>
        <w:spacing w:after="0" w:line="240" w:lineRule="auto"/>
        <w:rPr>
          <w:b/>
          <w:sz w:val="24"/>
        </w:rPr>
      </w:pPr>
    </w:p>
    <w:p w14:paraId="42F410F3" w14:textId="77777777" w:rsidR="00341F87" w:rsidRDefault="00341F87" w:rsidP="00E003E7">
      <w:pPr>
        <w:spacing w:after="0" w:line="240" w:lineRule="auto"/>
        <w:rPr>
          <w:b/>
          <w:sz w:val="24"/>
        </w:rPr>
      </w:pPr>
    </w:p>
    <w:p w14:paraId="078B16CB" w14:textId="77777777" w:rsidR="0096731E" w:rsidRDefault="00BC6560" w:rsidP="00E003E7">
      <w:pPr>
        <w:spacing w:after="0" w:line="240" w:lineRule="auto"/>
        <w:rPr>
          <w:b/>
          <w:sz w:val="24"/>
        </w:rPr>
      </w:pPr>
      <w:r>
        <w:rPr>
          <w:b/>
          <w:sz w:val="24"/>
        </w:rPr>
        <w:lastRenderedPageBreak/>
        <w:t>Figure 2: Logic model of the relationship between sport and health and education</w:t>
      </w:r>
    </w:p>
    <w:p w14:paraId="7DF629CE" w14:textId="77777777" w:rsidR="00BC6560" w:rsidRPr="0032147A" w:rsidRDefault="008035E5" w:rsidP="00E003E7">
      <w:pPr>
        <w:spacing w:after="0" w:line="240" w:lineRule="auto"/>
        <w:rPr>
          <w:b/>
          <w:sz w:val="24"/>
        </w:rPr>
      </w:pPr>
      <w:r>
        <w:rPr>
          <w:b/>
          <w:noProof/>
          <w:sz w:val="24"/>
          <w:lang w:eastAsia="en-GB"/>
        </w:rPr>
        <w:drawing>
          <wp:inline distT="0" distB="0" distL="0" distR="0" wp14:anchorId="21EB7E6F" wp14:editId="625E2876">
            <wp:extent cx="5731510" cy="2912735"/>
            <wp:effectExtent l="19050" t="19050" r="21590"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912735"/>
                    </a:xfrm>
                    <a:prstGeom prst="rect">
                      <a:avLst/>
                    </a:prstGeom>
                    <a:noFill/>
                    <a:ln>
                      <a:solidFill>
                        <a:schemeClr val="tx1"/>
                      </a:solidFill>
                    </a:ln>
                  </pic:spPr>
                </pic:pic>
              </a:graphicData>
            </a:graphic>
          </wp:inline>
        </w:drawing>
      </w:r>
    </w:p>
    <w:p w14:paraId="67AECFA6" w14:textId="77777777" w:rsidR="00C81D29" w:rsidRDefault="00C81D29" w:rsidP="00E003E7">
      <w:pPr>
        <w:spacing w:after="0" w:line="240" w:lineRule="auto"/>
        <w:rPr>
          <w:b/>
          <w:sz w:val="36"/>
          <w:szCs w:val="24"/>
        </w:rPr>
      </w:pPr>
    </w:p>
    <w:p w14:paraId="38611169" w14:textId="77777777" w:rsidR="00C81D29" w:rsidRDefault="00C81D29" w:rsidP="00E003E7">
      <w:pPr>
        <w:spacing w:after="0" w:line="240" w:lineRule="auto"/>
        <w:rPr>
          <w:b/>
          <w:sz w:val="36"/>
          <w:szCs w:val="24"/>
        </w:rPr>
      </w:pPr>
    </w:p>
    <w:p w14:paraId="7EE5B784" w14:textId="77777777" w:rsidR="00A728CB" w:rsidRDefault="00A728CB" w:rsidP="00E003E7">
      <w:pPr>
        <w:spacing w:after="0" w:line="240" w:lineRule="auto"/>
        <w:rPr>
          <w:b/>
          <w:sz w:val="36"/>
          <w:szCs w:val="24"/>
        </w:rPr>
      </w:pPr>
    </w:p>
    <w:p w14:paraId="4DBE4301" w14:textId="77777777" w:rsidR="00A728CB" w:rsidRDefault="00A728CB" w:rsidP="00E003E7">
      <w:pPr>
        <w:spacing w:after="0" w:line="240" w:lineRule="auto"/>
        <w:rPr>
          <w:b/>
          <w:sz w:val="36"/>
          <w:szCs w:val="24"/>
        </w:rPr>
      </w:pPr>
    </w:p>
    <w:p w14:paraId="171D678A" w14:textId="77777777" w:rsidR="00A728CB" w:rsidRDefault="00A728CB" w:rsidP="00E003E7">
      <w:pPr>
        <w:spacing w:after="0" w:line="240" w:lineRule="auto"/>
        <w:rPr>
          <w:b/>
          <w:sz w:val="36"/>
          <w:szCs w:val="24"/>
        </w:rPr>
      </w:pPr>
    </w:p>
    <w:p w14:paraId="5E19DB5E" w14:textId="77777777" w:rsidR="00A728CB" w:rsidRDefault="00A728CB" w:rsidP="00E003E7">
      <w:pPr>
        <w:spacing w:after="0" w:line="240" w:lineRule="auto"/>
        <w:rPr>
          <w:b/>
          <w:sz w:val="36"/>
          <w:szCs w:val="24"/>
        </w:rPr>
      </w:pPr>
    </w:p>
    <w:p w14:paraId="210194DE" w14:textId="77777777" w:rsidR="00A728CB" w:rsidRDefault="00A728CB" w:rsidP="00E003E7">
      <w:pPr>
        <w:spacing w:after="0" w:line="240" w:lineRule="auto"/>
        <w:rPr>
          <w:b/>
          <w:sz w:val="36"/>
          <w:szCs w:val="24"/>
        </w:rPr>
      </w:pPr>
    </w:p>
    <w:p w14:paraId="54B8DBD1" w14:textId="77777777" w:rsidR="00A728CB" w:rsidRDefault="00A728CB" w:rsidP="00E003E7">
      <w:pPr>
        <w:spacing w:after="0" w:line="240" w:lineRule="auto"/>
        <w:rPr>
          <w:b/>
          <w:sz w:val="36"/>
          <w:szCs w:val="24"/>
        </w:rPr>
      </w:pPr>
    </w:p>
    <w:p w14:paraId="52D5D297" w14:textId="77777777" w:rsidR="00A728CB" w:rsidRDefault="00A728CB" w:rsidP="00E003E7">
      <w:pPr>
        <w:spacing w:after="0" w:line="240" w:lineRule="auto"/>
        <w:rPr>
          <w:b/>
          <w:sz w:val="36"/>
          <w:szCs w:val="24"/>
        </w:rPr>
      </w:pPr>
    </w:p>
    <w:p w14:paraId="6FFCD9BF" w14:textId="77777777" w:rsidR="00A728CB" w:rsidRDefault="00A728CB" w:rsidP="00E003E7">
      <w:pPr>
        <w:spacing w:after="0" w:line="240" w:lineRule="auto"/>
        <w:rPr>
          <w:b/>
          <w:sz w:val="36"/>
          <w:szCs w:val="24"/>
        </w:rPr>
      </w:pPr>
    </w:p>
    <w:p w14:paraId="523A6DFF" w14:textId="77777777" w:rsidR="00A728CB" w:rsidRDefault="00A728CB" w:rsidP="00E003E7">
      <w:pPr>
        <w:spacing w:after="0" w:line="240" w:lineRule="auto"/>
        <w:rPr>
          <w:b/>
          <w:sz w:val="36"/>
          <w:szCs w:val="24"/>
        </w:rPr>
      </w:pPr>
    </w:p>
    <w:p w14:paraId="269AA1FC" w14:textId="77777777" w:rsidR="00A728CB" w:rsidRDefault="00A728CB" w:rsidP="00E003E7">
      <w:pPr>
        <w:spacing w:after="0" w:line="240" w:lineRule="auto"/>
        <w:rPr>
          <w:b/>
          <w:sz w:val="36"/>
          <w:szCs w:val="24"/>
        </w:rPr>
      </w:pPr>
    </w:p>
    <w:p w14:paraId="15450BED" w14:textId="77777777" w:rsidR="00A728CB" w:rsidRDefault="00A728CB" w:rsidP="00E003E7">
      <w:pPr>
        <w:spacing w:after="0" w:line="240" w:lineRule="auto"/>
        <w:rPr>
          <w:b/>
          <w:sz w:val="36"/>
          <w:szCs w:val="24"/>
        </w:rPr>
      </w:pPr>
    </w:p>
    <w:p w14:paraId="14E75299" w14:textId="77777777" w:rsidR="00A728CB" w:rsidRDefault="00A728CB" w:rsidP="00E003E7">
      <w:pPr>
        <w:spacing w:after="0" w:line="240" w:lineRule="auto"/>
        <w:rPr>
          <w:b/>
          <w:sz w:val="36"/>
          <w:szCs w:val="24"/>
        </w:rPr>
      </w:pPr>
    </w:p>
    <w:p w14:paraId="095886B6" w14:textId="77777777" w:rsidR="00A728CB" w:rsidRDefault="00A728CB" w:rsidP="00E003E7">
      <w:pPr>
        <w:spacing w:after="0" w:line="240" w:lineRule="auto"/>
        <w:rPr>
          <w:b/>
          <w:sz w:val="36"/>
          <w:szCs w:val="24"/>
        </w:rPr>
      </w:pPr>
    </w:p>
    <w:p w14:paraId="2434A067" w14:textId="77777777" w:rsidR="00A728CB" w:rsidRDefault="00A728CB" w:rsidP="00E003E7">
      <w:pPr>
        <w:spacing w:after="0" w:line="240" w:lineRule="auto"/>
        <w:rPr>
          <w:b/>
          <w:sz w:val="36"/>
          <w:szCs w:val="24"/>
        </w:rPr>
      </w:pPr>
    </w:p>
    <w:p w14:paraId="11FA504F" w14:textId="77777777" w:rsidR="00A728CB" w:rsidRDefault="00A728CB" w:rsidP="00E003E7">
      <w:pPr>
        <w:spacing w:after="0" w:line="240" w:lineRule="auto"/>
        <w:rPr>
          <w:b/>
          <w:sz w:val="36"/>
          <w:szCs w:val="24"/>
        </w:rPr>
      </w:pPr>
    </w:p>
    <w:p w14:paraId="4AE7A5B7" w14:textId="77777777" w:rsidR="00A728CB" w:rsidRDefault="00A728CB" w:rsidP="00E003E7">
      <w:pPr>
        <w:spacing w:after="0" w:line="240" w:lineRule="auto"/>
        <w:rPr>
          <w:b/>
          <w:sz w:val="36"/>
          <w:szCs w:val="24"/>
        </w:rPr>
      </w:pPr>
    </w:p>
    <w:p w14:paraId="33CD2E1B" w14:textId="77777777" w:rsidR="00A728CB" w:rsidRDefault="00A728CB" w:rsidP="00E003E7">
      <w:pPr>
        <w:spacing w:after="0" w:line="240" w:lineRule="auto"/>
        <w:rPr>
          <w:b/>
          <w:sz w:val="36"/>
          <w:szCs w:val="24"/>
        </w:rPr>
      </w:pPr>
    </w:p>
    <w:p w14:paraId="616E865E" w14:textId="06937DC1" w:rsidR="004F7A97" w:rsidRDefault="004F7A97">
      <w:pPr>
        <w:rPr>
          <w:b/>
          <w:sz w:val="36"/>
          <w:szCs w:val="24"/>
        </w:rPr>
      </w:pPr>
      <w:r>
        <w:rPr>
          <w:b/>
          <w:sz w:val="36"/>
          <w:szCs w:val="24"/>
        </w:rPr>
        <w:br w:type="page"/>
      </w:r>
    </w:p>
    <w:p w14:paraId="6825A5B4" w14:textId="77777777" w:rsidR="00AF1642" w:rsidRPr="001E7442" w:rsidRDefault="00783CFC" w:rsidP="001E7442">
      <w:pPr>
        <w:pStyle w:val="Heading1"/>
        <w:rPr>
          <w:rFonts w:asciiTheme="minorHAnsi" w:hAnsiTheme="minorHAnsi"/>
          <w:sz w:val="36"/>
          <w:szCs w:val="36"/>
        </w:rPr>
      </w:pPr>
      <w:bookmarkStart w:id="6" w:name="_Toc409167387"/>
      <w:r w:rsidRPr="001E7442">
        <w:rPr>
          <w:rFonts w:asciiTheme="minorHAnsi" w:hAnsiTheme="minorHAnsi"/>
          <w:sz w:val="36"/>
          <w:szCs w:val="36"/>
        </w:rPr>
        <w:lastRenderedPageBreak/>
        <w:t>Annex B: Methodology</w:t>
      </w:r>
      <w:bookmarkEnd w:id="6"/>
    </w:p>
    <w:p w14:paraId="0752D744" w14:textId="77777777" w:rsidR="0096731E" w:rsidRPr="00B17245" w:rsidRDefault="0096731E" w:rsidP="00E003E7">
      <w:pPr>
        <w:spacing w:after="0" w:line="240" w:lineRule="auto"/>
        <w:rPr>
          <w:b/>
          <w:sz w:val="24"/>
        </w:rPr>
      </w:pPr>
    </w:p>
    <w:p w14:paraId="1018FC43" w14:textId="77777777" w:rsidR="00B17245" w:rsidRPr="00B17245" w:rsidRDefault="00B17245" w:rsidP="00E003E7">
      <w:pPr>
        <w:spacing w:after="0" w:line="240" w:lineRule="auto"/>
        <w:rPr>
          <w:b/>
          <w:sz w:val="24"/>
        </w:rPr>
      </w:pPr>
      <w:r w:rsidRPr="00B17245">
        <w:rPr>
          <w:b/>
          <w:sz w:val="24"/>
        </w:rPr>
        <w:t xml:space="preserve">B.1. Statistical methods </w:t>
      </w:r>
    </w:p>
    <w:p w14:paraId="29923E6E" w14:textId="77777777" w:rsidR="00B17245" w:rsidRPr="00B17245" w:rsidRDefault="00B17245" w:rsidP="00E003E7">
      <w:pPr>
        <w:spacing w:after="0" w:line="240" w:lineRule="auto"/>
        <w:rPr>
          <w:b/>
          <w:sz w:val="24"/>
        </w:rPr>
      </w:pPr>
    </w:p>
    <w:p w14:paraId="6A71BC41" w14:textId="77777777" w:rsidR="008B3FE0" w:rsidRPr="00B17245" w:rsidRDefault="008B3FE0" w:rsidP="00E003E7">
      <w:pPr>
        <w:spacing w:after="0" w:line="240" w:lineRule="auto"/>
        <w:rPr>
          <w:sz w:val="24"/>
        </w:rPr>
      </w:pPr>
      <w:r w:rsidRPr="00B17245">
        <w:rPr>
          <w:sz w:val="24"/>
        </w:rPr>
        <w:t xml:space="preserve">The methodological approach develops closely </w:t>
      </w:r>
      <w:r w:rsidR="002E0F90">
        <w:rPr>
          <w:sz w:val="24"/>
        </w:rPr>
        <w:t xml:space="preserve">from </w:t>
      </w:r>
      <w:r w:rsidRPr="00B17245">
        <w:rPr>
          <w:sz w:val="24"/>
        </w:rPr>
        <w:t xml:space="preserve">our </w:t>
      </w:r>
      <w:r w:rsidR="002E0F90">
        <w:rPr>
          <w:sz w:val="24"/>
        </w:rPr>
        <w:t>previous</w:t>
      </w:r>
      <w:r w:rsidR="002E2AF1">
        <w:rPr>
          <w:sz w:val="24"/>
        </w:rPr>
        <w:t xml:space="preserve"> report Fujiwara et al. (2014a</w:t>
      </w:r>
      <w:r w:rsidRPr="00B17245">
        <w:rPr>
          <w:sz w:val="24"/>
        </w:rPr>
        <w:t>) ‘</w:t>
      </w:r>
      <w:r w:rsidRPr="00B17245">
        <w:rPr>
          <w:i/>
          <w:sz w:val="24"/>
        </w:rPr>
        <w:t>Quantifying the Social Impacts of Culture and Sport</w:t>
      </w:r>
      <w:r w:rsidR="002E2AF1">
        <w:rPr>
          <w:sz w:val="24"/>
        </w:rPr>
        <w:t>’. Fujiwara et al. (2014a</w:t>
      </w:r>
      <w:r w:rsidRPr="00B17245">
        <w:rPr>
          <w:sz w:val="24"/>
        </w:rPr>
        <w:t>) used</w:t>
      </w:r>
      <w:r w:rsidR="002E0F90">
        <w:rPr>
          <w:sz w:val="24"/>
        </w:rPr>
        <w:t xml:space="preserve"> the Understanding Society data</w:t>
      </w:r>
      <w:r w:rsidRPr="00B17245">
        <w:rPr>
          <w:sz w:val="24"/>
        </w:rPr>
        <w:t>set to estimate the impact of engagement in culture and sport on four important social outcomes:</w:t>
      </w:r>
    </w:p>
    <w:p w14:paraId="284FEF98" w14:textId="77777777" w:rsidR="009A09DB" w:rsidRPr="00B17245" w:rsidRDefault="009A09DB" w:rsidP="00E003E7">
      <w:pPr>
        <w:spacing w:after="0" w:line="240" w:lineRule="auto"/>
        <w:rPr>
          <w:sz w:val="24"/>
        </w:rPr>
      </w:pPr>
    </w:p>
    <w:p w14:paraId="1DA755DD" w14:textId="77777777" w:rsidR="009A09DB" w:rsidRPr="00B17245" w:rsidRDefault="009A09DB" w:rsidP="009A09DB">
      <w:pPr>
        <w:pStyle w:val="ListParagraph"/>
        <w:numPr>
          <w:ilvl w:val="0"/>
          <w:numId w:val="9"/>
        </w:numPr>
        <w:autoSpaceDE w:val="0"/>
        <w:autoSpaceDN w:val="0"/>
        <w:adjustRightInd w:val="0"/>
        <w:spacing w:after="0" w:line="240" w:lineRule="auto"/>
        <w:rPr>
          <w:rFonts w:cs="Arial"/>
          <w:color w:val="000000"/>
          <w:sz w:val="24"/>
          <w:szCs w:val="23"/>
        </w:rPr>
      </w:pPr>
      <w:r w:rsidRPr="00B17245">
        <w:rPr>
          <w:rFonts w:cs="Arial"/>
          <w:color w:val="000000"/>
          <w:sz w:val="24"/>
          <w:szCs w:val="23"/>
        </w:rPr>
        <w:t xml:space="preserve">Health. </w:t>
      </w:r>
    </w:p>
    <w:p w14:paraId="3795C93D" w14:textId="77777777" w:rsidR="009A09DB" w:rsidRPr="00B17245" w:rsidRDefault="009A09DB" w:rsidP="00C85CD9">
      <w:pPr>
        <w:pStyle w:val="ListParagraph"/>
        <w:numPr>
          <w:ilvl w:val="0"/>
          <w:numId w:val="9"/>
        </w:numPr>
        <w:autoSpaceDE w:val="0"/>
        <w:autoSpaceDN w:val="0"/>
        <w:adjustRightInd w:val="0"/>
        <w:spacing w:after="0" w:line="240" w:lineRule="auto"/>
        <w:rPr>
          <w:rFonts w:cs="Arial"/>
          <w:color w:val="000000"/>
          <w:sz w:val="24"/>
          <w:szCs w:val="23"/>
        </w:rPr>
      </w:pPr>
      <w:r w:rsidRPr="00B17245">
        <w:rPr>
          <w:rFonts w:cs="Arial"/>
          <w:color w:val="000000"/>
          <w:sz w:val="24"/>
          <w:szCs w:val="23"/>
        </w:rPr>
        <w:t xml:space="preserve">Education. </w:t>
      </w:r>
    </w:p>
    <w:p w14:paraId="08560DB8" w14:textId="77777777" w:rsidR="009A09DB" w:rsidRPr="00B17245" w:rsidRDefault="009A09DB" w:rsidP="00C85CD9">
      <w:pPr>
        <w:pStyle w:val="ListParagraph"/>
        <w:numPr>
          <w:ilvl w:val="0"/>
          <w:numId w:val="9"/>
        </w:numPr>
        <w:autoSpaceDE w:val="0"/>
        <w:autoSpaceDN w:val="0"/>
        <w:adjustRightInd w:val="0"/>
        <w:spacing w:after="0" w:line="240" w:lineRule="auto"/>
        <w:rPr>
          <w:sz w:val="28"/>
        </w:rPr>
      </w:pPr>
      <w:r w:rsidRPr="009A09DB">
        <w:rPr>
          <w:rFonts w:cs="Arial"/>
          <w:color w:val="000000"/>
          <w:sz w:val="24"/>
          <w:szCs w:val="23"/>
        </w:rPr>
        <w:t xml:space="preserve">Employment and economic productivity. </w:t>
      </w:r>
    </w:p>
    <w:p w14:paraId="6858F62D" w14:textId="77777777" w:rsidR="008B3FE0" w:rsidRPr="00B17245" w:rsidRDefault="009A09DB" w:rsidP="00C85CD9">
      <w:pPr>
        <w:pStyle w:val="ListParagraph"/>
        <w:numPr>
          <w:ilvl w:val="0"/>
          <w:numId w:val="9"/>
        </w:numPr>
        <w:autoSpaceDE w:val="0"/>
        <w:autoSpaceDN w:val="0"/>
        <w:adjustRightInd w:val="0"/>
        <w:spacing w:after="0" w:line="240" w:lineRule="auto"/>
        <w:rPr>
          <w:sz w:val="28"/>
        </w:rPr>
      </w:pPr>
      <w:r w:rsidRPr="00B17245">
        <w:rPr>
          <w:rFonts w:cs="Arial"/>
          <w:color w:val="000000"/>
          <w:sz w:val="24"/>
          <w:szCs w:val="23"/>
        </w:rPr>
        <w:t xml:space="preserve">Civic participation. </w:t>
      </w:r>
      <w:r w:rsidR="008B3FE0" w:rsidRPr="00B17245">
        <w:rPr>
          <w:sz w:val="28"/>
        </w:rPr>
        <w:t xml:space="preserve"> </w:t>
      </w:r>
    </w:p>
    <w:p w14:paraId="37E90E3D" w14:textId="77777777" w:rsidR="00783CFC" w:rsidRPr="00B17245" w:rsidRDefault="00783CFC" w:rsidP="00E003E7">
      <w:pPr>
        <w:spacing w:after="0" w:line="240" w:lineRule="auto"/>
        <w:rPr>
          <w:sz w:val="24"/>
        </w:rPr>
      </w:pPr>
    </w:p>
    <w:p w14:paraId="02D4179A" w14:textId="77777777" w:rsidR="009A09DB" w:rsidRPr="00B17245" w:rsidRDefault="00702457" w:rsidP="00E003E7">
      <w:pPr>
        <w:spacing w:after="0" w:line="240" w:lineRule="auto"/>
        <w:rPr>
          <w:sz w:val="24"/>
        </w:rPr>
      </w:pPr>
      <w:r w:rsidRPr="00B17245">
        <w:rPr>
          <w:sz w:val="24"/>
        </w:rPr>
        <w:t xml:space="preserve">The present study looks in more detail at the </w:t>
      </w:r>
      <w:r w:rsidR="00150DB5">
        <w:rPr>
          <w:rFonts w:cstheme="majorHAnsi"/>
          <w:sz w:val="24"/>
          <w:szCs w:val="24"/>
        </w:rPr>
        <w:t xml:space="preserve">relationship with </w:t>
      </w:r>
      <w:r w:rsidRPr="00B17245">
        <w:rPr>
          <w:sz w:val="24"/>
        </w:rPr>
        <w:t>health and education of nine cultural and sports activities:</w:t>
      </w:r>
    </w:p>
    <w:p w14:paraId="1D9A0F77" w14:textId="77777777" w:rsidR="00702457" w:rsidRPr="00B17245" w:rsidRDefault="00702457" w:rsidP="00E003E7">
      <w:pPr>
        <w:spacing w:after="0" w:line="240" w:lineRule="auto"/>
        <w:rPr>
          <w:b/>
          <w:sz w:val="24"/>
        </w:rPr>
      </w:pPr>
    </w:p>
    <w:p w14:paraId="3A501BA1" w14:textId="77777777" w:rsidR="00702457" w:rsidRPr="00B17245" w:rsidRDefault="00702457" w:rsidP="00E003E7">
      <w:pPr>
        <w:spacing w:after="0" w:line="240" w:lineRule="auto"/>
        <w:rPr>
          <w:b/>
          <w:sz w:val="24"/>
        </w:rPr>
      </w:pPr>
      <w:r w:rsidRPr="00B17245">
        <w:rPr>
          <w:b/>
          <w:sz w:val="24"/>
        </w:rPr>
        <w:t>Arts &amp; culture</w:t>
      </w:r>
      <w:r w:rsidR="002E0F90">
        <w:rPr>
          <w:b/>
          <w:sz w:val="24"/>
        </w:rPr>
        <w:t xml:space="preserve"> activities</w:t>
      </w:r>
    </w:p>
    <w:p w14:paraId="2E40C056"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Participation or audience to any art form</w:t>
      </w:r>
    </w:p>
    <w:p w14:paraId="051F7CB6"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Audience to the arts</w:t>
      </w:r>
    </w:p>
    <w:p w14:paraId="240000F3"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Participation in the arts</w:t>
      </w:r>
    </w:p>
    <w:p w14:paraId="2F3131E9"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Heritage visits</w:t>
      </w:r>
    </w:p>
    <w:p w14:paraId="0D548400"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Library visits</w:t>
      </w:r>
    </w:p>
    <w:p w14:paraId="7E58AAFE"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Museum visits</w:t>
      </w:r>
    </w:p>
    <w:p w14:paraId="2AA4DEEA" w14:textId="77777777" w:rsidR="00702457" w:rsidRPr="00B17245" w:rsidRDefault="00702457" w:rsidP="00702457">
      <w:pPr>
        <w:pStyle w:val="ACEBodyText"/>
        <w:rPr>
          <w:rFonts w:asciiTheme="minorHAnsi" w:hAnsiTheme="minorHAnsi"/>
          <w:b/>
          <w:lang w:eastAsia="zh-CN"/>
        </w:rPr>
      </w:pPr>
    </w:p>
    <w:p w14:paraId="12088E9A" w14:textId="77777777" w:rsidR="00702457" w:rsidRPr="002E0F90" w:rsidRDefault="00702457" w:rsidP="00702457">
      <w:pPr>
        <w:pStyle w:val="ACEBodyText"/>
        <w:rPr>
          <w:rFonts w:asciiTheme="minorHAnsi" w:hAnsiTheme="minorHAnsi"/>
          <w:b/>
          <w:lang w:eastAsia="zh-CN"/>
        </w:rPr>
      </w:pPr>
      <w:r w:rsidRPr="002E0F90">
        <w:rPr>
          <w:rFonts w:asciiTheme="minorHAnsi" w:hAnsiTheme="minorHAnsi"/>
          <w:b/>
          <w:lang w:eastAsia="zh-CN"/>
        </w:rPr>
        <w:t xml:space="preserve">Sports </w:t>
      </w:r>
      <w:r w:rsidR="002E0F90" w:rsidRPr="002E0F90">
        <w:rPr>
          <w:rFonts w:asciiTheme="minorHAnsi" w:hAnsiTheme="minorHAnsi"/>
          <w:b/>
        </w:rPr>
        <w:t>activities</w:t>
      </w:r>
    </w:p>
    <w:p w14:paraId="6D536A62"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Participation in any sport</w:t>
      </w:r>
      <w:r w:rsidR="002E0F90">
        <w:rPr>
          <w:rFonts w:asciiTheme="minorHAnsi" w:hAnsiTheme="minorHAnsi"/>
          <w:lang w:eastAsia="zh-CN"/>
        </w:rPr>
        <w:t xml:space="preserve"> (team or individual sports)</w:t>
      </w:r>
    </w:p>
    <w:p w14:paraId="34251389" w14:textId="77777777" w:rsidR="00702457" w:rsidRPr="00B17245" w:rsidRDefault="00702457" w:rsidP="00702457">
      <w:pPr>
        <w:pStyle w:val="ACEBodyText"/>
        <w:numPr>
          <w:ilvl w:val="0"/>
          <w:numId w:val="10"/>
        </w:numPr>
        <w:rPr>
          <w:rFonts w:asciiTheme="minorHAnsi" w:hAnsiTheme="minorHAnsi"/>
          <w:lang w:eastAsia="zh-CN"/>
        </w:rPr>
      </w:pPr>
      <w:r w:rsidRPr="00B17245">
        <w:rPr>
          <w:rFonts w:asciiTheme="minorHAnsi" w:hAnsiTheme="minorHAnsi"/>
          <w:lang w:eastAsia="zh-CN"/>
        </w:rPr>
        <w:t>Participation in team sports</w:t>
      </w:r>
    </w:p>
    <w:p w14:paraId="0D6B31D5" w14:textId="77777777" w:rsidR="00702457" w:rsidRPr="00B17245" w:rsidRDefault="006D7323" w:rsidP="00702457">
      <w:pPr>
        <w:pStyle w:val="ACEBodyText"/>
        <w:numPr>
          <w:ilvl w:val="0"/>
          <w:numId w:val="10"/>
        </w:numPr>
        <w:rPr>
          <w:rFonts w:asciiTheme="minorHAnsi" w:hAnsiTheme="minorHAnsi"/>
          <w:lang w:eastAsia="zh-CN"/>
        </w:rPr>
      </w:pPr>
      <w:r>
        <w:rPr>
          <w:rFonts w:asciiTheme="minorHAnsi" w:hAnsiTheme="minorHAnsi"/>
          <w:lang w:eastAsia="zh-CN"/>
        </w:rPr>
        <w:t xml:space="preserve">Participation in </w:t>
      </w:r>
      <w:r w:rsidR="00702457" w:rsidRPr="00B17245">
        <w:rPr>
          <w:rFonts w:asciiTheme="minorHAnsi" w:hAnsiTheme="minorHAnsi"/>
          <w:lang w:eastAsia="zh-CN"/>
        </w:rPr>
        <w:t>individual sports</w:t>
      </w:r>
    </w:p>
    <w:p w14:paraId="646381A8" w14:textId="77777777" w:rsidR="00EA4B35" w:rsidRPr="00B17245" w:rsidRDefault="00EA4B35" w:rsidP="00E003E7">
      <w:pPr>
        <w:spacing w:after="0" w:line="240" w:lineRule="auto"/>
        <w:rPr>
          <w:sz w:val="28"/>
        </w:rPr>
      </w:pPr>
    </w:p>
    <w:p w14:paraId="5871FC98" w14:textId="77777777" w:rsidR="00EA4B35" w:rsidRPr="00B17245" w:rsidRDefault="00EA4B35" w:rsidP="00EA4B35">
      <w:pPr>
        <w:spacing w:after="0" w:line="240" w:lineRule="auto"/>
        <w:rPr>
          <w:rFonts w:cs="Arial"/>
          <w:sz w:val="24"/>
        </w:rPr>
      </w:pPr>
      <w:r w:rsidRPr="00B17245">
        <w:rPr>
          <w:rFonts w:cs="Arial"/>
          <w:sz w:val="24"/>
        </w:rPr>
        <w:t xml:space="preserve">We use Wave 2 of Understanding Society and run a number of regression models to look at the </w:t>
      </w:r>
      <w:r w:rsidR="00150DB5">
        <w:rPr>
          <w:rFonts w:cstheme="majorHAnsi"/>
          <w:sz w:val="24"/>
          <w:szCs w:val="24"/>
        </w:rPr>
        <w:t xml:space="preserve">relationship between </w:t>
      </w:r>
      <w:r w:rsidRPr="00B17245">
        <w:rPr>
          <w:rFonts w:cs="Arial"/>
          <w:sz w:val="24"/>
        </w:rPr>
        <w:t xml:space="preserve">engagement in culture and sport </w:t>
      </w:r>
      <w:r w:rsidR="00150DB5">
        <w:rPr>
          <w:rFonts w:cs="Arial"/>
          <w:sz w:val="24"/>
        </w:rPr>
        <w:t xml:space="preserve">and the </w:t>
      </w:r>
      <w:r w:rsidRPr="00B17245">
        <w:rPr>
          <w:rFonts w:cs="Arial"/>
          <w:sz w:val="24"/>
        </w:rPr>
        <w:t xml:space="preserve">two </w:t>
      </w:r>
      <w:r w:rsidR="00982624">
        <w:rPr>
          <w:rFonts w:cs="Arial"/>
          <w:sz w:val="24"/>
        </w:rPr>
        <w:t xml:space="preserve">outcome </w:t>
      </w:r>
      <w:r w:rsidRPr="00B17245">
        <w:rPr>
          <w:rFonts w:cs="Arial"/>
          <w:sz w:val="24"/>
        </w:rPr>
        <w:t>domains of interest (health and education) as follows:</w:t>
      </w:r>
    </w:p>
    <w:p w14:paraId="27F44902" w14:textId="77777777" w:rsidR="00EA4B35" w:rsidRPr="00B17245" w:rsidRDefault="00EA4B35" w:rsidP="00EA4B35">
      <w:pPr>
        <w:spacing w:after="0" w:line="240" w:lineRule="auto"/>
        <w:rPr>
          <w:rFonts w:cs="Arial"/>
          <w:sz w:val="24"/>
        </w:rPr>
      </w:pPr>
    </w:p>
    <w:p w14:paraId="61A199E1" w14:textId="77777777" w:rsidR="00EA4B35" w:rsidRPr="00B17245" w:rsidRDefault="0008328E" w:rsidP="00EA4B35">
      <w:pPr>
        <w:spacing w:after="0" w:line="240" w:lineRule="auto"/>
        <w:rPr>
          <w:rFonts w:cs="Arial"/>
          <w:sz w:val="24"/>
        </w:rPr>
      </w:pP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r>
          <w:rPr>
            <w:rFonts w:ascii="Cambria Math" w:hAnsi="Cambria Math" w:cs="Arial"/>
            <w:sz w:val="24"/>
          </w:rPr>
          <m:t>=α</m:t>
        </m:r>
        <m:r>
          <m:rPr>
            <m:sty m:val="p"/>
          </m:rP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Q</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2</m:t>
            </m:r>
          </m:sub>
        </m:sSub>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i</m:t>
            </m:r>
          </m:sub>
        </m:sSub>
      </m:oMath>
      <w:r w:rsidR="00EA4B35" w:rsidRPr="00B17245">
        <w:rPr>
          <w:rFonts w:cs="Arial"/>
          <w:sz w:val="24"/>
        </w:rPr>
        <w:t xml:space="preserve"> </w:t>
      </w:r>
      <w:r w:rsidR="00EA4B35" w:rsidRPr="00B17245">
        <w:rPr>
          <w:rFonts w:cs="Arial"/>
          <w:sz w:val="24"/>
        </w:rPr>
        <w:tab/>
      </w:r>
      <w:r w:rsidR="00EA4B35" w:rsidRPr="00B17245">
        <w:rPr>
          <w:rFonts w:cs="Arial"/>
          <w:sz w:val="24"/>
        </w:rPr>
        <w:tab/>
      </w:r>
      <w:r w:rsidR="00EA4B35" w:rsidRPr="00B17245">
        <w:rPr>
          <w:rFonts w:cs="Arial"/>
          <w:sz w:val="24"/>
        </w:rPr>
        <w:tab/>
        <w:t>(1)</w:t>
      </w:r>
    </w:p>
    <w:p w14:paraId="0F9949DF" w14:textId="77777777" w:rsidR="00EA4B35" w:rsidRPr="00B17245" w:rsidRDefault="00EA4B35" w:rsidP="00EA4B35">
      <w:pPr>
        <w:spacing w:after="0" w:line="240" w:lineRule="auto"/>
        <w:rPr>
          <w:rFonts w:cs="Arial"/>
          <w:sz w:val="24"/>
        </w:rPr>
      </w:pPr>
    </w:p>
    <w:p w14:paraId="06B3B087" w14:textId="77777777" w:rsidR="00EA4B35" w:rsidRPr="00B17245" w:rsidRDefault="00EA4B35" w:rsidP="00EA4B35">
      <w:pPr>
        <w:spacing w:after="0" w:line="240" w:lineRule="auto"/>
        <w:rPr>
          <w:rFonts w:cs="Arial"/>
          <w:sz w:val="24"/>
        </w:rPr>
      </w:pPr>
      <w:r w:rsidRPr="00B17245">
        <w:rPr>
          <w:rFonts w:cs="Arial"/>
          <w:sz w:val="24"/>
        </w:rPr>
        <w:t xml:space="preserve">where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oMath>
      <w:r w:rsidRPr="00B17245">
        <w:rPr>
          <w:rFonts w:cs="Arial"/>
          <w:sz w:val="24"/>
        </w:rPr>
        <w:t xml:space="preserve"> is the domain of interest (health, education)</w:t>
      </w:r>
      <w:r w:rsidR="002C3211">
        <w:rPr>
          <w:rFonts w:cs="Arial"/>
          <w:sz w:val="24"/>
        </w:rPr>
        <w:t xml:space="preserve"> </w:t>
      </w:r>
      <w:r w:rsidR="002C3211">
        <w:rPr>
          <w:rFonts w:eastAsiaTheme="minorEastAsia" w:cs="Arial"/>
          <w:sz w:val="24"/>
        </w:rPr>
        <w:t xml:space="preserve">for individual </w:t>
      </w:r>
      <m:oMath>
        <m:r>
          <w:rPr>
            <w:rFonts w:ascii="Cambria Math" w:eastAsiaTheme="minorEastAsia" w:hAnsi="Cambria Math" w:cs="Arial"/>
            <w:sz w:val="24"/>
          </w:rPr>
          <m:t>i</m:t>
        </m:r>
      </m:oMath>
      <w:r w:rsidR="002C3211">
        <w:rPr>
          <w:rFonts w:eastAsiaTheme="minorEastAsia" w:cs="Arial"/>
          <w:sz w:val="24"/>
        </w:rPr>
        <w:t>;</w:t>
      </w:r>
      <w:r w:rsidRPr="00B17245">
        <w:rPr>
          <w:rFonts w:cs="Arial"/>
          <w:sz w:val="24"/>
        </w:rPr>
        <w:t xml:space="preserve"> </w:t>
      </w:r>
      <m:oMath>
        <m:sSub>
          <m:sSubPr>
            <m:ctrlPr>
              <w:rPr>
                <w:rFonts w:ascii="Cambria Math" w:hAnsi="Cambria Math" w:cs="Arial"/>
                <w:i/>
                <w:sz w:val="24"/>
              </w:rPr>
            </m:ctrlPr>
          </m:sSubPr>
          <m:e>
            <m:r>
              <w:rPr>
                <w:rFonts w:ascii="Cambria Math" w:hAnsi="Cambria Math" w:cs="Arial"/>
                <w:sz w:val="24"/>
              </w:rPr>
              <m:t>Q</m:t>
            </m:r>
          </m:e>
          <m:sub>
            <m:r>
              <w:rPr>
                <w:rFonts w:ascii="Cambria Math" w:hAnsi="Cambria Math" w:cs="Arial"/>
                <w:sz w:val="24"/>
              </w:rPr>
              <m:t>i</m:t>
            </m:r>
          </m:sub>
        </m:sSub>
      </m:oMath>
      <w:r w:rsidRPr="00B17245">
        <w:rPr>
          <w:rFonts w:cs="Arial"/>
          <w:sz w:val="24"/>
        </w:rPr>
        <w:t xml:space="preserve"> is a vector of culture and sports engagement variables and </w:t>
      </w:r>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i</m:t>
            </m:r>
          </m:sub>
        </m:sSub>
      </m:oMath>
      <w:r w:rsidRPr="00B17245">
        <w:rPr>
          <w:rFonts w:cs="Arial"/>
          <w:sz w:val="24"/>
        </w:rPr>
        <w:t xml:space="preserve"> are other determinants of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oMath>
      <w:r w:rsidRPr="00B17245">
        <w:rPr>
          <w:rFonts w:cs="Arial"/>
          <w:sz w:val="24"/>
        </w:rPr>
        <w:t xml:space="preserve">. </w:t>
      </w:r>
    </w:p>
    <w:p w14:paraId="3687ED95" w14:textId="77777777" w:rsidR="00EA4B35" w:rsidRPr="00B17245" w:rsidRDefault="00EA4B35" w:rsidP="00EA4B35">
      <w:pPr>
        <w:spacing w:after="0" w:line="240" w:lineRule="auto"/>
        <w:rPr>
          <w:rFonts w:cs="Arial"/>
        </w:rPr>
      </w:pPr>
    </w:p>
    <w:p w14:paraId="17B22BFF" w14:textId="77777777" w:rsidR="00A46862" w:rsidRPr="00A46862" w:rsidRDefault="00EA4B35" w:rsidP="00A46862">
      <w:pPr>
        <w:pStyle w:val="ListParagraph"/>
        <w:widowControl w:val="0"/>
        <w:tabs>
          <w:tab w:val="left" w:pos="1890"/>
        </w:tabs>
        <w:spacing w:after="0" w:line="240" w:lineRule="auto"/>
        <w:ind w:left="0"/>
        <w:rPr>
          <w:sz w:val="24"/>
          <w:szCs w:val="24"/>
        </w:rPr>
      </w:pPr>
      <w:r w:rsidRPr="00B17245">
        <w:rPr>
          <w:rFonts w:cs="Arial"/>
          <w:sz w:val="24"/>
        </w:rPr>
        <w:t>The general strategy used in this paper has been to control for as many of the determinants of a given outcome as poss</w:t>
      </w:r>
      <w:r w:rsidR="002020CE">
        <w:rPr>
          <w:rFonts w:cs="Arial"/>
          <w:sz w:val="24"/>
        </w:rPr>
        <w:t xml:space="preserve">ible using regression analysis </w:t>
      </w:r>
      <w:r w:rsidR="002020CE">
        <w:rPr>
          <w:sz w:val="23"/>
          <w:szCs w:val="23"/>
        </w:rPr>
        <w:t xml:space="preserve">in order to get a better understanding of cause and effect relationships. </w:t>
      </w:r>
      <w:r w:rsidR="00BD0C06">
        <w:rPr>
          <w:sz w:val="23"/>
          <w:szCs w:val="23"/>
        </w:rPr>
        <w:t xml:space="preserve">We also note that the sports and cultural engagement variables in the Understanding Society dataset </w:t>
      </w:r>
      <w:r w:rsidR="00442174">
        <w:rPr>
          <w:sz w:val="23"/>
          <w:szCs w:val="23"/>
        </w:rPr>
        <w:t>(</w:t>
      </w:r>
      <m:oMath>
        <m:sSub>
          <m:sSubPr>
            <m:ctrlPr>
              <w:rPr>
                <w:rFonts w:ascii="Cambria Math" w:hAnsi="Cambria Math" w:cs="Arial"/>
                <w:i/>
                <w:sz w:val="24"/>
              </w:rPr>
            </m:ctrlPr>
          </m:sSubPr>
          <m:e>
            <m:r>
              <w:rPr>
                <w:rFonts w:ascii="Cambria Math" w:hAnsi="Cambria Math" w:cs="Arial"/>
                <w:sz w:val="24"/>
              </w:rPr>
              <m:t>Q</m:t>
            </m:r>
          </m:e>
          <m:sub>
            <m:r>
              <w:rPr>
                <w:rFonts w:ascii="Cambria Math" w:hAnsi="Cambria Math" w:cs="Arial"/>
                <w:sz w:val="24"/>
              </w:rPr>
              <m:t>i</m:t>
            </m:r>
          </m:sub>
        </m:sSub>
      </m:oMath>
      <w:r w:rsidR="00442174" w:rsidRPr="00B17245">
        <w:rPr>
          <w:rFonts w:cs="Arial"/>
          <w:sz w:val="24"/>
        </w:rPr>
        <w:t xml:space="preserve"> </w:t>
      </w:r>
      <w:r w:rsidR="00442174">
        <w:rPr>
          <w:rFonts w:cs="Arial"/>
          <w:sz w:val="24"/>
        </w:rPr>
        <w:t xml:space="preserve">in equation (1)) represent whether individual </w:t>
      </w:r>
      <m:oMath>
        <m:r>
          <w:rPr>
            <w:rFonts w:ascii="Cambria Math" w:hAnsi="Cambria Math" w:cs="Arial"/>
            <w:sz w:val="24"/>
          </w:rPr>
          <m:t>i</m:t>
        </m:r>
      </m:oMath>
      <w:r w:rsidR="00442174">
        <w:rPr>
          <w:rFonts w:eastAsiaTheme="minorEastAsia" w:cs="Arial"/>
          <w:sz w:val="24"/>
        </w:rPr>
        <w:t xml:space="preserve"> has partaken in any of these activities in the past 12 months, whereas </w:t>
      </w:r>
      <w:r w:rsidR="00442174">
        <w:rPr>
          <w:rFonts w:eastAsiaTheme="minorEastAsia" w:cs="Arial"/>
          <w:sz w:val="24"/>
        </w:rPr>
        <w:lastRenderedPageBreak/>
        <w:t>the health and education variables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oMath>
      <w:r w:rsidR="00442174">
        <w:rPr>
          <w:rFonts w:eastAsiaTheme="minorEastAsia" w:cs="Arial"/>
          <w:sz w:val="24"/>
        </w:rPr>
        <w:t xml:space="preserve"> in equation (1)) refer to the time when the survey was administered. This provides some lag in the time between the sport/cultural activity and the health and education outcome which helps to rule out reverse causation (although it cannot help to rule out bias from confounding factors). </w:t>
      </w:r>
      <w:r w:rsidR="002F2359" w:rsidRPr="00887818">
        <w:rPr>
          <w:rFonts w:cs="Arial"/>
          <w:sz w:val="24"/>
          <w:szCs w:val="24"/>
        </w:rPr>
        <w:t xml:space="preserve">Multiple regression analysis of this sort is </w:t>
      </w:r>
      <w:r w:rsidR="002F2359">
        <w:rPr>
          <w:rFonts w:cs="Arial"/>
          <w:sz w:val="24"/>
          <w:szCs w:val="24"/>
        </w:rPr>
        <w:t>one of the optimal statistical strategies</w:t>
      </w:r>
      <w:r w:rsidR="002F2359" w:rsidRPr="00887818">
        <w:rPr>
          <w:rFonts w:cs="Arial"/>
          <w:sz w:val="24"/>
          <w:szCs w:val="24"/>
        </w:rPr>
        <w:t xml:space="preserve"> for identifying causal relationships in instances like this where interventions have not been randomised</w:t>
      </w:r>
      <w:r w:rsidR="002F2359">
        <w:rPr>
          <w:rFonts w:cs="Arial"/>
          <w:sz w:val="24"/>
          <w:szCs w:val="24"/>
        </w:rPr>
        <w:t xml:space="preserve"> and this </w:t>
      </w:r>
      <w:r w:rsidR="00442174">
        <w:rPr>
          <w:rFonts w:cs="Arial"/>
          <w:sz w:val="24"/>
          <w:szCs w:val="24"/>
        </w:rPr>
        <w:t>type (</w:t>
      </w:r>
      <w:r w:rsidR="002F2359">
        <w:rPr>
          <w:rFonts w:cs="Arial"/>
          <w:sz w:val="24"/>
          <w:szCs w:val="24"/>
        </w:rPr>
        <w:t>or similar types</w:t>
      </w:r>
      <w:r w:rsidR="00442174">
        <w:rPr>
          <w:rFonts w:cs="Arial"/>
          <w:sz w:val="24"/>
          <w:szCs w:val="24"/>
        </w:rPr>
        <w:t>)</w:t>
      </w:r>
      <w:r w:rsidR="002F2359">
        <w:rPr>
          <w:rFonts w:cs="Arial"/>
          <w:sz w:val="24"/>
          <w:szCs w:val="24"/>
        </w:rPr>
        <w:t xml:space="preserve"> of analysis have been used extensively in the health economics a</w:t>
      </w:r>
      <w:r w:rsidR="00F45BE5">
        <w:rPr>
          <w:rFonts w:cs="Arial"/>
          <w:sz w:val="24"/>
          <w:szCs w:val="24"/>
        </w:rPr>
        <w:t>nd policy evaluation literature</w:t>
      </w:r>
      <w:r w:rsidR="00BD0C06">
        <w:rPr>
          <w:rFonts w:cs="Arial"/>
          <w:sz w:val="24"/>
          <w:szCs w:val="24"/>
        </w:rPr>
        <w:t xml:space="preserve">. </w:t>
      </w:r>
      <w:r w:rsidR="00F45BE5">
        <w:rPr>
          <w:rFonts w:cs="Arial"/>
          <w:sz w:val="24"/>
          <w:szCs w:val="24"/>
        </w:rPr>
        <w:t>H</w:t>
      </w:r>
      <w:r w:rsidRPr="00B17245">
        <w:rPr>
          <w:rFonts w:cs="Arial"/>
          <w:sz w:val="24"/>
        </w:rPr>
        <w:t>ence we believe that the results presented in this paper are informative for policy-making purposes</w:t>
      </w:r>
      <w:r w:rsidRPr="002020CE">
        <w:rPr>
          <w:rFonts w:cs="Arial"/>
          <w:sz w:val="24"/>
          <w:szCs w:val="24"/>
        </w:rPr>
        <w:t>.</w:t>
      </w:r>
      <w:r w:rsidR="002020CE" w:rsidRPr="002020CE">
        <w:rPr>
          <w:rFonts w:cs="Arial"/>
          <w:sz w:val="24"/>
          <w:szCs w:val="24"/>
        </w:rPr>
        <w:t xml:space="preserve"> </w:t>
      </w:r>
      <w:r w:rsidR="002020CE" w:rsidRPr="002020CE">
        <w:rPr>
          <w:sz w:val="24"/>
          <w:szCs w:val="24"/>
        </w:rPr>
        <w:t xml:space="preserve">This statistical methodology is in line with the approach and </w:t>
      </w:r>
      <w:r w:rsidR="002020CE" w:rsidRPr="00A46862">
        <w:rPr>
          <w:sz w:val="24"/>
          <w:szCs w:val="24"/>
        </w:rPr>
        <w:t>methods used in the original CASE report (</w:t>
      </w:r>
      <w:r w:rsidR="009205CC">
        <w:rPr>
          <w:sz w:val="24"/>
          <w:szCs w:val="24"/>
        </w:rPr>
        <w:t xml:space="preserve">Matrix, </w:t>
      </w:r>
      <w:r w:rsidR="002020CE" w:rsidRPr="00A46862">
        <w:rPr>
          <w:sz w:val="24"/>
          <w:szCs w:val="24"/>
        </w:rPr>
        <w:t xml:space="preserve">2010) and the methodology and evidence used in high-profile publications in this area, </w:t>
      </w:r>
      <w:r w:rsidR="00A46862" w:rsidRPr="00A46862">
        <w:rPr>
          <w:sz w:val="24"/>
          <w:szCs w:val="24"/>
        </w:rPr>
        <w:t>such as the Surgeon General’s (1996) report on the effects of physical activity on health, which relied mainly on non-experimental longitudinal and cross-sectional evidence.</w:t>
      </w:r>
    </w:p>
    <w:p w14:paraId="294E9853" w14:textId="77777777" w:rsidR="002F2359" w:rsidRPr="00A46862" w:rsidRDefault="00A46862" w:rsidP="00A46862">
      <w:pPr>
        <w:pStyle w:val="ListParagraph"/>
        <w:widowControl w:val="0"/>
        <w:tabs>
          <w:tab w:val="left" w:pos="1890"/>
        </w:tabs>
        <w:spacing w:after="0" w:line="240" w:lineRule="auto"/>
        <w:ind w:left="0"/>
        <w:rPr>
          <w:sz w:val="24"/>
          <w:szCs w:val="24"/>
        </w:rPr>
      </w:pPr>
      <w:r w:rsidRPr="00A46862">
        <w:rPr>
          <w:sz w:val="24"/>
          <w:szCs w:val="24"/>
        </w:rPr>
        <w:t xml:space="preserve"> </w:t>
      </w:r>
    </w:p>
    <w:p w14:paraId="473674F4" w14:textId="77777777" w:rsidR="002F2359" w:rsidRDefault="002F2359" w:rsidP="00076627">
      <w:pPr>
        <w:pStyle w:val="ListParagraph"/>
        <w:widowControl w:val="0"/>
        <w:tabs>
          <w:tab w:val="left" w:pos="1890"/>
        </w:tabs>
        <w:spacing w:after="0" w:line="240" w:lineRule="auto"/>
        <w:ind w:left="0"/>
        <w:rPr>
          <w:rFonts w:cs="Arial"/>
          <w:b/>
          <w:sz w:val="24"/>
          <w:szCs w:val="24"/>
        </w:rPr>
      </w:pPr>
      <w:r>
        <w:rPr>
          <w:rFonts w:cs="Arial"/>
          <w:sz w:val="24"/>
          <w:szCs w:val="24"/>
        </w:rPr>
        <w:t xml:space="preserve">We note that any bias that may impact on our estimates of causality is likely to be </w:t>
      </w:r>
      <w:r w:rsidRPr="004E6AA6">
        <w:rPr>
          <w:rFonts w:cs="Arial"/>
          <w:i/>
          <w:sz w:val="24"/>
          <w:szCs w:val="24"/>
        </w:rPr>
        <w:t>positive</w:t>
      </w:r>
      <w:r>
        <w:rPr>
          <w:rFonts w:cs="Arial"/>
          <w:i/>
          <w:sz w:val="24"/>
          <w:szCs w:val="24"/>
        </w:rPr>
        <w:t xml:space="preserve">. </w:t>
      </w:r>
      <w:r>
        <w:rPr>
          <w:rFonts w:cs="Arial"/>
          <w:sz w:val="24"/>
          <w:szCs w:val="24"/>
        </w:rPr>
        <w:t xml:space="preserve">Casual estimates may become biased if there are </w:t>
      </w:r>
      <w:r w:rsidR="00442174">
        <w:rPr>
          <w:rFonts w:cs="Arial"/>
          <w:sz w:val="24"/>
          <w:szCs w:val="24"/>
        </w:rPr>
        <w:t xml:space="preserve">confounding </w:t>
      </w:r>
      <w:r>
        <w:rPr>
          <w:rFonts w:cs="Arial"/>
          <w:sz w:val="24"/>
          <w:szCs w:val="24"/>
        </w:rPr>
        <w:t xml:space="preserve">factors that we cannot control for that drive engagement in culture/sport </w:t>
      </w:r>
      <w:r w:rsidRPr="004E6AA6">
        <w:rPr>
          <w:rFonts w:cs="Arial"/>
          <w:i/>
          <w:sz w:val="24"/>
          <w:szCs w:val="24"/>
        </w:rPr>
        <w:t>and</w:t>
      </w:r>
      <w:r>
        <w:rPr>
          <w:rFonts w:cs="Arial"/>
          <w:sz w:val="24"/>
          <w:szCs w:val="24"/>
        </w:rPr>
        <w:t xml:space="preserve"> that </w:t>
      </w:r>
      <w:r w:rsidR="00442174" w:rsidRPr="00442174">
        <w:rPr>
          <w:rFonts w:cs="Arial"/>
          <w:i/>
          <w:sz w:val="24"/>
          <w:szCs w:val="24"/>
        </w:rPr>
        <w:t>also</w:t>
      </w:r>
      <w:r w:rsidR="00442174">
        <w:rPr>
          <w:rFonts w:cs="Arial"/>
          <w:sz w:val="24"/>
          <w:szCs w:val="24"/>
        </w:rPr>
        <w:t xml:space="preserve"> </w:t>
      </w:r>
      <w:r>
        <w:rPr>
          <w:rFonts w:cs="Arial"/>
          <w:sz w:val="24"/>
          <w:szCs w:val="24"/>
        </w:rPr>
        <w:t xml:space="preserve">impact on the outcome of interest (ie, health and education). If any such factors exist we believe that they are likely to be positive influences - ie, that they are factors that both make it more likely that some people engage in culture/sport and that make them healthy anyway (eg, this could be due to that person’s upbringing). In such a circumstance some of the observed positive relationship between engagement in culture/sport and the </w:t>
      </w:r>
      <w:r w:rsidR="00442174">
        <w:rPr>
          <w:rFonts w:cs="Arial"/>
          <w:sz w:val="24"/>
          <w:szCs w:val="24"/>
        </w:rPr>
        <w:t>outcome of interest (health</w:t>
      </w:r>
      <w:r>
        <w:rPr>
          <w:rFonts w:cs="Arial"/>
          <w:sz w:val="24"/>
          <w:szCs w:val="24"/>
        </w:rPr>
        <w:t xml:space="preserve">) would be due to that person’s upbringing and not wholly due to the act of engaging in culture/sport. </w:t>
      </w:r>
      <w:r w:rsidRPr="00D2250A">
        <w:rPr>
          <w:rFonts w:cs="Arial"/>
          <w:b/>
          <w:sz w:val="24"/>
          <w:szCs w:val="24"/>
        </w:rPr>
        <w:t>We</w:t>
      </w:r>
      <w:r w:rsidR="00F45BE5">
        <w:rPr>
          <w:rFonts w:cs="Arial"/>
          <w:b/>
          <w:sz w:val="24"/>
          <w:szCs w:val="24"/>
        </w:rPr>
        <w:t>,</w:t>
      </w:r>
      <w:r w:rsidRPr="00D2250A">
        <w:rPr>
          <w:rFonts w:cs="Arial"/>
          <w:b/>
          <w:sz w:val="24"/>
          <w:szCs w:val="24"/>
        </w:rPr>
        <w:t xml:space="preserve"> therefore</w:t>
      </w:r>
      <w:r w:rsidR="00F45BE5">
        <w:rPr>
          <w:rFonts w:cs="Arial"/>
          <w:b/>
          <w:sz w:val="24"/>
          <w:szCs w:val="24"/>
        </w:rPr>
        <w:t>,</w:t>
      </w:r>
      <w:r w:rsidRPr="00D2250A">
        <w:rPr>
          <w:rFonts w:cs="Arial"/>
          <w:b/>
          <w:sz w:val="24"/>
          <w:szCs w:val="24"/>
        </w:rPr>
        <w:t xml:space="preserve"> recommend that the </w:t>
      </w:r>
      <w:r w:rsidR="005B4B58" w:rsidRPr="005B4B58">
        <w:rPr>
          <w:rFonts w:cs="Arial"/>
          <w:b/>
          <w:sz w:val="24"/>
          <w:szCs w:val="24"/>
        </w:rPr>
        <w:t>predicted</w:t>
      </w:r>
      <w:r w:rsidR="005B4B58" w:rsidRPr="00D2250A">
        <w:rPr>
          <w:rFonts w:cs="Arial"/>
          <w:b/>
          <w:sz w:val="24"/>
          <w:szCs w:val="24"/>
        </w:rPr>
        <w:t xml:space="preserve"> </w:t>
      </w:r>
      <w:r w:rsidRPr="00D2250A">
        <w:rPr>
          <w:rFonts w:cs="Arial"/>
          <w:b/>
          <w:sz w:val="24"/>
          <w:szCs w:val="24"/>
        </w:rPr>
        <w:t xml:space="preserve">impact and value estimates derived in this </w:t>
      </w:r>
      <w:r w:rsidR="00442174">
        <w:rPr>
          <w:rFonts w:cs="Arial"/>
          <w:b/>
          <w:sz w:val="24"/>
          <w:szCs w:val="24"/>
        </w:rPr>
        <w:t>report</w:t>
      </w:r>
      <w:r w:rsidRPr="00D2250A">
        <w:rPr>
          <w:rFonts w:cs="Arial"/>
          <w:b/>
          <w:sz w:val="24"/>
          <w:szCs w:val="24"/>
        </w:rPr>
        <w:t xml:space="preserve"> be </w:t>
      </w:r>
      <w:r w:rsidR="005B4B58">
        <w:rPr>
          <w:rFonts w:cs="Arial"/>
          <w:b/>
          <w:sz w:val="24"/>
          <w:szCs w:val="24"/>
        </w:rPr>
        <w:t>interpreted</w:t>
      </w:r>
      <w:r w:rsidRPr="00D2250A">
        <w:rPr>
          <w:rFonts w:cs="Arial"/>
          <w:b/>
          <w:sz w:val="24"/>
          <w:szCs w:val="24"/>
        </w:rPr>
        <w:t xml:space="preserve"> an</w:t>
      </w:r>
      <w:r>
        <w:rPr>
          <w:rFonts w:cs="Arial"/>
          <w:b/>
          <w:sz w:val="24"/>
          <w:szCs w:val="24"/>
        </w:rPr>
        <w:t xml:space="preserve">d used as </w:t>
      </w:r>
      <w:r w:rsidR="00F45BE5">
        <w:rPr>
          <w:rFonts w:cs="Arial"/>
          <w:b/>
          <w:sz w:val="24"/>
          <w:szCs w:val="24"/>
          <w:u w:val="single"/>
        </w:rPr>
        <w:t>upper-</w:t>
      </w:r>
      <w:r w:rsidRPr="00F45BE5">
        <w:rPr>
          <w:rFonts w:cs="Arial"/>
          <w:b/>
          <w:sz w:val="24"/>
          <w:szCs w:val="24"/>
          <w:u w:val="single"/>
        </w:rPr>
        <w:t>bound</w:t>
      </w:r>
      <w:r>
        <w:rPr>
          <w:rFonts w:cs="Arial"/>
          <w:b/>
          <w:sz w:val="24"/>
          <w:szCs w:val="24"/>
        </w:rPr>
        <w:t xml:space="preserve"> estimates of the impact of culture and sport on health and education.</w:t>
      </w:r>
    </w:p>
    <w:p w14:paraId="0F319574" w14:textId="77777777" w:rsidR="002F2359" w:rsidRDefault="002F2359" w:rsidP="00076627">
      <w:pPr>
        <w:pStyle w:val="ListParagraph"/>
        <w:widowControl w:val="0"/>
        <w:tabs>
          <w:tab w:val="left" w:pos="1890"/>
        </w:tabs>
        <w:spacing w:after="0" w:line="240" w:lineRule="auto"/>
        <w:ind w:left="0"/>
        <w:rPr>
          <w:rFonts w:cs="Arial"/>
          <w:b/>
          <w:sz w:val="24"/>
          <w:szCs w:val="24"/>
        </w:rPr>
      </w:pPr>
    </w:p>
    <w:p w14:paraId="7C3F2A53" w14:textId="77777777" w:rsidR="00813C99" w:rsidRDefault="00757803" w:rsidP="00076627">
      <w:pPr>
        <w:pStyle w:val="ListParagraph"/>
        <w:widowControl w:val="0"/>
        <w:tabs>
          <w:tab w:val="left" w:pos="1890"/>
        </w:tabs>
        <w:spacing w:after="0" w:line="240" w:lineRule="auto"/>
        <w:ind w:left="0"/>
        <w:rPr>
          <w:rFonts w:cs="Arial"/>
          <w:sz w:val="24"/>
        </w:rPr>
      </w:pPr>
      <w:r>
        <w:rPr>
          <w:rFonts w:cs="Arial"/>
          <w:sz w:val="24"/>
        </w:rPr>
        <w:t>Model (1) allows us to assess the relationship between engagement in culture and sport and health and education outcomes. We will then attach values to the</w:t>
      </w:r>
      <w:r w:rsidR="00982624">
        <w:rPr>
          <w:rFonts w:cs="Arial"/>
          <w:sz w:val="24"/>
        </w:rPr>
        <w:t xml:space="preserve">se estimated relationships </w:t>
      </w:r>
      <w:r>
        <w:rPr>
          <w:rFonts w:cs="Arial"/>
          <w:sz w:val="24"/>
        </w:rPr>
        <w:t>using a range of best-practice methods.</w:t>
      </w:r>
      <w:r w:rsidR="002020CE">
        <w:rPr>
          <w:rFonts w:cs="Arial"/>
          <w:sz w:val="24"/>
        </w:rPr>
        <w:t xml:space="preserve"> </w:t>
      </w:r>
      <w:r w:rsidR="00813C99">
        <w:rPr>
          <w:rFonts w:cs="Arial"/>
          <w:sz w:val="24"/>
        </w:rPr>
        <w:t xml:space="preserve">A fundamental </w:t>
      </w:r>
      <w:r w:rsidR="008527D8">
        <w:rPr>
          <w:rFonts w:cs="Arial"/>
          <w:sz w:val="24"/>
        </w:rPr>
        <w:t xml:space="preserve">simplifying </w:t>
      </w:r>
      <w:r w:rsidR="00813C99">
        <w:rPr>
          <w:rFonts w:cs="Arial"/>
          <w:sz w:val="24"/>
        </w:rPr>
        <w:t>assumption applied throughout the analysis is that the relationships estimated in Model (1) (</w:t>
      </w:r>
      <w:r w:rsidR="008527D8">
        <w:rPr>
          <w:rFonts w:cs="Arial"/>
          <w:sz w:val="24"/>
        </w:rPr>
        <w:t xml:space="preserve">ie, </w:t>
      </w:r>
      <w:r w:rsidR="00813C99">
        <w:rPr>
          <w:rFonts w:cs="Arial"/>
          <w:sz w:val="24"/>
        </w:rPr>
        <w:t>betwee</w:t>
      </w:r>
      <w:r w:rsidR="008527D8">
        <w:rPr>
          <w:rFonts w:cs="Arial"/>
          <w:sz w:val="24"/>
        </w:rPr>
        <w:t>n engagement in culture/</w:t>
      </w:r>
      <w:r w:rsidR="00813C99">
        <w:rPr>
          <w:rFonts w:cs="Arial"/>
          <w:sz w:val="24"/>
        </w:rPr>
        <w:t xml:space="preserve">sport and health and education outcomes) based on the 2010 wave of Understanding Society stay constant over time so that we can attach </w:t>
      </w:r>
      <w:r w:rsidR="008527D8">
        <w:rPr>
          <w:rFonts w:cs="Arial"/>
          <w:sz w:val="24"/>
        </w:rPr>
        <w:t xml:space="preserve">to them latest </w:t>
      </w:r>
      <w:r w:rsidR="00813C99">
        <w:rPr>
          <w:rFonts w:cs="Arial"/>
          <w:sz w:val="24"/>
        </w:rPr>
        <w:t>cost savings estimates from different time periods (but note that the time periods will be close).</w:t>
      </w:r>
    </w:p>
    <w:p w14:paraId="1E47B248" w14:textId="77777777" w:rsidR="00813C99" w:rsidRDefault="00813C99" w:rsidP="00076627">
      <w:pPr>
        <w:pStyle w:val="ListParagraph"/>
        <w:widowControl w:val="0"/>
        <w:tabs>
          <w:tab w:val="left" w:pos="1890"/>
        </w:tabs>
        <w:spacing w:after="0" w:line="240" w:lineRule="auto"/>
        <w:ind w:left="0"/>
        <w:rPr>
          <w:rFonts w:cs="Arial"/>
          <w:sz w:val="24"/>
        </w:rPr>
      </w:pPr>
    </w:p>
    <w:p w14:paraId="3F8F3F03" w14:textId="77777777" w:rsidR="00C66E3B" w:rsidRPr="002F2359" w:rsidRDefault="00C66E3B" w:rsidP="00076627">
      <w:pPr>
        <w:pStyle w:val="ListParagraph"/>
        <w:widowControl w:val="0"/>
        <w:tabs>
          <w:tab w:val="left" w:pos="1890"/>
        </w:tabs>
        <w:spacing w:after="0" w:line="240" w:lineRule="auto"/>
        <w:ind w:left="0"/>
        <w:rPr>
          <w:rFonts w:cs="Arial"/>
          <w:sz w:val="24"/>
          <w:szCs w:val="24"/>
        </w:rPr>
      </w:pPr>
      <w:r>
        <w:rPr>
          <w:rFonts w:cs="Arial"/>
          <w:sz w:val="24"/>
        </w:rPr>
        <w:t>The methodological approach is broadly similar to that used in the CASE programme report (Matrix, 2010), which looked at the impacts of engagement in sport on reductions in health costs and improvements in Quality Adjust Life Years (QALYs).</w:t>
      </w:r>
      <w:r w:rsidR="00A670FC">
        <w:rPr>
          <w:rFonts w:cs="Arial"/>
          <w:sz w:val="24"/>
        </w:rPr>
        <w:t xml:space="preserve"> The differences are that we look at a different set of health outcomes and we look at the impacts on educational attainment</w:t>
      </w:r>
      <w:r w:rsidR="002020CE">
        <w:rPr>
          <w:rFonts w:cs="Arial"/>
          <w:sz w:val="24"/>
        </w:rPr>
        <w:t xml:space="preserve"> as well</w:t>
      </w:r>
      <w:r w:rsidR="00A670FC">
        <w:rPr>
          <w:rFonts w:cs="Arial"/>
          <w:sz w:val="24"/>
        </w:rPr>
        <w:t>. Furthermore, we look at impacts on these outcomes for culture as well as sport engagement. As in the CASE report (</w:t>
      </w:r>
      <w:r w:rsidR="002E2AF1">
        <w:rPr>
          <w:rFonts w:cs="Arial"/>
          <w:sz w:val="24"/>
        </w:rPr>
        <w:t xml:space="preserve">Matrix, </w:t>
      </w:r>
      <w:r w:rsidR="00A670FC">
        <w:rPr>
          <w:rFonts w:cs="Arial"/>
          <w:sz w:val="24"/>
        </w:rPr>
        <w:t>2010) for health impacts we look at NHS cost reductions and the value of improvements in QALYs. We value education outcomes through increases in lifetime earnings and government income tax receipts</w:t>
      </w:r>
      <w:r w:rsidR="005D686A">
        <w:rPr>
          <w:rFonts w:cs="Arial"/>
          <w:sz w:val="24"/>
        </w:rPr>
        <w:t>,</w:t>
      </w:r>
      <w:r w:rsidR="00A670FC">
        <w:rPr>
          <w:rFonts w:cs="Arial"/>
          <w:sz w:val="24"/>
        </w:rPr>
        <w:t xml:space="preserve"> as is standard in education policy evaluation</w:t>
      </w:r>
      <w:r w:rsidR="00CE2F18">
        <w:rPr>
          <w:rFonts w:cs="Arial"/>
          <w:sz w:val="24"/>
        </w:rPr>
        <w:t xml:space="preserve"> </w:t>
      </w:r>
      <w:r w:rsidR="00CE2F18">
        <w:rPr>
          <w:rFonts w:cs="Arial"/>
          <w:sz w:val="24"/>
        </w:rPr>
        <w:fldChar w:fldCharType="begin"/>
      </w:r>
      <w:r w:rsidR="00CE2F18">
        <w:rPr>
          <w:rFonts w:cs="Arial"/>
          <w:sz w:val="24"/>
        </w:rPr>
        <w:instrText xml:space="preserve"> ADDIN EN.CITE &lt;EndNote&gt;&lt;Cite&gt;&lt;Author&gt;OECD&lt;/Author&gt;&lt;Year&gt;2013&lt;/Year&gt;&lt;RecNum&gt;645&lt;/RecNum&gt;&lt;DisplayText&gt;(OECD, 2013)&lt;/DisplayText&gt;&lt;record&gt;&lt;rec-number&gt;645&lt;/rec-number&gt;&lt;foreign-keys&gt;&lt;key app="EN" db-id="9tvvrfwv22z0p8e29at5f2r8a9vxsa59spv0" timestamp="1403798758"&gt;645&lt;/key&gt;&lt;/foreign-keys&gt;&lt;ref-type name="Book"&gt;6&lt;/ref-type&gt;&lt;contributors&gt;&lt;authors&gt;&lt;author&gt;OECD&lt;/author&gt;&lt;/authors&gt;&lt;/contributors&gt;&lt;titles&gt;&lt;title&gt;Indicator A7 What are the incentives to invest in education ?&lt;/title&gt;&lt;/titles&gt;&lt;dates&gt;&lt;year&gt;2013&lt;/year&gt;&lt;/dates&gt;&lt;publisher&gt;OECD Publishing&lt;/publisher&gt;&lt;urls&gt;&lt;related-urls&gt;&lt;url&gt;/content/chapter/eag-2013-11-en&lt;/url&gt;&lt;url&gt;http://dx.doi.org/10.1787/eag-2013-11-en&lt;/url&gt;&lt;/related-urls&gt;&lt;/urls&gt;&lt;/record&gt;&lt;/Cite&gt;&lt;/EndNote&gt;</w:instrText>
      </w:r>
      <w:r w:rsidR="00CE2F18">
        <w:rPr>
          <w:rFonts w:cs="Arial"/>
          <w:sz w:val="24"/>
        </w:rPr>
        <w:fldChar w:fldCharType="separate"/>
      </w:r>
      <w:r w:rsidR="00CE2F18">
        <w:rPr>
          <w:rFonts w:cs="Arial"/>
          <w:noProof/>
          <w:sz w:val="24"/>
        </w:rPr>
        <w:t>(</w:t>
      </w:r>
      <w:hyperlink w:anchor="_ENREF_4" w:tooltip="OECD, 2013 #645" w:history="1">
        <w:r w:rsidR="00971881">
          <w:rPr>
            <w:rFonts w:cs="Arial"/>
            <w:noProof/>
            <w:sz w:val="24"/>
          </w:rPr>
          <w:t>OECD, 2013</w:t>
        </w:r>
      </w:hyperlink>
      <w:r w:rsidR="00CE2F18">
        <w:rPr>
          <w:rFonts w:cs="Arial"/>
          <w:noProof/>
          <w:sz w:val="24"/>
        </w:rPr>
        <w:t>)</w:t>
      </w:r>
      <w:r w:rsidR="00CE2F18">
        <w:rPr>
          <w:rFonts w:cs="Arial"/>
          <w:sz w:val="24"/>
        </w:rPr>
        <w:fldChar w:fldCharType="end"/>
      </w:r>
      <w:r w:rsidR="00CE2F18">
        <w:rPr>
          <w:rFonts w:cs="Arial"/>
          <w:sz w:val="24"/>
        </w:rPr>
        <w:t>.</w:t>
      </w:r>
    </w:p>
    <w:p w14:paraId="75711B2C" w14:textId="77777777" w:rsidR="00EA4B35" w:rsidRPr="00B17245" w:rsidRDefault="00EA4B35" w:rsidP="00076627">
      <w:pPr>
        <w:spacing w:after="0" w:line="240" w:lineRule="auto"/>
        <w:rPr>
          <w:rFonts w:cs="Arial"/>
          <w:b/>
          <w:sz w:val="24"/>
        </w:rPr>
      </w:pPr>
    </w:p>
    <w:p w14:paraId="7471575D" w14:textId="77777777" w:rsidR="004F7A97" w:rsidRDefault="004F7A97" w:rsidP="00EA4B35">
      <w:pPr>
        <w:spacing w:after="0" w:line="240" w:lineRule="auto"/>
        <w:rPr>
          <w:rFonts w:cs="Arial"/>
          <w:b/>
          <w:sz w:val="24"/>
        </w:rPr>
      </w:pPr>
    </w:p>
    <w:p w14:paraId="3B3188D1" w14:textId="77777777" w:rsidR="004F7A97" w:rsidRDefault="004F7A97" w:rsidP="00EA4B35">
      <w:pPr>
        <w:spacing w:after="0" w:line="240" w:lineRule="auto"/>
        <w:rPr>
          <w:rFonts w:cs="Arial"/>
          <w:b/>
          <w:sz w:val="24"/>
        </w:rPr>
      </w:pPr>
    </w:p>
    <w:p w14:paraId="0F2C52F6" w14:textId="77777777" w:rsidR="00EA4B35" w:rsidRDefault="00737721" w:rsidP="00EA4B35">
      <w:pPr>
        <w:spacing w:after="0" w:line="240" w:lineRule="auto"/>
        <w:rPr>
          <w:rFonts w:cs="Arial"/>
          <w:b/>
          <w:sz w:val="24"/>
        </w:rPr>
      </w:pPr>
      <w:r>
        <w:rPr>
          <w:rFonts w:cs="Arial"/>
          <w:b/>
          <w:sz w:val="24"/>
        </w:rPr>
        <w:lastRenderedPageBreak/>
        <w:t xml:space="preserve">B.1.1. </w:t>
      </w:r>
      <w:r w:rsidR="00B17245" w:rsidRPr="00B17245">
        <w:rPr>
          <w:rFonts w:cs="Arial"/>
          <w:b/>
          <w:sz w:val="24"/>
        </w:rPr>
        <w:t>Health</w:t>
      </w:r>
    </w:p>
    <w:p w14:paraId="3277511A" w14:textId="77777777" w:rsidR="00737721" w:rsidRPr="00B17245" w:rsidRDefault="00737721" w:rsidP="00EA4B35">
      <w:pPr>
        <w:spacing w:after="0" w:line="240" w:lineRule="auto"/>
        <w:rPr>
          <w:rFonts w:cs="Arial"/>
          <w:sz w:val="24"/>
        </w:rPr>
      </w:pPr>
    </w:p>
    <w:p w14:paraId="266F32F4" w14:textId="77777777" w:rsidR="00757803" w:rsidRDefault="00757803" w:rsidP="00EA4B35">
      <w:pPr>
        <w:spacing w:after="0" w:line="240" w:lineRule="auto"/>
        <w:rPr>
          <w:rFonts w:cs="Arial"/>
          <w:sz w:val="24"/>
        </w:rPr>
      </w:pPr>
      <w:r>
        <w:rPr>
          <w:rFonts w:cs="Arial"/>
          <w:sz w:val="24"/>
        </w:rPr>
        <w:t xml:space="preserve">We look at the </w:t>
      </w:r>
      <w:r w:rsidR="00982624">
        <w:rPr>
          <w:rFonts w:cstheme="majorHAnsi"/>
          <w:sz w:val="24"/>
          <w:szCs w:val="24"/>
        </w:rPr>
        <w:t xml:space="preserve">relationship between </w:t>
      </w:r>
      <w:r>
        <w:rPr>
          <w:rFonts w:cs="Arial"/>
          <w:sz w:val="24"/>
        </w:rPr>
        <w:t xml:space="preserve">engagement in culture and sport </w:t>
      </w:r>
      <w:r w:rsidR="00982624">
        <w:rPr>
          <w:rFonts w:cs="Arial"/>
          <w:sz w:val="24"/>
        </w:rPr>
        <w:t>and</w:t>
      </w:r>
      <w:r>
        <w:rPr>
          <w:rFonts w:cs="Arial"/>
          <w:sz w:val="24"/>
        </w:rPr>
        <w:t>:</w:t>
      </w:r>
    </w:p>
    <w:p w14:paraId="130292AF" w14:textId="77777777" w:rsidR="00757803" w:rsidRDefault="00757803" w:rsidP="00EA4B35">
      <w:pPr>
        <w:spacing w:after="0" w:line="240" w:lineRule="auto"/>
        <w:rPr>
          <w:rFonts w:cs="Arial"/>
          <w:sz w:val="24"/>
        </w:rPr>
      </w:pPr>
    </w:p>
    <w:p w14:paraId="64C20775" w14:textId="77777777" w:rsidR="00757803" w:rsidRPr="005F0F88" w:rsidRDefault="00757803" w:rsidP="00757803">
      <w:pPr>
        <w:pStyle w:val="ListParagraph"/>
        <w:numPr>
          <w:ilvl w:val="0"/>
          <w:numId w:val="11"/>
        </w:numPr>
        <w:spacing w:after="0" w:line="240" w:lineRule="auto"/>
        <w:rPr>
          <w:rFonts w:cs="Arial"/>
          <w:b/>
          <w:sz w:val="24"/>
        </w:rPr>
      </w:pPr>
      <w:r w:rsidRPr="005F0F88">
        <w:rPr>
          <w:rFonts w:cs="Arial"/>
          <w:b/>
          <w:sz w:val="24"/>
        </w:rPr>
        <w:t>Frequency of GP visits</w:t>
      </w:r>
      <w:r w:rsidR="006B7551">
        <w:rPr>
          <w:rFonts w:cs="Arial"/>
          <w:b/>
          <w:sz w:val="24"/>
        </w:rPr>
        <w:t xml:space="preserve"> (through improved general health)</w:t>
      </w:r>
    </w:p>
    <w:p w14:paraId="02A50314" w14:textId="77777777" w:rsidR="00757803" w:rsidRPr="005F0F88" w:rsidRDefault="00757803" w:rsidP="00757803">
      <w:pPr>
        <w:pStyle w:val="ListParagraph"/>
        <w:numPr>
          <w:ilvl w:val="0"/>
          <w:numId w:val="11"/>
        </w:numPr>
        <w:spacing w:after="0" w:line="240" w:lineRule="auto"/>
        <w:rPr>
          <w:rFonts w:cs="Arial"/>
          <w:b/>
          <w:sz w:val="24"/>
        </w:rPr>
      </w:pPr>
      <w:r w:rsidRPr="005F0F88">
        <w:rPr>
          <w:rFonts w:cs="Arial"/>
          <w:b/>
          <w:sz w:val="24"/>
        </w:rPr>
        <w:t>Me</w:t>
      </w:r>
      <w:r w:rsidR="006B7551">
        <w:rPr>
          <w:rFonts w:cs="Arial"/>
          <w:b/>
          <w:sz w:val="24"/>
        </w:rPr>
        <w:t xml:space="preserve">ntal health care service usage - </w:t>
      </w:r>
      <w:r w:rsidRPr="005F0F88">
        <w:rPr>
          <w:rFonts w:cs="Arial"/>
          <w:b/>
          <w:sz w:val="24"/>
        </w:rPr>
        <w:t>usage of psychot</w:t>
      </w:r>
      <w:r w:rsidR="006B7551">
        <w:rPr>
          <w:rFonts w:cs="Arial"/>
          <w:b/>
          <w:sz w:val="24"/>
        </w:rPr>
        <w:t>herapy and psychiatric services (through improved general health)</w:t>
      </w:r>
    </w:p>
    <w:p w14:paraId="0F73B524" w14:textId="77777777" w:rsidR="00757803" w:rsidRPr="005F0F88" w:rsidRDefault="00757803" w:rsidP="00757803">
      <w:pPr>
        <w:pStyle w:val="ListParagraph"/>
        <w:numPr>
          <w:ilvl w:val="0"/>
          <w:numId w:val="11"/>
        </w:numPr>
        <w:spacing w:after="0" w:line="240" w:lineRule="auto"/>
        <w:rPr>
          <w:rFonts w:cs="Arial"/>
          <w:b/>
          <w:sz w:val="24"/>
        </w:rPr>
      </w:pPr>
      <w:r w:rsidRPr="005F0F88">
        <w:rPr>
          <w:rFonts w:cs="Arial"/>
          <w:b/>
          <w:sz w:val="24"/>
        </w:rPr>
        <w:t>Clinical depression</w:t>
      </w:r>
    </w:p>
    <w:p w14:paraId="64F8D343" w14:textId="77777777" w:rsidR="00757803" w:rsidRDefault="00757803" w:rsidP="00EA4B35">
      <w:pPr>
        <w:spacing w:after="0" w:line="240" w:lineRule="auto"/>
        <w:rPr>
          <w:rFonts w:cs="Arial"/>
          <w:sz w:val="24"/>
        </w:rPr>
      </w:pPr>
    </w:p>
    <w:p w14:paraId="38CD9020" w14:textId="77777777" w:rsidR="00757803" w:rsidRDefault="00757803" w:rsidP="00EA4B35">
      <w:pPr>
        <w:spacing w:after="0" w:line="240" w:lineRule="auto"/>
        <w:rPr>
          <w:rFonts w:cs="Arial"/>
          <w:sz w:val="24"/>
        </w:rPr>
      </w:pPr>
      <w:r>
        <w:rPr>
          <w:rFonts w:cs="Arial"/>
          <w:sz w:val="24"/>
        </w:rPr>
        <w:t>Values are derived by estimating the NHS cost savings associate</w:t>
      </w:r>
      <w:r w:rsidR="00103F65">
        <w:rPr>
          <w:rFonts w:cs="Arial"/>
          <w:sz w:val="24"/>
        </w:rPr>
        <w:t xml:space="preserve">d with reductions in GP visits and </w:t>
      </w:r>
      <w:r>
        <w:rPr>
          <w:rFonts w:cs="Arial"/>
          <w:sz w:val="24"/>
        </w:rPr>
        <w:t>reductions in mental health care service usage. We apply a value to the impact on clinical depression by estimating the monetary value associated with an improvement in an individual’s Quality Adjusted Life Years (QALYs).</w:t>
      </w:r>
    </w:p>
    <w:p w14:paraId="411EECD9" w14:textId="77777777" w:rsidR="00101075" w:rsidRDefault="00101075" w:rsidP="00EA4B35">
      <w:pPr>
        <w:spacing w:after="0" w:line="240" w:lineRule="auto"/>
        <w:rPr>
          <w:rFonts w:cs="Arial"/>
          <w:sz w:val="24"/>
        </w:rPr>
      </w:pPr>
    </w:p>
    <w:p w14:paraId="5A7116C6" w14:textId="77777777" w:rsidR="00101075" w:rsidRDefault="00101075" w:rsidP="00EA4B35">
      <w:pPr>
        <w:spacing w:after="0" w:line="240" w:lineRule="auto"/>
        <w:rPr>
          <w:rFonts w:cs="Arial"/>
          <w:sz w:val="24"/>
        </w:rPr>
      </w:pPr>
      <w:r>
        <w:rPr>
          <w:rFonts w:cs="Arial"/>
          <w:sz w:val="24"/>
        </w:rPr>
        <w:t>We use equation (1) to look at the direct impact of culture and sport on depre</w:t>
      </w:r>
      <w:r w:rsidR="009C2812">
        <w:rPr>
          <w:rFonts w:cs="Arial"/>
          <w:sz w:val="24"/>
        </w:rPr>
        <w:t xml:space="preserve">ssion </w:t>
      </w:r>
      <w:r>
        <w:rPr>
          <w:rFonts w:cs="Arial"/>
          <w:sz w:val="24"/>
        </w:rPr>
        <w:t xml:space="preserve">(depression </w:t>
      </w:r>
      <w:r w:rsidR="009C2812">
        <w:rPr>
          <w:rFonts w:cs="Arial"/>
          <w:sz w:val="24"/>
        </w:rPr>
        <w:t>is</w:t>
      </w:r>
      <w:r>
        <w:rPr>
          <w:rFonts w:cs="Arial"/>
          <w:sz w:val="24"/>
        </w:rPr>
        <w:t xml:space="preserve"> entered as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oMath>
      <w:r>
        <w:rPr>
          <w:rFonts w:eastAsiaTheme="minorEastAsia" w:cs="Arial"/>
          <w:sz w:val="24"/>
        </w:rPr>
        <w:t xml:space="preserve"> in equation (1)).</w:t>
      </w:r>
      <w:r w:rsidR="00D21372">
        <w:rPr>
          <w:rFonts w:eastAsiaTheme="minorEastAsia" w:cs="Arial"/>
          <w:sz w:val="24"/>
        </w:rPr>
        <w:t xml:space="preserve"> Understanding Society does not contain data on medical service visits/usage. Therefore, for service usage we employ a more indirect route whereby we use equation (1) to assess the impact of </w:t>
      </w:r>
      <w:r w:rsidR="00D21372">
        <w:rPr>
          <w:rFonts w:cs="Arial"/>
          <w:sz w:val="24"/>
        </w:rPr>
        <w:t xml:space="preserve">culture and sport on general health and then in turn use the British Household Panel Survey (BHPS) to </w:t>
      </w:r>
      <w:r w:rsidR="003462D4">
        <w:rPr>
          <w:rFonts w:cs="Arial"/>
          <w:sz w:val="24"/>
        </w:rPr>
        <w:t>assess the impact of changes in general health on medical service usage:</w:t>
      </w:r>
    </w:p>
    <w:p w14:paraId="3F8390E2" w14:textId="77777777" w:rsidR="003462D4" w:rsidRDefault="003462D4" w:rsidP="00EA4B35">
      <w:pPr>
        <w:spacing w:after="0" w:line="240" w:lineRule="auto"/>
        <w:rPr>
          <w:rFonts w:cs="Arial"/>
          <w:sz w:val="24"/>
        </w:rPr>
      </w:pPr>
    </w:p>
    <w:p w14:paraId="3559F79B" w14:textId="77777777" w:rsidR="00554510" w:rsidRPr="00B17245" w:rsidRDefault="0008328E" w:rsidP="00554510">
      <w:pPr>
        <w:spacing w:after="0" w:line="240" w:lineRule="auto"/>
        <w:rPr>
          <w:rFonts w:cs="Arial"/>
          <w:sz w:val="24"/>
        </w:rPr>
      </w:pPr>
      <m:oMath>
        <m:sSub>
          <m:sSubPr>
            <m:ctrlPr>
              <w:rPr>
                <w:rFonts w:ascii="Cambria Math" w:hAnsi="Cambria Math" w:cs="Arial"/>
                <w:i/>
                <w:sz w:val="24"/>
              </w:rPr>
            </m:ctrlPr>
          </m:sSubPr>
          <m:e>
            <m:r>
              <w:rPr>
                <w:rFonts w:ascii="Cambria Math" w:hAnsi="Cambria Math" w:cs="Arial"/>
                <w:sz w:val="24"/>
              </w:rPr>
              <m:t>MS</m:t>
            </m:r>
          </m:e>
          <m:sub>
            <m:r>
              <w:rPr>
                <w:rFonts w:ascii="Cambria Math" w:hAnsi="Cambria Math" w:cs="Arial"/>
                <w:sz w:val="24"/>
              </w:rPr>
              <m:t>i</m:t>
            </m:r>
          </m:sub>
        </m:sSub>
        <m:r>
          <w:rPr>
            <w:rFonts w:ascii="Cambria Math" w:hAnsi="Cambria Math" w:cs="Arial"/>
            <w:sz w:val="24"/>
          </w:rPr>
          <m:t>=α</m:t>
        </m:r>
        <m:r>
          <m:rPr>
            <m:sty m:val="p"/>
          </m:rP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3</m:t>
            </m:r>
          </m:sub>
        </m:sSub>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4</m:t>
            </m:r>
          </m:sub>
        </m:sSub>
        <m:sSub>
          <m:sSubPr>
            <m:ctrlPr>
              <w:rPr>
                <w:rFonts w:ascii="Cambria Math" w:hAnsi="Cambria Math" w:cs="Arial"/>
                <w:i/>
                <w:sz w:val="24"/>
              </w:rPr>
            </m:ctrlPr>
          </m:sSubPr>
          <m:e>
            <m:r>
              <w:rPr>
                <w:rFonts w:ascii="Cambria Math" w:hAnsi="Cambria Math" w:cs="Arial"/>
                <w:sz w:val="24"/>
              </w:rPr>
              <m:t>X(MS)</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i</m:t>
            </m:r>
          </m:sub>
        </m:sSub>
      </m:oMath>
      <w:r w:rsidR="00554510">
        <w:rPr>
          <w:rFonts w:cs="Arial"/>
          <w:sz w:val="24"/>
        </w:rPr>
        <w:t xml:space="preserve"> </w:t>
      </w:r>
      <w:r w:rsidR="00554510">
        <w:rPr>
          <w:rFonts w:cs="Arial"/>
          <w:sz w:val="24"/>
        </w:rPr>
        <w:tab/>
      </w:r>
      <w:r w:rsidR="00554510">
        <w:rPr>
          <w:rFonts w:cs="Arial"/>
          <w:sz w:val="24"/>
        </w:rPr>
        <w:tab/>
      </w:r>
      <w:r w:rsidR="00554510">
        <w:rPr>
          <w:rFonts w:cs="Arial"/>
          <w:sz w:val="24"/>
        </w:rPr>
        <w:tab/>
        <w:t>(2</w:t>
      </w:r>
      <w:r w:rsidR="00554510" w:rsidRPr="00B17245">
        <w:rPr>
          <w:rFonts w:cs="Arial"/>
          <w:sz w:val="24"/>
        </w:rPr>
        <w:t>)</w:t>
      </w:r>
    </w:p>
    <w:p w14:paraId="577CD66A" w14:textId="77777777" w:rsidR="00554510" w:rsidRPr="00B17245" w:rsidRDefault="00554510" w:rsidP="00554510">
      <w:pPr>
        <w:spacing w:after="0" w:line="240" w:lineRule="auto"/>
        <w:rPr>
          <w:rFonts w:cs="Arial"/>
          <w:sz w:val="24"/>
        </w:rPr>
      </w:pPr>
    </w:p>
    <w:p w14:paraId="6B3A89EE" w14:textId="77777777" w:rsidR="00554510" w:rsidRDefault="002C3211" w:rsidP="00554510">
      <w:pPr>
        <w:spacing w:after="0" w:line="240" w:lineRule="auto"/>
        <w:rPr>
          <w:rFonts w:cs="Arial"/>
          <w:sz w:val="24"/>
        </w:rPr>
      </w:pPr>
      <w:r w:rsidRPr="00B17245">
        <w:rPr>
          <w:rFonts w:cs="Arial"/>
          <w:sz w:val="24"/>
        </w:rPr>
        <w:t>W</w:t>
      </w:r>
      <w:r w:rsidR="00554510" w:rsidRPr="00B17245">
        <w:rPr>
          <w:rFonts w:cs="Arial"/>
          <w:sz w:val="24"/>
        </w:rPr>
        <w:t>here</w:t>
      </w:r>
      <w:r>
        <w:rPr>
          <w:rFonts w:cs="Arial"/>
          <w:sz w:val="24"/>
        </w:rPr>
        <w:t xml:space="preserve"> </w:t>
      </w:r>
      <m:oMath>
        <m:sSub>
          <m:sSubPr>
            <m:ctrlPr>
              <w:rPr>
                <w:rFonts w:ascii="Cambria Math" w:hAnsi="Cambria Math" w:cs="Arial"/>
                <w:i/>
                <w:sz w:val="24"/>
              </w:rPr>
            </m:ctrlPr>
          </m:sSubPr>
          <m:e>
            <m:r>
              <w:rPr>
                <w:rFonts w:ascii="Cambria Math" w:hAnsi="Cambria Math" w:cs="Arial"/>
                <w:sz w:val="24"/>
              </w:rPr>
              <m:t>MS</m:t>
            </m:r>
          </m:e>
          <m:sub>
            <m:r>
              <w:rPr>
                <w:rFonts w:ascii="Cambria Math" w:hAnsi="Cambria Math" w:cs="Arial"/>
                <w:sz w:val="24"/>
              </w:rPr>
              <m:t>i</m:t>
            </m:r>
          </m:sub>
        </m:sSub>
      </m:oMath>
      <w:r>
        <w:rPr>
          <w:rFonts w:eastAsiaTheme="minorEastAsia" w:cs="Arial"/>
          <w:sz w:val="24"/>
        </w:rPr>
        <w:t xml:space="preserve"> is medical service usage for individual </w:t>
      </w:r>
      <m:oMath>
        <m:r>
          <w:rPr>
            <w:rFonts w:ascii="Cambria Math" w:eastAsiaTheme="minorEastAsia" w:hAnsi="Cambria Math" w:cs="Arial"/>
            <w:sz w:val="24"/>
          </w:rPr>
          <m:t>i</m:t>
        </m:r>
      </m:oMath>
      <w:r w:rsidR="00F47E49">
        <w:rPr>
          <w:rFonts w:eastAsiaTheme="minorEastAsia" w:cs="Arial"/>
          <w:sz w:val="24"/>
        </w:rPr>
        <w:t xml:space="preserve"> (ie, GP visits or psychotherapy)</w:t>
      </w:r>
      <w:r>
        <w:rPr>
          <w:rFonts w:eastAsiaTheme="minorEastAsia" w:cs="Arial"/>
          <w:sz w:val="24"/>
        </w:rPr>
        <w:t>;</w:t>
      </w:r>
      <w:r w:rsidR="00554510" w:rsidRPr="00B17245">
        <w:rPr>
          <w:rFonts w:cs="Arial"/>
          <w:sz w:val="24"/>
        </w:rPr>
        <w:t xml:space="preserve">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i</m:t>
            </m:r>
          </m:sub>
        </m:sSub>
      </m:oMath>
      <w:r>
        <w:rPr>
          <w:rFonts w:cs="Arial"/>
          <w:sz w:val="24"/>
        </w:rPr>
        <w:t xml:space="preserve"> is the health</w:t>
      </w:r>
      <w:r w:rsidR="00554510" w:rsidRPr="00B17245">
        <w:rPr>
          <w:rFonts w:cs="Arial"/>
          <w:sz w:val="24"/>
        </w:rPr>
        <w:t xml:space="preserve"> domain (</w:t>
      </w:r>
      <w:r>
        <w:rPr>
          <w:rFonts w:cs="Arial"/>
          <w:sz w:val="24"/>
        </w:rPr>
        <w:t xml:space="preserve">general </w:t>
      </w:r>
      <w:r w:rsidR="00554510" w:rsidRPr="00B17245">
        <w:rPr>
          <w:rFonts w:cs="Arial"/>
          <w:sz w:val="24"/>
        </w:rPr>
        <w:t>health)</w:t>
      </w:r>
      <w:r>
        <w:rPr>
          <w:rFonts w:cs="Arial"/>
          <w:sz w:val="24"/>
        </w:rPr>
        <w:t xml:space="preserve"> and</w:t>
      </w:r>
      <w:r w:rsidR="00554510" w:rsidRPr="00B17245">
        <w:rPr>
          <w:rFonts w:cs="Arial"/>
          <w:sz w:val="24"/>
        </w:rPr>
        <w:t xml:space="preserve"> </w:t>
      </w:r>
      <m:oMath>
        <m:sSub>
          <m:sSubPr>
            <m:ctrlPr>
              <w:rPr>
                <w:rFonts w:ascii="Cambria Math" w:hAnsi="Cambria Math" w:cs="Arial"/>
                <w:i/>
                <w:sz w:val="24"/>
              </w:rPr>
            </m:ctrlPr>
          </m:sSubPr>
          <m:e>
            <m:r>
              <w:rPr>
                <w:rFonts w:ascii="Cambria Math" w:hAnsi="Cambria Math" w:cs="Arial"/>
                <w:sz w:val="24"/>
              </w:rPr>
              <m:t>X(MS)</m:t>
            </m:r>
          </m:e>
          <m:sub>
            <m:r>
              <w:rPr>
                <w:rFonts w:ascii="Cambria Math" w:hAnsi="Cambria Math" w:cs="Arial"/>
                <w:sz w:val="24"/>
              </w:rPr>
              <m:t>i</m:t>
            </m:r>
          </m:sub>
        </m:sSub>
      </m:oMath>
      <w:r w:rsidR="00554510" w:rsidRPr="00B17245">
        <w:rPr>
          <w:rFonts w:cs="Arial"/>
          <w:sz w:val="24"/>
        </w:rPr>
        <w:t xml:space="preserve"> are other determinants of </w:t>
      </w:r>
      <m:oMath>
        <m:sSub>
          <m:sSubPr>
            <m:ctrlPr>
              <w:rPr>
                <w:rFonts w:ascii="Cambria Math" w:hAnsi="Cambria Math" w:cs="Arial"/>
                <w:i/>
                <w:sz w:val="24"/>
              </w:rPr>
            </m:ctrlPr>
          </m:sSubPr>
          <m:e>
            <m:r>
              <w:rPr>
                <w:rFonts w:ascii="Cambria Math" w:hAnsi="Cambria Math" w:cs="Arial"/>
                <w:sz w:val="24"/>
              </w:rPr>
              <m:t>MS</m:t>
            </m:r>
          </m:e>
          <m:sub>
            <m:r>
              <w:rPr>
                <w:rFonts w:ascii="Cambria Math" w:hAnsi="Cambria Math" w:cs="Arial"/>
                <w:sz w:val="24"/>
              </w:rPr>
              <m:t>i</m:t>
            </m:r>
          </m:sub>
        </m:sSub>
      </m:oMath>
      <w:r w:rsidR="00554510" w:rsidRPr="00B17245">
        <w:rPr>
          <w:rFonts w:cs="Arial"/>
          <w:sz w:val="24"/>
        </w:rPr>
        <w:t xml:space="preserve">. </w:t>
      </w:r>
      <w:r w:rsidR="00F47E49">
        <w:rPr>
          <w:rFonts w:cs="Arial"/>
          <w:sz w:val="24"/>
        </w:rPr>
        <w:t>The product of the partial derivatives from (1) and (2) (</w:t>
      </w:r>
      <w:r w:rsidR="00F47E49">
        <w:rPr>
          <w:rFonts w:eastAsiaTheme="minorEastAsia" w:cs="Arial"/>
          <w:sz w:val="24"/>
        </w:rPr>
        <w:t xml:space="preserve">ie, </w:t>
      </w:r>
      <m:oMath>
        <m:sSub>
          <m:sSubPr>
            <m:ctrlPr>
              <w:rPr>
                <w:rFonts w:ascii="Cambria Math" w:hAnsi="Cambria Math" w:cs="Arial"/>
                <w:sz w:val="24"/>
              </w:rPr>
            </m:ctrlPr>
          </m:sSubPr>
          <m:e>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1</m:t>
                </m:r>
              </m:sub>
            </m:sSub>
            <m:r>
              <w:rPr>
                <w:rFonts w:ascii="Cambria Math" w:hAnsi="Cambria Math" w:cs="Arial"/>
                <w:sz w:val="24"/>
              </w:rPr>
              <m:t>∙β</m:t>
            </m:r>
          </m:e>
          <m:sub>
            <m:r>
              <w:rPr>
                <w:rFonts w:ascii="Cambria Math" w:hAnsi="Cambria Math" w:cs="Arial"/>
                <w:sz w:val="24"/>
              </w:rPr>
              <m:t>3</m:t>
            </m:r>
          </m:sub>
        </m:sSub>
      </m:oMath>
      <w:r w:rsidR="00F47E49">
        <w:rPr>
          <w:rFonts w:eastAsiaTheme="minorEastAsia" w:cs="Arial"/>
          <w:sz w:val="24"/>
        </w:rPr>
        <w:t>) represents the (indirect) effect of culture and sport on medical service usage (ref</w:t>
      </w:r>
      <w:r w:rsidR="006B7551">
        <w:rPr>
          <w:rFonts w:eastAsiaTheme="minorEastAsia" w:cs="Arial"/>
          <w:sz w:val="24"/>
        </w:rPr>
        <w:t xml:space="preserve"> to similar studies</w:t>
      </w:r>
      <w:r w:rsidR="00F47E49">
        <w:rPr>
          <w:rFonts w:eastAsiaTheme="minorEastAsia" w:cs="Arial"/>
          <w:sz w:val="24"/>
        </w:rPr>
        <w:t>).</w:t>
      </w:r>
      <w:r w:rsidR="00020166">
        <w:rPr>
          <w:rFonts w:eastAsiaTheme="minorEastAsia" w:cs="Arial"/>
          <w:sz w:val="24"/>
        </w:rPr>
        <w:t xml:space="preserve"> </w:t>
      </w:r>
      <w:r w:rsidR="008527D8">
        <w:rPr>
          <w:rFonts w:eastAsiaTheme="minorEastAsia" w:cs="Arial"/>
          <w:sz w:val="24"/>
        </w:rPr>
        <w:t xml:space="preserve">Again we assume that the relationships estimated in equation (2) (between medical service usage and general health) stay constant </w:t>
      </w:r>
      <w:r w:rsidR="008527D8">
        <w:rPr>
          <w:rFonts w:cs="Arial"/>
          <w:sz w:val="24"/>
        </w:rPr>
        <w:t>over time so that we can attach latest cost savings estimates to them.</w:t>
      </w:r>
      <w:r w:rsidR="00E37C01">
        <w:rPr>
          <w:rFonts w:cs="Arial"/>
          <w:sz w:val="24"/>
        </w:rPr>
        <w:t xml:space="preserve"> Figure </w:t>
      </w:r>
      <w:r w:rsidR="00BC6560">
        <w:rPr>
          <w:rFonts w:cs="Arial"/>
          <w:sz w:val="24"/>
        </w:rPr>
        <w:t>3</w:t>
      </w:r>
      <w:r w:rsidR="00E37C01">
        <w:rPr>
          <w:rFonts w:cs="Arial"/>
          <w:sz w:val="24"/>
        </w:rPr>
        <w:t xml:space="preserve"> sets out the statistical approach to estimating health impacts.</w:t>
      </w:r>
    </w:p>
    <w:p w14:paraId="3FCA5F1B" w14:textId="77777777" w:rsidR="00E37C01" w:rsidRPr="00E37C01" w:rsidRDefault="00E37C01" w:rsidP="00554510">
      <w:pPr>
        <w:spacing w:after="0" w:line="240" w:lineRule="auto"/>
        <w:rPr>
          <w:rFonts w:cs="Arial"/>
          <w:b/>
          <w:sz w:val="24"/>
        </w:rPr>
      </w:pPr>
    </w:p>
    <w:p w14:paraId="51AF5B29" w14:textId="77777777" w:rsidR="00E37C01" w:rsidRPr="00E37C01" w:rsidRDefault="00E37C01" w:rsidP="00554510">
      <w:pPr>
        <w:spacing w:after="0" w:line="240" w:lineRule="auto"/>
        <w:rPr>
          <w:rFonts w:eastAsiaTheme="minorEastAsia" w:cs="Arial"/>
          <w:b/>
          <w:sz w:val="24"/>
        </w:rPr>
      </w:pPr>
      <w:r w:rsidRPr="00E37C01">
        <w:rPr>
          <w:rFonts w:cs="Arial"/>
          <w:b/>
          <w:sz w:val="24"/>
        </w:rPr>
        <w:t xml:space="preserve">Figure </w:t>
      </w:r>
      <w:r w:rsidR="00BC6560">
        <w:rPr>
          <w:rFonts w:cs="Arial"/>
          <w:b/>
          <w:sz w:val="24"/>
        </w:rPr>
        <w:t>3</w:t>
      </w:r>
      <w:r w:rsidRPr="00E37C01">
        <w:rPr>
          <w:rFonts w:cs="Arial"/>
          <w:b/>
          <w:sz w:val="24"/>
        </w:rPr>
        <w:t>.</w:t>
      </w:r>
      <w:r w:rsidR="00D26165">
        <w:rPr>
          <w:rFonts w:cs="Arial"/>
          <w:b/>
          <w:sz w:val="24"/>
        </w:rPr>
        <w:t xml:space="preserve"> </w:t>
      </w:r>
      <w:r w:rsidR="00D26165" w:rsidRPr="00E37C01">
        <w:rPr>
          <w:rFonts w:cs="Arial"/>
          <w:b/>
          <w:sz w:val="24"/>
        </w:rPr>
        <w:t xml:space="preserve">The process of estimating the </w:t>
      </w:r>
      <w:r w:rsidR="00D26165">
        <w:rPr>
          <w:rFonts w:cs="Arial"/>
          <w:b/>
          <w:sz w:val="24"/>
        </w:rPr>
        <w:t>health</w:t>
      </w:r>
      <w:r w:rsidR="00D26165" w:rsidRPr="00E37C01">
        <w:rPr>
          <w:rFonts w:cs="Arial"/>
          <w:b/>
          <w:sz w:val="24"/>
        </w:rPr>
        <w:t xml:space="preserve"> impacts of culture and sport</w:t>
      </w:r>
    </w:p>
    <w:p w14:paraId="4F491141" w14:textId="77777777" w:rsidR="00347A8E" w:rsidRDefault="00D26165" w:rsidP="00554510">
      <w:pPr>
        <w:spacing w:after="0" w:line="240" w:lineRule="auto"/>
        <w:rPr>
          <w:rFonts w:eastAsiaTheme="minorEastAsia" w:cs="Arial"/>
          <w:b/>
          <w:sz w:val="24"/>
        </w:rPr>
      </w:pPr>
      <w:r>
        <w:rPr>
          <w:rFonts w:eastAsiaTheme="minorEastAsia" w:cs="Arial"/>
          <w:b/>
          <w:noProof/>
          <w:sz w:val="24"/>
          <w:lang w:eastAsia="en-GB"/>
        </w:rPr>
        <w:drawing>
          <wp:inline distT="0" distB="0" distL="0" distR="0" wp14:anchorId="5143234A" wp14:editId="17ADA15B">
            <wp:extent cx="5731510" cy="278490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84905"/>
                    </a:xfrm>
                    <a:prstGeom prst="rect">
                      <a:avLst/>
                    </a:prstGeom>
                    <a:noFill/>
                    <a:ln>
                      <a:noFill/>
                    </a:ln>
                  </pic:spPr>
                </pic:pic>
              </a:graphicData>
            </a:graphic>
          </wp:inline>
        </w:drawing>
      </w:r>
    </w:p>
    <w:p w14:paraId="4127D0E4" w14:textId="77777777" w:rsidR="00E37C01" w:rsidRDefault="00D26165" w:rsidP="00554510">
      <w:pPr>
        <w:spacing w:after="0" w:line="240" w:lineRule="auto"/>
        <w:rPr>
          <w:rFonts w:eastAsiaTheme="minorEastAsia" w:cs="Arial"/>
          <w:i/>
          <w:sz w:val="20"/>
        </w:rPr>
      </w:pPr>
      <w:r w:rsidRPr="00D26165">
        <w:rPr>
          <w:rFonts w:eastAsiaTheme="minorEastAsia" w:cs="Arial"/>
          <w:i/>
          <w:sz w:val="20"/>
        </w:rPr>
        <w:lastRenderedPageBreak/>
        <w:t xml:space="preserve">Note: </w:t>
      </w:r>
      <w:r>
        <w:rPr>
          <w:rFonts w:eastAsiaTheme="minorEastAsia" w:cs="Arial"/>
          <w:i/>
          <w:sz w:val="20"/>
        </w:rPr>
        <w:t xml:space="preserve">Arrows depict causal relationships that we </w:t>
      </w:r>
      <w:r w:rsidR="009960BA">
        <w:rPr>
          <w:rFonts w:eastAsiaTheme="minorEastAsia" w:cs="Arial"/>
          <w:i/>
          <w:sz w:val="20"/>
        </w:rPr>
        <w:t xml:space="preserve">approximate </w:t>
      </w:r>
      <w:r>
        <w:rPr>
          <w:rFonts w:eastAsiaTheme="minorEastAsia" w:cs="Arial"/>
          <w:i/>
          <w:sz w:val="20"/>
        </w:rPr>
        <w:t>through regression analysis. The caveats regarding problems associated with causal inference in regression analysis should be noted when interpreting this figure.</w:t>
      </w:r>
    </w:p>
    <w:p w14:paraId="2F859258" w14:textId="77777777" w:rsidR="00D26165" w:rsidRPr="00D26165" w:rsidRDefault="00D26165" w:rsidP="00554510">
      <w:pPr>
        <w:spacing w:after="0" w:line="240" w:lineRule="auto"/>
        <w:rPr>
          <w:rFonts w:eastAsiaTheme="minorEastAsia" w:cs="Arial"/>
          <w:i/>
          <w:sz w:val="24"/>
        </w:rPr>
      </w:pPr>
    </w:p>
    <w:p w14:paraId="324C19CE" w14:textId="77777777" w:rsidR="00347A8E" w:rsidRPr="00347A8E" w:rsidRDefault="00347A8E" w:rsidP="00554510">
      <w:pPr>
        <w:spacing w:after="0" w:line="240" w:lineRule="auto"/>
        <w:rPr>
          <w:rFonts w:eastAsiaTheme="minorEastAsia" w:cs="Arial"/>
          <w:b/>
          <w:sz w:val="24"/>
        </w:rPr>
      </w:pPr>
      <w:r>
        <w:rPr>
          <w:rFonts w:eastAsiaTheme="minorEastAsia" w:cs="Arial"/>
          <w:b/>
          <w:sz w:val="24"/>
        </w:rPr>
        <w:t>Valuing</w:t>
      </w:r>
      <w:r w:rsidR="00EF3F9E">
        <w:rPr>
          <w:rFonts w:eastAsiaTheme="minorEastAsia" w:cs="Arial"/>
          <w:b/>
          <w:sz w:val="24"/>
        </w:rPr>
        <w:t xml:space="preserve"> </w:t>
      </w:r>
      <w:r w:rsidR="00EF3F9E" w:rsidRPr="00EF3F9E">
        <w:rPr>
          <w:rFonts w:cs="Arial"/>
          <w:b/>
          <w:sz w:val="24"/>
          <w:szCs w:val="24"/>
        </w:rPr>
        <w:t>predicted</w:t>
      </w:r>
      <w:r>
        <w:rPr>
          <w:rFonts w:eastAsiaTheme="minorEastAsia" w:cs="Arial"/>
          <w:b/>
          <w:sz w:val="24"/>
        </w:rPr>
        <w:t xml:space="preserve"> reductions in m</w:t>
      </w:r>
      <w:r w:rsidRPr="00347A8E">
        <w:rPr>
          <w:rFonts w:eastAsiaTheme="minorEastAsia" w:cs="Arial"/>
          <w:b/>
          <w:sz w:val="24"/>
        </w:rPr>
        <w:t>edical service usage</w:t>
      </w:r>
    </w:p>
    <w:p w14:paraId="2C86B387" w14:textId="77777777" w:rsidR="00347A8E" w:rsidRDefault="00347A8E" w:rsidP="00554510">
      <w:pPr>
        <w:spacing w:after="0" w:line="240" w:lineRule="auto"/>
        <w:rPr>
          <w:rFonts w:eastAsiaTheme="minorEastAsia" w:cs="Arial"/>
          <w:sz w:val="24"/>
        </w:rPr>
      </w:pPr>
      <w:r>
        <w:rPr>
          <w:rFonts w:eastAsiaTheme="minorEastAsia" w:cs="Arial"/>
          <w:sz w:val="24"/>
        </w:rPr>
        <w:t xml:space="preserve">We apply average </w:t>
      </w:r>
      <w:r w:rsidR="00F45C89">
        <w:rPr>
          <w:rFonts w:eastAsiaTheme="minorEastAsia" w:cs="Arial"/>
          <w:sz w:val="24"/>
        </w:rPr>
        <w:t xml:space="preserve">NHS </w:t>
      </w:r>
      <w:r>
        <w:rPr>
          <w:rFonts w:eastAsiaTheme="minorEastAsia" w:cs="Arial"/>
          <w:sz w:val="24"/>
        </w:rPr>
        <w:t>cost estimates for GP visits and psychotherapy to the product term (</w:t>
      </w:r>
      <m:oMath>
        <m:sSub>
          <m:sSubPr>
            <m:ctrlPr>
              <w:rPr>
                <w:rFonts w:ascii="Cambria Math" w:hAnsi="Cambria Math" w:cs="Arial"/>
                <w:sz w:val="24"/>
              </w:rPr>
            </m:ctrlPr>
          </m:sSubPr>
          <m:e>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1</m:t>
                </m:r>
              </m:sub>
            </m:sSub>
            <m:r>
              <w:rPr>
                <w:rFonts w:ascii="Cambria Math" w:hAnsi="Cambria Math" w:cs="Arial"/>
                <w:sz w:val="24"/>
              </w:rPr>
              <m:t>∙β</m:t>
            </m:r>
          </m:e>
          <m:sub>
            <m:r>
              <w:rPr>
                <w:rFonts w:ascii="Cambria Math" w:hAnsi="Cambria Math" w:cs="Arial"/>
                <w:sz w:val="24"/>
              </w:rPr>
              <m:t>3</m:t>
            </m:r>
          </m:sub>
        </m:sSub>
      </m:oMath>
      <w:r>
        <w:rPr>
          <w:rFonts w:eastAsiaTheme="minorEastAsia" w:cs="Arial"/>
          <w:sz w:val="24"/>
        </w:rPr>
        <w:t>) from equations (1) and (2).</w:t>
      </w:r>
      <w:r w:rsidR="00F45C89">
        <w:rPr>
          <w:rFonts w:eastAsiaTheme="minorEastAsia" w:cs="Arial"/>
          <w:sz w:val="24"/>
        </w:rPr>
        <w:t xml:space="preserve"> This derives an estimate of </w:t>
      </w:r>
      <w:r w:rsidR="006B7551">
        <w:rPr>
          <w:rFonts w:eastAsiaTheme="minorEastAsia" w:cs="Arial"/>
          <w:sz w:val="24"/>
        </w:rPr>
        <w:t xml:space="preserve">the expected </w:t>
      </w:r>
      <w:r w:rsidR="005F0F88">
        <w:rPr>
          <w:rFonts w:eastAsiaTheme="minorEastAsia" w:cs="Arial"/>
          <w:sz w:val="24"/>
        </w:rPr>
        <w:t>NHS cost savings</w:t>
      </w:r>
      <w:r w:rsidR="00446C26">
        <w:rPr>
          <w:rStyle w:val="FootnoteReference"/>
          <w:rFonts w:eastAsiaTheme="minorEastAsia" w:cs="Arial"/>
          <w:sz w:val="24"/>
        </w:rPr>
        <w:footnoteReference w:id="5"/>
      </w:r>
      <w:r w:rsidR="005F0F88">
        <w:rPr>
          <w:rFonts w:eastAsiaTheme="minorEastAsia" w:cs="Arial"/>
          <w:sz w:val="24"/>
        </w:rPr>
        <w:t>.</w:t>
      </w:r>
      <w:r w:rsidR="009C4D7B">
        <w:rPr>
          <w:rFonts w:eastAsiaTheme="minorEastAsia" w:cs="Arial"/>
          <w:sz w:val="24"/>
        </w:rPr>
        <w:t xml:space="preserve"> Since this looks at two different types of medical service usage the values can be added.</w:t>
      </w:r>
    </w:p>
    <w:p w14:paraId="46A204A7" w14:textId="77777777" w:rsidR="003E23CA" w:rsidRDefault="003E23CA" w:rsidP="00554510">
      <w:pPr>
        <w:spacing w:after="0" w:line="240" w:lineRule="auto"/>
        <w:rPr>
          <w:rFonts w:eastAsiaTheme="minorEastAsia" w:cs="Arial"/>
          <w:b/>
          <w:sz w:val="24"/>
        </w:rPr>
      </w:pPr>
    </w:p>
    <w:p w14:paraId="509966DD" w14:textId="77777777" w:rsidR="00587884" w:rsidRDefault="00587884" w:rsidP="00587884">
      <w:pPr>
        <w:spacing w:after="0" w:line="240" w:lineRule="auto"/>
        <w:rPr>
          <w:rFonts w:eastAsiaTheme="minorEastAsia" w:cs="Arial"/>
          <w:b/>
          <w:sz w:val="24"/>
        </w:rPr>
      </w:pPr>
      <w:r w:rsidRPr="00347A8E">
        <w:rPr>
          <w:rFonts w:eastAsiaTheme="minorEastAsia" w:cs="Arial"/>
          <w:b/>
          <w:sz w:val="24"/>
        </w:rPr>
        <w:t xml:space="preserve">Valuing </w:t>
      </w:r>
      <w:r w:rsidR="00EF3F9E" w:rsidRPr="00EF3F9E">
        <w:rPr>
          <w:rFonts w:cs="Arial"/>
          <w:b/>
          <w:sz w:val="24"/>
          <w:szCs w:val="24"/>
        </w:rPr>
        <w:t>predicted</w:t>
      </w:r>
      <w:r w:rsidR="00EF3F9E">
        <w:rPr>
          <w:rFonts w:eastAsiaTheme="minorEastAsia" w:cs="Arial"/>
          <w:b/>
          <w:sz w:val="24"/>
        </w:rPr>
        <w:t xml:space="preserve"> </w:t>
      </w:r>
      <w:r>
        <w:rPr>
          <w:rFonts w:eastAsiaTheme="minorEastAsia" w:cs="Arial"/>
          <w:b/>
          <w:sz w:val="24"/>
        </w:rPr>
        <w:t xml:space="preserve">reduced </w:t>
      </w:r>
      <w:r w:rsidR="00442174">
        <w:rPr>
          <w:rFonts w:eastAsiaTheme="minorEastAsia" w:cs="Arial"/>
          <w:b/>
          <w:sz w:val="24"/>
        </w:rPr>
        <w:t>risk</w:t>
      </w:r>
      <w:r>
        <w:rPr>
          <w:rFonts w:eastAsiaTheme="minorEastAsia" w:cs="Arial"/>
          <w:b/>
          <w:sz w:val="24"/>
        </w:rPr>
        <w:t xml:space="preserve"> of clinical depression</w:t>
      </w:r>
    </w:p>
    <w:p w14:paraId="280C1137" w14:textId="77777777" w:rsidR="006B7551" w:rsidRDefault="0008328E" w:rsidP="00587884">
      <w:pPr>
        <w:spacing w:after="0" w:line="240" w:lineRule="auto"/>
        <w:rPr>
          <w:sz w:val="24"/>
          <w:szCs w:val="28"/>
          <w:lang w:eastAsia="zh-CN"/>
        </w:rPr>
      </w:pPr>
      <m:oMath>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1</m:t>
            </m:r>
          </m:sub>
        </m:sSub>
      </m:oMath>
      <w:r w:rsidR="00587884">
        <w:rPr>
          <w:rFonts w:eastAsiaTheme="minorEastAsia" w:cs="Arial"/>
          <w:sz w:val="24"/>
        </w:rPr>
        <w:t xml:space="preserve"> from equation (1) represents the effect of engagement in culture and sport on probability of being diagnosed with clinical depression (when </w:t>
      </w:r>
      <m:oMath>
        <m:sSub>
          <m:sSubPr>
            <m:ctrlPr>
              <w:rPr>
                <w:rFonts w:ascii="Cambria Math" w:hAnsi="Cambria Math" w:cs="Arial"/>
                <w:sz w:val="24"/>
              </w:rPr>
            </m:ctrlPr>
          </m:sSubPr>
          <m:e>
            <m:r>
              <w:rPr>
                <w:rFonts w:ascii="Cambria Math" w:hAnsi="Cambria Math" w:cs="Arial"/>
                <w:sz w:val="24"/>
              </w:rPr>
              <m:t>D</m:t>
            </m:r>
          </m:e>
          <m:sub>
            <m:r>
              <w:rPr>
                <w:rFonts w:ascii="Cambria Math" w:hAnsi="Cambria Math" w:cs="Arial"/>
                <w:sz w:val="24"/>
              </w:rPr>
              <m:t>i</m:t>
            </m:r>
          </m:sub>
        </m:sSub>
      </m:oMath>
      <w:r w:rsidR="00587884">
        <w:rPr>
          <w:rFonts w:eastAsiaTheme="minorEastAsia" w:cs="Arial"/>
          <w:sz w:val="24"/>
        </w:rPr>
        <w:t xml:space="preserve"> = depression). We derive QALY estimates associated with depression and apply the standard NICE guidelines for valuing QALYs in order to derive a value for the reduction in depression. </w:t>
      </w:r>
      <w:r w:rsidR="006B7551">
        <w:rPr>
          <w:rFonts w:eastAsiaTheme="minorEastAsia" w:cs="Arial"/>
          <w:sz w:val="24"/>
        </w:rPr>
        <w:t xml:space="preserve">This replicates the methodology used in the CASE </w:t>
      </w:r>
      <w:r w:rsidR="006B7551" w:rsidRPr="006B7551">
        <w:rPr>
          <w:rFonts w:eastAsiaTheme="minorEastAsia" w:cs="Arial"/>
          <w:sz w:val="24"/>
          <w:szCs w:val="28"/>
        </w:rPr>
        <w:t>report (</w:t>
      </w:r>
      <w:r w:rsidR="00E2120F">
        <w:rPr>
          <w:rFonts w:eastAsiaTheme="minorEastAsia" w:cs="Arial"/>
          <w:sz w:val="24"/>
          <w:szCs w:val="28"/>
        </w:rPr>
        <w:t xml:space="preserve">Matrix, </w:t>
      </w:r>
      <w:r w:rsidR="006B7551" w:rsidRPr="006B7551">
        <w:rPr>
          <w:rFonts w:eastAsiaTheme="minorEastAsia" w:cs="Arial"/>
          <w:sz w:val="24"/>
          <w:szCs w:val="28"/>
        </w:rPr>
        <w:t xml:space="preserve">2010) to attach QALY values to </w:t>
      </w:r>
      <w:r w:rsidR="006B7551" w:rsidRPr="006B7551">
        <w:rPr>
          <w:sz w:val="24"/>
          <w:szCs w:val="28"/>
          <w:lang w:eastAsia="zh-CN"/>
        </w:rPr>
        <w:t>chronic heart disease, stroke, diabetes and colon cancer</w:t>
      </w:r>
      <w:r w:rsidR="006B7551">
        <w:rPr>
          <w:sz w:val="24"/>
          <w:szCs w:val="28"/>
          <w:lang w:eastAsia="zh-CN"/>
        </w:rPr>
        <w:t>.</w:t>
      </w:r>
    </w:p>
    <w:p w14:paraId="71FD3827" w14:textId="77777777" w:rsidR="00F751F2" w:rsidRDefault="006B7551" w:rsidP="00587884">
      <w:pPr>
        <w:spacing w:after="0" w:line="240" w:lineRule="auto"/>
        <w:rPr>
          <w:rFonts w:eastAsiaTheme="minorEastAsia" w:cs="Arial"/>
          <w:sz w:val="24"/>
        </w:rPr>
      </w:pPr>
      <w:r w:rsidRPr="006B7551">
        <w:rPr>
          <w:rFonts w:eastAsiaTheme="minorEastAsia" w:cs="Arial"/>
          <w:sz w:val="24"/>
          <w:szCs w:val="28"/>
        </w:rPr>
        <w:t xml:space="preserve"> </w:t>
      </w:r>
    </w:p>
    <w:p w14:paraId="1A6033D2" w14:textId="77777777" w:rsidR="00F751F2" w:rsidRPr="00F751F2" w:rsidRDefault="00F751F2" w:rsidP="00587884">
      <w:pPr>
        <w:spacing w:after="0" w:line="240" w:lineRule="auto"/>
        <w:rPr>
          <w:rFonts w:eastAsiaTheme="minorEastAsia" w:cs="Arial"/>
          <w:b/>
          <w:sz w:val="24"/>
        </w:rPr>
      </w:pPr>
      <w:r w:rsidRPr="00F751F2">
        <w:rPr>
          <w:rFonts w:eastAsiaTheme="minorEastAsia" w:cs="Arial"/>
          <w:b/>
          <w:sz w:val="24"/>
        </w:rPr>
        <w:t xml:space="preserve">Interpreting valuations </w:t>
      </w:r>
    </w:p>
    <w:p w14:paraId="77B0B84E" w14:textId="77777777" w:rsidR="00D87DA8" w:rsidRDefault="001A436B" w:rsidP="00A7203E">
      <w:pPr>
        <w:autoSpaceDE w:val="0"/>
        <w:autoSpaceDN w:val="0"/>
        <w:adjustRightInd w:val="0"/>
        <w:spacing w:after="0" w:line="240" w:lineRule="auto"/>
        <w:rPr>
          <w:rFonts w:eastAsiaTheme="minorEastAsia" w:cs="Arial"/>
          <w:sz w:val="24"/>
        </w:rPr>
      </w:pPr>
      <w:r>
        <w:rPr>
          <w:rFonts w:eastAsiaTheme="minorEastAsia" w:cs="Arial"/>
          <w:sz w:val="24"/>
        </w:rPr>
        <w:t>NHS related v</w:t>
      </w:r>
      <w:r w:rsidRPr="001A436B">
        <w:rPr>
          <w:rFonts w:eastAsiaTheme="minorEastAsia" w:cs="Arial"/>
          <w:sz w:val="24"/>
        </w:rPr>
        <w:t xml:space="preserve">alues </w:t>
      </w:r>
      <w:r>
        <w:rPr>
          <w:rFonts w:eastAsiaTheme="minorEastAsia" w:cs="Arial"/>
          <w:sz w:val="24"/>
        </w:rPr>
        <w:t xml:space="preserve">(cost savings) </w:t>
      </w:r>
      <w:r w:rsidR="00093A83">
        <w:rPr>
          <w:rFonts w:eastAsiaTheme="minorEastAsia" w:cs="Arial"/>
          <w:sz w:val="24"/>
        </w:rPr>
        <w:t>for</w:t>
      </w:r>
      <w:r>
        <w:rPr>
          <w:rFonts w:eastAsiaTheme="minorEastAsia" w:cs="Arial"/>
          <w:sz w:val="24"/>
        </w:rPr>
        <w:t xml:space="preserve"> medical service usage are often referred to as financial or cashable savings since they have direct implications for NHS or health resources. The value of a QALY has a different interpretation. </w:t>
      </w:r>
    </w:p>
    <w:p w14:paraId="519B914E" w14:textId="77777777" w:rsidR="00D87DA8" w:rsidRDefault="00D87DA8" w:rsidP="00A7203E">
      <w:pPr>
        <w:autoSpaceDE w:val="0"/>
        <w:autoSpaceDN w:val="0"/>
        <w:adjustRightInd w:val="0"/>
        <w:spacing w:after="0" w:line="240" w:lineRule="auto"/>
        <w:rPr>
          <w:rFonts w:eastAsiaTheme="minorEastAsia" w:cs="Arial"/>
          <w:sz w:val="24"/>
        </w:rPr>
      </w:pPr>
    </w:p>
    <w:p w14:paraId="582238AC" w14:textId="77777777" w:rsidR="00160626" w:rsidRDefault="001A436B" w:rsidP="00A7203E">
      <w:pPr>
        <w:autoSpaceDE w:val="0"/>
        <w:autoSpaceDN w:val="0"/>
        <w:adjustRightInd w:val="0"/>
        <w:spacing w:after="0" w:line="240" w:lineRule="auto"/>
        <w:rPr>
          <w:rFonts w:cs="Calibri"/>
          <w:color w:val="000000"/>
          <w:sz w:val="24"/>
          <w:szCs w:val="24"/>
        </w:rPr>
      </w:pPr>
      <w:r>
        <w:rPr>
          <w:rFonts w:eastAsiaTheme="minorEastAsia" w:cs="Arial"/>
          <w:sz w:val="24"/>
        </w:rPr>
        <w:t xml:space="preserve">The QALY for depression represents the (UK population average) estimate of the health related quality of life </w:t>
      </w:r>
      <w:r w:rsidR="00AF0659">
        <w:rPr>
          <w:rFonts w:eastAsiaTheme="minorEastAsia" w:cs="Arial"/>
          <w:sz w:val="24"/>
        </w:rPr>
        <w:t xml:space="preserve">associated </w:t>
      </w:r>
      <w:r>
        <w:rPr>
          <w:rFonts w:eastAsiaTheme="minorEastAsia" w:cs="Arial"/>
          <w:sz w:val="24"/>
        </w:rPr>
        <w:t xml:space="preserve">with depression. The QALY is based on a scale of </w:t>
      </w:r>
      <w:r w:rsidR="00AF0659">
        <w:rPr>
          <w:rFonts w:cs="Calibri"/>
          <w:color w:val="000000"/>
          <w:sz w:val="24"/>
          <w:szCs w:val="24"/>
        </w:rPr>
        <w:t>0 (for death</w:t>
      </w:r>
      <w:r w:rsidR="00546EDD" w:rsidRPr="000D408D">
        <w:rPr>
          <w:rFonts w:cs="Calibri"/>
          <w:color w:val="000000"/>
          <w:sz w:val="24"/>
          <w:szCs w:val="24"/>
        </w:rPr>
        <w:t xml:space="preserve">) </w:t>
      </w:r>
      <w:r w:rsidR="00546EDD">
        <w:rPr>
          <w:rFonts w:cs="Calibri"/>
          <w:color w:val="000000"/>
          <w:sz w:val="24"/>
          <w:szCs w:val="24"/>
        </w:rPr>
        <w:t>to 1 (for full health)</w:t>
      </w:r>
      <w:r>
        <w:rPr>
          <w:rFonts w:eastAsiaTheme="minorEastAsia" w:cs="Arial"/>
          <w:sz w:val="24"/>
        </w:rPr>
        <w:t xml:space="preserve"> and therefore depression will have a QALY score &lt;1. The QALY score is based on the general population’s preferences over different health conditions, </w:t>
      </w:r>
      <w:r w:rsidR="007B2A09">
        <w:rPr>
          <w:rFonts w:eastAsiaTheme="minorEastAsia" w:cs="Arial"/>
          <w:sz w:val="24"/>
        </w:rPr>
        <w:t xml:space="preserve">measured in the UK using the time </w:t>
      </w:r>
      <w:r w:rsidR="007B2A09">
        <w:rPr>
          <w:rFonts w:cs="Calibri"/>
          <w:color w:val="000000"/>
          <w:sz w:val="24"/>
          <w:szCs w:val="24"/>
        </w:rPr>
        <w:t xml:space="preserve">trade-off (TTO) method which asks </w:t>
      </w:r>
      <w:r w:rsidR="007B2A09" w:rsidRPr="000D408D">
        <w:rPr>
          <w:rFonts w:cs="Calibri"/>
          <w:color w:val="000000"/>
          <w:sz w:val="24"/>
          <w:szCs w:val="24"/>
        </w:rPr>
        <w:t>respondents to cons</w:t>
      </w:r>
      <w:r w:rsidR="007B2A09">
        <w:rPr>
          <w:rFonts w:cs="Calibri"/>
          <w:color w:val="000000"/>
          <w:sz w:val="24"/>
          <w:szCs w:val="24"/>
        </w:rPr>
        <w:t>i</w:t>
      </w:r>
      <w:r w:rsidR="007B2A09" w:rsidRPr="000D408D">
        <w:rPr>
          <w:rFonts w:cs="Calibri"/>
          <w:color w:val="000000"/>
          <w:sz w:val="24"/>
          <w:szCs w:val="24"/>
        </w:rPr>
        <w:t>der how many years of l</w:t>
      </w:r>
      <w:r w:rsidR="007B2A09">
        <w:rPr>
          <w:rFonts w:cs="Calibri"/>
          <w:color w:val="000000"/>
          <w:sz w:val="24"/>
          <w:szCs w:val="24"/>
        </w:rPr>
        <w:t>i</w:t>
      </w:r>
      <w:r w:rsidR="007B2A09" w:rsidRPr="000D408D">
        <w:rPr>
          <w:rFonts w:cs="Calibri"/>
          <w:color w:val="000000"/>
          <w:sz w:val="24"/>
          <w:szCs w:val="24"/>
        </w:rPr>
        <w:t xml:space="preserve">fe </w:t>
      </w:r>
      <w:r w:rsidR="007B2A09">
        <w:rPr>
          <w:rFonts w:cs="Calibri"/>
          <w:color w:val="000000"/>
          <w:sz w:val="24"/>
          <w:szCs w:val="24"/>
        </w:rPr>
        <w:t>in full health</w:t>
      </w:r>
      <w:r w:rsidR="007B2A09" w:rsidRPr="000D408D">
        <w:rPr>
          <w:rFonts w:cs="Calibri"/>
          <w:color w:val="000000"/>
          <w:sz w:val="24"/>
          <w:szCs w:val="24"/>
        </w:rPr>
        <w:t xml:space="preserve"> are equ</w:t>
      </w:r>
      <w:r w:rsidR="007B2A09">
        <w:rPr>
          <w:rFonts w:cs="Calibri"/>
          <w:color w:val="000000"/>
          <w:sz w:val="24"/>
          <w:szCs w:val="24"/>
        </w:rPr>
        <w:t>i</w:t>
      </w:r>
      <w:r w:rsidR="007B2A09" w:rsidRPr="000D408D">
        <w:rPr>
          <w:rFonts w:cs="Calibri"/>
          <w:color w:val="000000"/>
          <w:sz w:val="24"/>
          <w:szCs w:val="24"/>
        </w:rPr>
        <w:t>valent to a longer t</w:t>
      </w:r>
      <w:r w:rsidR="007B2A09">
        <w:rPr>
          <w:rFonts w:cs="Calibri"/>
          <w:color w:val="000000"/>
          <w:sz w:val="24"/>
          <w:szCs w:val="24"/>
        </w:rPr>
        <w:t>ime</w:t>
      </w:r>
      <w:r w:rsidR="007B2A09" w:rsidRPr="000D408D">
        <w:rPr>
          <w:rFonts w:cs="Calibri"/>
          <w:color w:val="000000"/>
          <w:sz w:val="24"/>
          <w:szCs w:val="24"/>
        </w:rPr>
        <w:t xml:space="preserve"> </w:t>
      </w:r>
      <w:r w:rsidR="007B2A09">
        <w:rPr>
          <w:rFonts w:cs="Calibri"/>
          <w:color w:val="000000"/>
          <w:sz w:val="24"/>
          <w:szCs w:val="24"/>
        </w:rPr>
        <w:t>i</w:t>
      </w:r>
      <w:r w:rsidR="007B2A09" w:rsidRPr="000D408D">
        <w:rPr>
          <w:rFonts w:cs="Calibri"/>
          <w:color w:val="000000"/>
          <w:sz w:val="24"/>
          <w:szCs w:val="24"/>
        </w:rPr>
        <w:t>n a poor health state.</w:t>
      </w:r>
      <w:r w:rsidR="00160626">
        <w:rPr>
          <w:rFonts w:cs="Calibri"/>
          <w:color w:val="000000"/>
          <w:sz w:val="24"/>
          <w:szCs w:val="24"/>
        </w:rPr>
        <w:t xml:space="preserve"> </w:t>
      </w:r>
      <w:r w:rsidR="00473447">
        <w:rPr>
          <w:rFonts w:cs="Calibri"/>
          <w:color w:val="000000"/>
          <w:sz w:val="24"/>
          <w:szCs w:val="24"/>
        </w:rPr>
        <w:t xml:space="preserve">An example of a </w:t>
      </w:r>
      <w:r w:rsidR="00473447" w:rsidRPr="00FC7B97">
        <w:rPr>
          <w:rFonts w:cs="Calibri"/>
          <w:color w:val="000000"/>
          <w:sz w:val="24"/>
          <w:szCs w:val="24"/>
          <w:lang w:val="en-US"/>
        </w:rPr>
        <w:t>TTO </w:t>
      </w:r>
      <w:r w:rsidR="00473447">
        <w:rPr>
          <w:rFonts w:cs="Calibri"/>
          <w:color w:val="000000"/>
          <w:sz w:val="24"/>
          <w:szCs w:val="24"/>
          <w:lang w:val="en-US"/>
        </w:rPr>
        <w:t xml:space="preserve">question would ask </w:t>
      </w:r>
      <w:r w:rsidR="00473447" w:rsidRPr="00FC7B97">
        <w:rPr>
          <w:rFonts w:cs="Calibri"/>
          <w:color w:val="000000"/>
          <w:sz w:val="24"/>
          <w:szCs w:val="24"/>
          <w:lang w:val="en-US"/>
        </w:rPr>
        <w:t xml:space="preserve">people to imagine living </w:t>
      </w:r>
      <w:r w:rsidR="00473447">
        <w:rPr>
          <w:rFonts w:cs="Calibri"/>
          <w:color w:val="000000"/>
          <w:sz w:val="24"/>
          <w:szCs w:val="24"/>
          <w:lang w:val="en-US"/>
        </w:rPr>
        <w:t>as a blind person for</w:t>
      </w:r>
      <w:r w:rsidR="00473447" w:rsidRPr="00FC7B97">
        <w:rPr>
          <w:rFonts w:cs="Calibri"/>
          <w:color w:val="000000"/>
          <w:sz w:val="24"/>
          <w:szCs w:val="24"/>
          <w:lang w:val="en-US"/>
        </w:rPr>
        <w:t xml:space="preserve"> say, ten years and then </w:t>
      </w:r>
      <w:r w:rsidR="00473447">
        <w:rPr>
          <w:rFonts w:cs="Calibri"/>
          <w:color w:val="000000"/>
          <w:sz w:val="24"/>
          <w:szCs w:val="24"/>
          <w:lang w:val="en-US"/>
        </w:rPr>
        <w:t>to estimate</w:t>
      </w:r>
      <w:r w:rsidR="00473447" w:rsidRPr="00FC7B97">
        <w:rPr>
          <w:rFonts w:cs="Calibri"/>
          <w:color w:val="000000"/>
          <w:sz w:val="24"/>
          <w:szCs w:val="24"/>
          <w:lang w:val="en-US"/>
        </w:rPr>
        <w:t xml:space="preserve"> the shorter amount of time in full health that they</w:t>
      </w:r>
      <w:r w:rsidR="00473447">
        <w:rPr>
          <w:rFonts w:cs="Calibri"/>
          <w:color w:val="000000"/>
          <w:sz w:val="24"/>
          <w:szCs w:val="24"/>
          <w:lang w:val="en-US"/>
        </w:rPr>
        <w:t xml:space="preserve"> would</w:t>
      </w:r>
      <w:r w:rsidR="00473447" w:rsidRPr="00FC7B97">
        <w:rPr>
          <w:rFonts w:cs="Calibri"/>
          <w:color w:val="000000"/>
          <w:sz w:val="24"/>
          <w:szCs w:val="24"/>
          <w:lang w:val="en-US"/>
        </w:rPr>
        <w:t xml:space="preserve"> value equally.</w:t>
      </w:r>
      <w:r w:rsidR="00473447">
        <w:rPr>
          <w:rStyle w:val="FootnoteReference"/>
          <w:rFonts w:cs="Calibri"/>
          <w:color w:val="000000"/>
          <w:sz w:val="24"/>
          <w:szCs w:val="24"/>
          <w:lang w:val="en-US"/>
        </w:rPr>
        <w:footnoteReference w:id="6"/>
      </w:r>
      <w:r w:rsidR="00473447" w:rsidRPr="00FC7B97">
        <w:rPr>
          <w:rFonts w:cs="Calibri"/>
          <w:color w:val="000000"/>
          <w:sz w:val="24"/>
          <w:szCs w:val="24"/>
          <w:lang w:val="en-US"/>
        </w:rPr>
        <w:t> </w:t>
      </w:r>
      <w:r w:rsidR="00AF0659">
        <w:rPr>
          <w:rFonts w:cs="Calibri"/>
          <w:color w:val="000000"/>
          <w:sz w:val="24"/>
          <w:szCs w:val="24"/>
          <w:lang w:val="en-US"/>
        </w:rPr>
        <w:t xml:space="preserve">The shorter the length of time in full health that people would be prepared to trade-off the more severe or undesirable the health condition. </w:t>
      </w:r>
      <w:r w:rsidR="00160626">
        <w:rPr>
          <w:rFonts w:cs="Calibri"/>
          <w:color w:val="000000"/>
          <w:sz w:val="24"/>
          <w:szCs w:val="24"/>
        </w:rPr>
        <w:t>The National Institute for Care and Health Excellence (</w:t>
      </w:r>
      <w:r w:rsidR="00160626" w:rsidRPr="000D408D">
        <w:rPr>
          <w:rFonts w:cs="Calibri"/>
          <w:color w:val="000000"/>
          <w:sz w:val="24"/>
          <w:szCs w:val="24"/>
        </w:rPr>
        <w:t>N</w:t>
      </w:r>
      <w:r w:rsidR="00160626">
        <w:rPr>
          <w:rFonts w:cs="Calibri"/>
          <w:color w:val="000000"/>
          <w:sz w:val="24"/>
          <w:szCs w:val="24"/>
        </w:rPr>
        <w:t>I</w:t>
      </w:r>
      <w:r w:rsidR="00160626" w:rsidRPr="000D408D">
        <w:rPr>
          <w:rFonts w:cs="Calibri"/>
          <w:color w:val="000000"/>
          <w:sz w:val="24"/>
          <w:szCs w:val="24"/>
        </w:rPr>
        <w:t>CE</w:t>
      </w:r>
      <w:r w:rsidR="00160626">
        <w:rPr>
          <w:rFonts w:cs="Calibri"/>
          <w:color w:val="000000"/>
          <w:sz w:val="24"/>
          <w:szCs w:val="24"/>
        </w:rPr>
        <w:t>)</w:t>
      </w:r>
      <w:r w:rsidR="00160626" w:rsidRPr="000D408D">
        <w:rPr>
          <w:rFonts w:cs="Calibri"/>
          <w:color w:val="000000"/>
          <w:sz w:val="24"/>
          <w:szCs w:val="24"/>
        </w:rPr>
        <w:t xml:space="preserve"> asks for values to be el</w:t>
      </w:r>
      <w:r w:rsidR="00160626">
        <w:rPr>
          <w:rFonts w:cs="Calibri"/>
          <w:color w:val="000000"/>
          <w:sz w:val="24"/>
          <w:szCs w:val="24"/>
        </w:rPr>
        <w:t>i</w:t>
      </w:r>
      <w:r w:rsidR="00160626" w:rsidRPr="000D408D">
        <w:rPr>
          <w:rFonts w:cs="Calibri"/>
          <w:color w:val="000000"/>
          <w:sz w:val="24"/>
          <w:szCs w:val="24"/>
        </w:rPr>
        <w:t>c</w:t>
      </w:r>
      <w:r w:rsidR="00160626">
        <w:rPr>
          <w:rFonts w:cs="Calibri"/>
          <w:color w:val="000000"/>
          <w:sz w:val="24"/>
          <w:szCs w:val="24"/>
        </w:rPr>
        <w:t>i</w:t>
      </w:r>
      <w:r w:rsidR="00160626" w:rsidRPr="000D408D">
        <w:rPr>
          <w:rFonts w:cs="Calibri"/>
          <w:color w:val="000000"/>
          <w:sz w:val="24"/>
          <w:szCs w:val="24"/>
        </w:rPr>
        <w:t>ted from the general publ</w:t>
      </w:r>
      <w:r w:rsidR="00160626">
        <w:rPr>
          <w:rFonts w:cs="Calibri"/>
          <w:color w:val="000000"/>
          <w:sz w:val="24"/>
          <w:szCs w:val="24"/>
        </w:rPr>
        <w:t>i</w:t>
      </w:r>
      <w:r w:rsidR="00160626" w:rsidRPr="000D408D">
        <w:rPr>
          <w:rFonts w:cs="Calibri"/>
          <w:color w:val="000000"/>
          <w:sz w:val="24"/>
          <w:szCs w:val="24"/>
        </w:rPr>
        <w:t xml:space="preserve">c </w:t>
      </w:r>
      <w:r w:rsidR="00160626">
        <w:rPr>
          <w:rFonts w:cs="Calibri"/>
          <w:color w:val="000000"/>
          <w:sz w:val="24"/>
          <w:szCs w:val="24"/>
        </w:rPr>
        <w:t>i</w:t>
      </w:r>
      <w:r w:rsidR="00160626" w:rsidRPr="000D408D">
        <w:rPr>
          <w:rFonts w:cs="Calibri"/>
          <w:color w:val="000000"/>
          <w:sz w:val="24"/>
          <w:szCs w:val="24"/>
        </w:rPr>
        <w:t>n the form of hypothet</w:t>
      </w:r>
      <w:r w:rsidR="00160626">
        <w:rPr>
          <w:rFonts w:cs="Calibri"/>
          <w:color w:val="000000"/>
          <w:sz w:val="24"/>
          <w:szCs w:val="24"/>
        </w:rPr>
        <w:t>i</w:t>
      </w:r>
      <w:r w:rsidR="00160626" w:rsidRPr="000D408D">
        <w:rPr>
          <w:rFonts w:cs="Calibri"/>
          <w:color w:val="000000"/>
          <w:sz w:val="24"/>
          <w:szCs w:val="24"/>
        </w:rPr>
        <w:t xml:space="preserve">cal preferences, as opposed to </w:t>
      </w:r>
      <w:r w:rsidR="00160626">
        <w:rPr>
          <w:rFonts w:cs="Calibri"/>
          <w:color w:val="000000"/>
          <w:sz w:val="24"/>
          <w:szCs w:val="24"/>
        </w:rPr>
        <w:t>i</w:t>
      </w:r>
      <w:r w:rsidR="00160626" w:rsidRPr="000D408D">
        <w:rPr>
          <w:rFonts w:cs="Calibri"/>
          <w:color w:val="000000"/>
          <w:sz w:val="24"/>
          <w:szCs w:val="24"/>
        </w:rPr>
        <w:t>nd</w:t>
      </w:r>
      <w:r w:rsidR="00160626">
        <w:rPr>
          <w:rFonts w:cs="Calibri"/>
          <w:color w:val="000000"/>
          <w:sz w:val="24"/>
          <w:szCs w:val="24"/>
        </w:rPr>
        <w:t>i</w:t>
      </w:r>
      <w:r w:rsidR="00160626" w:rsidRPr="000D408D">
        <w:rPr>
          <w:rFonts w:cs="Calibri"/>
          <w:color w:val="000000"/>
          <w:sz w:val="24"/>
          <w:szCs w:val="24"/>
        </w:rPr>
        <w:t>v</w:t>
      </w:r>
      <w:r w:rsidR="00160626">
        <w:rPr>
          <w:rFonts w:cs="Calibri"/>
          <w:color w:val="000000"/>
          <w:sz w:val="24"/>
          <w:szCs w:val="24"/>
        </w:rPr>
        <w:t>i</w:t>
      </w:r>
      <w:r w:rsidR="00160626" w:rsidRPr="000D408D">
        <w:rPr>
          <w:rFonts w:cs="Calibri"/>
          <w:color w:val="000000"/>
          <w:sz w:val="24"/>
          <w:szCs w:val="24"/>
        </w:rPr>
        <w:t>duals who have exper</w:t>
      </w:r>
      <w:r w:rsidR="00160626">
        <w:rPr>
          <w:rFonts w:cs="Calibri"/>
          <w:color w:val="000000"/>
          <w:sz w:val="24"/>
          <w:szCs w:val="24"/>
        </w:rPr>
        <w:t>i</w:t>
      </w:r>
      <w:r w:rsidR="00160626" w:rsidRPr="000D408D">
        <w:rPr>
          <w:rFonts w:cs="Calibri"/>
          <w:color w:val="000000"/>
          <w:sz w:val="24"/>
          <w:szCs w:val="24"/>
        </w:rPr>
        <w:t>enced spec</w:t>
      </w:r>
      <w:r w:rsidR="00160626">
        <w:rPr>
          <w:rFonts w:cs="Calibri"/>
          <w:color w:val="000000"/>
          <w:sz w:val="24"/>
          <w:szCs w:val="24"/>
        </w:rPr>
        <w:t>i</w:t>
      </w:r>
      <w:r w:rsidR="00160626" w:rsidRPr="000D408D">
        <w:rPr>
          <w:rFonts w:cs="Calibri"/>
          <w:color w:val="000000"/>
          <w:sz w:val="24"/>
          <w:szCs w:val="24"/>
        </w:rPr>
        <w:t>f</w:t>
      </w:r>
      <w:r w:rsidR="00160626">
        <w:rPr>
          <w:rFonts w:cs="Calibri"/>
          <w:color w:val="000000"/>
          <w:sz w:val="24"/>
          <w:szCs w:val="24"/>
        </w:rPr>
        <w:t>i</w:t>
      </w:r>
      <w:r w:rsidR="00160626" w:rsidRPr="000D408D">
        <w:rPr>
          <w:rFonts w:cs="Calibri"/>
          <w:color w:val="000000"/>
          <w:sz w:val="24"/>
          <w:szCs w:val="24"/>
        </w:rPr>
        <w:t>c health states. Us</w:t>
      </w:r>
      <w:r w:rsidR="00160626">
        <w:rPr>
          <w:rFonts w:cs="Calibri"/>
          <w:color w:val="000000"/>
          <w:sz w:val="24"/>
          <w:szCs w:val="24"/>
        </w:rPr>
        <w:t>i</w:t>
      </w:r>
      <w:r w:rsidR="00160626" w:rsidRPr="000D408D">
        <w:rPr>
          <w:rFonts w:cs="Calibri"/>
          <w:color w:val="000000"/>
          <w:sz w:val="24"/>
          <w:szCs w:val="24"/>
        </w:rPr>
        <w:t>ng the preferences of the general publ</w:t>
      </w:r>
      <w:r w:rsidR="00160626">
        <w:rPr>
          <w:rFonts w:cs="Calibri"/>
          <w:color w:val="000000"/>
          <w:sz w:val="24"/>
          <w:szCs w:val="24"/>
        </w:rPr>
        <w:t>i</w:t>
      </w:r>
      <w:r w:rsidR="00160626" w:rsidRPr="000D408D">
        <w:rPr>
          <w:rFonts w:cs="Calibri"/>
          <w:color w:val="000000"/>
          <w:sz w:val="24"/>
          <w:szCs w:val="24"/>
        </w:rPr>
        <w:t xml:space="preserve">c </w:t>
      </w:r>
      <w:r w:rsidR="00160626">
        <w:rPr>
          <w:rFonts w:cs="Calibri"/>
          <w:color w:val="000000"/>
          <w:sz w:val="24"/>
          <w:szCs w:val="24"/>
        </w:rPr>
        <w:t>i</w:t>
      </w:r>
      <w:r w:rsidR="00160626" w:rsidRPr="000D408D">
        <w:rPr>
          <w:rFonts w:cs="Calibri"/>
          <w:color w:val="000000"/>
          <w:sz w:val="24"/>
          <w:szCs w:val="24"/>
        </w:rPr>
        <w:t>s broadly cons</w:t>
      </w:r>
      <w:r w:rsidR="00160626">
        <w:rPr>
          <w:rFonts w:cs="Calibri"/>
          <w:color w:val="000000"/>
          <w:sz w:val="24"/>
          <w:szCs w:val="24"/>
        </w:rPr>
        <w:t>i</w:t>
      </w:r>
      <w:r w:rsidR="00160626" w:rsidRPr="000D408D">
        <w:rPr>
          <w:rFonts w:cs="Calibri"/>
          <w:color w:val="000000"/>
          <w:sz w:val="24"/>
          <w:szCs w:val="24"/>
        </w:rPr>
        <w:t>stent w</w:t>
      </w:r>
      <w:r w:rsidR="00160626">
        <w:rPr>
          <w:rFonts w:cs="Calibri"/>
          <w:color w:val="000000"/>
          <w:sz w:val="24"/>
          <w:szCs w:val="24"/>
        </w:rPr>
        <w:t>i</w:t>
      </w:r>
      <w:r w:rsidR="00160626" w:rsidRPr="000D408D">
        <w:rPr>
          <w:rFonts w:cs="Calibri"/>
          <w:color w:val="000000"/>
          <w:sz w:val="24"/>
          <w:szCs w:val="24"/>
        </w:rPr>
        <w:t xml:space="preserve">th an </w:t>
      </w:r>
      <w:r w:rsidR="00160626">
        <w:rPr>
          <w:rFonts w:cs="Calibri"/>
          <w:color w:val="000000"/>
          <w:sz w:val="24"/>
          <w:szCs w:val="24"/>
        </w:rPr>
        <w:t>i</w:t>
      </w:r>
      <w:r w:rsidR="00160626" w:rsidRPr="000D408D">
        <w:rPr>
          <w:rFonts w:cs="Calibri"/>
          <w:color w:val="000000"/>
          <w:sz w:val="24"/>
          <w:szCs w:val="24"/>
        </w:rPr>
        <w:t>nsurance pr</w:t>
      </w:r>
      <w:r w:rsidR="00160626">
        <w:rPr>
          <w:rFonts w:cs="Calibri"/>
          <w:color w:val="000000"/>
          <w:sz w:val="24"/>
          <w:szCs w:val="24"/>
        </w:rPr>
        <w:t>i</w:t>
      </w:r>
      <w:r w:rsidR="00160626" w:rsidRPr="000D408D">
        <w:rPr>
          <w:rFonts w:cs="Calibri"/>
          <w:color w:val="000000"/>
          <w:sz w:val="24"/>
          <w:szCs w:val="24"/>
        </w:rPr>
        <w:t>nc</w:t>
      </w:r>
      <w:r w:rsidR="00160626">
        <w:rPr>
          <w:rFonts w:cs="Calibri"/>
          <w:color w:val="000000"/>
          <w:sz w:val="24"/>
          <w:szCs w:val="24"/>
        </w:rPr>
        <w:t>i</w:t>
      </w:r>
      <w:r w:rsidR="00160626" w:rsidRPr="000D408D">
        <w:rPr>
          <w:rFonts w:cs="Calibri"/>
          <w:color w:val="000000"/>
          <w:sz w:val="24"/>
          <w:szCs w:val="24"/>
        </w:rPr>
        <w:t>ple, whereby the ex-ante preferences of those who m</w:t>
      </w:r>
      <w:r w:rsidR="00160626">
        <w:rPr>
          <w:rFonts w:cs="Calibri"/>
          <w:color w:val="000000"/>
          <w:sz w:val="24"/>
          <w:szCs w:val="24"/>
        </w:rPr>
        <w:t>i</w:t>
      </w:r>
      <w:r w:rsidR="00160626" w:rsidRPr="000D408D">
        <w:rPr>
          <w:rFonts w:cs="Calibri"/>
          <w:color w:val="000000"/>
          <w:sz w:val="24"/>
          <w:szCs w:val="24"/>
        </w:rPr>
        <w:t>ght be affected by a cond</w:t>
      </w:r>
      <w:r w:rsidR="00160626">
        <w:rPr>
          <w:rFonts w:cs="Calibri"/>
          <w:color w:val="000000"/>
          <w:sz w:val="24"/>
          <w:szCs w:val="24"/>
        </w:rPr>
        <w:t>i</w:t>
      </w:r>
      <w:r w:rsidR="00160626" w:rsidRPr="000D408D">
        <w:rPr>
          <w:rFonts w:cs="Calibri"/>
          <w:color w:val="000000"/>
          <w:sz w:val="24"/>
          <w:szCs w:val="24"/>
        </w:rPr>
        <w:t>t</w:t>
      </w:r>
      <w:r w:rsidR="00160626">
        <w:rPr>
          <w:rFonts w:cs="Calibri"/>
          <w:color w:val="000000"/>
          <w:sz w:val="24"/>
          <w:szCs w:val="24"/>
        </w:rPr>
        <w:t>i</w:t>
      </w:r>
      <w:r w:rsidR="00160626" w:rsidRPr="000D408D">
        <w:rPr>
          <w:rFonts w:cs="Calibri"/>
          <w:color w:val="000000"/>
          <w:sz w:val="24"/>
          <w:szCs w:val="24"/>
        </w:rPr>
        <w:t xml:space="preserve">on </w:t>
      </w:r>
      <w:r w:rsidR="00160626">
        <w:rPr>
          <w:rFonts w:cs="Calibri"/>
          <w:color w:val="000000"/>
          <w:sz w:val="24"/>
          <w:szCs w:val="24"/>
        </w:rPr>
        <w:t>i</w:t>
      </w:r>
      <w:r w:rsidR="00160626" w:rsidRPr="000D408D">
        <w:rPr>
          <w:rFonts w:cs="Calibri"/>
          <w:color w:val="000000"/>
          <w:sz w:val="24"/>
          <w:szCs w:val="24"/>
        </w:rPr>
        <w:t>n the future are g</w:t>
      </w:r>
      <w:r w:rsidR="00160626">
        <w:rPr>
          <w:rFonts w:cs="Calibri"/>
          <w:color w:val="000000"/>
          <w:sz w:val="24"/>
          <w:szCs w:val="24"/>
        </w:rPr>
        <w:t>i</w:t>
      </w:r>
      <w:r w:rsidR="00160626" w:rsidRPr="000D408D">
        <w:rPr>
          <w:rFonts w:cs="Calibri"/>
          <w:color w:val="000000"/>
          <w:sz w:val="24"/>
          <w:szCs w:val="24"/>
        </w:rPr>
        <w:t>ven we</w:t>
      </w:r>
      <w:r w:rsidR="00160626">
        <w:rPr>
          <w:rFonts w:cs="Calibri"/>
          <w:color w:val="000000"/>
          <w:sz w:val="24"/>
          <w:szCs w:val="24"/>
        </w:rPr>
        <w:t>i</w:t>
      </w:r>
      <w:r w:rsidR="00160626" w:rsidRPr="000D408D">
        <w:rPr>
          <w:rFonts w:cs="Calibri"/>
          <w:color w:val="000000"/>
          <w:sz w:val="24"/>
          <w:szCs w:val="24"/>
        </w:rPr>
        <w:t xml:space="preserve">ght </w:t>
      </w:r>
      <w:r w:rsidR="00160626">
        <w:rPr>
          <w:rFonts w:cs="Calibri"/>
          <w:color w:val="000000"/>
          <w:sz w:val="24"/>
          <w:szCs w:val="24"/>
        </w:rPr>
        <w:t>i</w:t>
      </w:r>
      <w:r w:rsidR="00160626" w:rsidRPr="000D408D">
        <w:rPr>
          <w:rFonts w:cs="Calibri"/>
          <w:color w:val="000000"/>
          <w:sz w:val="24"/>
          <w:szCs w:val="24"/>
        </w:rPr>
        <w:t>n allocat</w:t>
      </w:r>
      <w:r w:rsidR="00160626">
        <w:rPr>
          <w:rFonts w:cs="Calibri"/>
          <w:color w:val="000000"/>
          <w:sz w:val="24"/>
          <w:szCs w:val="24"/>
        </w:rPr>
        <w:t>i</w:t>
      </w:r>
      <w:r w:rsidR="00160626" w:rsidRPr="000D408D">
        <w:rPr>
          <w:rFonts w:cs="Calibri"/>
          <w:color w:val="000000"/>
          <w:sz w:val="24"/>
          <w:szCs w:val="24"/>
        </w:rPr>
        <w:t xml:space="preserve">ng resources. </w:t>
      </w:r>
    </w:p>
    <w:p w14:paraId="33E5086F" w14:textId="77777777" w:rsidR="00D87DA8" w:rsidRDefault="00D87DA8" w:rsidP="00A7203E">
      <w:pPr>
        <w:autoSpaceDE w:val="0"/>
        <w:autoSpaceDN w:val="0"/>
        <w:adjustRightInd w:val="0"/>
        <w:spacing w:after="0" w:line="240" w:lineRule="auto"/>
        <w:rPr>
          <w:rFonts w:cs="Calibri"/>
          <w:color w:val="000000"/>
          <w:sz w:val="24"/>
          <w:szCs w:val="24"/>
        </w:rPr>
      </w:pPr>
    </w:p>
    <w:p w14:paraId="74815E04" w14:textId="77777777" w:rsidR="00A2681C" w:rsidRDefault="00D87DA8" w:rsidP="00A2681C">
      <w:pPr>
        <w:spacing w:after="0" w:line="240" w:lineRule="auto"/>
        <w:rPr>
          <w:rFonts w:eastAsia="Times New Roman" w:cs="Arial"/>
          <w:sz w:val="24"/>
          <w:szCs w:val="24"/>
          <w:shd w:val="clear" w:color="auto" w:fill="FFFFFF"/>
          <w:lang w:eastAsia="en-GB"/>
        </w:rPr>
      </w:pPr>
      <w:r w:rsidRPr="00992DCD">
        <w:rPr>
          <w:rFonts w:cs="Calibri"/>
          <w:color w:val="000000"/>
          <w:sz w:val="24"/>
          <w:szCs w:val="24"/>
        </w:rPr>
        <w:t>NICE provide</w:t>
      </w:r>
      <w:r w:rsidR="00200694">
        <w:rPr>
          <w:rFonts w:cs="Calibri"/>
          <w:color w:val="000000"/>
          <w:sz w:val="24"/>
          <w:szCs w:val="24"/>
        </w:rPr>
        <w:t>s</w:t>
      </w:r>
      <w:r w:rsidRPr="00992DCD">
        <w:rPr>
          <w:rFonts w:cs="Calibri"/>
          <w:color w:val="000000"/>
          <w:sz w:val="24"/>
          <w:szCs w:val="24"/>
        </w:rPr>
        <w:t xml:space="preserve"> gui</w:t>
      </w:r>
      <w:r w:rsidR="00200694">
        <w:rPr>
          <w:rFonts w:cs="Calibri"/>
          <w:color w:val="000000"/>
          <w:sz w:val="24"/>
          <w:szCs w:val="24"/>
        </w:rPr>
        <w:t xml:space="preserve">delines on the value of a QALY. </w:t>
      </w:r>
      <w:r w:rsidR="00A2681C" w:rsidRPr="00992DCD">
        <w:rPr>
          <w:rFonts w:cs="Calibri"/>
          <w:color w:val="000000"/>
          <w:sz w:val="24"/>
          <w:szCs w:val="24"/>
        </w:rPr>
        <w:t>Currently NICE generally accepts “</w:t>
      </w:r>
      <w:r w:rsidR="00A2681C" w:rsidRPr="00992DCD">
        <w:rPr>
          <w:rFonts w:eastAsia="Times New Roman" w:cs="Times New Roman"/>
          <w:color w:val="000000"/>
          <w:sz w:val="24"/>
          <w:szCs w:val="24"/>
          <w:lang w:eastAsia="en-GB"/>
        </w:rPr>
        <w:t xml:space="preserve">as cost effective those interventions with an </w:t>
      </w:r>
      <w:r w:rsidR="00A2681C" w:rsidRPr="00B36B11">
        <w:rPr>
          <w:rFonts w:eastAsia="Times New Roman" w:cs="Times New Roman"/>
          <w:sz w:val="24"/>
          <w:szCs w:val="24"/>
          <w:lang w:eastAsia="en-GB"/>
        </w:rPr>
        <w:t xml:space="preserve">incremental cost-effectiveness ratio of less than £20,000 per QALY and that there should be increasingly strong reasons for accepting as cost effective interventions with an incremental cost-effectiveness ratio of over £30,000 per </w:t>
      </w:r>
      <w:r w:rsidR="00A2681C" w:rsidRPr="00B36B11">
        <w:rPr>
          <w:rFonts w:eastAsia="Times New Roman" w:cs="Times New Roman"/>
          <w:sz w:val="24"/>
          <w:szCs w:val="24"/>
          <w:lang w:eastAsia="en-GB"/>
        </w:rPr>
        <w:lastRenderedPageBreak/>
        <w:t>QALY.”</w:t>
      </w:r>
      <w:r w:rsidR="00992DCD" w:rsidRPr="00B36B11">
        <w:rPr>
          <w:rStyle w:val="FootnoteReference"/>
          <w:rFonts w:eastAsia="Times New Roman" w:cs="Times New Roman"/>
          <w:sz w:val="24"/>
          <w:szCs w:val="24"/>
          <w:lang w:eastAsia="en-GB"/>
        </w:rPr>
        <w:footnoteReference w:id="7"/>
      </w:r>
      <w:r w:rsidR="00A2681C" w:rsidRPr="00B36B11">
        <w:rPr>
          <w:rFonts w:eastAsia="Times New Roman" w:cs="Times New Roman"/>
          <w:sz w:val="24"/>
          <w:szCs w:val="24"/>
          <w:lang w:eastAsia="en-GB"/>
        </w:rPr>
        <w:t> </w:t>
      </w:r>
      <w:r w:rsidR="00B36B11" w:rsidRPr="00B36B11">
        <w:rPr>
          <w:rFonts w:eastAsia="Times New Roman" w:cs="Times New Roman"/>
          <w:sz w:val="24"/>
          <w:szCs w:val="24"/>
          <w:lang w:eastAsia="en-GB"/>
        </w:rPr>
        <w:t>In other words</w:t>
      </w:r>
      <w:r w:rsidR="000F797A">
        <w:rPr>
          <w:rFonts w:eastAsia="Times New Roman" w:cs="Times New Roman"/>
          <w:sz w:val="24"/>
          <w:szCs w:val="24"/>
          <w:lang w:eastAsia="en-GB"/>
        </w:rPr>
        <w:t>,</w:t>
      </w:r>
      <w:r w:rsidR="00B36B11" w:rsidRPr="00B36B11">
        <w:rPr>
          <w:rFonts w:eastAsia="Times New Roman" w:cs="Times New Roman"/>
          <w:sz w:val="24"/>
          <w:szCs w:val="24"/>
          <w:lang w:eastAsia="en-GB"/>
        </w:rPr>
        <w:t xml:space="preserve"> although treatments are assessed on a case-by-case basis</w:t>
      </w:r>
      <w:r w:rsidR="005D686A">
        <w:rPr>
          <w:rFonts w:eastAsia="Times New Roman" w:cs="Times New Roman"/>
          <w:sz w:val="24"/>
          <w:szCs w:val="24"/>
          <w:lang w:eastAsia="en-GB"/>
        </w:rPr>
        <w:t>,</w:t>
      </w:r>
      <w:r w:rsidR="00B36B11" w:rsidRPr="00B36B11">
        <w:rPr>
          <w:rFonts w:eastAsia="Times New Roman" w:cs="Times New Roman"/>
          <w:sz w:val="24"/>
          <w:szCs w:val="24"/>
          <w:lang w:eastAsia="en-GB"/>
        </w:rPr>
        <w:t xml:space="preserve"> </w:t>
      </w:r>
      <w:r w:rsidR="00A2681C" w:rsidRPr="00B36B11">
        <w:rPr>
          <w:rFonts w:eastAsia="Times New Roman" w:cs="Arial"/>
          <w:sz w:val="24"/>
          <w:szCs w:val="24"/>
          <w:shd w:val="clear" w:color="auto" w:fill="FFFFFF"/>
          <w:lang w:eastAsia="en-GB"/>
        </w:rPr>
        <w:t>treatment</w:t>
      </w:r>
      <w:r w:rsidR="00B36B11" w:rsidRPr="00B36B11">
        <w:rPr>
          <w:rFonts w:eastAsia="Times New Roman" w:cs="Arial"/>
          <w:sz w:val="24"/>
          <w:szCs w:val="24"/>
          <w:shd w:val="clear" w:color="auto" w:fill="FFFFFF"/>
          <w:lang w:eastAsia="en-GB"/>
        </w:rPr>
        <w:t xml:space="preserve">s costing </w:t>
      </w:r>
      <w:r w:rsidR="00A2681C" w:rsidRPr="00B36B11">
        <w:rPr>
          <w:rFonts w:eastAsia="Times New Roman" w:cs="Arial"/>
          <w:sz w:val="24"/>
          <w:szCs w:val="24"/>
          <w:shd w:val="clear" w:color="auto" w:fill="FFFFFF"/>
          <w:lang w:eastAsia="en-GB"/>
        </w:rPr>
        <w:t>more than £20,000-</w:t>
      </w:r>
      <w:r w:rsidR="00A5097A">
        <w:rPr>
          <w:rFonts w:eastAsia="Times New Roman" w:cs="Arial"/>
          <w:sz w:val="24"/>
          <w:szCs w:val="24"/>
          <w:shd w:val="clear" w:color="auto" w:fill="FFFFFF"/>
          <w:lang w:eastAsia="en-GB"/>
        </w:rPr>
        <w:t>£</w:t>
      </w:r>
      <w:r w:rsidR="00A2681C" w:rsidRPr="00B36B11">
        <w:rPr>
          <w:rFonts w:eastAsia="Times New Roman" w:cs="Arial"/>
          <w:sz w:val="24"/>
          <w:szCs w:val="24"/>
          <w:shd w:val="clear" w:color="auto" w:fill="FFFFFF"/>
          <w:lang w:eastAsia="en-GB"/>
        </w:rPr>
        <w:t>30,000 per QALY</w:t>
      </w:r>
      <w:r w:rsidR="00B36B11" w:rsidRPr="00B36B11">
        <w:rPr>
          <w:rFonts w:eastAsia="Times New Roman" w:cs="Arial"/>
          <w:sz w:val="24"/>
          <w:szCs w:val="24"/>
          <w:shd w:val="clear" w:color="auto" w:fill="FFFFFF"/>
          <w:lang w:eastAsia="en-GB"/>
        </w:rPr>
        <w:t xml:space="preserve"> are generally not </w:t>
      </w:r>
      <w:r w:rsidR="00A2681C" w:rsidRPr="00B36B11">
        <w:rPr>
          <w:rFonts w:eastAsia="Times New Roman" w:cs="Arial"/>
          <w:sz w:val="24"/>
          <w:szCs w:val="24"/>
          <w:shd w:val="clear" w:color="auto" w:fill="FFFFFF"/>
          <w:lang w:eastAsia="en-GB"/>
        </w:rPr>
        <w:t>considered cost effective</w:t>
      </w:r>
      <w:r w:rsidR="00B36B11">
        <w:rPr>
          <w:rFonts w:eastAsia="Times New Roman" w:cs="Arial"/>
          <w:sz w:val="24"/>
          <w:szCs w:val="24"/>
          <w:shd w:val="clear" w:color="auto" w:fill="FFFFFF"/>
          <w:lang w:eastAsia="en-GB"/>
        </w:rPr>
        <w:t xml:space="preserve">. NICE is currently undertaking a consultation on the QALY cost-effectiveness threshold, but in the mean time we will use a value of </w:t>
      </w:r>
      <w:r w:rsidR="00A5097A">
        <w:rPr>
          <w:rFonts w:eastAsia="Times New Roman" w:cs="Arial"/>
          <w:sz w:val="24"/>
          <w:szCs w:val="24"/>
          <w:shd w:val="clear" w:color="auto" w:fill="FFFFFF"/>
          <w:lang w:eastAsia="en-GB"/>
        </w:rPr>
        <w:t>£20,000 per QALY in this study, which represents a conservative value estimate.</w:t>
      </w:r>
    </w:p>
    <w:p w14:paraId="2200BB89" w14:textId="77777777" w:rsidR="001C6061" w:rsidRDefault="001C6061" w:rsidP="001C6061">
      <w:pPr>
        <w:spacing w:after="0" w:line="240" w:lineRule="auto"/>
        <w:rPr>
          <w:rFonts w:eastAsia="Times New Roman" w:cs="Arial"/>
          <w:sz w:val="24"/>
          <w:szCs w:val="24"/>
          <w:shd w:val="clear" w:color="auto" w:fill="FFFFFF"/>
          <w:lang w:eastAsia="en-GB"/>
        </w:rPr>
      </w:pPr>
    </w:p>
    <w:p w14:paraId="112748D2" w14:textId="77777777" w:rsidR="001C6061" w:rsidRPr="001C6061" w:rsidRDefault="001C6061" w:rsidP="001C6061">
      <w:pPr>
        <w:spacing w:after="0" w:line="240" w:lineRule="auto"/>
      </w:pPr>
      <w:r w:rsidRPr="001C6061">
        <w:rPr>
          <w:sz w:val="24"/>
          <w:szCs w:val="24"/>
          <w:shd w:val="clear" w:color="auto" w:fill="FFFFFF"/>
          <w:lang w:eastAsia="en-GB"/>
        </w:rPr>
        <w:t xml:space="preserve">The QALY values used by NICE are, therefore, not cashable savings in the same way that costs associated with reductions in medical service usage are. Rather, they represent the amount that the NHS is generally willing to pay for an improvement in QALYs for its patients. QALY values are based on the general population’s perceptions concerning different health states, and the amount of money that the NHS decides it is willing to spend to improve QALYs. In sum, although cost-per-QALY thresholds represent the amount of money that the NHS </w:t>
      </w:r>
      <w:r w:rsidRPr="001C6061">
        <w:rPr>
          <w:i/>
          <w:iCs/>
          <w:sz w:val="24"/>
          <w:szCs w:val="24"/>
          <w:shd w:val="clear" w:color="auto" w:fill="FFFFFF"/>
          <w:lang w:eastAsia="en-GB"/>
        </w:rPr>
        <w:t>would</w:t>
      </w:r>
      <w:r w:rsidRPr="001C6061">
        <w:rPr>
          <w:sz w:val="24"/>
          <w:szCs w:val="24"/>
          <w:shd w:val="clear" w:color="auto" w:fill="FFFFFF"/>
          <w:lang w:eastAsia="en-GB"/>
        </w:rPr>
        <w:t xml:space="preserve"> </w:t>
      </w:r>
      <w:r w:rsidRPr="001C6061">
        <w:rPr>
          <w:i/>
          <w:iCs/>
          <w:sz w:val="24"/>
          <w:szCs w:val="24"/>
          <w:shd w:val="clear" w:color="auto" w:fill="FFFFFF"/>
          <w:lang w:eastAsia="en-GB"/>
        </w:rPr>
        <w:t>be prepared</w:t>
      </w:r>
      <w:r w:rsidRPr="001C6061">
        <w:rPr>
          <w:sz w:val="24"/>
          <w:szCs w:val="24"/>
          <w:shd w:val="clear" w:color="auto" w:fill="FFFFFF"/>
          <w:lang w:eastAsia="en-GB"/>
        </w:rPr>
        <w:t xml:space="preserve"> </w:t>
      </w:r>
      <w:r w:rsidRPr="001C6061">
        <w:rPr>
          <w:i/>
          <w:iCs/>
          <w:sz w:val="24"/>
          <w:szCs w:val="24"/>
          <w:shd w:val="clear" w:color="auto" w:fill="FFFFFF"/>
          <w:lang w:eastAsia="en-GB"/>
        </w:rPr>
        <w:t>to pay</w:t>
      </w:r>
      <w:r w:rsidRPr="001C6061">
        <w:rPr>
          <w:sz w:val="24"/>
          <w:szCs w:val="24"/>
          <w:shd w:val="clear" w:color="auto" w:fill="FFFFFF"/>
          <w:lang w:eastAsia="en-GB"/>
        </w:rPr>
        <w:t>, they may not necessarily translate into costs that the NHS manages to save.</w:t>
      </w:r>
    </w:p>
    <w:p w14:paraId="2B214FCC" w14:textId="77777777" w:rsidR="001C6061" w:rsidRPr="001C6061" w:rsidRDefault="001C6061" w:rsidP="001C6061">
      <w:pPr>
        <w:spacing w:after="0" w:line="240" w:lineRule="auto"/>
      </w:pPr>
      <w:r w:rsidRPr="001C6061">
        <w:rPr>
          <w:sz w:val="24"/>
          <w:szCs w:val="24"/>
          <w:shd w:val="clear" w:color="auto" w:fill="FFFFFF"/>
          <w:lang w:eastAsia="en-GB"/>
        </w:rPr>
        <w:t> </w:t>
      </w:r>
    </w:p>
    <w:p w14:paraId="37FEFEBB" w14:textId="77777777" w:rsidR="000141BA" w:rsidRPr="001C6061" w:rsidRDefault="001C6061" w:rsidP="001C6061">
      <w:pPr>
        <w:spacing w:after="0" w:line="240" w:lineRule="auto"/>
        <w:rPr>
          <w:sz w:val="24"/>
          <w:szCs w:val="24"/>
          <w:shd w:val="clear" w:color="auto" w:fill="FFFFFF"/>
          <w:lang w:eastAsia="en-GB"/>
        </w:rPr>
      </w:pPr>
      <w:r w:rsidRPr="001C6061">
        <w:rPr>
          <w:sz w:val="24"/>
          <w:szCs w:val="24"/>
          <w:shd w:val="clear" w:color="auto" w:fill="FFFFFF"/>
          <w:lang w:eastAsia="en-GB"/>
        </w:rPr>
        <w:t>Medical cost savings (ie, cashable savings) are used regularly in cost-benefit calculations. QALY values are used mainly in health related cost-effectiveness analyses, but monetary values can be attached to them so that they can be used in cost-benefit analysis too. The CASE report (</w:t>
      </w:r>
      <w:r w:rsidR="00E2120F">
        <w:rPr>
          <w:sz w:val="24"/>
          <w:szCs w:val="24"/>
          <w:shd w:val="clear" w:color="auto" w:fill="FFFFFF"/>
          <w:lang w:eastAsia="en-GB"/>
        </w:rPr>
        <w:t xml:space="preserve">Matrix, </w:t>
      </w:r>
      <w:r w:rsidRPr="001C6061">
        <w:rPr>
          <w:sz w:val="24"/>
          <w:szCs w:val="24"/>
          <w:shd w:val="clear" w:color="auto" w:fill="FFFFFF"/>
          <w:lang w:eastAsia="en-GB"/>
        </w:rPr>
        <w:t>2010) adds these values together under the title of ‘total economic value of health gains’. For the above reasons, however, we report them separately in this study.</w:t>
      </w:r>
    </w:p>
    <w:p w14:paraId="4C7F198F" w14:textId="77777777" w:rsidR="001C6061" w:rsidRPr="001C6061" w:rsidRDefault="001C6061" w:rsidP="001C6061">
      <w:pPr>
        <w:spacing w:after="0" w:line="240" w:lineRule="auto"/>
      </w:pPr>
    </w:p>
    <w:p w14:paraId="430463AF" w14:textId="77777777" w:rsidR="00FB56FF" w:rsidRPr="00FB56FF" w:rsidRDefault="00FB56FF" w:rsidP="001C6061">
      <w:pPr>
        <w:spacing w:after="0" w:line="240" w:lineRule="auto"/>
        <w:rPr>
          <w:rFonts w:cs="Arial"/>
          <w:sz w:val="24"/>
        </w:rPr>
      </w:pPr>
      <w:r w:rsidRPr="00FB56FF">
        <w:rPr>
          <w:rFonts w:cs="Arial"/>
          <w:sz w:val="24"/>
        </w:rPr>
        <w:t>To estimate QALY values requ</w:t>
      </w:r>
      <w:r>
        <w:rPr>
          <w:rFonts w:cs="Arial"/>
          <w:sz w:val="24"/>
        </w:rPr>
        <w:t>i</w:t>
      </w:r>
      <w:r w:rsidRPr="00FB56FF">
        <w:rPr>
          <w:rFonts w:cs="Arial"/>
          <w:sz w:val="24"/>
        </w:rPr>
        <w:t>res</w:t>
      </w:r>
      <w:r>
        <w:rPr>
          <w:rFonts w:cs="Arial"/>
          <w:sz w:val="24"/>
        </w:rPr>
        <w:t xml:space="preserve"> knowledge of the health condition or the TTO tariffs for different health states. Therefore, in this study we can only look at the QALY value for depression since it is the only area where a specific health condition is assessed. In other words, we cannot derive QALY values for improvements in general health since we cannot relate this to improvements in QALYs without being more specific. </w:t>
      </w:r>
    </w:p>
    <w:p w14:paraId="1A70F729" w14:textId="77777777" w:rsidR="00FB56FF" w:rsidRDefault="00FB56FF" w:rsidP="00B17245">
      <w:pPr>
        <w:spacing w:after="0" w:line="240" w:lineRule="auto"/>
        <w:rPr>
          <w:rFonts w:cs="Arial"/>
          <w:b/>
          <w:sz w:val="24"/>
        </w:rPr>
      </w:pPr>
    </w:p>
    <w:p w14:paraId="7AC6976A" w14:textId="77777777" w:rsidR="00B17245" w:rsidRPr="00B17245" w:rsidRDefault="00737721" w:rsidP="00B17245">
      <w:pPr>
        <w:spacing w:after="0" w:line="240" w:lineRule="auto"/>
        <w:rPr>
          <w:rFonts w:cs="Arial"/>
          <w:sz w:val="24"/>
        </w:rPr>
      </w:pPr>
      <w:r w:rsidRPr="00BE10CC">
        <w:rPr>
          <w:rFonts w:cs="Arial"/>
          <w:b/>
          <w:sz w:val="24"/>
        </w:rPr>
        <w:t xml:space="preserve">B.1.2. </w:t>
      </w:r>
      <w:r w:rsidR="00B17245" w:rsidRPr="00BE10CC">
        <w:rPr>
          <w:rFonts w:cs="Arial"/>
          <w:b/>
          <w:sz w:val="24"/>
        </w:rPr>
        <w:t>Education</w:t>
      </w:r>
      <w:r w:rsidR="00B17245" w:rsidRPr="00B17245">
        <w:rPr>
          <w:rFonts w:cs="Arial"/>
          <w:sz w:val="24"/>
        </w:rPr>
        <w:t xml:space="preserve"> </w:t>
      </w:r>
    </w:p>
    <w:p w14:paraId="2FABAE34" w14:textId="77777777" w:rsidR="00757803" w:rsidRDefault="00757803" w:rsidP="00B17245">
      <w:pPr>
        <w:spacing w:after="0" w:line="240" w:lineRule="auto"/>
        <w:rPr>
          <w:rFonts w:cs="Arial"/>
          <w:color w:val="FF0000"/>
          <w:sz w:val="24"/>
        </w:rPr>
      </w:pPr>
    </w:p>
    <w:p w14:paraId="6846BB8F" w14:textId="77777777" w:rsidR="005F0F88" w:rsidRDefault="005F0F88" w:rsidP="005F0F88">
      <w:pPr>
        <w:spacing w:after="0" w:line="240" w:lineRule="auto"/>
        <w:rPr>
          <w:rFonts w:cs="Arial"/>
          <w:sz w:val="24"/>
        </w:rPr>
      </w:pPr>
      <w:r w:rsidRPr="000141BA">
        <w:rPr>
          <w:rFonts w:cs="Arial"/>
          <w:sz w:val="24"/>
        </w:rPr>
        <w:t xml:space="preserve">We look at the </w:t>
      </w:r>
      <w:r w:rsidR="00982624">
        <w:rPr>
          <w:rFonts w:cstheme="majorHAnsi"/>
          <w:sz w:val="24"/>
          <w:szCs w:val="24"/>
        </w:rPr>
        <w:t xml:space="preserve">relationship between </w:t>
      </w:r>
      <w:r w:rsidRPr="000141BA">
        <w:rPr>
          <w:rFonts w:cs="Arial"/>
          <w:sz w:val="24"/>
        </w:rPr>
        <w:t xml:space="preserve">engagement in culture and sport </w:t>
      </w:r>
      <w:r w:rsidR="00982624">
        <w:rPr>
          <w:rFonts w:cs="Arial"/>
          <w:sz w:val="24"/>
        </w:rPr>
        <w:t xml:space="preserve">and </w:t>
      </w:r>
      <w:r w:rsidRPr="000141BA">
        <w:rPr>
          <w:rFonts w:cs="Arial"/>
          <w:sz w:val="24"/>
        </w:rPr>
        <w:t xml:space="preserve">participation in </w:t>
      </w:r>
      <w:r w:rsidR="00276D43">
        <w:rPr>
          <w:rFonts w:cs="Arial"/>
          <w:sz w:val="24"/>
        </w:rPr>
        <w:t>further education (FE)/</w:t>
      </w:r>
      <w:r w:rsidRPr="000141BA">
        <w:rPr>
          <w:rFonts w:cs="Arial"/>
          <w:sz w:val="24"/>
        </w:rPr>
        <w:t xml:space="preserve">higher education </w:t>
      </w:r>
      <w:r w:rsidR="00276D43">
        <w:rPr>
          <w:rFonts w:cs="Arial"/>
          <w:sz w:val="24"/>
        </w:rPr>
        <w:t xml:space="preserve">(HE) </w:t>
      </w:r>
      <w:r w:rsidRPr="000141BA">
        <w:rPr>
          <w:rFonts w:cs="Arial"/>
          <w:sz w:val="24"/>
        </w:rPr>
        <w:t>and</w:t>
      </w:r>
      <w:r>
        <w:rPr>
          <w:rFonts w:cs="Arial"/>
          <w:sz w:val="24"/>
        </w:rPr>
        <w:t xml:space="preserve"> derive values for this by estimating the increases in life time earnings and income tax that are due to higher education.</w:t>
      </w:r>
    </w:p>
    <w:p w14:paraId="7C963F67" w14:textId="77777777" w:rsidR="005F0F88" w:rsidRDefault="005F0F88" w:rsidP="005F0F88">
      <w:pPr>
        <w:spacing w:after="0" w:line="240" w:lineRule="auto"/>
        <w:rPr>
          <w:rFonts w:cs="Arial"/>
          <w:sz w:val="24"/>
        </w:rPr>
      </w:pPr>
    </w:p>
    <w:p w14:paraId="2B0B462F" w14:textId="77777777" w:rsidR="005F0F88" w:rsidRDefault="005F0F88" w:rsidP="005F0F88">
      <w:pPr>
        <w:spacing w:after="0" w:line="240" w:lineRule="auto"/>
        <w:rPr>
          <w:rFonts w:cs="Arial"/>
          <w:sz w:val="24"/>
        </w:rPr>
      </w:pPr>
      <w:r w:rsidRPr="00201591">
        <w:rPr>
          <w:rFonts w:cs="Arial"/>
          <w:sz w:val="24"/>
        </w:rPr>
        <w:t>Again this requires an indirect method. We are interested in whether engagement in culture and sport early on lead</w:t>
      </w:r>
      <w:r w:rsidR="00201591" w:rsidRPr="00201591">
        <w:rPr>
          <w:rFonts w:cs="Arial"/>
          <w:sz w:val="24"/>
        </w:rPr>
        <w:t>s</w:t>
      </w:r>
      <w:r w:rsidRPr="00201591">
        <w:rPr>
          <w:rFonts w:cs="Arial"/>
          <w:sz w:val="24"/>
        </w:rPr>
        <w:t xml:space="preserve"> to participation in</w:t>
      </w:r>
      <w:r w:rsidR="00060146">
        <w:rPr>
          <w:rFonts w:cs="Arial"/>
          <w:sz w:val="24"/>
        </w:rPr>
        <w:t xml:space="preserve"> FE/HE</w:t>
      </w:r>
      <w:r w:rsidRPr="00201591">
        <w:rPr>
          <w:rFonts w:cs="Arial"/>
          <w:sz w:val="24"/>
        </w:rPr>
        <w:t xml:space="preserve"> later. </w:t>
      </w:r>
      <w:r w:rsidR="00201591">
        <w:rPr>
          <w:rFonts w:cs="Arial"/>
          <w:sz w:val="24"/>
        </w:rPr>
        <w:t>Fujiwara</w:t>
      </w:r>
      <w:r w:rsidR="00276D43">
        <w:rPr>
          <w:rFonts w:cs="Arial"/>
          <w:sz w:val="24"/>
        </w:rPr>
        <w:t xml:space="preserve"> et al.</w:t>
      </w:r>
      <w:r w:rsidR="00201591">
        <w:rPr>
          <w:rFonts w:cs="Arial"/>
          <w:sz w:val="24"/>
        </w:rPr>
        <w:t xml:space="preserve"> (</w:t>
      </w:r>
      <w:r w:rsidR="00E2120F">
        <w:rPr>
          <w:rFonts w:cs="Arial"/>
          <w:sz w:val="24"/>
        </w:rPr>
        <w:t>2014a</w:t>
      </w:r>
      <w:r w:rsidRPr="00201591">
        <w:rPr>
          <w:rFonts w:cs="Arial"/>
          <w:sz w:val="24"/>
        </w:rPr>
        <w:t>)</w:t>
      </w:r>
      <w:r w:rsidR="00276D43">
        <w:rPr>
          <w:rFonts w:cs="Arial"/>
          <w:sz w:val="24"/>
        </w:rPr>
        <w:t xml:space="preserve"> estimate</w:t>
      </w:r>
      <w:r w:rsidR="00201591">
        <w:rPr>
          <w:rFonts w:cs="Arial"/>
          <w:sz w:val="24"/>
        </w:rPr>
        <w:t xml:space="preserve"> the impact of engagement in culture and sport on people’s self-reported likelihood of going on to </w:t>
      </w:r>
      <w:r w:rsidR="00060146">
        <w:rPr>
          <w:rFonts w:cs="Arial"/>
          <w:sz w:val="24"/>
        </w:rPr>
        <w:t>FE</w:t>
      </w:r>
      <w:r w:rsidR="00276D43">
        <w:rPr>
          <w:rFonts w:cs="Arial"/>
          <w:sz w:val="24"/>
        </w:rPr>
        <w:t>/</w:t>
      </w:r>
      <w:r w:rsidR="00060146">
        <w:rPr>
          <w:rFonts w:cs="Arial"/>
          <w:sz w:val="24"/>
        </w:rPr>
        <w:t>HE</w:t>
      </w:r>
      <w:r w:rsidR="00784A2F">
        <w:rPr>
          <w:rFonts w:cs="Arial"/>
          <w:sz w:val="24"/>
        </w:rPr>
        <w:t xml:space="preserve"> using Understanding Society:</w:t>
      </w:r>
    </w:p>
    <w:p w14:paraId="6A9044F9" w14:textId="77777777" w:rsidR="00784A2F" w:rsidRDefault="00784A2F" w:rsidP="005F0F88">
      <w:pPr>
        <w:spacing w:after="0" w:line="240" w:lineRule="auto"/>
        <w:rPr>
          <w:rFonts w:cs="Arial"/>
          <w:sz w:val="24"/>
        </w:rPr>
      </w:pPr>
    </w:p>
    <w:p w14:paraId="3BB304BC" w14:textId="77777777" w:rsidR="00784A2F" w:rsidRDefault="0008328E" w:rsidP="00784A2F">
      <w:pPr>
        <w:spacing w:after="0" w:line="240" w:lineRule="auto"/>
        <w:rPr>
          <w:rFonts w:cs="Arial"/>
          <w:sz w:val="24"/>
        </w:rPr>
      </w:pPr>
      <m:oMath>
        <m:sSub>
          <m:sSubPr>
            <m:ctrlPr>
              <w:rPr>
                <w:rFonts w:ascii="Cambria Math" w:hAnsi="Cambria Math" w:cs="Arial"/>
                <w:i/>
                <w:sz w:val="24"/>
              </w:rPr>
            </m:ctrlPr>
          </m:sSubPr>
          <m:e>
            <m:r>
              <w:rPr>
                <w:rFonts w:ascii="Cambria Math" w:hAnsi="Cambria Math" w:cs="Arial"/>
                <w:sz w:val="24"/>
              </w:rPr>
              <m:t>EI</m:t>
            </m:r>
          </m:e>
          <m:sub>
            <m:r>
              <w:rPr>
                <w:rFonts w:ascii="Cambria Math" w:hAnsi="Cambria Math" w:cs="Arial"/>
                <w:sz w:val="24"/>
              </w:rPr>
              <m:t>i</m:t>
            </m:r>
          </m:sub>
        </m:sSub>
        <m:r>
          <w:rPr>
            <w:rFonts w:ascii="Cambria Math" w:hAnsi="Cambria Math" w:cs="Arial"/>
            <w:sz w:val="24"/>
          </w:rPr>
          <m:t>=α</m:t>
        </m:r>
        <m:r>
          <m:rPr>
            <m:sty m:val="p"/>
          </m:rP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5</m:t>
            </m:r>
          </m:sub>
        </m:sSub>
        <m:sSub>
          <m:sSubPr>
            <m:ctrlPr>
              <w:rPr>
                <w:rFonts w:ascii="Cambria Math" w:hAnsi="Cambria Math" w:cs="Arial"/>
                <w:i/>
                <w:sz w:val="24"/>
              </w:rPr>
            </m:ctrlPr>
          </m:sSubPr>
          <m:e>
            <m:r>
              <w:rPr>
                <w:rFonts w:ascii="Cambria Math" w:hAnsi="Cambria Math" w:cs="Arial"/>
                <w:sz w:val="24"/>
              </w:rPr>
              <m:t>Q</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6</m:t>
            </m:r>
          </m:sub>
        </m:sSub>
        <m:sSub>
          <m:sSubPr>
            <m:ctrlPr>
              <w:rPr>
                <w:rFonts w:ascii="Cambria Math" w:hAnsi="Cambria Math" w:cs="Arial"/>
                <w:i/>
                <w:sz w:val="24"/>
              </w:rPr>
            </m:ctrlPr>
          </m:sSubPr>
          <m:e>
            <m:r>
              <w:rPr>
                <w:rFonts w:ascii="Cambria Math" w:hAnsi="Cambria Math" w:cs="Arial"/>
                <w:sz w:val="24"/>
              </w:rPr>
              <m:t>X(EI)</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i</m:t>
            </m:r>
          </m:sub>
        </m:sSub>
      </m:oMath>
      <w:r w:rsidR="00784A2F">
        <w:rPr>
          <w:rFonts w:cs="Arial"/>
          <w:sz w:val="24"/>
        </w:rPr>
        <w:t xml:space="preserve"> </w:t>
      </w:r>
      <w:r w:rsidR="00784A2F">
        <w:rPr>
          <w:rFonts w:cs="Arial"/>
          <w:sz w:val="24"/>
        </w:rPr>
        <w:tab/>
      </w:r>
      <w:r w:rsidR="00784A2F">
        <w:rPr>
          <w:rFonts w:cs="Arial"/>
          <w:sz w:val="24"/>
        </w:rPr>
        <w:tab/>
      </w:r>
      <w:r w:rsidR="00784A2F">
        <w:rPr>
          <w:rFonts w:cs="Arial"/>
          <w:sz w:val="24"/>
        </w:rPr>
        <w:tab/>
        <w:t>(3</w:t>
      </w:r>
      <w:r w:rsidR="00784A2F" w:rsidRPr="00B17245">
        <w:rPr>
          <w:rFonts w:cs="Arial"/>
          <w:sz w:val="24"/>
        </w:rPr>
        <w:t>)</w:t>
      </w:r>
    </w:p>
    <w:p w14:paraId="5DC978F0" w14:textId="77777777" w:rsidR="00784A2F" w:rsidRDefault="00784A2F" w:rsidP="005F0F88">
      <w:pPr>
        <w:spacing w:after="0" w:line="240" w:lineRule="auto"/>
        <w:rPr>
          <w:rFonts w:cs="Arial"/>
          <w:sz w:val="24"/>
        </w:rPr>
      </w:pPr>
    </w:p>
    <w:p w14:paraId="15316475" w14:textId="77777777" w:rsidR="00784A2F" w:rsidRDefault="00784A2F" w:rsidP="005F0F88">
      <w:pPr>
        <w:spacing w:after="0" w:line="240" w:lineRule="auto"/>
        <w:rPr>
          <w:rFonts w:cs="Arial"/>
          <w:sz w:val="24"/>
        </w:rPr>
      </w:pPr>
      <w:r>
        <w:rPr>
          <w:rFonts w:cs="Arial"/>
          <w:sz w:val="24"/>
        </w:rPr>
        <w:t>where</w:t>
      </w:r>
      <w:r>
        <w:rPr>
          <w:rFonts w:eastAsiaTheme="minorEastAsia" w:cs="Arial"/>
          <w:sz w:val="24"/>
        </w:rPr>
        <w:t xml:space="preserve"> </w:t>
      </w:r>
      <m:oMath>
        <m:sSub>
          <m:sSubPr>
            <m:ctrlPr>
              <w:rPr>
                <w:rFonts w:ascii="Cambria Math" w:hAnsi="Cambria Math" w:cs="Arial"/>
                <w:i/>
                <w:sz w:val="24"/>
              </w:rPr>
            </m:ctrlPr>
          </m:sSubPr>
          <m:e>
            <m:r>
              <w:rPr>
                <w:rFonts w:ascii="Cambria Math" w:hAnsi="Cambria Math" w:cs="Arial"/>
                <w:sz w:val="24"/>
              </w:rPr>
              <m:t>EI</m:t>
            </m:r>
          </m:e>
          <m:sub>
            <m:r>
              <w:rPr>
                <w:rFonts w:ascii="Cambria Math" w:hAnsi="Cambria Math" w:cs="Arial"/>
                <w:sz w:val="24"/>
              </w:rPr>
              <m:t>i</m:t>
            </m:r>
          </m:sub>
        </m:sSub>
      </m:oMath>
      <w:r>
        <w:rPr>
          <w:rFonts w:eastAsiaTheme="minorEastAsia" w:cs="Arial"/>
          <w:sz w:val="24"/>
        </w:rPr>
        <w:t xml:space="preserve"> is the self-reported </w:t>
      </w:r>
      <w:r w:rsidR="002E4A84">
        <w:rPr>
          <w:rFonts w:eastAsiaTheme="minorEastAsia" w:cs="Arial"/>
          <w:sz w:val="24"/>
        </w:rPr>
        <w:t xml:space="preserve">education </w:t>
      </w:r>
      <w:r>
        <w:rPr>
          <w:rFonts w:eastAsiaTheme="minorEastAsia" w:cs="Arial"/>
          <w:sz w:val="24"/>
        </w:rPr>
        <w:t xml:space="preserve">intention </w:t>
      </w:r>
      <w:r w:rsidR="00966B2F">
        <w:rPr>
          <w:rFonts w:eastAsiaTheme="minorEastAsia" w:cs="Arial"/>
          <w:sz w:val="24"/>
        </w:rPr>
        <w:t xml:space="preserve">to go on to </w:t>
      </w:r>
      <w:r w:rsidR="00060146">
        <w:rPr>
          <w:rFonts w:eastAsiaTheme="minorEastAsia" w:cs="Arial"/>
          <w:sz w:val="24"/>
        </w:rPr>
        <w:t>FE/HE</w:t>
      </w:r>
      <w:r w:rsidR="00966B2F">
        <w:rPr>
          <w:rFonts w:eastAsiaTheme="minorEastAsia" w:cs="Arial"/>
          <w:sz w:val="24"/>
        </w:rPr>
        <w:t xml:space="preserve"> education</w:t>
      </w:r>
      <w:r w:rsidR="0095327A">
        <w:rPr>
          <w:rFonts w:eastAsiaTheme="minorEastAsia" w:cs="Arial"/>
          <w:sz w:val="24"/>
        </w:rPr>
        <w:t xml:space="preserve"> </w:t>
      </w:r>
      <w:r w:rsidR="0095327A" w:rsidRPr="00C82EFF">
        <w:rPr>
          <w:rFonts w:cstheme="minorHAnsi"/>
          <w:sz w:val="24"/>
          <w:szCs w:val="24"/>
        </w:rPr>
        <w:t>(college or university)</w:t>
      </w:r>
      <w:r w:rsidR="00966B2F">
        <w:rPr>
          <w:rFonts w:eastAsiaTheme="minorEastAsia" w:cs="Arial"/>
          <w:sz w:val="24"/>
        </w:rPr>
        <w:t xml:space="preserve"> for</w:t>
      </w:r>
      <w:r>
        <w:rPr>
          <w:rFonts w:eastAsiaTheme="minorEastAsia" w:cs="Arial"/>
          <w:sz w:val="24"/>
        </w:rPr>
        <w:t xml:space="preserve"> i</w:t>
      </w:r>
      <w:r w:rsidRPr="00E41E95">
        <w:rPr>
          <w:rFonts w:eastAsiaTheme="minorEastAsia" w:cs="Arial"/>
          <w:sz w:val="24"/>
        </w:rPr>
        <w:t>ndividual</w:t>
      </w:r>
      <w:r>
        <w:rPr>
          <w:rFonts w:eastAsiaTheme="minorEastAsia" w:cs="Arial"/>
          <w:i/>
          <w:sz w:val="24"/>
        </w:rPr>
        <w:t xml:space="preserve"> </w:t>
      </w:r>
      <m:oMath>
        <m:r>
          <w:rPr>
            <w:rFonts w:ascii="Cambria Math" w:eastAsiaTheme="minorEastAsia" w:hAnsi="Cambria Math" w:cs="Arial"/>
            <w:sz w:val="24"/>
          </w:rPr>
          <m:t>i</m:t>
        </m:r>
      </m:oMath>
      <w:r>
        <w:rPr>
          <w:rFonts w:cs="Arial"/>
          <w:sz w:val="24"/>
        </w:rPr>
        <w:t xml:space="preserve">; </w:t>
      </w:r>
      <m:oMath>
        <m:sSub>
          <m:sSubPr>
            <m:ctrlPr>
              <w:rPr>
                <w:rFonts w:ascii="Cambria Math" w:hAnsi="Cambria Math" w:cs="Arial"/>
                <w:i/>
                <w:sz w:val="24"/>
              </w:rPr>
            </m:ctrlPr>
          </m:sSubPr>
          <m:e>
            <m:r>
              <w:rPr>
                <w:rFonts w:ascii="Cambria Math" w:hAnsi="Cambria Math" w:cs="Arial"/>
                <w:sz w:val="24"/>
              </w:rPr>
              <m:t>Q</m:t>
            </m:r>
          </m:e>
          <m:sub>
            <m:r>
              <w:rPr>
                <w:rFonts w:ascii="Cambria Math" w:hAnsi="Cambria Math" w:cs="Arial"/>
                <w:sz w:val="24"/>
              </w:rPr>
              <m:t>i</m:t>
            </m:r>
          </m:sub>
        </m:sSub>
      </m:oMath>
      <w:r w:rsidRPr="00B17245">
        <w:rPr>
          <w:rFonts w:cs="Arial"/>
          <w:sz w:val="24"/>
        </w:rPr>
        <w:t xml:space="preserve"> is a vector of culture and sports engagement variables and </w:t>
      </w:r>
      <m:oMath>
        <m:sSub>
          <m:sSubPr>
            <m:ctrlPr>
              <w:rPr>
                <w:rFonts w:ascii="Cambria Math" w:hAnsi="Cambria Math" w:cs="Arial"/>
                <w:i/>
                <w:sz w:val="24"/>
              </w:rPr>
            </m:ctrlPr>
          </m:sSubPr>
          <m:e>
            <m:r>
              <w:rPr>
                <w:rFonts w:ascii="Cambria Math" w:hAnsi="Cambria Math" w:cs="Arial"/>
                <w:sz w:val="24"/>
              </w:rPr>
              <m:t>X(EI)</m:t>
            </m:r>
          </m:e>
          <m:sub>
            <m:r>
              <w:rPr>
                <w:rFonts w:ascii="Cambria Math" w:hAnsi="Cambria Math" w:cs="Arial"/>
                <w:sz w:val="24"/>
              </w:rPr>
              <m:t>i</m:t>
            </m:r>
          </m:sub>
        </m:sSub>
      </m:oMath>
      <w:r w:rsidRPr="00B17245">
        <w:rPr>
          <w:rFonts w:cs="Arial"/>
          <w:sz w:val="24"/>
        </w:rPr>
        <w:t xml:space="preserve"> are other determinants of </w:t>
      </w:r>
      <m:oMath>
        <m:sSub>
          <m:sSubPr>
            <m:ctrlPr>
              <w:rPr>
                <w:rFonts w:ascii="Cambria Math" w:hAnsi="Cambria Math" w:cs="Arial"/>
                <w:i/>
                <w:sz w:val="24"/>
              </w:rPr>
            </m:ctrlPr>
          </m:sSubPr>
          <m:e>
            <m:r>
              <w:rPr>
                <w:rFonts w:ascii="Cambria Math" w:hAnsi="Cambria Math" w:cs="Arial"/>
                <w:sz w:val="24"/>
              </w:rPr>
              <m:t>EI</m:t>
            </m:r>
          </m:e>
          <m:sub>
            <m:r>
              <w:rPr>
                <w:rFonts w:ascii="Cambria Math" w:hAnsi="Cambria Math" w:cs="Arial"/>
                <w:sz w:val="24"/>
              </w:rPr>
              <m:t>i</m:t>
            </m:r>
          </m:sub>
        </m:sSub>
      </m:oMath>
      <w:r w:rsidRPr="00B17245">
        <w:rPr>
          <w:rFonts w:cs="Arial"/>
          <w:sz w:val="24"/>
        </w:rPr>
        <w:t xml:space="preserve">. </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5</m:t>
            </m:r>
          </m:sub>
        </m:sSub>
      </m:oMath>
      <w:r>
        <w:rPr>
          <w:rFonts w:eastAsiaTheme="minorEastAsia" w:cs="Arial"/>
          <w:sz w:val="24"/>
        </w:rPr>
        <w:t xml:space="preserve"> is an estimate of the impact </w:t>
      </w:r>
      <w:r w:rsidR="00EA11A4">
        <w:rPr>
          <w:rFonts w:eastAsiaTheme="minorEastAsia" w:cs="Arial"/>
          <w:sz w:val="24"/>
        </w:rPr>
        <w:t xml:space="preserve">of </w:t>
      </w:r>
      <w:r w:rsidR="00EA11A4" w:rsidRPr="00B17245">
        <w:rPr>
          <w:rFonts w:cs="Arial"/>
          <w:sz w:val="24"/>
        </w:rPr>
        <w:t xml:space="preserve">culture and sports </w:t>
      </w:r>
      <w:r w:rsidR="00EA11A4" w:rsidRPr="00B17245">
        <w:rPr>
          <w:rFonts w:cs="Arial"/>
          <w:sz w:val="24"/>
        </w:rPr>
        <w:lastRenderedPageBreak/>
        <w:t>engagement</w:t>
      </w:r>
      <w:r w:rsidR="00EA11A4">
        <w:rPr>
          <w:rFonts w:eastAsiaTheme="minorEastAsia" w:cs="Arial"/>
          <w:sz w:val="24"/>
        </w:rPr>
        <w:t xml:space="preserve"> on </w:t>
      </w:r>
      <w:r w:rsidR="00EA11A4">
        <w:rPr>
          <w:rFonts w:cs="Arial"/>
          <w:sz w:val="24"/>
        </w:rPr>
        <w:t>self-reported likelihood of going on to</w:t>
      </w:r>
      <w:r w:rsidR="00060146">
        <w:rPr>
          <w:rFonts w:cs="Arial"/>
          <w:sz w:val="24"/>
        </w:rPr>
        <w:t xml:space="preserve"> FE/HE</w:t>
      </w:r>
      <w:r w:rsidR="00EA11A4">
        <w:rPr>
          <w:rFonts w:cs="Arial"/>
          <w:sz w:val="24"/>
        </w:rPr>
        <w:t>.</w:t>
      </w:r>
      <w:r w:rsidR="00060146">
        <w:rPr>
          <w:rFonts w:cs="Arial"/>
          <w:sz w:val="24"/>
        </w:rPr>
        <w:t xml:space="preserve"> We look at college and university (ie, FE and HE) since this is how the question is worded in Understanding Society. </w:t>
      </w:r>
      <w:r w:rsidR="0095327A">
        <w:rPr>
          <w:rFonts w:cs="Arial"/>
          <w:sz w:val="24"/>
        </w:rPr>
        <w:t xml:space="preserve"> </w:t>
      </w:r>
    </w:p>
    <w:p w14:paraId="22E7AB1B" w14:textId="77777777" w:rsidR="00201591" w:rsidRDefault="00201591" w:rsidP="005F0F88">
      <w:pPr>
        <w:spacing w:after="0" w:line="240" w:lineRule="auto"/>
        <w:rPr>
          <w:rFonts w:cs="Arial"/>
          <w:sz w:val="24"/>
        </w:rPr>
      </w:pPr>
    </w:p>
    <w:p w14:paraId="2C9BF30A" w14:textId="77777777" w:rsidR="00201591" w:rsidRDefault="00EA11A4" w:rsidP="005F0F88">
      <w:pPr>
        <w:spacing w:after="0" w:line="240" w:lineRule="auto"/>
        <w:rPr>
          <w:rFonts w:cs="Arial"/>
          <w:sz w:val="24"/>
        </w:rPr>
      </w:pPr>
      <w:r>
        <w:rPr>
          <w:rFonts w:cs="Arial"/>
          <w:sz w:val="24"/>
        </w:rPr>
        <w:t xml:space="preserve">Using the longitudinal nature of the </w:t>
      </w:r>
      <w:r w:rsidR="00201591">
        <w:rPr>
          <w:rFonts w:cs="Arial"/>
          <w:sz w:val="24"/>
        </w:rPr>
        <w:t xml:space="preserve">BHPS </w:t>
      </w:r>
      <w:r>
        <w:rPr>
          <w:rFonts w:cs="Arial"/>
          <w:sz w:val="24"/>
        </w:rPr>
        <w:t xml:space="preserve">we can assess whether education intention affects education behaviour in later years. We, thus, use the BHPS </w:t>
      </w:r>
      <w:r w:rsidR="00201591">
        <w:rPr>
          <w:rFonts w:cs="Arial"/>
          <w:sz w:val="24"/>
        </w:rPr>
        <w:t xml:space="preserve">to subsequently </w:t>
      </w:r>
      <w:r w:rsidR="00F55A15">
        <w:rPr>
          <w:rFonts w:cs="Arial"/>
          <w:sz w:val="24"/>
        </w:rPr>
        <w:t>assess the relationship between education intention and behaviour:</w:t>
      </w:r>
    </w:p>
    <w:p w14:paraId="75C7A45D" w14:textId="77777777" w:rsidR="00F55A15" w:rsidRDefault="00F55A15" w:rsidP="005F0F88">
      <w:pPr>
        <w:spacing w:after="0" w:line="240" w:lineRule="auto"/>
        <w:rPr>
          <w:rFonts w:cs="Arial"/>
          <w:sz w:val="24"/>
        </w:rPr>
      </w:pPr>
    </w:p>
    <w:p w14:paraId="06F98CE8" w14:textId="77777777" w:rsidR="00F55A15" w:rsidRDefault="0008328E" w:rsidP="00F55A15">
      <w:pPr>
        <w:spacing w:after="0" w:line="240" w:lineRule="auto"/>
        <w:rPr>
          <w:rFonts w:cs="Arial"/>
          <w:sz w:val="24"/>
        </w:rPr>
      </w:pPr>
      <m:oMath>
        <m:sSub>
          <m:sSubPr>
            <m:ctrlPr>
              <w:rPr>
                <w:rFonts w:ascii="Cambria Math" w:hAnsi="Cambria Math" w:cs="Arial"/>
                <w:i/>
                <w:sz w:val="24"/>
              </w:rPr>
            </m:ctrlPr>
          </m:sSubPr>
          <m:e>
            <m:r>
              <w:rPr>
                <w:rFonts w:ascii="Cambria Math" w:hAnsi="Cambria Math" w:cs="Arial"/>
                <w:sz w:val="24"/>
              </w:rPr>
              <m:t>E</m:t>
            </m:r>
          </m:e>
          <m:sub>
            <m:r>
              <w:rPr>
                <w:rFonts w:ascii="Cambria Math" w:hAnsi="Cambria Math" w:cs="Arial"/>
                <w:sz w:val="24"/>
              </w:rPr>
              <m:t>it</m:t>
            </m:r>
          </m:sub>
        </m:sSub>
        <m:r>
          <w:rPr>
            <w:rFonts w:ascii="Cambria Math" w:hAnsi="Cambria Math" w:cs="Arial"/>
            <w:sz w:val="24"/>
          </w:rPr>
          <m:t>=α</m:t>
        </m:r>
        <m:r>
          <m:rPr>
            <m:sty m:val="p"/>
          </m:rPr>
          <w:rPr>
            <w:rFonts w:ascii="Cambria Math" w:hAnsi="Cambria Math" w:cs="Arial"/>
            <w:sz w:val="24"/>
          </w:rPr>
          <m:t>+</m:t>
        </m:r>
        <m:sSub>
          <m:sSubPr>
            <m:ctrlPr>
              <w:rPr>
                <w:rFonts w:ascii="Cambria Math" w:hAnsi="Cambria Math" w:cs="Arial"/>
                <w:sz w:val="24"/>
              </w:rPr>
            </m:ctrlPr>
          </m:sSubPr>
          <m:e>
            <m:r>
              <w:rPr>
                <w:rFonts w:ascii="Cambria Math" w:hAnsi="Cambria Math" w:cs="Arial"/>
                <w:sz w:val="24"/>
              </w:rPr>
              <m:t>β</m:t>
            </m:r>
          </m:e>
          <m:sub>
            <m:r>
              <w:rPr>
                <w:rFonts w:ascii="Cambria Math" w:hAnsi="Cambria Math" w:cs="Arial"/>
                <w:sz w:val="24"/>
              </w:rPr>
              <m:t>7</m:t>
            </m:r>
          </m:sub>
        </m:sSub>
        <m:sSub>
          <m:sSubPr>
            <m:ctrlPr>
              <w:rPr>
                <w:rFonts w:ascii="Cambria Math" w:hAnsi="Cambria Math" w:cs="Arial"/>
                <w:i/>
                <w:sz w:val="24"/>
              </w:rPr>
            </m:ctrlPr>
          </m:sSubPr>
          <m:e>
            <m:r>
              <w:rPr>
                <w:rFonts w:ascii="Cambria Math" w:hAnsi="Cambria Math" w:cs="Arial"/>
                <w:sz w:val="24"/>
              </w:rPr>
              <m:t>EI</m:t>
            </m:r>
          </m:e>
          <m:sub>
            <m:r>
              <w:rPr>
                <w:rFonts w:ascii="Cambria Math" w:hAnsi="Cambria Math" w:cs="Arial"/>
                <w:sz w:val="24"/>
              </w:rPr>
              <m:t>it-1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8</m:t>
            </m:r>
          </m:sub>
        </m:sSub>
        <m:sSub>
          <m:sSubPr>
            <m:ctrlPr>
              <w:rPr>
                <w:rFonts w:ascii="Cambria Math" w:hAnsi="Cambria Math" w:cs="Arial"/>
                <w:i/>
                <w:sz w:val="24"/>
              </w:rPr>
            </m:ctrlPr>
          </m:sSubPr>
          <m:e>
            <m:r>
              <w:rPr>
                <w:rFonts w:ascii="Cambria Math" w:hAnsi="Cambria Math" w:cs="Arial"/>
                <w:sz w:val="24"/>
              </w:rPr>
              <m:t>X(S)</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ε</m:t>
            </m:r>
          </m:e>
          <m:sub>
            <m:r>
              <w:rPr>
                <w:rFonts w:ascii="Cambria Math" w:hAnsi="Cambria Math" w:cs="Arial"/>
                <w:sz w:val="24"/>
              </w:rPr>
              <m:t>i</m:t>
            </m:r>
          </m:sub>
        </m:sSub>
      </m:oMath>
      <w:r w:rsidR="00EA11A4">
        <w:rPr>
          <w:rFonts w:cs="Arial"/>
          <w:sz w:val="24"/>
        </w:rPr>
        <w:t xml:space="preserve"> </w:t>
      </w:r>
      <w:r w:rsidR="00EA11A4">
        <w:rPr>
          <w:rFonts w:cs="Arial"/>
          <w:sz w:val="24"/>
        </w:rPr>
        <w:tab/>
      </w:r>
      <w:r w:rsidR="00EA11A4">
        <w:rPr>
          <w:rFonts w:cs="Arial"/>
          <w:sz w:val="24"/>
        </w:rPr>
        <w:tab/>
      </w:r>
      <w:r w:rsidR="00EA11A4">
        <w:rPr>
          <w:rFonts w:cs="Arial"/>
          <w:sz w:val="24"/>
        </w:rPr>
        <w:tab/>
        <w:t>(4</w:t>
      </w:r>
      <w:r w:rsidR="00F55A15" w:rsidRPr="00B17245">
        <w:rPr>
          <w:rFonts w:cs="Arial"/>
          <w:sz w:val="24"/>
        </w:rPr>
        <w:t>)</w:t>
      </w:r>
    </w:p>
    <w:p w14:paraId="2E9F6358" w14:textId="77777777" w:rsidR="00784A2F" w:rsidRDefault="00784A2F" w:rsidP="00FD4004">
      <w:pPr>
        <w:spacing w:after="0" w:line="240" w:lineRule="auto"/>
        <w:rPr>
          <w:rFonts w:cs="Arial"/>
          <w:sz w:val="24"/>
        </w:rPr>
      </w:pPr>
    </w:p>
    <w:p w14:paraId="33B2F040" w14:textId="77777777" w:rsidR="002E4A84" w:rsidRDefault="00FD4004" w:rsidP="00FD4004">
      <w:pPr>
        <w:spacing w:after="0" w:line="240" w:lineRule="auto"/>
        <w:rPr>
          <w:rFonts w:cs="Arial"/>
          <w:sz w:val="24"/>
        </w:rPr>
      </w:pPr>
      <w:r>
        <w:rPr>
          <w:rFonts w:cs="Arial"/>
          <w:sz w:val="24"/>
        </w:rPr>
        <w:t xml:space="preserve">where </w:t>
      </w:r>
      <m:oMath>
        <m:sSub>
          <m:sSubPr>
            <m:ctrlPr>
              <w:rPr>
                <w:rFonts w:ascii="Cambria Math" w:hAnsi="Cambria Math" w:cs="Arial"/>
                <w:i/>
                <w:sz w:val="24"/>
              </w:rPr>
            </m:ctrlPr>
          </m:sSubPr>
          <m:e>
            <m:r>
              <w:rPr>
                <w:rFonts w:ascii="Cambria Math" w:hAnsi="Cambria Math" w:cs="Arial"/>
                <w:sz w:val="24"/>
              </w:rPr>
              <m:t>E</m:t>
            </m:r>
          </m:e>
          <m:sub>
            <m:r>
              <w:rPr>
                <w:rFonts w:ascii="Cambria Math" w:hAnsi="Cambria Math" w:cs="Arial"/>
                <w:sz w:val="24"/>
              </w:rPr>
              <m:t>it</m:t>
            </m:r>
          </m:sub>
        </m:sSub>
      </m:oMath>
      <w:r>
        <w:rPr>
          <w:rFonts w:eastAsiaTheme="minorEastAsia" w:cs="Arial"/>
          <w:sz w:val="24"/>
        </w:rPr>
        <w:t xml:space="preserve"> is whether </w:t>
      </w:r>
      <w:r w:rsidRPr="00E41E95">
        <w:rPr>
          <w:rFonts w:eastAsiaTheme="minorEastAsia" w:cs="Arial"/>
          <w:sz w:val="24"/>
        </w:rPr>
        <w:t>individual</w:t>
      </w:r>
      <w:r>
        <w:rPr>
          <w:rFonts w:eastAsiaTheme="minorEastAsia" w:cs="Arial"/>
          <w:i/>
          <w:sz w:val="24"/>
        </w:rPr>
        <w:t xml:space="preserve"> </w:t>
      </w:r>
      <m:oMath>
        <m:r>
          <w:rPr>
            <w:rFonts w:ascii="Cambria Math" w:eastAsiaTheme="minorEastAsia" w:hAnsi="Cambria Math" w:cs="Arial"/>
            <w:sz w:val="24"/>
          </w:rPr>
          <m:t>i</m:t>
        </m:r>
      </m:oMath>
      <w:r w:rsidRPr="00B17245">
        <w:rPr>
          <w:rFonts w:cs="Arial"/>
          <w:sz w:val="24"/>
        </w:rPr>
        <w:t xml:space="preserve"> </w:t>
      </w:r>
      <w:r w:rsidRPr="00FD4004">
        <w:rPr>
          <w:rFonts w:eastAsiaTheme="minorEastAsia" w:cs="Arial"/>
          <w:i/>
          <w:sz w:val="24"/>
        </w:rPr>
        <w:t>is</w:t>
      </w:r>
      <w:r>
        <w:rPr>
          <w:rFonts w:eastAsiaTheme="minorEastAsia" w:cs="Arial"/>
          <w:sz w:val="24"/>
        </w:rPr>
        <w:t xml:space="preserve"> in fulltime education</w:t>
      </w:r>
      <w:r w:rsidR="00EA11A4">
        <w:rPr>
          <w:rFonts w:eastAsiaTheme="minorEastAsia" w:cs="Arial"/>
          <w:sz w:val="24"/>
        </w:rPr>
        <w:t xml:space="preserve"> at time </w:t>
      </w:r>
      <m:oMath>
        <m:r>
          <w:rPr>
            <w:rFonts w:ascii="Cambria Math" w:eastAsiaTheme="minorEastAsia" w:hAnsi="Cambria Math" w:cs="Arial"/>
            <w:sz w:val="24"/>
          </w:rPr>
          <m:t>t</m:t>
        </m:r>
      </m:oMath>
      <w:r w:rsidR="00E41E95">
        <w:rPr>
          <w:rFonts w:eastAsiaTheme="minorEastAsia" w:cs="Arial"/>
          <w:sz w:val="24"/>
        </w:rPr>
        <w:t>;</w:t>
      </w:r>
      <w:r>
        <w:rPr>
          <w:rFonts w:eastAsiaTheme="minorEastAsia" w:cs="Arial"/>
          <w:sz w:val="24"/>
        </w:rPr>
        <w:t xml:space="preserve"> </w:t>
      </w:r>
      <m:oMath>
        <m:sSub>
          <m:sSubPr>
            <m:ctrlPr>
              <w:rPr>
                <w:rFonts w:ascii="Cambria Math" w:hAnsi="Cambria Math" w:cs="Arial"/>
                <w:i/>
                <w:sz w:val="24"/>
              </w:rPr>
            </m:ctrlPr>
          </m:sSubPr>
          <m:e>
            <m:r>
              <w:rPr>
                <w:rFonts w:ascii="Cambria Math" w:hAnsi="Cambria Math" w:cs="Arial"/>
                <w:sz w:val="24"/>
              </w:rPr>
              <m:t>EI</m:t>
            </m:r>
          </m:e>
          <m:sub>
            <m:r>
              <w:rPr>
                <w:rFonts w:ascii="Cambria Math" w:hAnsi="Cambria Math" w:cs="Arial"/>
                <w:sz w:val="24"/>
              </w:rPr>
              <m:t>it-1</m:t>
            </m:r>
          </m:sub>
        </m:sSub>
      </m:oMath>
      <w:r w:rsidR="00E41E95">
        <w:rPr>
          <w:rFonts w:eastAsiaTheme="minorEastAsia" w:cs="Arial"/>
          <w:sz w:val="24"/>
        </w:rPr>
        <w:t xml:space="preserve"> </w:t>
      </w:r>
      <w:r w:rsidR="00360ED7">
        <w:rPr>
          <w:rFonts w:eastAsiaTheme="minorEastAsia" w:cs="Arial"/>
          <w:sz w:val="24"/>
        </w:rPr>
        <w:t xml:space="preserve">is the self-reported education intention </w:t>
      </w:r>
      <w:r w:rsidR="00EA11A4">
        <w:rPr>
          <w:rFonts w:eastAsiaTheme="minorEastAsia" w:cs="Arial"/>
          <w:sz w:val="24"/>
        </w:rPr>
        <w:t xml:space="preserve">in the previous year </w:t>
      </w:r>
      <w:r>
        <w:rPr>
          <w:rFonts w:cs="Arial"/>
          <w:sz w:val="24"/>
        </w:rPr>
        <w:t xml:space="preserve">and </w:t>
      </w:r>
      <m:oMath>
        <m:sSub>
          <m:sSubPr>
            <m:ctrlPr>
              <w:rPr>
                <w:rFonts w:ascii="Cambria Math" w:hAnsi="Cambria Math" w:cs="Arial"/>
                <w:i/>
                <w:sz w:val="24"/>
              </w:rPr>
            </m:ctrlPr>
          </m:sSubPr>
          <m:e>
            <m:r>
              <w:rPr>
                <w:rFonts w:ascii="Cambria Math" w:hAnsi="Cambria Math" w:cs="Arial"/>
                <w:sz w:val="24"/>
              </w:rPr>
              <m:t>X(E)</m:t>
            </m:r>
          </m:e>
          <m:sub>
            <m:r>
              <w:rPr>
                <w:rFonts w:ascii="Cambria Math" w:hAnsi="Cambria Math" w:cs="Arial"/>
                <w:sz w:val="24"/>
              </w:rPr>
              <m:t>i</m:t>
            </m:r>
          </m:sub>
        </m:sSub>
      </m:oMath>
      <w:r w:rsidRPr="00B17245">
        <w:rPr>
          <w:rFonts w:cs="Arial"/>
          <w:sz w:val="24"/>
        </w:rPr>
        <w:t xml:space="preserve"> </w:t>
      </w:r>
      <w:r>
        <w:rPr>
          <w:rFonts w:cs="Arial"/>
          <w:sz w:val="24"/>
        </w:rPr>
        <w:t xml:space="preserve">is a set of </w:t>
      </w:r>
      <w:r w:rsidRPr="00B17245">
        <w:rPr>
          <w:rFonts w:cs="Arial"/>
          <w:sz w:val="24"/>
        </w:rPr>
        <w:t xml:space="preserve">other determinants of </w:t>
      </w:r>
      <m:oMath>
        <m:sSub>
          <m:sSubPr>
            <m:ctrlPr>
              <w:rPr>
                <w:rFonts w:ascii="Cambria Math" w:hAnsi="Cambria Math" w:cs="Arial"/>
                <w:i/>
                <w:sz w:val="24"/>
              </w:rPr>
            </m:ctrlPr>
          </m:sSubPr>
          <m:e>
            <m:r>
              <w:rPr>
                <w:rFonts w:ascii="Cambria Math" w:hAnsi="Cambria Math" w:cs="Arial"/>
                <w:sz w:val="24"/>
              </w:rPr>
              <m:t>E</m:t>
            </m:r>
          </m:e>
          <m:sub>
            <m:r>
              <w:rPr>
                <w:rFonts w:ascii="Cambria Math" w:hAnsi="Cambria Math" w:cs="Arial"/>
                <w:sz w:val="24"/>
              </w:rPr>
              <m:t>i</m:t>
            </m:r>
          </m:sub>
        </m:sSub>
      </m:oMath>
      <w:r w:rsidRPr="00B17245">
        <w:rPr>
          <w:rFonts w:cs="Arial"/>
          <w:sz w:val="24"/>
        </w:rPr>
        <w:t xml:space="preserve">. </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7</m:t>
            </m:r>
          </m:sub>
        </m:sSub>
      </m:oMath>
      <w:r w:rsidR="0003132C">
        <w:rPr>
          <w:rFonts w:eastAsiaTheme="minorEastAsia" w:cs="Arial"/>
          <w:sz w:val="24"/>
        </w:rPr>
        <w:t xml:space="preserve"> is an estimate of the impact that education intention has on likelihood of actually going onto full time education. </w:t>
      </w:r>
      <w:r w:rsidR="00784A2F">
        <w:rPr>
          <w:rFonts w:eastAsiaTheme="minorEastAsia" w:cs="Arial"/>
          <w:sz w:val="24"/>
        </w:rPr>
        <w:t xml:space="preserve">The estimate can be used with </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5</m:t>
            </m:r>
          </m:sub>
        </m:sSub>
      </m:oMath>
      <w:r w:rsidR="00EA11A4">
        <w:rPr>
          <w:rFonts w:eastAsiaTheme="minorEastAsia" w:cs="Arial"/>
          <w:sz w:val="24"/>
        </w:rPr>
        <w:t xml:space="preserve"> from equation (3) to derive the effect of </w:t>
      </w:r>
      <w:r w:rsidR="00EA11A4" w:rsidRPr="00B17245">
        <w:rPr>
          <w:rFonts w:cs="Arial"/>
          <w:sz w:val="24"/>
        </w:rPr>
        <w:t>culture and sports</w:t>
      </w:r>
      <w:r w:rsidR="00EA11A4">
        <w:rPr>
          <w:rFonts w:cs="Arial"/>
          <w:sz w:val="24"/>
        </w:rPr>
        <w:t xml:space="preserve"> on education behaviour in later years (estimated as </w:t>
      </w:r>
      <w:r w:rsidR="00EA11A4">
        <w:rPr>
          <w:rFonts w:eastAsiaTheme="minorEastAsia" w:cs="Arial"/>
          <w:sz w:val="24"/>
        </w:rPr>
        <w:t>(</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5</m:t>
            </m:r>
          </m:sub>
        </m:sSub>
        <m:r>
          <w:rPr>
            <w:rFonts w:ascii="Cambria Math" w:eastAsiaTheme="minorEastAsia"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7</m:t>
            </m:r>
          </m:sub>
        </m:sSub>
      </m:oMath>
      <w:r w:rsidR="005F2B68">
        <w:rPr>
          <w:rFonts w:eastAsiaTheme="minorEastAsia" w:cs="Arial"/>
          <w:sz w:val="24"/>
        </w:rPr>
        <w:t xml:space="preserve">)). </w:t>
      </w:r>
      <w:r w:rsidR="008527D8">
        <w:rPr>
          <w:rFonts w:eastAsiaTheme="minorEastAsia" w:cs="Arial"/>
          <w:sz w:val="24"/>
        </w:rPr>
        <w:t xml:space="preserve">Again we assume that the relationships estimated in equations (3) and (4) stay constant </w:t>
      </w:r>
      <w:r w:rsidR="008527D8">
        <w:rPr>
          <w:rFonts w:cs="Arial"/>
          <w:sz w:val="24"/>
        </w:rPr>
        <w:t>over time so that we can attach latest value estimates to them.</w:t>
      </w:r>
      <w:r w:rsidR="002E4A84">
        <w:rPr>
          <w:rFonts w:cs="Arial"/>
          <w:sz w:val="24"/>
        </w:rPr>
        <w:t xml:space="preserve"> Figure </w:t>
      </w:r>
      <w:r w:rsidR="00BC6560">
        <w:rPr>
          <w:rFonts w:cs="Arial"/>
          <w:sz w:val="24"/>
        </w:rPr>
        <w:t>4</w:t>
      </w:r>
      <w:r w:rsidR="002E4A84">
        <w:rPr>
          <w:rFonts w:cs="Arial"/>
          <w:sz w:val="24"/>
        </w:rPr>
        <w:t xml:space="preserve"> sets out the statistical approach for </w:t>
      </w:r>
      <w:r w:rsidR="00E37C01">
        <w:rPr>
          <w:rFonts w:cs="Arial"/>
          <w:sz w:val="24"/>
        </w:rPr>
        <w:t xml:space="preserve">estimating </w:t>
      </w:r>
      <w:r w:rsidR="002E4A84">
        <w:rPr>
          <w:rFonts w:cs="Arial"/>
          <w:sz w:val="24"/>
        </w:rPr>
        <w:t xml:space="preserve">education impacts. </w:t>
      </w:r>
    </w:p>
    <w:p w14:paraId="72B79373" w14:textId="77777777" w:rsidR="002E4A84" w:rsidRDefault="002E4A84" w:rsidP="00FD4004">
      <w:pPr>
        <w:spacing w:after="0" w:line="240" w:lineRule="auto"/>
        <w:rPr>
          <w:rFonts w:cs="Arial"/>
          <w:sz w:val="24"/>
        </w:rPr>
      </w:pPr>
    </w:p>
    <w:p w14:paraId="07A09892" w14:textId="77777777" w:rsidR="002E4A84" w:rsidRPr="00E37C01" w:rsidRDefault="002E4A84" w:rsidP="00FD4004">
      <w:pPr>
        <w:spacing w:after="0" w:line="240" w:lineRule="auto"/>
        <w:rPr>
          <w:rFonts w:cs="Arial"/>
          <w:b/>
          <w:sz w:val="24"/>
        </w:rPr>
      </w:pPr>
      <w:r w:rsidRPr="00E37C01">
        <w:rPr>
          <w:rFonts w:cs="Arial"/>
          <w:b/>
          <w:sz w:val="24"/>
        </w:rPr>
        <w:t xml:space="preserve">Figure </w:t>
      </w:r>
      <w:r w:rsidR="00BC6560">
        <w:rPr>
          <w:rFonts w:cs="Arial"/>
          <w:b/>
          <w:sz w:val="24"/>
        </w:rPr>
        <w:t>4</w:t>
      </w:r>
      <w:r w:rsidRPr="00E37C01">
        <w:rPr>
          <w:rFonts w:cs="Arial"/>
          <w:b/>
          <w:sz w:val="24"/>
        </w:rPr>
        <w:t xml:space="preserve">. </w:t>
      </w:r>
      <w:r w:rsidR="00E37C01" w:rsidRPr="00E37C01">
        <w:rPr>
          <w:rFonts w:cs="Arial"/>
          <w:b/>
          <w:sz w:val="24"/>
        </w:rPr>
        <w:t>The process of estimating the education impacts of culture and sport</w:t>
      </w:r>
    </w:p>
    <w:p w14:paraId="3709BAD5" w14:textId="77777777" w:rsidR="00E37C01" w:rsidRPr="002E4A84" w:rsidRDefault="00084E10" w:rsidP="00FD4004">
      <w:pPr>
        <w:spacing w:after="0" w:line="240" w:lineRule="auto"/>
        <w:rPr>
          <w:rFonts w:cs="Arial"/>
          <w:sz w:val="24"/>
        </w:rPr>
      </w:pPr>
      <w:r>
        <w:rPr>
          <w:rFonts w:cs="Arial"/>
          <w:noProof/>
          <w:sz w:val="24"/>
          <w:lang w:eastAsia="en-GB"/>
        </w:rPr>
        <w:drawing>
          <wp:inline distT="0" distB="0" distL="0" distR="0" wp14:anchorId="7B13E0DE" wp14:editId="44A6A96C">
            <wp:extent cx="5731510" cy="1685940"/>
            <wp:effectExtent l="0" t="0" r="254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685940"/>
                    </a:xfrm>
                    <a:prstGeom prst="rect">
                      <a:avLst/>
                    </a:prstGeom>
                    <a:noFill/>
                    <a:ln>
                      <a:noFill/>
                    </a:ln>
                  </pic:spPr>
                </pic:pic>
              </a:graphicData>
            </a:graphic>
          </wp:inline>
        </w:drawing>
      </w:r>
    </w:p>
    <w:p w14:paraId="0B515426" w14:textId="77777777" w:rsidR="00D26165" w:rsidRDefault="00D26165" w:rsidP="00D26165">
      <w:pPr>
        <w:spacing w:after="0" w:line="240" w:lineRule="auto"/>
        <w:rPr>
          <w:rFonts w:eastAsiaTheme="minorEastAsia" w:cs="Arial"/>
          <w:i/>
          <w:sz w:val="20"/>
        </w:rPr>
      </w:pPr>
      <w:r w:rsidRPr="00D26165">
        <w:rPr>
          <w:rFonts w:eastAsiaTheme="minorEastAsia" w:cs="Arial"/>
          <w:i/>
          <w:sz w:val="20"/>
        </w:rPr>
        <w:t xml:space="preserve">Note: </w:t>
      </w:r>
      <w:r>
        <w:rPr>
          <w:rFonts w:eastAsiaTheme="minorEastAsia" w:cs="Arial"/>
          <w:i/>
          <w:sz w:val="20"/>
        </w:rPr>
        <w:t xml:space="preserve">Arrows depict causal relationships that we </w:t>
      </w:r>
      <w:r w:rsidR="009960BA">
        <w:rPr>
          <w:rFonts w:eastAsiaTheme="minorEastAsia" w:cs="Arial"/>
          <w:i/>
          <w:sz w:val="20"/>
        </w:rPr>
        <w:t xml:space="preserve">approximate </w:t>
      </w:r>
      <w:r>
        <w:rPr>
          <w:rFonts w:eastAsiaTheme="minorEastAsia" w:cs="Arial"/>
          <w:i/>
          <w:sz w:val="20"/>
        </w:rPr>
        <w:t>through regression analysis. The caveats regarding problems associated with causal inference in regression analysis should be noted when interpreting this figure.</w:t>
      </w:r>
    </w:p>
    <w:p w14:paraId="4A15F651" w14:textId="77777777" w:rsidR="00D26165" w:rsidRPr="00B17245" w:rsidRDefault="00D26165" w:rsidP="00F55A15">
      <w:pPr>
        <w:spacing w:after="0" w:line="240" w:lineRule="auto"/>
        <w:rPr>
          <w:rFonts w:cs="Arial"/>
          <w:sz w:val="24"/>
        </w:rPr>
      </w:pPr>
    </w:p>
    <w:p w14:paraId="47976A53" w14:textId="77777777" w:rsidR="00CE6B31" w:rsidRDefault="00CE6B31" w:rsidP="00CE6B31">
      <w:pPr>
        <w:spacing w:after="0" w:line="240" w:lineRule="auto"/>
        <w:rPr>
          <w:rFonts w:eastAsiaTheme="minorEastAsia" w:cs="Arial"/>
          <w:b/>
          <w:sz w:val="24"/>
        </w:rPr>
      </w:pPr>
      <w:r w:rsidRPr="00347A8E">
        <w:rPr>
          <w:rFonts w:eastAsiaTheme="minorEastAsia" w:cs="Arial"/>
          <w:b/>
          <w:sz w:val="24"/>
        </w:rPr>
        <w:t xml:space="preserve">Valuing </w:t>
      </w:r>
      <w:r>
        <w:rPr>
          <w:rFonts w:eastAsiaTheme="minorEastAsia" w:cs="Arial"/>
          <w:b/>
          <w:sz w:val="24"/>
        </w:rPr>
        <w:t>education impacts</w:t>
      </w:r>
    </w:p>
    <w:p w14:paraId="16D6D762" w14:textId="77777777" w:rsidR="00CE6B31" w:rsidRDefault="006F4BCD" w:rsidP="00CE6B31">
      <w:pPr>
        <w:spacing w:after="0" w:line="240" w:lineRule="auto"/>
        <w:rPr>
          <w:rFonts w:eastAsiaTheme="minorEastAsia" w:cs="Arial"/>
          <w:sz w:val="24"/>
        </w:rPr>
      </w:pPr>
      <w:r>
        <w:rPr>
          <w:rFonts w:eastAsiaTheme="minorEastAsia" w:cs="Arial"/>
          <w:sz w:val="24"/>
        </w:rPr>
        <w:t xml:space="preserve">We attach values to the </w:t>
      </w:r>
      <w:r w:rsidR="00CE6B31">
        <w:rPr>
          <w:rFonts w:eastAsiaTheme="minorEastAsia" w:cs="Arial"/>
          <w:sz w:val="24"/>
        </w:rPr>
        <w:t>effect</w:t>
      </w:r>
      <w:r>
        <w:rPr>
          <w:rFonts w:eastAsiaTheme="minorEastAsia" w:cs="Arial"/>
          <w:sz w:val="24"/>
        </w:rPr>
        <w:t>s</w:t>
      </w:r>
      <w:r w:rsidR="00CE6B31">
        <w:rPr>
          <w:rFonts w:eastAsiaTheme="minorEastAsia" w:cs="Arial"/>
          <w:sz w:val="24"/>
        </w:rPr>
        <w:t xml:space="preserve"> of </w:t>
      </w:r>
      <w:r w:rsidR="00CE6B31" w:rsidRPr="00B17245">
        <w:rPr>
          <w:rFonts w:cs="Arial"/>
          <w:sz w:val="24"/>
        </w:rPr>
        <w:t>culture and sports</w:t>
      </w:r>
      <w:r w:rsidR="00CE6B31">
        <w:rPr>
          <w:rFonts w:cs="Arial"/>
          <w:sz w:val="24"/>
        </w:rPr>
        <w:t xml:space="preserve"> on education behaviour in later years (estimated as </w:t>
      </w:r>
      <w:r w:rsidR="00CE6B31">
        <w:rPr>
          <w:rFonts w:eastAsiaTheme="minorEastAsia" w:cs="Arial"/>
          <w:sz w:val="24"/>
        </w:rPr>
        <w:t>(</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5</m:t>
            </m:r>
          </m:sub>
        </m:sSub>
        <m:r>
          <w:rPr>
            <w:rFonts w:ascii="Cambria Math" w:eastAsiaTheme="minorEastAsia"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7</m:t>
            </m:r>
          </m:sub>
        </m:sSub>
      </m:oMath>
      <w:r w:rsidR="00CE6B31">
        <w:rPr>
          <w:rFonts w:eastAsiaTheme="minorEastAsia" w:cs="Arial"/>
          <w:sz w:val="24"/>
        </w:rPr>
        <w:t>)</w:t>
      </w:r>
      <w:r w:rsidR="002B41EF">
        <w:rPr>
          <w:rFonts w:eastAsiaTheme="minorEastAsia" w:cs="Arial"/>
          <w:sz w:val="24"/>
        </w:rPr>
        <w:t xml:space="preserve"> fro</w:t>
      </w:r>
      <w:r>
        <w:rPr>
          <w:rFonts w:eastAsiaTheme="minorEastAsia" w:cs="Arial"/>
          <w:sz w:val="24"/>
        </w:rPr>
        <w:t xml:space="preserve">m equations (3) and (4)) by </w:t>
      </w:r>
      <w:r w:rsidR="002B41EF">
        <w:rPr>
          <w:rFonts w:eastAsiaTheme="minorEastAsia" w:cs="Arial"/>
          <w:sz w:val="24"/>
        </w:rPr>
        <w:t xml:space="preserve">applying estimates of increased life time earnings and government tax receipts (through increased income tax </w:t>
      </w:r>
      <w:r w:rsidR="00EC0637">
        <w:rPr>
          <w:rFonts w:eastAsiaTheme="minorEastAsia" w:cs="Arial"/>
          <w:sz w:val="24"/>
        </w:rPr>
        <w:t>revenues</w:t>
      </w:r>
      <w:r w:rsidR="002B41EF">
        <w:rPr>
          <w:rFonts w:eastAsiaTheme="minorEastAsia" w:cs="Arial"/>
          <w:sz w:val="24"/>
        </w:rPr>
        <w:t>) to the estimate (</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5</m:t>
            </m:r>
          </m:sub>
        </m:sSub>
        <m:r>
          <w:rPr>
            <w:rFonts w:ascii="Cambria Math" w:eastAsiaTheme="minorEastAsia"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7</m:t>
            </m:r>
          </m:sub>
        </m:sSub>
      </m:oMath>
      <w:r w:rsidR="002B41EF">
        <w:rPr>
          <w:rFonts w:eastAsiaTheme="minorEastAsia" w:cs="Arial"/>
          <w:sz w:val="24"/>
        </w:rPr>
        <w:t>). This represents the econo</w:t>
      </w:r>
      <w:r w:rsidR="00EC0637">
        <w:rPr>
          <w:rFonts w:eastAsiaTheme="minorEastAsia" w:cs="Arial"/>
          <w:sz w:val="24"/>
        </w:rPr>
        <w:t>mic value of higher education to</w:t>
      </w:r>
      <w:r w:rsidR="002B41EF">
        <w:rPr>
          <w:rFonts w:eastAsiaTheme="minorEastAsia" w:cs="Arial"/>
          <w:sz w:val="24"/>
        </w:rPr>
        <w:t xml:space="preserve"> both the individual (higher salary) and </w:t>
      </w:r>
      <w:r w:rsidR="00EC0637">
        <w:rPr>
          <w:rFonts w:eastAsiaTheme="minorEastAsia" w:cs="Arial"/>
          <w:sz w:val="24"/>
        </w:rPr>
        <w:t xml:space="preserve">the </w:t>
      </w:r>
      <w:r w:rsidR="002B41EF">
        <w:rPr>
          <w:rFonts w:eastAsiaTheme="minorEastAsia" w:cs="Arial"/>
          <w:sz w:val="24"/>
        </w:rPr>
        <w:t>publ</w:t>
      </w:r>
      <w:r w:rsidR="00EC0637">
        <w:rPr>
          <w:rFonts w:eastAsiaTheme="minorEastAsia" w:cs="Arial"/>
          <w:sz w:val="24"/>
        </w:rPr>
        <w:t>ic sector (higher tax receipts)</w:t>
      </w:r>
      <w:r w:rsidR="00446C26">
        <w:rPr>
          <w:rStyle w:val="FootnoteReference"/>
          <w:rFonts w:eastAsiaTheme="minorEastAsia" w:cs="Arial"/>
          <w:sz w:val="24"/>
        </w:rPr>
        <w:footnoteReference w:id="8"/>
      </w:r>
      <w:r w:rsidR="002B41EF">
        <w:rPr>
          <w:rFonts w:eastAsiaTheme="minorEastAsia" w:cs="Arial"/>
          <w:sz w:val="24"/>
        </w:rPr>
        <w:t xml:space="preserve">. </w:t>
      </w:r>
    </w:p>
    <w:p w14:paraId="4B118D4A" w14:textId="77777777" w:rsidR="00B4759F" w:rsidRDefault="00B4759F" w:rsidP="00EA4B35">
      <w:pPr>
        <w:spacing w:after="0" w:line="240" w:lineRule="auto"/>
        <w:rPr>
          <w:b/>
          <w:sz w:val="24"/>
        </w:rPr>
      </w:pPr>
    </w:p>
    <w:p w14:paraId="7B661CAE" w14:textId="77777777" w:rsidR="00702457" w:rsidRPr="002C763B" w:rsidRDefault="002C763B" w:rsidP="00EA4B35">
      <w:pPr>
        <w:spacing w:after="0" w:line="240" w:lineRule="auto"/>
        <w:rPr>
          <w:b/>
          <w:sz w:val="24"/>
        </w:rPr>
      </w:pPr>
      <w:r>
        <w:rPr>
          <w:b/>
          <w:sz w:val="24"/>
        </w:rPr>
        <w:t xml:space="preserve">B.2. </w:t>
      </w:r>
      <w:r w:rsidRPr="002C763B">
        <w:rPr>
          <w:b/>
          <w:sz w:val="24"/>
        </w:rPr>
        <w:t>Data</w:t>
      </w:r>
    </w:p>
    <w:p w14:paraId="17674662" w14:textId="77777777" w:rsidR="00B17245" w:rsidRPr="006158C7" w:rsidRDefault="00B17245" w:rsidP="00EA4B35">
      <w:pPr>
        <w:spacing w:after="0" w:line="240" w:lineRule="auto"/>
        <w:rPr>
          <w:sz w:val="24"/>
          <w:szCs w:val="24"/>
        </w:rPr>
      </w:pPr>
    </w:p>
    <w:p w14:paraId="7003EB26" w14:textId="77777777" w:rsidR="00CD3677" w:rsidRPr="006158C7" w:rsidRDefault="00CD3677" w:rsidP="00CD3677">
      <w:pPr>
        <w:autoSpaceDE w:val="0"/>
        <w:autoSpaceDN w:val="0"/>
        <w:adjustRightInd w:val="0"/>
        <w:spacing w:after="0" w:line="240" w:lineRule="auto"/>
        <w:rPr>
          <w:rFonts w:cs="Arial"/>
          <w:color w:val="000000"/>
          <w:sz w:val="24"/>
          <w:szCs w:val="24"/>
        </w:rPr>
      </w:pPr>
      <w:r w:rsidRPr="00CD3677">
        <w:rPr>
          <w:rFonts w:cs="Arial"/>
          <w:color w:val="000000"/>
          <w:sz w:val="24"/>
          <w:szCs w:val="24"/>
        </w:rPr>
        <w:t xml:space="preserve">In this study, we use two UK datasets. </w:t>
      </w:r>
      <w:r w:rsidRPr="00CD3677">
        <w:rPr>
          <w:rFonts w:cs="Arial"/>
          <w:bCs/>
          <w:color w:val="000000"/>
          <w:sz w:val="24"/>
          <w:szCs w:val="24"/>
        </w:rPr>
        <w:t xml:space="preserve">Data on arts and sport engagement come from Wave 2 of </w:t>
      </w:r>
      <w:r w:rsidRPr="00CD3677">
        <w:rPr>
          <w:rFonts w:cs="Arial"/>
          <w:bCs/>
          <w:i/>
          <w:iCs/>
          <w:color w:val="000000"/>
          <w:sz w:val="24"/>
          <w:szCs w:val="24"/>
        </w:rPr>
        <w:t>Understanding Society</w:t>
      </w:r>
      <w:r w:rsidRPr="00CD3677">
        <w:rPr>
          <w:rFonts w:cs="Arial"/>
          <w:color w:val="000000"/>
          <w:sz w:val="24"/>
          <w:szCs w:val="24"/>
        </w:rPr>
        <w:t xml:space="preserve"> (2010-2011), which is a nationally representative sample of 40,000 households conducted annually in a panel format. Wave 2 of Understanding Society includes for the first time a wide </w:t>
      </w:r>
      <w:r w:rsidRPr="006158C7">
        <w:rPr>
          <w:rFonts w:cs="Arial"/>
          <w:color w:val="000000"/>
          <w:sz w:val="24"/>
          <w:szCs w:val="24"/>
        </w:rPr>
        <w:t>range</w:t>
      </w:r>
      <w:r w:rsidRPr="00CD3677">
        <w:rPr>
          <w:rFonts w:cs="Arial"/>
          <w:color w:val="000000"/>
          <w:sz w:val="24"/>
          <w:szCs w:val="24"/>
        </w:rPr>
        <w:t xml:space="preserve"> of variables related to engagement in arts and sport, </w:t>
      </w:r>
      <w:r w:rsidRPr="00CD3677">
        <w:rPr>
          <w:rFonts w:cs="Arial"/>
          <w:color w:val="000000"/>
          <w:sz w:val="24"/>
          <w:szCs w:val="24"/>
        </w:rPr>
        <w:lastRenderedPageBreak/>
        <w:t xml:space="preserve">taken from the DCMS </w:t>
      </w:r>
      <w:r w:rsidRPr="00CD3677">
        <w:rPr>
          <w:rFonts w:cs="Arial"/>
          <w:i/>
          <w:iCs/>
          <w:color w:val="000000"/>
          <w:sz w:val="24"/>
          <w:szCs w:val="24"/>
        </w:rPr>
        <w:t xml:space="preserve">Taking Part </w:t>
      </w:r>
      <w:r w:rsidRPr="00CD3677">
        <w:rPr>
          <w:rFonts w:cs="Arial"/>
          <w:color w:val="000000"/>
          <w:sz w:val="24"/>
          <w:szCs w:val="24"/>
        </w:rPr>
        <w:t xml:space="preserve">survey. Hence we will use Wave 2 as a cross-sectional dataset in the analysis. </w:t>
      </w:r>
    </w:p>
    <w:p w14:paraId="616110EE" w14:textId="77777777" w:rsidR="005725B5" w:rsidRPr="006158C7" w:rsidRDefault="005725B5" w:rsidP="00CD3677">
      <w:pPr>
        <w:autoSpaceDE w:val="0"/>
        <w:autoSpaceDN w:val="0"/>
        <w:adjustRightInd w:val="0"/>
        <w:spacing w:after="0" w:line="240" w:lineRule="auto"/>
        <w:rPr>
          <w:rFonts w:cs="Arial"/>
          <w:color w:val="000000"/>
          <w:sz w:val="24"/>
          <w:szCs w:val="24"/>
        </w:rPr>
      </w:pPr>
    </w:p>
    <w:p w14:paraId="63D36BAD" w14:textId="77777777" w:rsidR="00AC4F72" w:rsidRDefault="005725B5" w:rsidP="006158C7">
      <w:pPr>
        <w:autoSpaceDE w:val="0"/>
        <w:autoSpaceDN w:val="0"/>
        <w:adjustRightInd w:val="0"/>
        <w:spacing w:after="0" w:line="240" w:lineRule="auto"/>
        <w:rPr>
          <w:rFonts w:cs="Calibri"/>
          <w:b/>
          <w:sz w:val="24"/>
          <w:szCs w:val="24"/>
        </w:rPr>
      </w:pPr>
      <w:r w:rsidRPr="006158C7">
        <w:rPr>
          <w:rFonts w:cs="Arial"/>
          <w:color w:val="000000"/>
          <w:sz w:val="24"/>
          <w:szCs w:val="24"/>
        </w:rPr>
        <w:t xml:space="preserve">The analyses on medical service usage and education behaviour is based on data from the </w:t>
      </w:r>
      <w:r w:rsidRPr="006158C7">
        <w:rPr>
          <w:rFonts w:cs="Arial"/>
          <w:i/>
          <w:color w:val="000000"/>
          <w:sz w:val="24"/>
          <w:szCs w:val="24"/>
        </w:rPr>
        <w:t xml:space="preserve">BHPS. </w:t>
      </w:r>
      <w:r w:rsidR="006158C7" w:rsidRPr="006158C7">
        <w:rPr>
          <w:rFonts w:cs="Calibri"/>
          <w:sz w:val="24"/>
          <w:szCs w:val="24"/>
        </w:rPr>
        <w:t>The BHPS is a nationally representative sample of over 10,000 adult individuals conducted between September and December of each year from 1991. Respondents are interviewed in successive waves, and all adult members of a household are interviewed.</w:t>
      </w:r>
      <w:r w:rsidR="006158C7">
        <w:rPr>
          <w:rFonts w:cs="Calibri"/>
          <w:sz w:val="24"/>
          <w:szCs w:val="24"/>
        </w:rPr>
        <w:t xml:space="preserve"> In 2009 the BHPS sample was merged into the Understanding Society sample.</w:t>
      </w:r>
      <w:r w:rsidR="00AC4F72">
        <w:rPr>
          <w:rFonts w:cs="Calibri"/>
          <w:sz w:val="24"/>
          <w:szCs w:val="24"/>
        </w:rPr>
        <w:t xml:space="preserve"> Therefore, the two datasets include a large number of the same individuals and are both representative of the UK and hence we use the data sets in conjunction with each other here. </w:t>
      </w:r>
      <w:r w:rsidR="006661E8">
        <w:rPr>
          <w:rFonts w:cs="Calibri"/>
          <w:sz w:val="24"/>
          <w:szCs w:val="24"/>
        </w:rPr>
        <w:t>Table 4</w:t>
      </w:r>
      <w:r w:rsidR="00AC4F72">
        <w:rPr>
          <w:rFonts w:cs="Calibri"/>
          <w:sz w:val="24"/>
          <w:szCs w:val="24"/>
        </w:rPr>
        <w:t xml:space="preserve"> sets out descriptions of the </w:t>
      </w:r>
      <w:r w:rsidR="00ED63AC">
        <w:rPr>
          <w:rFonts w:cs="Calibri"/>
          <w:sz w:val="24"/>
          <w:szCs w:val="24"/>
        </w:rPr>
        <w:t xml:space="preserve">variables shown in the results tables. Due to the large number of models and </w:t>
      </w:r>
      <w:r w:rsidR="00AC4F72">
        <w:rPr>
          <w:rFonts w:cs="Calibri"/>
          <w:sz w:val="24"/>
          <w:szCs w:val="24"/>
        </w:rPr>
        <w:t xml:space="preserve">variables </w:t>
      </w:r>
      <w:r w:rsidR="00ED63AC">
        <w:rPr>
          <w:rFonts w:cs="Calibri"/>
          <w:sz w:val="24"/>
          <w:szCs w:val="24"/>
        </w:rPr>
        <w:t>we only show the variables of interest to this study in the results section (and hence only show a description of these variables here). The models include (control for) many more variables (which are not key to the results here), the descriptions of which can be obtained on request from the authors together with the full model outputs</w:t>
      </w:r>
      <w:r w:rsidR="00EE55DA">
        <w:rPr>
          <w:rFonts w:cs="Calibri"/>
          <w:sz w:val="24"/>
          <w:szCs w:val="24"/>
        </w:rPr>
        <w:t xml:space="preserve"> if required</w:t>
      </w:r>
      <w:r w:rsidR="00ED63AC">
        <w:rPr>
          <w:rFonts w:cs="Calibri"/>
          <w:sz w:val="24"/>
          <w:szCs w:val="24"/>
        </w:rPr>
        <w:t>.</w:t>
      </w:r>
      <w:r w:rsidR="00AC4F72">
        <w:rPr>
          <w:rFonts w:cs="Calibri"/>
          <w:sz w:val="24"/>
          <w:szCs w:val="24"/>
        </w:rPr>
        <w:t xml:space="preserve"> </w:t>
      </w:r>
    </w:p>
    <w:p w14:paraId="40D6B74C" w14:textId="77777777" w:rsidR="009E440D" w:rsidRDefault="009E440D" w:rsidP="006158C7">
      <w:pPr>
        <w:autoSpaceDE w:val="0"/>
        <w:autoSpaceDN w:val="0"/>
        <w:adjustRightInd w:val="0"/>
        <w:spacing w:after="0" w:line="240" w:lineRule="auto"/>
        <w:rPr>
          <w:rFonts w:cs="Calibri"/>
          <w:b/>
          <w:sz w:val="24"/>
          <w:szCs w:val="24"/>
        </w:rPr>
      </w:pPr>
    </w:p>
    <w:p w14:paraId="0842A439" w14:textId="77777777" w:rsidR="0073446E" w:rsidRDefault="006661E8" w:rsidP="0042075D">
      <w:pPr>
        <w:autoSpaceDE w:val="0"/>
        <w:autoSpaceDN w:val="0"/>
        <w:adjustRightInd w:val="0"/>
        <w:spacing w:after="0" w:line="240" w:lineRule="auto"/>
        <w:rPr>
          <w:rFonts w:cs="Calibri"/>
          <w:b/>
          <w:sz w:val="24"/>
          <w:szCs w:val="24"/>
        </w:rPr>
      </w:pPr>
      <w:r>
        <w:rPr>
          <w:rFonts w:cs="Calibri"/>
          <w:b/>
          <w:sz w:val="24"/>
          <w:szCs w:val="24"/>
        </w:rPr>
        <w:t>Table 4</w:t>
      </w:r>
      <w:r w:rsidR="00AC4F72" w:rsidRPr="0042075D">
        <w:rPr>
          <w:rFonts w:cs="Calibri"/>
          <w:b/>
          <w:sz w:val="24"/>
          <w:szCs w:val="24"/>
        </w:rPr>
        <w:t>. Variable descriptions</w:t>
      </w:r>
      <w:r w:rsidR="00AC4F72" w:rsidRPr="00AC4F72">
        <w:rPr>
          <w:rFonts w:cs="Calibri"/>
          <w:b/>
          <w:sz w:val="24"/>
          <w:szCs w:val="24"/>
        </w:rPr>
        <w:t xml:space="preserve"> </w:t>
      </w:r>
    </w:p>
    <w:tbl>
      <w:tblPr>
        <w:tblW w:w="11058" w:type="dxa"/>
        <w:tblInd w:w="-1003" w:type="dxa"/>
        <w:tblLook w:val="04A0" w:firstRow="1" w:lastRow="0" w:firstColumn="1" w:lastColumn="0" w:noHBand="0" w:noVBand="1"/>
      </w:tblPr>
      <w:tblGrid>
        <w:gridCol w:w="6240"/>
        <w:gridCol w:w="4818"/>
      </w:tblGrid>
      <w:tr w:rsidR="0042075D" w:rsidRPr="0042075D" w14:paraId="4942E3D3" w14:textId="77777777" w:rsidTr="0042075D">
        <w:trPr>
          <w:trHeight w:val="300"/>
        </w:trPr>
        <w:tc>
          <w:tcPr>
            <w:tcW w:w="6240" w:type="dxa"/>
            <w:tcBorders>
              <w:top w:val="single" w:sz="8" w:space="0" w:color="auto"/>
              <w:left w:val="single" w:sz="8" w:space="0" w:color="auto"/>
              <w:bottom w:val="single" w:sz="8" w:space="0" w:color="auto"/>
              <w:right w:val="single" w:sz="8" w:space="0" w:color="auto"/>
            </w:tcBorders>
            <w:shd w:val="clear" w:color="000000" w:fill="0070C0"/>
            <w:noWrap/>
            <w:hideMark/>
          </w:tcPr>
          <w:p w14:paraId="22ED97B1" w14:textId="77777777" w:rsidR="0042075D" w:rsidRPr="0042075D" w:rsidRDefault="0042075D" w:rsidP="0042075D">
            <w:pPr>
              <w:spacing w:after="0" w:line="240" w:lineRule="auto"/>
              <w:rPr>
                <w:rFonts w:ascii="Calibri" w:eastAsia="Times New Roman" w:hAnsi="Calibri" w:cs="Times New Roman"/>
                <w:b/>
                <w:bCs/>
                <w:color w:val="FFFFFF"/>
                <w:sz w:val="20"/>
                <w:szCs w:val="20"/>
                <w:lang w:eastAsia="en-GB"/>
              </w:rPr>
            </w:pPr>
            <w:r w:rsidRPr="0042075D">
              <w:rPr>
                <w:rFonts w:ascii="Calibri" w:eastAsia="Times New Roman" w:hAnsi="Calibri" w:cs="Times New Roman"/>
                <w:b/>
                <w:bCs/>
                <w:color w:val="FFFFFF"/>
                <w:sz w:val="20"/>
                <w:szCs w:val="20"/>
                <w:lang w:eastAsia="en-GB"/>
              </w:rPr>
              <w:t>Variable</w:t>
            </w:r>
          </w:p>
        </w:tc>
        <w:tc>
          <w:tcPr>
            <w:tcW w:w="4818" w:type="dxa"/>
            <w:tcBorders>
              <w:top w:val="single" w:sz="8" w:space="0" w:color="auto"/>
              <w:left w:val="nil"/>
              <w:bottom w:val="single" w:sz="8" w:space="0" w:color="auto"/>
              <w:right w:val="single" w:sz="8" w:space="0" w:color="auto"/>
            </w:tcBorders>
            <w:shd w:val="clear" w:color="000000" w:fill="0070C0"/>
            <w:hideMark/>
          </w:tcPr>
          <w:p w14:paraId="0FE1172D" w14:textId="77777777" w:rsidR="0042075D" w:rsidRPr="0042075D" w:rsidRDefault="0042075D" w:rsidP="0042075D">
            <w:pPr>
              <w:spacing w:after="0" w:line="240" w:lineRule="auto"/>
              <w:jc w:val="center"/>
              <w:rPr>
                <w:rFonts w:ascii="Calibri" w:eastAsia="Times New Roman" w:hAnsi="Calibri" w:cs="Times New Roman"/>
                <w:b/>
                <w:bCs/>
                <w:color w:val="FFFFFF"/>
                <w:sz w:val="20"/>
                <w:szCs w:val="20"/>
                <w:lang w:eastAsia="en-GB"/>
              </w:rPr>
            </w:pPr>
            <w:r w:rsidRPr="0042075D">
              <w:rPr>
                <w:rFonts w:ascii="Calibri" w:eastAsia="Times New Roman" w:hAnsi="Calibri" w:cs="Times New Roman"/>
                <w:b/>
                <w:bCs/>
                <w:color w:val="FFFFFF"/>
                <w:sz w:val="20"/>
                <w:szCs w:val="20"/>
                <w:lang w:eastAsia="en-GB"/>
              </w:rPr>
              <w:t>Description</w:t>
            </w:r>
          </w:p>
        </w:tc>
      </w:tr>
      <w:tr w:rsidR="0042075D" w:rsidRPr="0042075D" w14:paraId="1EED41F9" w14:textId="77777777" w:rsidTr="0042075D">
        <w:trPr>
          <w:trHeight w:val="300"/>
        </w:trPr>
        <w:tc>
          <w:tcPr>
            <w:tcW w:w="6240" w:type="dxa"/>
            <w:tcBorders>
              <w:top w:val="nil"/>
              <w:left w:val="single" w:sz="8" w:space="0" w:color="auto"/>
              <w:bottom w:val="single" w:sz="8" w:space="0" w:color="auto"/>
              <w:right w:val="single" w:sz="8" w:space="0" w:color="auto"/>
            </w:tcBorders>
            <w:shd w:val="clear" w:color="000000" w:fill="0070C0"/>
            <w:noWrap/>
            <w:hideMark/>
          </w:tcPr>
          <w:p w14:paraId="262B049F" w14:textId="77777777" w:rsidR="0042075D" w:rsidRPr="0042075D" w:rsidRDefault="0042075D" w:rsidP="0042075D">
            <w:pPr>
              <w:spacing w:after="0" w:line="240" w:lineRule="auto"/>
              <w:rPr>
                <w:rFonts w:ascii="Calibri" w:eastAsia="Times New Roman" w:hAnsi="Calibri" w:cs="Times New Roman"/>
                <w:b/>
                <w:bCs/>
                <w:color w:val="FFFFFF"/>
                <w:sz w:val="20"/>
                <w:szCs w:val="20"/>
                <w:lang w:eastAsia="en-GB"/>
              </w:rPr>
            </w:pPr>
            <w:r w:rsidRPr="0042075D">
              <w:rPr>
                <w:rFonts w:ascii="Calibri" w:eastAsia="Times New Roman" w:hAnsi="Calibri" w:cs="Times New Roman"/>
                <w:b/>
                <w:bCs/>
                <w:color w:val="FFFFFF"/>
                <w:sz w:val="20"/>
                <w:szCs w:val="20"/>
                <w:lang w:eastAsia="en-GB"/>
              </w:rPr>
              <w:t>Culture and sports</w:t>
            </w:r>
          </w:p>
        </w:tc>
        <w:tc>
          <w:tcPr>
            <w:tcW w:w="4818" w:type="dxa"/>
            <w:tcBorders>
              <w:top w:val="nil"/>
              <w:left w:val="nil"/>
              <w:bottom w:val="single" w:sz="8" w:space="0" w:color="auto"/>
              <w:right w:val="single" w:sz="8" w:space="0" w:color="auto"/>
            </w:tcBorders>
            <w:shd w:val="clear" w:color="000000" w:fill="0070C0"/>
            <w:hideMark/>
          </w:tcPr>
          <w:p w14:paraId="5B5D21F9" w14:textId="77777777" w:rsidR="0042075D" w:rsidRPr="0042075D" w:rsidRDefault="0042075D" w:rsidP="0042075D">
            <w:pPr>
              <w:spacing w:after="0" w:line="240" w:lineRule="auto"/>
              <w:jc w:val="center"/>
              <w:rPr>
                <w:rFonts w:ascii="Calibri" w:eastAsia="Times New Roman" w:hAnsi="Calibri" w:cs="Times New Roman"/>
                <w:b/>
                <w:bCs/>
                <w:color w:val="FFFFFF"/>
                <w:sz w:val="20"/>
                <w:szCs w:val="20"/>
                <w:lang w:eastAsia="en-GB"/>
              </w:rPr>
            </w:pPr>
            <w:r w:rsidRPr="0042075D">
              <w:rPr>
                <w:rFonts w:ascii="Calibri" w:eastAsia="Times New Roman" w:hAnsi="Calibri" w:cs="Times New Roman"/>
                <w:b/>
                <w:bCs/>
                <w:color w:val="FFFFFF"/>
                <w:sz w:val="20"/>
                <w:szCs w:val="20"/>
                <w:lang w:eastAsia="en-GB"/>
              </w:rPr>
              <w:t> </w:t>
            </w:r>
          </w:p>
        </w:tc>
      </w:tr>
      <w:tr w:rsidR="0042075D" w:rsidRPr="0042075D" w14:paraId="4145E845" w14:textId="77777777" w:rsidTr="0042075D">
        <w:trPr>
          <w:trHeight w:val="530"/>
        </w:trPr>
        <w:tc>
          <w:tcPr>
            <w:tcW w:w="6240" w:type="dxa"/>
            <w:tcBorders>
              <w:top w:val="nil"/>
              <w:left w:val="single" w:sz="8" w:space="0" w:color="auto"/>
              <w:bottom w:val="single" w:sz="8" w:space="0" w:color="auto"/>
              <w:right w:val="single" w:sz="8" w:space="0" w:color="auto"/>
            </w:tcBorders>
            <w:shd w:val="clear" w:color="auto" w:fill="auto"/>
            <w:noWrap/>
            <w:hideMark/>
          </w:tcPr>
          <w:p w14:paraId="0F08B23F"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All arts</w:t>
            </w:r>
          </w:p>
        </w:tc>
        <w:tc>
          <w:tcPr>
            <w:tcW w:w="4818" w:type="dxa"/>
            <w:tcBorders>
              <w:top w:val="nil"/>
              <w:left w:val="nil"/>
              <w:bottom w:val="single" w:sz="8" w:space="0" w:color="auto"/>
              <w:right w:val="single" w:sz="8" w:space="0" w:color="auto"/>
            </w:tcBorders>
            <w:shd w:val="clear" w:color="auto" w:fill="auto"/>
            <w:hideMark/>
          </w:tcPr>
          <w:p w14:paraId="5BAAC49F" w14:textId="77777777" w:rsidR="0042075D" w:rsidRPr="0042075D" w:rsidRDefault="0042075D" w:rsidP="00FB34D6">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 xml:space="preserve">1 = participated in / audience member </w:t>
            </w:r>
            <w:r w:rsidR="00FB34D6">
              <w:rPr>
                <w:rFonts w:ascii="Calibri" w:eastAsia="Times New Roman" w:hAnsi="Calibri" w:cs="Times New Roman"/>
                <w:color w:val="000000"/>
                <w:sz w:val="20"/>
                <w:szCs w:val="20"/>
                <w:lang w:eastAsia="en-GB"/>
              </w:rPr>
              <w:t xml:space="preserve">to </w:t>
            </w:r>
            <w:r w:rsidRPr="0042075D">
              <w:rPr>
                <w:rFonts w:ascii="Calibri" w:eastAsia="Times New Roman" w:hAnsi="Calibri" w:cs="Times New Roman"/>
                <w:color w:val="000000"/>
                <w:sz w:val="20"/>
                <w:szCs w:val="20"/>
                <w:lang w:eastAsia="en-GB"/>
              </w:rPr>
              <w:t xml:space="preserve">any </w:t>
            </w:r>
            <w:r w:rsidR="00FB34D6">
              <w:rPr>
                <w:rFonts w:ascii="Calibri" w:eastAsia="Times New Roman" w:hAnsi="Calibri" w:cs="Times New Roman"/>
                <w:color w:val="000000"/>
                <w:sz w:val="20"/>
                <w:szCs w:val="20"/>
                <w:lang w:eastAsia="en-GB"/>
              </w:rPr>
              <w:t xml:space="preserve">of the </w:t>
            </w:r>
            <w:r w:rsidRPr="0042075D">
              <w:rPr>
                <w:rFonts w:ascii="Calibri" w:eastAsia="Times New Roman" w:hAnsi="Calibri" w:cs="Times New Roman"/>
                <w:color w:val="000000"/>
                <w:sz w:val="20"/>
                <w:szCs w:val="20"/>
                <w:lang w:eastAsia="en-GB"/>
              </w:rPr>
              <w:t xml:space="preserve">arts </w:t>
            </w:r>
            <w:r w:rsidR="00FB34D6">
              <w:rPr>
                <w:rFonts w:ascii="Calibri" w:eastAsia="Times New Roman" w:hAnsi="Calibri" w:cs="Times New Roman"/>
                <w:color w:val="000000"/>
                <w:sz w:val="20"/>
                <w:szCs w:val="20"/>
                <w:lang w:eastAsia="en-GB"/>
              </w:rPr>
              <w:t xml:space="preserve">categories </w:t>
            </w:r>
            <w:r w:rsidRPr="0042075D">
              <w:rPr>
                <w:rFonts w:ascii="Calibri" w:eastAsia="Times New Roman" w:hAnsi="Calibri" w:cs="Times New Roman"/>
                <w:color w:val="000000"/>
                <w:sz w:val="20"/>
                <w:szCs w:val="20"/>
                <w:lang w:eastAsia="en-GB"/>
              </w:rPr>
              <w:t>below</w:t>
            </w:r>
            <w:r w:rsidR="00FB34D6">
              <w:rPr>
                <w:rFonts w:ascii="Calibri" w:eastAsia="Times New Roman" w:hAnsi="Calibri" w:cs="Times New Roman"/>
                <w:color w:val="000000"/>
                <w:sz w:val="20"/>
                <w:szCs w:val="20"/>
                <w:lang w:eastAsia="en-GB"/>
              </w:rPr>
              <w:t xml:space="preserve"> (in the past 12 months)</w:t>
            </w:r>
            <w:r w:rsidRPr="0042075D">
              <w:rPr>
                <w:rFonts w:ascii="Calibri" w:eastAsia="Times New Roman" w:hAnsi="Calibri" w:cs="Times New Roman"/>
                <w:color w:val="000000"/>
                <w:sz w:val="20"/>
                <w:szCs w:val="20"/>
                <w:lang w:eastAsia="en-GB"/>
              </w:rPr>
              <w:t>; 0 = otherwise</w:t>
            </w:r>
          </w:p>
        </w:tc>
      </w:tr>
      <w:tr w:rsidR="0042075D" w:rsidRPr="0042075D" w14:paraId="0440D5A8" w14:textId="77777777" w:rsidTr="0042075D">
        <w:trPr>
          <w:trHeight w:val="530"/>
        </w:trPr>
        <w:tc>
          <w:tcPr>
            <w:tcW w:w="6240" w:type="dxa"/>
            <w:tcBorders>
              <w:top w:val="nil"/>
              <w:left w:val="single" w:sz="8" w:space="0" w:color="auto"/>
              <w:bottom w:val="single" w:sz="8" w:space="0" w:color="auto"/>
              <w:right w:val="single" w:sz="8" w:space="0" w:color="auto"/>
            </w:tcBorders>
            <w:shd w:val="clear" w:color="auto" w:fill="auto"/>
            <w:noWrap/>
            <w:hideMark/>
          </w:tcPr>
          <w:p w14:paraId="31EC771C"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Audience arts</w:t>
            </w:r>
          </w:p>
        </w:tc>
        <w:tc>
          <w:tcPr>
            <w:tcW w:w="4818" w:type="dxa"/>
            <w:tcBorders>
              <w:top w:val="nil"/>
              <w:left w:val="nil"/>
              <w:bottom w:val="single" w:sz="8" w:space="0" w:color="auto"/>
              <w:right w:val="single" w:sz="8" w:space="0" w:color="auto"/>
            </w:tcBorders>
            <w:shd w:val="clear" w:color="auto" w:fill="auto"/>
            <w:hideMark/>
          </w:tcPr>
          <w:p w14:paraId="57A2310E" w14:textId="77777777" w:rsidR="0042075D" w:rsidRPr="0042075D" w:rsidRDefault="00FB34D6" w:rsidP="00FB34D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 = went to </w:t>
            </w:r>
            <w:r w:rsidR="0042075D" w:rsidRPr="0042075D">
              <w:rPr>
                <w:rFonts w:ascii="Calibri" w:eastAsia="Times New Roman" w:hAnsi="Calibri" w:cs="Times New Roman"/>
                <w:color w:val="000000"/>
                <w:sz w:val="20"/>
                <w:szCs w:val="20"/>
                <w:lang w:eastAsia="en-GB"/>
              </w:rPr>
              <w:t>film, exhibition, music, play or dance</w:t>
            </w:r>
            <w:r>
              <w:rPr>
                <w:rFonts w:ascii="Calibri" w:eastAsia="Times New Roman" w:hAnsi="Calibri" w:cs="Times New Roman"/>
                <w:color w:val="000000"/>
                <w:sz w:val="20"/>
                <w:szCs w:val="20"/>
                <w:lang w:eastAsia="en-GB"/>
              </w:rPr>
              <w:t xml:space="preserve"> in past 12 months</w:t>
            </w:r>
            <w:r w:rsidR="0042075D" w:rsidRPr="0042075D">
              <w:rPr>
                <w:rFonts w:ascii="Calibri" w:eastAsia="Times New Roman" w:hAnsi="Calibri" w:cs="Times New Roman"/>
                <w:color w:val="000000"/>
                <w:sz w:val="20"/>
                <w:szCs w:val="20"/>
                <w:lang w:eastAsia="en-GB"/>
              </w:rPr>
              <w:t>; 0 = otherwise</w:t>
            </w:r>
          </w:p>
        </w:tc>
      </w:tr>
      <w:tr w:rsidR="0042075D" w:rsidRPr="0042075D" w14:paraId="0A2BFE09" w14:textId="77777777" w:rsidTr="0042075D">
        <w:trPr>
          <w:trHeight w:val="530"/>
        </w:trPr>
        <w:tc>
          <w:tcPr>
            <w:tcW w:w="6240" w:type="dxa"/>
            <w:tcBorders>
              <w:top w:val="nil"/>
              <w:left w:val="single" w:sz="8" w:space="0" w:color="auto"/>
              <w:bottom w:val="single" w:sz="8" w:space="0" w:color="auto"/>
              <w:right w:val="single" w:sz="8" w:space="0" w:color="auto"/>
            </w:tcBorders>
            <w:shd w:val="clear" w:color="auto" w:fill="auto"/>
            <w:noWrap/>
            <w:hideMark/>
          </w:tcPr>
          <w:p w14:paraId="46515344"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Participation arts</w:t>
            </w:r>
          </w:p>
        </w:tc>
        <w:tc>
          <w:tcPr>
            <w:tcW w:w="4818" w:type="dxa"/>
            <w:tcBorders>
              <w:top w:val="nil"/>
              <w:left w:val="nil"/>
              <w:bottom w:val="single" w:sz="8" w:space="0" w:color="auto"/>
              <w:right w:val="single" w:sz="8" w:space="0" w:color="auto"/>
            </w:tcBorders>
            <w:shd w:val="clear" w:color="auto" w:fill="auto"/>
            <w:hideMark/>
          </w:tcPr>
          <w:p w14:paraId="38F42B40"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1 = participated in dance, drama, music, art, craft, or literature</w:t>
            </w:r>
            <w:r w:rsidR="00FB34D6">
              <w:rPr>
                <w:rFonts w:ascii="Calibri" w:eastAsia="Times New Roman" w:hAnsi="Calibri" w:cs="Times New Roman"/>
                <w:color w:val="000000"/>
                <w:sz w:val="20"/>
                <w:szCs w:val="20"/>
                <w:lang w:eastAsia="en-GB"/>
              </w:rPr>
              <w:t xml:space="preserve"> in past 12 months</w:t>
            </w:r>
            <w:r w:rsidRPr="0042075D">
              <w:rPr>
                <w:rFonts w:ascii="Calibri" w:eastAsia="Times New Roman" w:hAnsi="Calibri" w:cs="Times New Roman"/>
                <w:color w:val="000000"/>
                <w:sz w:val="20"/>
                <w:szCs w:val="20"/>
                <w:lang w:eastAsia="en-GB"/>
              </w:rPr>
              <w:t>; 0 = otherwise</w:t>
            </w:r>
          </w:p>
        </w:tc>
      </w:tr>
      <w:tr w:rsidR="0042075D" w:rsidRPr="0042075D" w14:paraId="31B9032F" w14:textId="77777777" w:rsidTr="0042075D">
        <w:trPr>
          <w:trHeight w:val="530"/>
        </w:trPr>
        <w:tc>
          <w:tcPr>
            <w:tcW w:w="6240" w:type="dxa"/>
            <w:tcBorders>
              <w:top w:val="nil"/>
              <w:left w:val="single" w:sz="8" w:space="0" w:color="auto"/>
              <w:bottom w:val="single" w:sz="8" w:space="0" w:color="auto"/>
              <w:right w:val="single" w:sz="8" w:space="0" w:color="auto"/>
            </w:tcBorders>
            <w:shd w:val="clear" w:color="auto" w:fill="auto"/>
            <w:noWrap/>
            <w:hideMark/>
          </w:tcPr>
          <w:p w14:paraId="54BD5332"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All sports</w:t>
            </w:r>
          </w:p>
        </w:tc>
        <w:tc>
          <w:tcPr>
            <w:tcW w:w="4818" w:type="dxa"/>
            <w:tcBorders>
              <w:top w:val="nil"/>
              <w:left w:val="nil"/>
              <w:bottom w:val="single" w:sz="8" w:space="0" w:color="auto"/>
              <w:right w:val="single" w:sz="8" w:space="0" w:color="auto"/>
            </w:tcBorders>
            <w:shd w:val="clear" w:color="auto" w:fill="auto"/>
            <w:hideMark/>
          </w:tcPr>
          <w:p w14:paraId="7E2D7A47" w14:textId="77777777" w:rsidR="0042075D" w:rsidRPr="0042075D" w:rsidRDefault="0042075D" w:rsidP="00FB34D6">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 xml:space="preserve">1 = participated in any </w:t>
            </w:r>
            <w:r w:rsidR="00FB34D6">
              <w:rPr>
                <w:rFonts w:ascii="Calibri" w:eastAsia="Times New Roman" w:hAnsi="Calibri" w:cs="Times New Roman"/>
                <w:color w:val="000000"/>
                <w:sz w:val="20"/>
                <w:szCs w:val="20"/>
                <w:lang w:eastAsia="en-GB"/>
              </w:rPr>
              <w:t xml:space="preserve">of the </w:t>
            </w:r>
            <w:r w:rsidRPr="0042075D">
              <w:rPr>
                <w:rFonts w:ascii="Calibri" w:eastAsia="Times New Roman" w:hAnsi="Calibri" w:cs="Times New Roman"/>
                <w:color w:val="000000"/>
                <w:sz w:val="20"/>
                <w:szCs w:val="20"/>
                <w:lang w:eastAsia="en-GB"/>
              </w:rPr>
              <w:t>sports below</w:t>
            </w:r>
            <w:r w:rsidR="00FB34D6">
              <w:rPr>
                <w:rFonts w:ascii="Calibri" w:eastAsia="Times New Roman" w:hAnsi="Calibri" w:cs="Times New Roman"/>
                <w:color w:val="000000"/>
                <w:sz w:val="20"/>
                <w:szCs w:val="20"/>
                <w:lang w:eastAsia="en-GB"/>
              </w:rPr>
              <w:t xml:space="preserve"> (in past 12 months) </w:t>
            </w:r>
            <w:r w:rsidRPr="0042075D">
              <w:rPr>
                <w:rFonts w:ascii="Calibri" w:eastAsia="Times New Roman" w:hAnsi="Calibri" w:cs="Times New Roman"/>
                <w:color w:val="000000"/>
                <w:sz w:val="20"/>
                <w:szCs w:val="20"/>
                <w:lang w:eastAsia="en-GB"/>
              </w:rPr>
              <w:t>; 0 = otherwise</w:t>
            </w:r>
            <w:r w:rsidR="00FB34D6">
              <w:rPr>
                <w:rFonts w:ascii="Calibri" w:eastAsia="Times New Roman" w:hAnsi="Calibri" w:cs="Times New Roman"/>
                <w:color w:val="000000"/>
                <w:sz w:val="20"/>
                <w:szCs w:val="20"/>
                <w:lang w:eastAsia="en-GB"/>
              </w:rPr>
              <w:t xml:space="preserve"> </w:t>
            </w:r>
          </w:p>
        </w:tc>
      </w:tr>
      <w:tr w:rsidR="0042075D" w:rsidRPr="0042075D" w14:paraId="36E3CF29" w14:textId="77777777" w:rsidTr="0042075D">
        <w:trPr>
          <w:trHeight w:val="790"/>
        </w:trPr>
        <w:tc>
          <w:tcPr>
            <w:tcW w:w="6240" w:type="dxa"/>
            <w:tcBorders>
              <w:top w:val="nil"/>
              <w:left w:val="single" w:sz="8" w:space="0" w:color="auto"/>
              <w:bottom w:val="single" w:sz="8" w:space="0" w:color="auto"/>
              <w:right w:val="single" w:sz="8" w:space="0" w:color="auto"/>
            </w:tcBorders>
            <w:shd w:val="clear" w:color="auto" w:fill="auto"/>
            <w:noWrap/>
            <w:hideMark/>
          </w:tcPr>
          <w:p w14:paraId="21BBF2A0"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Team sports</w:t>
            </w:r>
          </w:p>
        </w:tc>
        <w:tc>
          <w:tcPr>
            <w:tcW w:w="4818" w:type="dxa"/>
            <w:tcBorders>
              <w:top w:val="nil"/>
              <w:left w:val="nil"/>
              <w:bottom w:val="single" w:sz="8" w:space="0" w:color="auto"/>
              <w:right w:val="single" w:sz="8" w:space="0" w:color="auto"/>
            </w:tcBorders>
            <w:shd w:val="clear" w:color="auto" w:fill="auto"/>
            <w:hideMark/>
          </w:tcPr>
          <w:p w14:paraId="4257A1B7"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1 = participated in football, rugby, water sports, basketball, netball, volleyball, cricket, hockey, or baseball, softball or rounders</w:t>
            </w:r>
            <w:r w:rsidR="00FB34D6">
              <w:rPr>
                <w:rFonts w:ascii="Calibri" w:eastAsia="Times New Roman" w:hAnsi="Calibri" w:cs="Times New Roman"/>
                <w:color w:val="000000"/>
                <w:sz w:val="20"/>
                <w:szCs w:val="20"/>
                <w:lang w:eastAsia="en-GB"/>
              </w:rPr>
              <w:t xml:space="preserve"> in past 12 months</w:t>
            </w:r>
            <w:r w:rsidRPr="0042075D">
              <w:rPr>
                <w:rFonts w:ascii="Calibri" w:eastAsia="Times New Roman" w:hAnsi="Calibri" w:cs="Times New Roman"/>
                <w:color w:val="000000"/>
                <w:sz w:val="20"/>
                <w:szCs w:val="20"/>
                <w:lang w:eastAsia="en-GB"/>
              </w:rPr>
              <w:t>; 0 = otherwise</w:t>
            </w:r>
          </w:p>
        </w:tc>
      </w:tr>
      <w:tr w:rsidR="0042075D" w:rsidRPr="0042075D" w14:paraId="36E79C3D" w14:textId="77777777" w:rsidTr="0042075D">
        <w:trPr>
          <w:trHeight w:val="1690"/>
        </w:trPr>
        <w:tc>
          <w:tcPr>
            <w:tcW w:w="6240" w:type="dxa"/>
            <w:tcBorders>
              <w:top w:val="nil"/>
              <w:left w:val="single" w:sz="8" w:space="0" w:color="auto"/>
              <w:bottom w:val="single" w:sz="8" w:space="0" w:color="auto"/>
              <w:right w:val="single" w:sz="8" w:space="0" w:color="auto"/>
            </w:tcBorders>
            <w:shd w:val="clear" w:color="auto" w:fill="auto"/>
            <w:noWrap/>
            <w:hideMark/>
          </w:tcPr>
          <w:p w14:paraId="5C8F1E07"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Individual sports</w:t>
            </w:r>
          </w:p>
        </w:tc>
        <w:tc>
          <w:tcPr>
            <w:tcW w:w="4818" w:type="dxa"/>
            <w:tcBorders>
              <w:top w:val="nil"/>
              <w:left w:val="nil"/>
              <w:bottom w:val="single" w:sz="8" w:space="0" w:color="auto"/>
              <w:right w:val="single" w:sz="8" w:space="0" w:color="auto"/>
            </w:tcBorders>
            <w:shd w:val="clear" w:color="auto" w:fill="auto"/>
            <w:hideMark/>
          </w:tcPr>
          <w:p w14:paraId="797FCCFA" w14:textId="77777777" w:rsidR="00EA02DF" w:rsidRPr="0042075D" w:rsidRDefault="0042075D" w:rsidP="00FB34D6">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 xml:space="preserve">1 = participated in health, fitness, gym or conditioning; gymnastics; swimming or diving; </w:t>
            </w:r>
            <w:r w:rsidR="00FB34D6">
              <w:rPr>
                <w:rFonts w:ascii="Calibri" w:eastAsia="Times New Roman" w:hAnsi="Calibri" w:cs="Times New Roman"/>
                <w:color w:val="000000"/>
                <w:sz w:val="20"/>
                <w:szCs w:val="20"/>
                <w:lang w:eastAsia="en-GB"/>
              </w:rPr>
              <w:t>cycling, BMX or mountain biking,</w:t>
            </w:r>
            <w:r w:rsidRPr="0042075D">
              <w:rPr>
                <w:rFonts w:ascii="Calibri" w:eastAsia="Times New Roman" w:hAnsi="Calibri" w:cs="Times New Roman"/>
                <w:color w:val="000000"/>
                <w:sz w:val="20"/>
                <w:szCs w:val="20"/>
                <w:lang w:eastAsia="en-GB"/>
              </w:rPr>
              <w:t xml:space="preserve"> track and field athletics</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jogging,</w:t>
            </w:r>
            <w:r w:rsidR="00FB34D6">
              <w:rPr>
                <w:rFonts w:ascii="Calibri" w:eastAsia="Times New Roman" w:hAnsi="Calibri" w:cs="Times New Roman"/>
                <w:color w:val="000000"/>
                <w:sz w:val="20"/>
                <w:szCs w:val="20"/>
                <w:lang w:eastAsia="en-GB"/>
              </w:rPr>
              <w:t xml:space="preserve"> cross-country, or road running,</w:t>
            </w:r>
            <w:r w:rsidRPr="0042075D">
              <w:rPr>
                <w:rFonts w:ascii="Calibri" w:eastAsia="Times New Roman" w:hAnsi="Calibri" w:cs="Times New Roman"/>
                <w:color w:val="000000"/>
                <w:sz w:val="20"/>
                <w:szCs w:val="20"/>
                <w:lang w:eastAsia="en-GB"/>
              </w:rPr>
              <w:t xml:space="preserve"> hill trekking, backpacking, climbing or mountaineering</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golf</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boxing</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racquet sports</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skiing</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martial arts</w:t>
            </w:r>
            <w:r w:rsidR="00FB34D6">
              <w:rPr>
                <w:rFonts w:ascii="Calibri" w:eastAsia="Times New Roman" w:hAnsi="Calibri" w:cs="Times New Roman"/>
                <w:color w:val="000000"/>
                <w:sz w:val="20"/>
                <w:szCs w:val="20"/>
                <w:lang w:eastAsia="en-GB"/>
              </w:rPr>
              <w:t>,</w:t>
            </w:r>
            <w:r w:rsidRPr="0042075D">
              <w:rPr>
                <w:rFonts w:ascii="Calibri" w:eastAsia="Times New Roman" w:hAnsi="Calibri" w:cs="Times New Roman"/>
                <w:color w:val="000000"/>
                <w:sz w:val="20"/>
                <w:szCs w:val="20"/>
                <w:lang w:eastAsia="en-GB"/>
              </w:rPr>
              <w:t xml:space="preserve"> or horse riding</w:t>
            </w:r>
            <w:r w:rsidR="00FB34D6">
              <w:rPr>
                <w:rFonts w:ascii="Calibri" w:eastAsia="Times New Roman" w:hAnsi="Calibri" w:cs="Times New Roman"/>
                <w:color w:val="000000"/>
                <w:sz w:val="20"/>
                <w:szCs w:val="20"/>
                <w:lang w:eastAsia="en-GB"/>
              </w:rPr>
              <w:t xml:space="preserve"> in past 12 months</w:t>
            </w:r>
            <w:r w:rsidRPr="0042075D">
              <w:rPr>
                <w:rFonts w:ascii="Calibri" w:eastAsia="Times New Roman" w:hAnsi="Calibri" w:cs="Times New Roman"/>
                <w:color w:val="000000"/>
                <w:sz w:val="20"/>
                <w:szCs w:val="20"/>
                <w:lang w:eastAsia="en-GB"/>
              </w:rPr>
              <w:t>;  0 = otherwise</w:t>
            </w:r>
          </w:p>
        </w:tc>
      </w:tr>
      <w:tr w:rsidR="0042075D" w:rsidRPr="0042075D" w14:paraId="3BB92797" w14:textId="77777777" w:rsidTr="0042075D">
        <w:trPr>
          <w:trHeight w:val="680"/>
        </w:trPr>
        <w:tc>
          <w:tcPr>
            <w:tcW w:w="6240" w:type="dxa"/>
            <w:tcBorders>
              <w:top w:val="nil"/>
              <w:left w:val="single" w:sz="8" w:space="0" w:color="auto"/>
              <w:bottom w:val="single" w:sz="8" w:space="0" w:color="auto"/>
              <w:right w:val="single" w:sz="8" w:space="0" w:color="auto"/>
            </w:tcBorders>
            <w:shd w:val="clear" w:color="auto" w:fill="auto"/>
            <w:noWrap/>
            <w:hideMark/>
          </w:tcPr>
          <w:p w14:paraId="6E61AF17" w14:textId="77777777" w:rsidR="0042075D" w:rsidRPr="0042075D" w:rsidRDefault="0042075D" w:rsidP="00515EEB">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Heritage (how many times visited heritage in the last 12 months)</w:t>
            </w:r>
          </w:p>
        </w:tc>
        <w:tc>
          <w:tcPr>
            <w:tcW w:w="4818" w:type="dxa"/>
            <w:tcBorders>
              <w:top w:val="nil"/>
              <w:left w:val="nil"/>
              <w:bottom w:val="single" w:sz="8" w:space="0" w:color="auto"/>
              <w:right w:val="single" w:sz="8" w:space="0" w:color="auto"/>
            </w:tcBorders>
            <w:shd w:val="clear" w:color="auto" w:fill="auto"/>
            <w:hideMark/>
          </w:tcPr>
          <w:p w14:paraId="34870AE1"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Once in past year, 2 = Twice in past year, 3 = At least 3/4 times/year, 4 = longer than weekly but at least monthly, 5 = at least once a week;  0 = otherwise</w:t>
            </w:r>
          </w:p>
        </w:tc>
      </w:tr>
      <w:tr w:rsidR="0042075D" w:rsidRPr="0042075D" w14:paraId="1460BD0D" w14:textId="77777777" w:rsidTr="0042075D">
        <w:trPr>
          <w:trHeight w:val="738"/>
        </w:trPr>
        <w:tc>
          <w:tcPr>
            <w:tcW w:w="6240" w:type="dxa"/>
            <w:tcBorders>
              <w:top w:val="nil"/>
              <w:left w:val="single" w:sz="8" w:space="0" w:color="auto"/>
              <w:bottom w:val="single" w:sz="8" w:space="0" w:color="auto"/>
              <w:right w:val="single" w:sz="8" w:space="0" w:color="auto"/>
            </w:tcBorders>
            <w:shd w:val="clear" w:color="auto" w:fill="auto"/>
            <w:noWrap/>
            <w:hideMark/>
          </w:tcPr>
          <w:p w14:paraId="49309B21"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Libraries (how many times they visited libraries in the last 12 months)</w:t>
            </w:r>
          </w:p>
        </w:tc>
        <w:tc>
          <w:tcPr>
            <w:tcW w:w="4818" w:type="dxa"/>
            <w:tcBorders>
              <w:top w:val="nil"/>
              <w:left w:val="nil"/>
              <w:bottom w:val="single" w:sz="8" w:space="0" w:color="auto"/>
              <w:right w:val="single" w:sz="8" w:space="0" w:color="auto"/>
            </w:tcBorders>
            <w:shd w:val="clear" w:color="auto" w:fill="auto"/>
            <w:hideMark/>
          </w:tcPr>
          <w:p w14:paraId="68BC2192"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1=Once in past year, 2=Twice in past year, 3=At least 3/4 times/year, 4 = longer than weekly but at least monthly, 5=at least once a week; 0 = otherwise</w:t>
            </w:r>
          </w:p>
        </w:tc>
      </w:tr>
      <w:tr w:rsidR="0042075D" w:rsidRPr="0042075D" w14:paraId="49BD38FC" w14:textId="77777777" w:rsidTr="0042075D">
        <w:trPr>
          <w:trHeight w:val="668"/>
        </w:trPr>
        <w:tc>
          <w:tcPr>
            <w:tcW w:w="6240" w:type="dxa"/>
            <w:tcBorders>
              <w:top w:val="nil"/>
              <w:left w:val="single" w:sz="8" w:space="0" w:color="auto"/>
              <w:bottom w:val="single" w:sz="8" w:space="0" w:color="auto"/>
              <w:right w:val="single" w:sz="8" w:space="0" w:color="auto"/>
            </w:tcBorders>
            <w:shd w:val="clear" w:color="auto" w:fill="auto"/>
            <w:noWrap/>
            <w:hideMark/>
          </w:tcPr>
          <w:p w14:paraId="5E415B7C"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 xml:space="preserve">Museums (how many times they visited museums in the last 12 months) </w:t>
            </w:r>
          </w:p>
        </w:tc>
        <w:tc>
          <w:tcPr>
            <w:tcW w:w="4818" w:type="dxa"/>
            <w:tcBorders>
              <w:top w:val="nil"/>
              <w:left w:val="nil"/>
              <w:bottom w:val="single" w:sz="8" w:space="0" w:color="auto"/>
              <w:right w:val="single" w:sz="8" w:space="0" w:color="auto"/>
            </w:tcBorders>
            <w:shd w:val="clear" w:color="auto" w:fill="auto"/>
            <w:hideMark/>
          </w:tcPr>
          <w:p w14:paraId="0C5F93FE"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1=Once in past year, 2=Twice in past year, 3=At least 3/4 times/year, 4 = longer than weekly but at least monthly, 5=at least once a week; 0 = otherwise</w:t>
            </w:r>
          </w:p>
        </w:tc>
      </w:tr>
      <w:tr w:rsidR="0042075D" w:rsidRPr="0042075D" w14:paraId="3F2897F3" w14:textId="77777777" w:rsidTr="0042075D">
        <w:trPr>
          <w:trHeight w:val="300"/>
        </w:trPr>
        <w:tc>
          <w:tcPr>
            <w:tcW w:w="6240" w:type="dxa"/>
            <w:tcBorders>
              <w:top w:val="nil"/>
              <w:left w:val="single" w:sz="8" w:space="0" w:color="auto"/>
              <w:bottom w:val="nil"/>
              <w:right w:val="single" w:sz="8" w:space="0" w:color="auto"/>
            </w:tcBorders>
            <w:shd w:val="clear" w:color="000000" w:fill="0070C0"/>
            <w:noWrap/>
            <w:hideMark/>
          </w:tcPr>
          <w:p w14:paraId="7B4000D9" w14:textId="77777777" w:rsidR="0042075D" w:rsidRPr="0042075D" w:rsidRDefault="0042075D" w:rsidP="0042075D">
            <w:pPr>
              <w:spacing w:after="0" w:line="240" w:lineRule="auto"/>
              <w:rPr>
                <w:rFonts w:ascii="Calibri" w:eastAsia="Times New Roman" w:hAnsi="Calibri" w:cs="Times New Roman"/>
                <w:b/>
                <w:bCs/>
                <w:color w:val="FFFFFF"/>
                <w:sz w:val="20"/>
                <w:szCs w:val="20"/>
                <w:lang w:eastAsia="en-GB"/>
              </w:rPr>
            </w:pPr>
            <w:r w:rsidRPr="0042075D">
              <w:rPr>
                <w:rFonts w:ascii="Calibri" w:eastAsia="Times New Roman" w:hAnsi="Calibri" w:cs="Times New Roman"/>
                <w:b/>
                <w:bCs/>
                <w:color w:val="FFFFFF"/>
                <w:sz w:val="20"/>
                <w:szCs w:val="20"/>
                <w:lang w:eastAsia="en-GB"/>
              </w:rPr>
              <w:t>Other variables</w:t>
            </w:r>
          </w:p>
        </w:tc>
        <w:tc>
          <w:tcPr>
            <w:tcW w:w="4818" w:type="dxa"/>
            <w:tcBorders>
              <w:top w:val="nil"/>
              <w:left w:val="nil"/>
              <w:bottom w:val="nil"/>
              <w:right w:val="single" w:sz="8" w:space="0" w:color="auto"/>
            </w:tcBorders>
            <w:shd w:val="clear" w:color="000000" w:fill="0070C0"/>
            <w:hideMark/>
          </w:tcPr>
          <w:p w14:paraId="616D74D9" w14:textId="77777777" w:rsidR="0042075D" w:rsidRPr="0042075D" w:rsidRDefault="0042075D" w:rsidP="0042075D">
            <w:pPr>
              <w:spacing w:after="0" w:line="240" w:lineRule="auto"/>
              <w:jc w:val="center"/>
              <w:rPr>
                <w:rFonts w:ascii="Calibri" w:eastAsia="Times New Roman" w:hAnsi="Calibri" w:cs="Times New Roman"/>
                <w:b/>
                <w:bCs/>
                <w:color w:val="FFFFFF"/>
                <w:sz w:val="20"/>
                <w:szCs w:val="20"/>
                <w:lang w:eastAsia="en-GB"/>
              </w:rPr>
            </w:pPr>
            <w:r w:rsidRPr="0042075D">
              <w:rPr>
                <w:rFonts w:ascii="Calibri" w:eastAsia="Times New Roman" w:hAnsi="Calibri" w:cs="Times New Roman"/>
                <w:b/>
                <w:bCs/>
                <w:color w:val="FFFFFF"/>
                <w:sz w:val="20"/>
                <w:szCs w:val="20"/>
                <w:lang w:eastAsia="en-GB"/>
              </w:rPr>
              <w:t> </w:t>
            </w:r>
          </w:p>
        </w:tc>
      </w:tr>
      <w:tr w:rsidR="0042075D" w:rsidRPr="0042075D" w14:paraId="247B228C" w14:textId="77777777" w:rsidTr="0042075D">
        <w:trPr>
          <w:trHeight w:val="300"/>
        </w:trPr>
        <w:tc>
          <w:tcPr>
            <w:tcW w:w="6240" w:type="dxa"/>
            <w:tcBorders>
              <w:top w:val="single" w:sz="8" w:space="0" w:color="auto"/>
              <w:left w:val="single" w:sz="8" w:space="0" w:color="auto"/>
              <w:bottom w:val="single" w:sz="8" w:space="0" w:color="auto"/>
              <w:right w:val="single" w:sz="8" w:space="0" w:color="auto"/>
            </w:tcBorders>
            <w:shd w:val="clear" w:color="auto" w:fill="auto"/>
            <w:noWrap/>
            <w:hideMark/>
          </w:tcPr>
          <w:p w14:paraId="135A2D6E"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self reported general health/good_health</w:t>
            </w:r>
          </w:p>
        </w:tc>
        <w:tc>
          <w:tcPr>
            <w:tcW w:w="4818" w:type="dxa"/>
            <w:tcBorders>
              <w:top w:val="single" w:sz="8" w:space="0" w:color="auto"/>
              <w:left w:val="nil"/>
              <w:bottom w:val="single" w:sz="8" w:space="0" w:color="auto"/>
              <w:right w:val="single" w:sz="8" w:space="0" w:color="auto"/>
            </w:tcBorders>
            <w:shd w:val="clear" w:color="auto" w:fill="auto"/>
            <w:hideMark/>
          </w:tcPr>
          <w:p w14:paraId="058D9ADF"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very good or excellent; 0 = good, fair, or poor</w:t>
            </w:r>
          </w:p>
        </w:tc>
      </w:tr>
      <w:tr w:rsidR="0042075D" w:rsidRPr="0042075D" w14:paraId="3F54B6E9"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22E91DEB"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GP visits</w:t>
            </w:r>
          </w:p>
        </w:tc>
        <w:tc>
          <w:tcPr>
            <w:tcW w:w="4818" w:type="dxa"/>
            <w:tcBorders>
              <w:top w:val="nil"/>
              <w:left w:val="nil"/>
              <w:bottom w:val="single" w:sz="8" w:space="0" w:color="auto"/>
              <w:right w:val="single" w:sz="8" w:space="0" w:color="auto"/>
            </w:tcBorders>
            <w:shd w:val="clear" w:color="auto" w:fill="auto"/>
            <w:hideMark/>
          </w:tcPr>
          <w:p w14:paraId="642D77AB"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w:t>
            </w:r>
            <w:r w:rsidR="0089740B">
              <w:rPr>
                <w:rFonts w:ascii="Calibri" w:eastAsia="Times New Roman" w:hAnsi="Calibri" w:cs="Times New Roman"/>
                <w:color w:val="000000"/>
                <w:sz w:val="20"/>
                <w:szCs w:val="20"/>
                <w:lang w:val="en-US" w:eastAsia="en-GB"/>
              </w:rPr>
              <w:t xml:space="preserve"> = 6+ visits in the past year; 0 </w:t>
            </w:r>
            <w:r w:rsidRPr="0042075D">
              <w:rPr>
                <w:rFonts w:ascii="Calibri" w:eastAsia="Times New Roman" w:hAnsi="Calibri" w:cs="Times New Roman"/>
                <w:color w:val="000000"/>
                <w:sz w:val="20"/>
                <w:szCs w:val="20"/>
                <w:lang w:val="en-US" w:eastAsia="en-GB"/>
              </w:rPr>
              <w:t>= otherwise</w:t>
            </w:r>
          </w:p>
        </w:tc>
      </w:tr>
      <w:tr w:rsidR="0042075D" w:rsidRPr="0042075D" w14:paraId="44B719AD" w14:textId="77777777" w:rsidTr="0042075D">
        <w:trPr>
          <w:trHeight w:val="188"/>
        </w:trPr>
        <w:tc>
          <w:tcPr>
            <w:tcW w:w="6240" w:type="dxa"/>
            <w:tcBorders>
              <w:top w:val="nil"/>
              <w:left w:val="single" w:sz="8" w:space="0" w:color="auto"/>
              <w:bottom w:val="single" w:sz="8" w:space="0" w:color="auto"/>
              <w:right w:val="single" w:sz="8" w:space="0" w:color="auto"/>
            </w:tcBorders>
            <w:shd w:val="clear" w:color="auto" w:fill="auto"/>
            <w:noWrap/>
            <w:hideMark/>
          </w:tcPr>
          <w:p w14:paraId="2FF9CFAE"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lastRenderedPageBreak/>
              <w:t>psychotherapy</w:t>
            </w:r>
          </w:p>
        </w:tc>
        <w:tc>
          <w:tcPr>
            <w:tcW w:w="4818" w:type="dxa"/>
            <w:tcBorders>
              <w:top w:val="nil"/>
              <w:left w:val="nil"/>
              <w:bottom w:val="single" w:sz="8" w:space="0" w:color="auto"/>
              <w:right w:val="single" w:sz="8" w:space="0" w:color="auto"/>
            </w:tcBorders>
            <w:shd w:val="clear" w:color="auto" w:fill="auto"/>
            <w:hideMark/>
          </w:tcPr>
          <w:p w14:paraId="1DA1012F"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1=been to psychotherapy/psychiatry; 0=otherwise</w:t>
            </w:r>
          </w:p>
        </w:tc>
      </w:tr>
      <w:tr w:rsidR="0042075D" w:rsidRPr="0042075D" w14:paraId="3A0A1849"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3F60E521"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clinical depression</w:t>
            </w:r>
          </w:p>
        </w:tc>
        <w:tc>
          <w:tcPr>
            <w:tcW w:w="4818" w:type="dxa"/>
            <w:tcBorders>
              <w:top w:val="nil"/>
              <w:left w:val="nil"/>
              <w:bottom w:val="single" w:sz="8" w:space="0" w:color="auto"/>
              <w:right w:val="single" w:sz="8" w:space="0" w:color="auto"/>
            </w:tcBorders>
            <w:shd w:val="clear" w:color="auto" w:fill="auto"/>
            <w:hideMark/>
          </w:tcPr>
          <w:p w14:paraId="0342F051"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1=Yes, 0=No</w:t>
            </w:r>
          </w:p>
        </w:tc>
      </w:tr>
      <w:tr w:rsidR="0042075D" w:rsidRPr="0042075D" w14:paraId="52C3FD73"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30527F97"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employed</w:t>
            </w:r>
          </w:p>
        </w:tc>
        <w:tc>
          <w:tcPr>
            <w:tcW w:w="4818" w:type="dxa"/>
            <w:tcBorders>
              <w:top w:val="nil"/>
              <w:left w:val="nil"/>
              <w:bottom w:val="single" w:sz="8" w:space="0" w:color="auto"/>
              <w:right w:val="single" w:sz="8" w:space="0" w:color="auto"/>
            </w:tcBorders>
            <w:shd w:val="clear" w:color="auto" w:fill="auto"/>
            <w:hideMark/>
          </w:tcPr>
          <w:p w14:paraId="67F590E1"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1 = employed; 0 =otherwise</w:t>
            </w:r>
          </w:p>
        </w:tc>
      </w:tr>
      <w:tr w:rsidR="0042075D" w:rsidRPr="0042075D" w14:paraId="241CCEEC"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43DF0C54"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smoker</w:t>
            </w:r>
          </w:p>
        </w:tc>
        <w:tc>
          <w:tcPr>
            <w:tcW w:w="4818" w:type="dxa"/>
            <w:tcBorders>
              <w:top w:val="nil"/>
              <w:left w:val="nil"/>
              <w:bottom w:val="single" w:sz="8" w:space="0" w:color="auto"/>
              <w:right w:val="single" w:sz="8" w:space="0" w:color="auto"/>
            </w:tcBorders>
            <w:shd w:val="clear" w:color="auto" w:fill="auto"/>
            <w:hideMark/>
          </w:tcPr>
          <w:p w14:paraId="5EE8CD67"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1=current smoker; 0=otherwise</w:t>
            </w:r>
          </w:p>
        </w:tc>
      </w:tr>
      <w:tr w:rsidR="0042075D" w:rsidRPr="0042075D" w14:paraId="64478928"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003AF9CC"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London</w:t>
            </w:r>
          </w:p>
        </w:tc>
        <w:tc>
          <w:tcPr>
            <w:tcW w:w="4818" w:type="dxa"/>
            <w:tcBorders>
              <w:top w:val="nil"/>
              <w:left w:val="nil"/>
              <w:bottom w:val="single" w:sz="8" w:space="0" w:color="auto"/>
              <w:right w:val="single" w:sz="8" w:space="0" w:color="auto"/>
            </w:tcBorders>
            <w:shd w:val="clear" w:color="auto" w:fill="auto"/>
            <w:hideMark/>
          </w:tcPr>
          <w:p w14:paraId="718DB437"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London; 0 = otherwise</w:t>
            </w:r>
          </w:p>
        </w:tc>
      </w:tr>
      <w:tr w:rsidR="0042075D" w:rsidRPr="0042075D" w14:paraId="788A4FB0"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2765B067"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Wales</w:t>
            </w:r>
          </w:p>
        </w:tc>
        <w:tc>
          <w:tcPr>
            <w:tcW w:w="4818" w:type="dxa"/>
            <w:tcBorders>
              <w:top w:val="nil"/>
              <w:left w:val="nil"/>
              <w:bottom w:val="single" w:sz="8" w:space="0" w:color="auto"/>
              <w:right w:val="single" w:sz="8" w:space="0" w:color="auto"/>
            </w:tcBorders>
            <w:shd w:val="clear" w:color="auto" w:fill="auto"/>
            <w:hideMark/>
          </w:tcPr>
          <w:p w14:paraId="032D3657"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Wales; 0 = otherwise</w:t>
            </w:r>
          </w:p>
        </w:tc>
      </w:tr>
      <w:tr w:rsidR="0042075D" w:rsidRPr="0042075D" w14:paraId="647E246E"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D2019F5"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Scotland</w:t>
            </w:r>
          </w:p>
        </w:tc>
        <w:tc>
          <w:tcPr>
            <w:tcW w:w="4818" w:type="dxa"/>
            <w:tcBorders>
              <w:top w:val="nil"/>
              <w:left w:val="nil"/>
              <w:bottom w:val="single" w:sz="8" w:space="0" w:color="auto"/>
              <w:right w:val="single" w:sz="8" w:space="0" w:color="auto"/>
            </w:tcBorders>
            <w:shd w:val="clear" w:color="auto" w:fill="auto"/>
            <w:hideMark/>
          </w:tcPr>
          <w:p w14:paraId="0390C910"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Scotland; 0 = otherwise</w:t>
            </w:r>
          </w:p>
        </w:tc>
      </w:tr>
      <w:tr w:rsidR="0042075D" w:rsidRPr="0042075D" w14:paraId="51BD53AC"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564883F3"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N Ireland</w:t>
            </w:r>
          </w:p>
        </w:tc>
        <w:tc>
          <w:tcPr>
            <w:tcW w:w="4818" w:type="dxa"/>
            <w:tcBorders>
              <w:top w:val="nil"/>
              <w:left w:val="nil"/>
              <w:bottom w:val="single" w:sz="8" w:space="0" w:color="auto"/>
              <w:right w:val="single" w:sz="8" w:space="0" w:color="auto"/>
            </w:tcBorders>
            <w:shd w:val="clear" w:color="auto" w:fill="auto"/>
            <w:hideMark/>
          </w:tcPr>
          <w:p w14:paraId="36FAE203"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N. Ireland;  0 = otherwise</w:t>
            </w:r>
          </w:p>
        </w:tc>
      </w:tr>
      <w:tr w:rsidR="0042075D" w:rsidRPr="0042075D" w14:paraId="15D7AA24"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73FCB5E"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NE</w:t>
            </w:r>
          </w:p>
        </w:tc>
        <w:tc>
          <w:tcPr>
            <w:tcW w:w="4818" w:type="dxa"/>
            <w:tcBorders>
              <w:top w:val="nil"/>
              <w:left w:val="nil"/>
              <w:bottom w:val="single" w:sz="8" w:space="0" w:color="auto"/>
              <w:right w:val="single" w:sz="8" w:space="0" w:color="auto"/>
            </w:tcBorders>
            <w:shd w:val="clear" w:color="auto" w:fill="auto"/>
            <w:hideMark/>
          </w:tcPr>
          <w:p w14:paraId="1569C5D8"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North East; 0 = otherwise</w:t>
            </w:r>
          </w:p>
        </w:tc>
      </w:tr>
      <w:tr w:rsidR="0042075D" w:rsidRPr="0042075D" w14:paraId="1CC48DCB"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0DA6E32D"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NW</w:t>
            </w:r>
          </w:p>
        </w:tc>
        <w:tc>
          <w:tcPr>
            <w:tcW w:w="4818" w:type="dxa"/>
            <w:tcBorders>
              <w:top w:val="nil"/>
              <w:left w:val="nil"/>
              <w:bottom w:val="single" w:sz="8" w:space="0" w:color="auto"/>
              <w:right w:val="single" w:sz="8" w:space="0" w:color="auto"/>
            </w:tcBorders>
            <w:shd w:val="clear" w:color="auto" w:fill="auto"/>
            <w:hideMark/>
          </w:tcPr>
          <w:p w14:paraId="5665DC62"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North West; 0 = otherwise</w:t>
            </w:r>
          </w:p>
        </w:tc>
      </w:tr>
      <w:tr w:rsidR="0042075D" w:rsidRPr="0042075D" w14:paraId="29C8A0B5"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3B8077B1"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York_hmb</w:t>
            </w:r>
          </w:p>
        </w:tc>
        <w:tc>
          <w:tcPr>
            <w:tcW w:w="4818" w:type="dxa"/>
            <w:tcBorders>
              <w:top w:val="nil"/>
              <w:left w:val="nil"/>
              <w:bottom w:val="single" w:sz="8" w:space="0" w:color="auto"/>
              <w:right w:val="single" w:sz="8" w:space="0" w:color="auto"/>
            </w:tcBorders>
            <w:shd w:val="clear" w:color="auto" w:fill="auto"/>
            <w:hideMark/>
          </w:tcPr>
          <w:p w14:paraId="4A7C9E10"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Yorkshire &amp; Humberside; 0 = otherwise</w:t>
            </w:r>
          </w:p>
        </w:tc>
      </w:tr>
      <w:tr w:rsidR="0042075D" w:rsidRPr="0042075D" w14:paraId="6B7B427A"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10CA11E1"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E_mid</w:t>
            </w:r>
          </w:p>
        </w:tc>
        <w:tc>
          <w:tcPr>
            <w:tcW w:w="4818" w:type="dxa"/>
            <w:tcBorders>
              <w:top w:val="nil"/>
              <w:left w:val="nil"/>
              <w:bottom w:val="single" w:sz="8" w:space="0" w:color="auto"/>
              <w:right w:val="single" w:sz="8" w:space="0" w:color="auto"/>
            </w:tcBorders>
            <w:shd w:val="clear" w:color="auto" w:fill="auto"/>
            <w:hideMark/>
          </w:tcPr>
          <w:p w14:paraId="331C9B36"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East Midlands; 0 = otherwise</w:t>
            </w:r>
          </w:p>
        </w:tc>
      </w:tr>
      <w:tr w:rsidR="0042075D" w:rsidRPr="0042075D" w14:paraId="2F6F3B4F"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72B236AE"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W_mid</w:t>
            </w:r>
          </w:p>
        </w:tc>
        <w:tc>
          <w:tcPr>
            <w:tcW w:w="4818" w:type="dxa"/>
            <w:tcBorders>
              <w:top w:val="nil"/>
              <w:left w:val="nil"/>
              <w:bottom w:val="single" w:sz="8" w:space="0" w:color="auto"/>
              <w:right w:val="single" w:sz="8" w:space="0" w:color="auto"/>
            </w:tcBorders>
            <w:shd w:val="clear" w:color="auto" w:fill="auto"/>
            <w:hideMark/>
          </w:tcPr>
          <w:p w14:paraId="39E8B4DC"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West Midlands; 0 = otherwise</w:t>
            </w:r>
          </w:p>
        </w:tc>
      </w:tr>
      <w:tr w:rsidR="0042075D" w:rsidRPr="0042075D" w14:paraId="0D21CF6B"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594301F1"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E_Eng</w:t>
            </w:r>
          </w:p>
        </w:tc>
        <w:tc>
          <w:tcPr>
            <w:tcW w:w="4818" w:type="dxa"/>
            <w:tcBorders>
              <w:top w:val="nil"/>
              <w:left w:val="nil"/>
              <w:bottom w:val="single" w:sz="8" w:space="0" w:color="auto"/>
              <w:right w:val="single" w:sz="8" w:space="0" w:color="auto"/>
            </w:tcBorders>
            <w:shd w:val="clear" w:color="auto" w:fill="auto"/>
            <w:hideMark/>
          </w:tcPr>
          <w:p w14:paraId="7AAE55E3"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East England; 0 = otherwise</w:t>
            </w:r>
          </w:p>
        </w:tc>
      </w:tr>
      <w:tr w:rsidR="0042075D" w:rsidRPr="0042075D" w14:paraId="6C39177F"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51EE95A"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SE</w:t>
            </w:r>
          </w:p>
        </w:tc>
        <w:tc>
          <w:tcPr>
            <w:tcW w:w="4818" w:type="dxa"/>
            <w:tcBorders>
              <w:top w:val="nil"/>
              <w:left w:val="nil"/>
              <w:bottom w:val="single" w:sz="8" w:space="0" w:color="auto"/>
              <w:right w:val="single" w:sz="8" w:space="0" w:color="auto"/>
            </w:tcBorders>
            <w:shd w:val="clear" w:color="auto" w:fill="auto"/>
            <w:hideMark/>
          </w:tcPr>
          <w:p w14:paraId="6DEB0559"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lives in South East; 0 = otherwise</w:t>
            </w:r>
          </w:p>
        </w:tc>
      </w:tr>
      <w:tr w:rsidR="0042075D" w:rsidRPr="0042075D" w14:paraId="489747A5"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5476031"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SW</w:t>
            </w:r>
          </w:p>
        </w:tc>
        <w:tc>
          <w:tcPr>
            <w:tcW w:w="4818" w:type="dxa"/>
            <w:tcBorders>
              <w:top w:val="nil"/>
              <w:left w:val="nil"/>
              <w:bottom w:val="single" w:sz="8" w:space="0" w:color="auto"/>
              <w:right w:val="single" w:sz="8" w:space="0" w:color="auto"/>
            </w:tcBorders>
            <w:shd w:val="clear" w:color="auto" w:fill="auto"/>
            <w:hideMark/>
          </w:tcPr>
          <w:p w14:paraId="7E4217C8"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lives in South West; 0 = otherwise</w:t>
            </w:r>
          </w:p>
        </w:tc>
      </w:tr>
      <w:tr w:rsidR="0042075D" w:rsidRPr="0042075D" w14:paraId="4F62ADFF"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EA465AC"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married</w:t>
            </w:r>
          </w:p>
        </w:tc>
        <w:tc>
          <w:tcPr>
            <w:tcW w:w="4818" w:type="dxa"/>
            <w:tcBorders>
              <w:top w:val="nil"/>
              <w:left w:val="nil"/>
              <w:bottom w:val="single" w:sz="8" w:space="0" w:color="auto"/>
              <w:right w:val="single" w:sz="8" w:space="0" w:color="auto"/>
            </w:tcBorders>
            <w:shd w:val="clear" w:color="auto" w:fill="auto"/>
            <w:hideMark/>
          </w:tcPr>
          <w:p w14:paraId="33DD646E"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married; 0 =otherwise</w:t>
            </w:r>
          </w:p>
        </w:tc>
      </w:tr>
      <w:tr w:rsidR="0042075D" w:rsidRPr="0042075D" w14:paraId="406B3FF6"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17B9E7E8"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log (income)</w:t>
            </w:r>
          </w:p>
        </w:tc>
        <w:tc>
          <w:tcPr>
            <w:tcW w:w="4818" w:type="dxa"/>
            <w:tcBorders>
              <w:top w:val="nil"/>
              <w:left w:val="nil"/>
              <w:bottom w:val="single" w:sz="8" w:space="0" w:color="auto"/>
              <w:right w:val="single" w:sz="8" w:space="0" w:color="auto"/>
            </w:tcBorders>
            <w:shd w:val="clear" w:color="auto" w:fill="auto"/>
            <w:hideMark/>
          </w:tcPr>
          <w:p w14:paraId="520261B5"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Log of equivalised household income</w:t>
            </w:r>
          </w:p>
        </w:tc>
      </w:tr>
      <w:tr w:rsidR="0042075D" w:rsidRPr="0042075D" w14:paraId="16773611"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D8186B9"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male</w:t>
            </w:r>
          </w:p>
        </w:tc>
        <w:tc>
          <w:tcPr>
            <w:tcW w:w="4818" w:type="dxa"/>
            <w:tcBorders>
              <w:top w:val="nil"/>
              <w:left w:val="nil"/>
              <w:bottom w:val="single" w:sz="8" w:space="0" w:color="auto"/>
              <w:right w:val="single" w:sz="8" w:space="0" w:color="auto"/>
            </w:tcBorders>
            <w:shd w:val="clear" w:color="auto" w:fill="auto"/>
            <w:hideMark/>
          </w:tcPr>
          <w:p w14:paraId="1D1A568E"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male; 0 = female</w:t>
            </w:r>
          </w:p>
        </w:tc>
      </w:tr>
      <w:tr w:rsidR="0042075D" w:rsidRPr="0042075D" w14:paraId="2F5950E1"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7661F1A8"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nchild</w:t>
            </w:r>
          </w:p>
        </w:tc>
        <w:tc>
          <w:tcPr>
            <w:tcW w:w="4818" w:type="dxa"/>
            <w:tcBorders>
              <w:top w:val="nil"/>
              <w:left w:val="nil"/>
              <w:bottom w:val="single" w:sz="8" w:space="0" w:color="auto"/>
              <w:right w:val="single" w:sz="8" w:space="0" w:color="auto"/>
            </w:tcBorders>
            <w:shd w:val="clear" w:color="auto" w:fill="auto"/>
            <w:hideMark/>
          </w:tcPr>
          <w:p w14:paraId="26809ED0"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Number of children</w:t>
            </w:r>
          </w:p>
        </w:tc>
      </w:tr>
      <w:tr w:rsidR="0042075D" w:rsidRPr="0042075D" w14:paraId="6932E4D5"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10808DE0"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age</w:t>
            </w:r>
          </w:p>
        </w:tc>
        <w:tc>
          <w:tcPr>
            <w:tcW w:w="4818" w:type="dxa"/>
            <w:tcBorders>
              <w:top w:val="nil"/>
              <w:left w:val="nil"/>
              <w:bottom w:val="single" w:sz="8" w:space="0" w:color="auto"/>
              <w:right w:val="single" w:sz="8" w:space="0" w:color="auto"/>
            </w:tcBorders>
            <w:shd w:val="clear" w:color="auto" w:fill="auto"/>
            <w:hideMark/>
          </w:tcPr>
          <w:p w14:paraId="2ECF7E74"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age of individual</w:t>
            </w:r>
          </w:p>
        </w:tc>
      </w:tr>
      <w:tr w:rsidR="0042075D" w:rsidRPr="0042075D" w14:paraId="20A37EA1"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0819E29"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degree</w:t>
            </w:r>
          </w:p>
        </w:tc>
        <w:tc>
          <w:tcPr>
            <w:tcW w:w="4818" w:type="dxa"/>
            <w:tcBorders>
              <w:top w:val="nil"/>
              <w:left w:val="nil"/>
              <w:bottom w:val="single" w:sz="8" w:space="0" w:color="auto"/>
              <w:right w:val="single" w:sz="8" w:space="0" w:color="auto"/>
            </w:tcBorders>
            <w:shd w:val="clear" w:color="auto" w:fill="auto"/>
            <w:hideMark/>
          </w:tcPr>
          <w:p w14:paraId="679D827A"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1=has a degree; 0=otherwise</w:t>
            </w:r>
          </w:p>
        </w:tc>
      </w:tr>
      <w:tr w:rsidR="0042075D" w:rsidRPr="0042075D" w14:paraId="68492DAC"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3B3DA714"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house owned</w:t>
            </w:r>
          </w:p>
        </w:tc>
        <w:tc>
          <w:tcPr>
            <w:tcW w:w="4818" w:type="dxa"/>
            <w:tcBorders>
              <w:top w:val="nil"/>
              <w:left w:val="nil"/>
              <w:bottom w:val="single" w:sz="8" w:space="0" w:color="auto"/>
              <w:right w:val="single" w:sz="8" w:space="0" w:color="auto"/>
            </w:tcBorders>
            <w:shd w:val="clear" w:color="auto" w:fill="auto"/>
            <w:hideMark/>
          </w:tcPr>
          <w:p w14:paraId="473F73C5"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if owns home; 0 = otherwise</w:t>
            </w:r>
          </w:p>
        </w:tc>
      </w:tr>
      <w:tr w:rsidR="0042075D" w:rsidRPr="0042075D" w14:paraId="4D3E9F4D"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5A6A08E8"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student</w:t>
            </w:r>
          </w:p>
        </w:tc>
        <w:tc>
          <w:tcPr>
            <w:tcW w:w="4818" w:type="dxa"/>
            <w:tcBorders>
              <w:top w:val="nil"/>
              <w:left w:val="nil"/>
              <w:bottom w:val="single" w:sz="8" w:space="0" w:color="auto"/>
              <w:right w:val="single" w:sz="8" w:space="0" w:color="auto"/>
            </w:tcBorders>
            <w:shd w:val="clear" w:color="auto" w:fill="auto"/>
            <w:hideMark/>
          </w:tcPr>
          <w:p w14:paraId="30E49BED"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full time student; 0=otherwise</w:t>
            </w:r>
          </w:p>
        </w:tc>
      </w:tr>
      <w:tr w:rsidR="0042075D" w:rsidRPr="0042075D" w14:paraId="41111776"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76721C65"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good GCSE</w:t>
            </w:r>
          </w:p>
        </w:tc>
        <w:tc>
          <w:tcPr>
            <w:tcW w:w="4818" w:type="dxa"/>
            <w:tcBorders>
              <w:top w:val="nil"/>
              <w:left w:val="nil"/>
              <w:bottom w:val="single" w:sz="8" w:space="0" w:color="auto"/>
              <w:right w:val="single" w:sz="8" w:space="0" w:color="auto"/>
            </w:tcBorders>
            <w:shd w:val="clear" w:color="auto" w:fill="auto"/>
            <w:hideMark/>
          </w:tcPr>
          <w:p w14:paraId="12B83D37"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Number of GCSEs Grade A-C</w:t>
            </w:r>
          </w:p>
        </w:tc>
      </w:tr>
      <w:tr w:rsidR="0042075D" w:rsidRPr="0042075D" w14:paraId="3EB09FC6"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47BDD159"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social housing</w:t>
            </w:r>
          </w:p>
        </w:tc>
        <w:tc>
          <w:tcPr>
            <w:tcW w:w="4818" w:type="dxa"/>
            <w:tcBorders>
              <w:top w:val="nil"/>
              <w:left w:val="nil"/>
              <w:bottom w:val="single" w:sz="8" w:space="0" w:color="auto"/>
              <w:right w:val="single" w:sz="8" w:space="0" w:color="auto"/>
            </w:tcBorders>
            <w:shd w:val="clear" w:color="auto" w:fill="auto"/>
            <w:hideMark/>
          </w:tcPr>
          <w:p w14:paraId="5815281C"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1=in social housing; 0=otherwise</w:t>
            </w:r>
          </w:p>
        </w:tc>
      </w:tr>
      <w:tr w:rsidR="0042075D" w:rsidRPr="0042075D" w14:paraId="2B88A77F" w14:textId="77777777" w:rsidTr="0042075D">
        <w:trPr>
          <w:trHeight w:val="530"/>
        </w:trPr>
        <w:tc>
          <w:tcPr>
            <w:tcW w:w="6240" w:type="dxa"/>
            <w:tcBorders>
              <w:top w:val="nil"/>
              <w:left w:val="single" w:sz="8" w:space="0" w:color="auto"/>
              <w:bottom w:val="single" w:sz="8" w:space="0" w:color="auto"/>
              <w:right w:val="single" w:sz="8" w:space="0" w:color="auto"/>
            </w:tcBorders>
            <w:shd w:val="clear" w:color="auto" w:fill="auto"/>
            <w:noWrap/>
            <w:hideMark/>
          </w:tcPr>
          <w:p w14:paraId="18EE5476"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low confidence</w:t>
            </w:r>
          </w:p>
        </w:tc>
        <w:tc>
          <w:tcPr>
            <w:tcW w:w="4818" w:type="dxa"/>
            <w:tcBorders>
              <w:top w:val="nil"/>
              <w:left w:val="nil"/>
              <w:bottom w:val="single" w:sz="8" w:space="0" w:color="auto"/>
              <w:right w:val="single" w:sz="8" w:space="0" w:color="auto"/>
            </w:tcBorders>
            <w:shd w:val="clear" w:color="auto" w:fill="auto"/>
            <w:hideMark/>
          </w:tcPr>
          <w:p w14:paraId="0A2AEB11"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 = feels rather more/much more confident than usual; 0</w:t>
            </w:r>
            <w:r w:rsidR="00E95392">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w:t>
            </w:r>
            <w:r w:rsidR="00E95392">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otherwise</w:t>
            </w:r>
          </w:p>
        </w:tc>
      </w:tr>
      <w:tr w:rsidR="0042075D" w:rsidRPr="0042075D" w14:paraId="089CC4CB"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348E6F15"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white</w:t>
            </w:r>
          </w:p>
        </w:tc>
        <w:tc>
          <w:tcPr>
            <w:tcW w:w="4818" w:type="dxa"/>
            <w:tcBorders>
              <w:top w:val="nil"/>
              <w:left w:val="nil"/>
              <w:bottom w:val="single" w:sz="8" w:space="0" w:color="auto"/>
              <w:right w:val="single" w:sz="8" w:space="0" w:color="auto"/>
            </w:tcBorders>
            <w:shd w:val="clear" w:color="auto" w:fill="auto"/>
            <w:hideMark/>
          </w:tcPr>
          <w:p w14:paraId="57483818"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1=white ethnicity; 0=otherwise</w:t>
            </w:r>
          </w:p>
        </w:tc>
      </w:tr>
      <w:tr w:rsidR="0042075D" w:rsidRPr="0042075D" w14:paraId="2965C8C8"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01364B95"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industry</w:t>
            </w:r>
          </w:p>
        </w:tc>
        <w:tc>
          <w:tcPr>
            <w:tcW w:w="4818" w:type="dxa"/>
            <w:tcBorders>
              <w:top w:val="nil"/>
              <w:left w:val="nil"/>
              <w:bottom w:val="single" w:sz="8" w:space="0" w:color="auto"/>
              <w:right w:val="single" w:sz="8" w:space="0" w:color="auto"/>
            </w:tcBorders>
            <w:shd w:val="clear" w:color="auto" w:fill="auto"/>
            <w:hideMark/>
          </w:tcPr>
          <w:p w14:paraId="1AFE5093"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1=professional/managerial job; 0=otherwise</w:t>
            </w:r>
          </w:p>
        </w:tc>
      </w:tr>
      <w:tr w:rsidR="0042075D" w:rsidRPr="0042075D" w14:paraId="31FCB293"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40D47A88"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talk_neigh</w:t>
            </w:r>
          </w:p>
        </w:tc>
        <w:tc>
          <w:tcPr>
            <w:tcW w:w="4818" w:type="dxa"/>
            <w:tcBorders>
              <w:top w:val="nil"/>
              <w:left w:val="nil"/>
              <w:bottom w:val="single" w:sz="8" w:space="0" w:color="auto"/>
              <w:right w:val="single" w:sz="8" w:space="0" w:color="auto"/>
            </w:tcBorders>
            <w:shd w:val="clear" w:color="auto" w:fill="auto"/>
            <w:hideMark/>
          </w:tcPr>
          <w:p w14:paraId="326D9BBF"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1=talk on most days; 0=otherwise</w:t>
            </w:r>
          </w:p>
        </w:tc>
      </w:tr>
      <w:tr w:rsidR="0042075D" w:rsidRPr="0042075D" w14:paraId="5331EA22"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465B701E"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meet_neigh</w:t>
            </w:r>
          </w:p>
        </w:tc>
        <w:tc>
          <w:tcPr>
            <w:tcW w:w="4818" w:type="dxa"/>
            <w:tcBorders>
              <w:top w:val="nil"/>
              <w:left w:val="nil"/>
              <w:bottom w:val="single" w:sz="8" w:space="0" w:color="auto"/>
              <w:right w:val="single" w:sz="8" w:space="0" w:color="auto"/>
            </w:tcBorders>
            <w:shd w:val="clear" w:color="auto" w:fill="auto"/>
            <w:hideMark/>
          </w:tcPr>
          <w:p w14:paraId="3CE90A03"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1=on most days; 0=otherwise</w:t>
            </w:r>
          </w:p>
        </w:tc>
      </w:tr>
      <w:tr w:rsidR="0042075D" w:rsidRPr="0042075D" w14:paraId="3BE6C946" w14:textId="77777777" w:rsidTr="0042075D">
        <w:trPr>
          <w:trHeight w:val="320"/>
        </w:trPr>
        <w:tc>
          <w:tcPr>
            <w:tcW w:w="6240" w:type="dxa"/>
            <w:tcBorders>
              <w:top w:val="nil"/>
              <w:left w:val="single" w:sz="8" w:space="0" w:color="auto"/>
              <w:bottom w:val="single" w:sz="8" w:space="0" w:color="auto"/>
              <w:right w:val="single" w:sz="8" w:space="0" w:color="auto"/>
            </w:tcBorders>
            <w:shd w:val="clear" w:color="auto" w:fill="auto"/>
            <w:noWrap/>
            <w:hideMark/>
          </w:tcPr>
          <w:p w14:paraId="3CEFFA69"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alcohol_drugs</w:t>
            </w:r>
          </w:p>
        </w:tc>
        <w:tc>
          <w:tcPr>
            <w:tcW w:w="4818" w:type="dxa"/>
            <w:tcBorders>
              <w:top w:val="nil"/>
              <w:left w:val="nil"/>
              <w:bottom w:val="single" w:sz="8" w:space="0" w:color="auto"/>
              <w:right w:val="single" w:sz="8" w:space="0" w:color="auto"/>
            </w:tcBorders>
            <w:shd w:val="clear" w:color="auto" w:fill="auto"/>
            <w:hideMark/>
          </w:tcPr>
          <w:p w14:paraId="5D6662BD"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alcohol/drug related health problems; 0</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otherwise</w:t>
            </w:r>
          </w:p>
        </w:tc>
      </w:tr>
      <w:tr w:rsidR="0042075D" w:rsidRPr="0042075D" w14:paraId="624AB39A"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1FC44964"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health_insurance</w:t>
            </w:r>
          </w:p>
        </w:tc>
        <w:tc>
          <w:tcPr>
            <w:tcW w:w="4818" w:type="dxa"/>
            <w:tcBorders>
              <w:top w:val="nil"/>
              <w:left w:val="nil"/>
              <w:bottom w:val="single" w:sz="8" w:space="0" w:color="auto"/>
              <w:right w:val="single" w:sz="8" w:space="0" w:color="auto"/>
            </w:tcBorders>
            <w:shd w:val="clear" w:color="auto" w:fill="auto"/>
            <w:hideMark/>
          </w:tcPr>
          <w:p w14:paraId="48403554"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private health insurance; 0=otherwise</w:t>
            </w:r>
          </w:p>
        </w:tc>
      </w:tr>
      <w:tr w:rsidR="0042075D" w:rsidRPr="0042075D" w14:paraId="71243075"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66D8FDD9"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debt_burden</w:t>
            </w:r>
          </w:p>
        </w:tc>
        <w:tc>
          <w:tcPr>
            <w:tcW w:w="4818" w:type="dxa"/>
            <w:tcBorders>
              <w:top w:val="nil"/>
              <w:left w:val="nil"/>
              <w:bottom w:val="single" w:sz="8" w:space="0" w:color="auto"/>
              <w:right w:val="single" w:sz="8" w:space="0" w:color="auto"/>
            </w:tcBorders>
            <w:shd w:val="clear" w:color="auto" w:fill="auto"/>
            <w:hideMark/>
          </w:tcPr>
          <w:p w14:paraId="2D8F650B"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somewhat/heavy burden; 0=otherwise</w:t>
            </w:r>
          </w:p>
        </w:tc>
      </w:tr>
      <w:tr w:rsidR="0042075D" w:rsidRPr="0042075D" w14:paraId="09F0AEA4"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1463F410"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val="en-US" w:eastAsia="en-GB"/>
              </w:rPr>
              <w:t>internet</w:t>
            </w:r>
          </w:p>
        </w:tc>
        <w:tc>
          <w:tcPr>
            <w:tcW w:w="4818" w:type="dxa"/>
            <w:tcBorders>
              <w:top w:val="nil"/>
              <w:left w:val="nil"/>
              <w:bottom w:val="single" w:sz="8" w:space="0" w:color="auto"/>
              <w:right w:val="single" w:sz="8" w:space="0" w:color="auto"/>
            </w:tcBorders>
            <w:shd w:val="clear" w:color="auto" w:fill="auto"/>
            <w:hideMark/>
          </w:tcPr>
          <w:p w14:paraId="5996D185"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val="en-US" w:eastAsia="en-GB"/>
              </w:rPr>
              <w:t>1</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w:t>
            </w:r>
            <w:r>
              <w:rPr>
                <w:rFonts w:ascii="Calibri" w:eastAsia="Times New Roman" w:hAnsi="Calibri" w:cs="Times New Roman"/>
                <w:color w:val="000000"/>
                <w:sz w:val="20"/>
                <w:szCs w:val="20"/>
                <w:lang w:val="en-US" w:eastAsia="en-GB"/>
              </w:rPr>
              <w:t xml:space="preserve"> </w:t>
            </w:r>
            <w:r w:rsidRPr="0042075D">
              <w:rPr>
                <w:rFonts w:ascii="Calibri" w:eastAsia="Times New Roman" w:hAnsi="Calibri" w:cs="Times New Roman"/>
                <w:color w:val="000000"/>
                <w:sz w:val="20"/>
                <w:szCs w:val="20"/>
                <w:lang w:val="en-US" w:eastAsia="en-GB"/>
              </w:rPr>
              <w:t>connected to internet; 0=not connected</w:t>
            </w:r>
          </w:p>
        </w:tc>
      </w:tr>
      <w:tr w:rsidR="0042075D" w:rsidRPr="0042075D" w14:paraId="2670C3E4" w14:textId="77777777" w:rsidTr="0042075D">
        <w:trPr>
          <w:trHeight w:val="300"/>
        </w:trPr>
        <w:tc>
          <w:tcPr>
            <w:tcW w:w="6240" w:type="dxa"/>
            <w:tcBorders>
              <w:top w:val="nil"/>
              <w:left w:val="single" w:sz="8" w:space="0" w:color="auto"/>
              <w:bottom w:val="single" w:sz="8" w:space="0" w:color="auto"/>
              <w:right w:val="single" w:sz="8" w:space="0" w:color="auto"/>
            </w:tcBorders>
            <w:shd w:val="clear" w:color="auto" w:fill="auto"/>
            <w:noWrap/>
            <w:hideMark/>
          </w:tcPr>
          <w:p w14:paraId="71687C74" w14:textId="77777777" w:rsidR="0042075D" w:rsidRPr="0042075D" w:rsidRDefault="0042075D" w:rsidP="0042075D">
            <w:pPr>
              <w:spacing w:after="0" w:line="240" w:lineRule="auto"/>
              <w:rPr>
                <w:rFonts w:ascii="Calibri" w:eastAsia="Times New Roman" w:hAnsi="Calibri" w:cs="Times New Roman"/>
                <w:i/>
                <w:iCs/>
                <w:color w:val="000000"/>
                <w:sz w:val="20"/>
                <w:szCs w:val="20"/>
                <w:lang w:eastAsia="en-GB"/>
              </w:rPr>
            </w:pPr>
            <w:r w:rsidRPr="0042075D">
              <w:rPr>
                <w:rFonts w:ascii="Calibri" w:eastAsia="Times New Roman" w:hAnsi="Calibri" w:cs="Times New Roman"/>
                <w:i/>
                <w:iCs/>
                <w:color w:val="000000"/>
                <w:sz w:val="20"/>
                <w:szCs w:val="20"/>
                <w:lang w:eastAsia="en-GB"/>
              </w:rPr>
              <w:t>foreign_born</w:t>
            </w:r>
          </w:p>
        </w:tc>
        <w:tc>
          <w:tcPr>
            <w:tcW w:w="4818" w:type="dxa"/>
            <w:tcBorders>
              <w:top w:val="nil"/>
              <w:left w:val="nil"/>
              <w:bottom w:val="single" w:sz="8" w:space="0" w:color="auto"/>
              <w:right w:val="single" w:sz="8" w:space="0" w:color="auto"/>
            </w:tcBorders>
            <w:shd w:val="clear" w:color="auto" w:fill="auto"/>
            <w:hideMark/>
          </w:tcPr>
          <w:p w14:paraId="507B54CB" w14:textId="77777777" w:rsidR="0042075D" w:rsidRPr="0042075D" w:rsidRDefault="0042075D" w:rsidP="0042075D">
            <w:pPr>
              <w:spacing w:after="0" w:line="240" w:lineRule="auto"/>
              <w:rPr>
                <w:rFonts w:ascii="Calibri" w:eastAsia="Times New Roman" w:hAnsi="Calibri" w:cs="Times New Roman"/>
                <w:color w:val="000000"/>
                <w:sz w:val="20"/>
                <w:szCs w:val="20"/>
                <w:lang w:eastAsia="en-GB"/>
              </w:rPr>
            </w:pPr>
            <w:r w:rsidRPr="0042075D">
              <w:rPr>
                <w:rFonts w:ascii="Calibri" w:eastAsia="Times New Roman" w:hAnsi="Calibri" w:cs="Times New Roman"/>
                <w:color w:val="000000"/>
                <w:sz w:val="20"/>
                <w:szCs w:val="20"/>
                <w:lang w:eastAsia="en-GB"/>
              </w:rPr>
              <w:t>1 = born outside UK; 0= otherwise</w:t>
            </w:r>
          </w:p>
        </w:tc>
      </w:tr>
    </w:tbl>
    <w:p w14:paraId="4F17DAFE" w14:textId="77777777" w:rsidR="0073446E" w:rsidRDefault="0073446E" w:rsidP="0073446E">
      <w:pPr>
        <w:spacing w:after="0" w:line="240" w:lineRule="auto"/>
        <w:rPr>
          <w:b/>
          <w:sz w:val="24"/>
          <w:szCs w:val="24"/>
        </w:rPr>
      </w:pPr>
    </w:p>
    <w:p w14:paraId="613921F5" w14:textId="77777777" w:rsidR="00340C1E" w:rsidRDefault="00340C1E" w:rsidP="0077239F">
      <w:pPr>
        <w:spacing w:after="0" w:line="240" w:lineRule="auto"/>
        <w:rPr>
          <w:b/>
          <w:sz w:val="36"/>
          <w:szCs w:val="24"/>
        </w:rPr>
      </w:pPr>
    </w:p>
    <w:p w14:paraId="67D88C1E" w14:textId="77777777" w:rsidR="00340C1E" w:rsidRDefault="00340C1E" w:rsidP="0077239F">
      <w:pPr>
        <w:spacing w:after="0" w:line="240" w:lineRule="auto"/>
        <w:rPr>
          <w:b/>
          <w:sz w:val="36"/>
          <w:szCs w:val="24"/>
        </w:rPr>
      </w:pPr>
    </w:p>
    <w:p w14:paraId="79844C1D" w14:textId="77777777" w:rsidR="00340C1E" w:rsidRDefault="00340C1E" w:rsidP="0077239F">
      <w:pPr>
        <w:spacing w:after="0" w:line="240" w:lineRule="auto"/>
        <w:rPr>
          <w:b/>
          <w:sz w:val="36"/>
          <w:szCs w:val="24"/>
        </w:rPr>
      </w:pPr>
    </w:p>
    <w:p w14:paraId="6368DFFB" w14:textId="765A817B" w:rsidR="004F7A97" w:rsidRDefault="004F7A97">
      <w:pPr>
        <w:rPr>
          <w:b/>
          <w:sz w:val="36"/>
          <w:szCs w:val="24"/>
        </w:rPr>
      </w:pPr>
      <w:r>
        <w:rPr>
          <w:b/>
          <w:sz w:val="36"/>
          <w:szCs w:val="24"/>
        </w:rPr>
        <w:br w:type="page"/>
      </w:r>
    </w:p>
    <w:p w14:paraId="0C2BBF32" w14:textId="77777777" w:rsidR="0077239F" w:rsidRPr="001E7442" w:rsidRDefault="009E3924" w:rsidP="001E7442">
      <w:pPr>
        <w:pStyle w:val="Heading1"/>
        <w:rPr>
          <w:rFonts w:asciiTheme="minorHAnsi" w:hAnsiTheme="minorHAnsi"/>
          <w:sz w:val="36"/>
          <w:szCs w:val="36"/>
        </w:rPr>
      </w:pPr>
      <w:bookmarkStart w:id="7" w:name="_Toc409167388"/>
      <w:r w:rsidRPr="001E7442">
        <w:rPr>
          <w:rFonts w:asciiTheme="minorHAnsi" w:hAnsiTheme="minorHAnsi"/>
          <w:sz w:val="36"/>
          <w:szCs w:val="36"/>
        </w:rPr>
        <w:lastRenderedPageBreak/>
        <w:t>Annex C</w:t>
      </w:r>
      <w:r w:rsidR="0077239F" w:rsidRPr="001E7442">
        <w:rPr>
          <w:rFonts w:asciiTheme="minorHAnsi" w:hAnsiTheme="minorHAnsi"/>
          <w:sz w:val="36"/>
          <w:szCs w:val="36"/>
        </w:rPr>
        <w:t>: Results</w:t>
      </w:r>
      <w:bookmarkEnd w:id="7"/>
    </w:p>
    <w:p w14:paraId="4D7619BB" w14:textId="77777777" w:rsidR="009E3924" w:rsidRDefault="009E3924" w:rsidP="00F82374">
      <w:pPr>
        <w:spacing w:after="0" w:line="240" w:lineRule="auto"/>
        <w:rPr>
          <w:b/>
          <w:sz w:val="24"/>
          <w:szCs w:val="24"/>
        </w:rPr>
      </w:pPr>
      <w:r w:rsidRPr="009E3924">
        <w:rPr>
          <w:b/>
          <w:sz w:val="24"/>
          <w:szCs w:val="24"/>
        </w:rPr>
        <w:t xml:space="preserve">C.1. </w:t>
      </w:r>
      <w:r w:rsidR="00AA42FB">
        <w:rPr>
          <w:b/>
          <w:sz w:val="24"/>
          <w:szCs w:val="24"/>
        </w:rPr>
        <w:t xml:space="preserve">General </w:t>
      </w:r>
      <w:r w:rsidRPr="009E3924">
        <w:rPr>
          <w:b/>
          <w:sz w:val="24"/>
          <w:szCs w:val="24"/>
        </w:rPr>
        <w:t>Health</w:t>
      </w:r>
    </w:p>
    <w:p w14:paraId="02AE2C69" w14:textId="77777777" w:rsidR="004F7A97" w:rsidRPr="009E3924" w:rsidRDefault="004F7A97" w:rsidP="00F82374">
      <w:pPr>
        <w:spacing w:after="0" w:line="240" w:lineRule="auto"/>
        <w:rPr>
          <w:b/>
          <w:sz w:val="24"/>
          <w:szCs w:val="24"/>
        </w:rPr>
      </w:pPr>
    </w:p>
    <w:p w14:paraId="33DBDB23" w14:textId="77777777" w:rsidR="009E3924" w:rsidRDefault="009E3924" w:rsidP="00F82374">
      <w:pPr>
        <w:spacing w:after="0" w:line="240" w:lineRule="auto"/>
        <w:rPr>
          <w:b/>
          <w:sz w:val="24"/>
        </w:rPr>
      </w:pPr>
      <w:r w:rsidRPr="009E3924">
        <w:rPr>
          <w:b/>
          <w:sz w:val="24"/>
        </w:rPr>
        <w:t>C.1.1. General</w:t>
      </w:r>
      <w:r w:rsidR="00B4759F">
        <w:rPr>
          <w:b/>
          <w:sz w:val="24"/>
        </w:rPr>
        <w:t xml:space="preserve"> </w:t>
      </w:r>
      <w:r w:rsidRPr="009E3924">
        <w:rPr>
          <w:b/>
          <w:sz w:val="24"/>
        </w:rPr>
        <w:t>health</w:t>
      </w:r>
      <w:r w:rsidR="00DE3CD8">
        <w:rPr>
          <w:b/>
          <w:sz w:val="24"/>
        </w:rPr>
        <w:t>,</w:t>
      </w:r>
      <w:r>
        <w:rPr>
          <w:b/>
          <w:sz w:val="24"/>
        </w:rPr>
        <w:t xml:space="preserve"> sport and culture</w:t>
      </w:r>
    </w:p>
    <w:p w14:paraId="6EEA6566" w14:textId="77777777" w:rsidR="004F7A97" w:rsidRPr="009E3924" w:rsidRDefault="004F7A97" w:rsidP="00F82374">
      <w:pPr>
        <w:spacing w:after="0" w:line="240" w:lineRule="auto"/>
        <w:rPr>
          <w:b/>
          <w:sz w:val="24"/>
        </w:rPr>
      </w:pPr>
    </w:p>
    <w:p w14:paraId="0B5F5D9C" w14:textId="77777777" w:rsidR="00AE51A6" w:rsidRDefault="00F82374" w:rsidP="00290537">
      <w:pPr>
        <w:spacing w:after="0" w:line="240" w:lineRule="auto"/>
        <w:rPr>
          <w:rFonts w:cs="Arial"/>
          <w:sz w:val="24"/>
          <w:szCs w:val="24"/>
        </w:rPr>
      </w:pPr>
      <w:r w:rsidRPr="00F82374">
        <w:rPr>
          <w:rFonts w:cs="Arial"/>
          <w:sz w:val="24"/>
        </w:rPr>
        <w:t>In the health domain, we look at</w:t>
      </w:r>
      <w:r w:rsidR="00982624">
        <w:rPr>
          <w:rFonts w:cs="Arial"/>
          <w:sz w:val="24"/>
        </w:rPr>
        <w:t xml:space="preserve"> the </w:t>
      </w:r>
      <w:r w:rsidR="00982624">
        <w:rPr>
          <w:rFonts w:cstheme="majorHAnsi"/>
          <w:sz w:val="24"/>
          <w:szCs w:val="24"/>
        </w:rPr>
        <w:t>relationship with</w:t>
      </w:r>
      <w:r w:rsidRPr="00F82374">
        <w:rPr>
          <w:rFonts w:cs="Arial"/>
          <w:sz w:val="24"/>
        </w:rPr>
        <w:t xml:space="preserve"> self-reported general health. Self-reported health is measured on a scale of 1 ('very poor') to 5 ('excellent') and we form a binary variable that takes on 1 if self-reported health = 4 or 5, and 0 otherwise. This is run using a logit model and the marginal percentage effects are calculated at the sample mean value for the other covariates. Based on the literature review (</w:t>
      </w:r>
      <w:r w:rsidR="00DE3CD8">
        <w:rPr>
          <w:rFonts w:cs="Arial"/>
          <w:sz w:val="24"/>
        </w:rPr>
        <w:t xml:space="preserve">as set out in </w:t>
      </w:r>
      <w:r w:rsidRPr="00F82374">
        <w:rPr>
          <w:rFonts w:cs="Arial"/>
          <w:sz w:val="24"/>
        </w:rPr>
        <w:t xml:space="preserve">Fujiwara et al., </w:t>
      </w:r>
      <w:r w:rsidR="00DE3CD8">
        <w:rPr>
          <w:rFonts w:cs="Arial"/>
          <w:sz w:val="24"/>
        </w:rPr>
        <w:t>(</w:t>
      </w:r>
      <w:r w:rsidR="00E2120F">
        <w:rPr>
          <w:rFonts w:cs="Arial"/>
          <w:sz w:val="24"/>
        </w:rPr>
        <w:t>2014a</w:t>
      </w:r>
      <w:r w:rsidR="00DE3CD8">
        <w:rPr>
          <w:rFonts w:cs="Arial"/>
          <w:sz w:val="24"/>
        </w:rPr>
        <w:t>)</w:t>
      </w:r>
      <w:r w:rsidRPr="00F82374">
        <w:rPr>
          <w:rFonts w:cs="Arial"/>
          <w:sz w:val="24"/>
        </w:rPr>
        <w:t xml:space="preserve">) we control for age, education household income, gender, employment status, marital status, fruit and vegetables consumption, smoker, alcohol consumption, social relations, </w:t>
      </w:r>
      <w:r w:rsidRPr="00290537">
        <w:rPr>
          <w:rFonts w:cs="Arial"/>
          <w:sz w:val="24"/>
          <w:szCs w:val="24"/>
        </w:rPr>
        <w:t>housing and region.</w:t>
      </w:r>
      <w:r w:rsidR="00290537" w:rsidRPr="00290537">
        <w:rPr>
          <w:rFonts w:cs="Arial"/>
          <w:sz w:val="24"/>
          <w:szCs w:val="24"/>
        </w:rPr>
        <w:t xml:space="preserve"> </w:t>
      </w:r>
      <w:r w:rsidR="006661E8">
        <w:rPr>
          <w:rFonts w:cs="Arial"/>
          <w:sz w:val="24"/>
          <w:szCs w:val="24"/>
        </w:rPr>
        <w:t>Table 5</w:t>
      </w:r>
      <w:r w:rsidR="00290537" w:rsidRPr="00290537">
        <w:rPr>
          <w:rFonts w:cs="Arial"/>
          <w:sz w:val="24"/>
          <w:szCs w:val="24"/>
        </w:rPr>
        <w:t xml:space="preserve"> shows results for the culture and sports variables that are significant at the 5% level. We present the coefficient sizes, standard errors, sample sizes and R-Squared values for each model.</w:t>
      </w:r>
      <w:r w:rsidR="00D14007" w:rsidRPr="00D14007">
        <w:rPr>
          <w:rFonts w:cs="Arial"/>
          <w:sz w:val="24"/>
          <w:szCs w:val="24"/>
        </w:rPr>
        <w:t xml:space="preserve"> </w:t>
      </w:r>
    </w:p>
    <w:p w14:paraId="6496DECB" w14:textId="77777777" w:rsidR="00AE51A6" w:rsidRDefault="00AE51A6" w:rsidP="00290537">
      <w:pPr>
        <w:spacing w:after="0" w:line="240" w:lineRule="auto"/>
        <w:rPr>
          <w:rFonts w:cs="Arial"/>
          <w:sz w:val="24"/>
          <w:szCs w:val="24"/>
        </w:rPr>
      </w:pPr>
    </w:p>
    <w:p w14:paraId="0AEE09A3" w14:textId="77777777" w:rsidR="003C623A" w:rsidRDefault="00D14007" w:rsidP="00290537">
      <w:pPr>
        <w:spacing w:after="0" w:line="240" w:lineRule="auto"/>
        <w:rPr>
          <w:rFonts w:cs="Arial"/>
          <w:sz w:val="24"/>
          <w:szCs w:val="24"/>
        </w:rPr>
      </w:pPr>
      <w:r w:rsidRPr="00D14007">
        <w:rPr>
          <w:rFonts w:cs="Arial"/>
          <w:sz w:val="24"/>
          <w:szCs w:val="24"/>
        </w:rPr>
        <w:t>The</w:t>
      </w:r>
      <w:r>
        <w:rPr>
          <w:rFonts w:cs="Arial"/>
          <w:sz w:val="24"/>
          <w:szCs w:val="24"/>
        </w:rPr>
        <w:t xml:space="preserve"> results relating to culture in </w:t>
      </w:r>
      <w:r w:rsidR="006661E8">
        <w:rPr>
          <w:rFonts w:cs="Arial"/>
          <w:sz w:val="24"/>
          <w:szCs w:val="24"/>
        </w:rPr>
        <w:t>Table 5</w:t>
      </w:r>
      <w:r>
        <w:rPr>
          <w:rFonts w:cs="Arial"/>
          <w:sz w:val="24"/>
          <w:szCs w:val="24"/>
        </w:rPr>
        <w:t xml:space="preserve"> </w:t>
      </w:r>
      <w:r w:rsidRPr="00D14007">
        <w:rPr>
          <w:rFonts w:cs="Arial"/>
          <w:sz w:val="24"/>
          <w:szCs w:val="24"/>
        </w:rPr>
        <w:t>are supported by Cuypers et al. (2012) who found that engaging in receptive cultural activities was associated with a 3% and 9% increase in the likelihood of reporting good health by women and men respectively.</w:t>
      </w:r>
      <w:r>
        <w:rPr>
          <w:rFonts w:cs="Arial"/>
          <w:sz w:val="24"/>
          <w:szCs w:val="24"/>
        </w:rPr>
        <w:t xml:space="preserve"> </w:t>
      </w:r>
      <w:r w:rsidRPr="00D14007">
        <w:rPr>
          <w:rFonts w:cs="Arial"/>
          <w:sz w:val="24"/>
          <w:szCs w:val="24"/>
        </w:rPr>
        <w:t xml:space="preserve">Leadbetter &amp; O’Connor also found significant positive associations between specific cultural activities and self-reported health, though their findings suggest an even greater likelihood of reporting good health having visited a library or a museum in the past 12 months. </w:t>
      </w:r>
      <w:r>
        <w:rPr>
          <w:rFonts w:cs="Arial"/>
          <w:sz w:val="24"/>
          <w:szCs w:val="24"/>
        </w:rPr>
        <w:t>The results relating to sports participation are</w:t>
      </w:r>
      <w:r w:rsidRPr="00D14007">
        <w:rPr>
          <w:rFonts w:cs="Arial"/>
          <w:sz w:val="24"/>
          <w:szCs w:val="24"/>
        </w:rPr>
        <w:t xml:space="preserve"> </w:t>
      </w:r>
      <w:r>
        <w:rPr>
          <w:rFonts w:cs="Arial"/>
          <w:sz w:val="24"/>
          <w:szCs w:val="24"/>
        </w:rPr>
        <w:t xml:space="preserve">similar to those found by </w:t>
      </w:r>
      <w:r w:rsidRPr="00D14007">
        <w:rPr>
          <w:rFonts w:cs="Arial"/>
          <w:sz w:val="24"/>
          <w:szCs w:val="24"/>
        </w:rPr>
        <w:t xml:space="preserve">Leadbetter &amp; O’Connor </w:t>
      </w:r>
      <w:r>
        <w:rPr>
          <w:rFonts w:cs="Arial"/>
          <w:sz w:val="24"/>
          <w:szCs w:val="24"/>
        </w:rPr>
        <w:t>which suggest that</w:t>
      </w:r>
      <w:r w:rsidRPr="00D14007">
        <w:rPr>
          <w:rFonts w:cs="Arial"/>
          <w:sz w:val="24"/>
          <w:szCs w:val="24"/>
        </w:rPr>
        <w:t xml:space="preserve"> having participated in sport in the last four weeks was associated with being twice as likely to report good health.</w:t>
      </w:r>
    </w:p>
    <w:p w14:paraId="3140EF2C" w14:textId="77777777" w:rsidR="004F7A97" w:rsidRDefault="004F7A97" w:rsidP="00290537">
      <w:pPr>
        <w:spacing w:after="0" w:line="240" w:lineRule="auto"/>
        <w:rPr>
          <w:rFonts w:cs="Arial"/>
          <w:sz w:val="24"/>
          <w:szCs w:val="24"/>
        </w:rPr>
      </w:pPr>
    </w:p>
    <w:p w14:paraId="232431CB" w14:textId="77777777" w:rsidR="004F7A97" w:rsidRDefault="004F7A97" w:rsidP="00290537">
      <w:pPr>
        <w:spacing w:after="0" w:line="240" w:lineRule="auto"/>
        <w:rPr>
          <w:rFonts w:cs="Arial"/>
          <w:sz w:val="24"/>
          <w:szCs w:val="24"/>
        </w:rPr>
      </w:pPr>
    </w:p>
    <w:p w14:paraId="3E97052C" w14:textId="77777777" w:rsidR="004F7A97" w:rsidRDefault="004F7A97" w:rsidP="00290537">
      <w:pPr>
        <w:spacing w:after="0" w:line="240" w:lineRule="auto"/>
        <w:rPr>
          <w:rFonts w:cs="Arial"/>
          <w:sz w:val="24"/>
          <w:szCs w:val="24"/>
        </w:rPr>
      </w:pPr>
    </w:p>
    <w:p w14:paraId="42AE4D50" w14:textId="77777777" w:rsidR="004F7A97" w:rsidRDefault="004F7A97" w:rsidP="00290537">
      <w:pPr>
        <w:spacing w:after="0" w:line="240" w:lineRule="auto"/>
        <w:rPr>
          <w:rFonts w:cs="Arial"/>
          <w:sz w:val="24"/>
          <w:szCs w:val="24"/>
        </w:rPr>
      </w:pPr>
    </w:p>
    <w:p w14:paraId="33D8D838" w14:textId="77777777" w:rsidR="004F7A97" w:rsidRDefault="004F7A97" w:rsidP="00290537">
      <w:pPr>
        <w:spacing w:after="0" w:line="240" w:lineRule="auto"/>
        <w:rPr>
          <w:rFonts w:cs="Arial"/>
          <w:sz w:val="24"/>
          <w:szCs w:val="24"/>
        </w:rPr>
      </w:pPr>
    </w:p>
    <w:p w14:paraId="20EBB43D" w14:textId="77777777" w:rsidR="004F7A97" w:rsidRDefault="004F7A97" w:rsidP="00290537">
      <w:pPr>
        <w:spacing w:after="0" w:line="240" w:lineRule="auto"/>
        <w:rPr>
          <w:rFonts w:cs="Arial"/>
          <w:sz w:val="24"/>
          <w:szCs w:val="24"/>
        </w:rPr>
      </w:pPr>
    </w:p>
    <w:p w14:paraId="0D6E3E1D" w14:textId="77777777" w:rsidR="004F7A97" w:rsidRDefault="004F7A97" w:rsidP="00290537">
      <w:pPr>
        <w:spacing w:after="0" w:line="240" w:lineRule="auto"/>
        <w:rPr>
          <w:rFonts w:cs="Arial"/>
          <w:sz w:val="24"/>
          <w:szCs w:val="24"/>
        </w:rPr>
      </w:pPr>
    </w:p>
    <w:p w14:paraId="5951899E" w14:textId="77777777" w:rsidR="004F7A97" w:rsidRDefault="004F7A97" w:rsidP="00290537">
      <w:pPr>
        <w:spacing w:after="0" w:line="240" w:lineRule="auto"/>
        <w:rPr>
          <w:rFonts w:cs="Arial"/>
          <w:sz w:val="24"/>
          <w:szCs w:val="24"/>
        </w:rPr>
      </w:pPr>
    </w:p>
    <w:p w14:paraId="28195D3F" w14:textId="77777777" w:rsidR="004F7A97" w:rsidRDefault="004F7A97" w:rsidP="00290537">
      <w:pPr>
        <w:spacing w:after="0" w:line="240" w:lineRule="auto"/>
        <w:rPr>
          <w:rFonts w:cs="Arial"/>
          <w:sz w:val="24"/>
          <w:szCs w:val="24"/>
        </w:rPr>
      </w:pPr>
    </w:p>
    <w:p w14:paraId="701B1479" w14:textId="77777777" w:rsidR="004F7A97" w:rsidRDefault="004F7A97" w:rsidP="00290537">
      <w:pPr>
        <w:spacing w:after="0" w:line="240" w:lineRule="auto"/>
        <w:rPr>
          <w:rFonts w:cs="Arial"/>
          <w:sz w:val="24"/>
          <w:szCs w:val="24"/>
        </w:rPr>
      </w:pPr>
    </w:p>
    <w:p w14:paraId="59ED56F3" w14:textId="77777777" w:rsidR="004F7A97" w:rsidRDefault="004F7A97" w:rsidP="00290537">
      <w:pPr>
        <w:spacing w:after="0" w:line="240" w:lineRule="auto"/>
        <w:rPr>
          <w:rFonts w:cs="Arial"/>
          <w:sz w:val="24"/>
          <w:szCs w:val="24"/>
        </w:rPr>
      </w:pPr>
    </w:p>
    <w:p w14:paraId="012D7ED3" w14:textId="77777777" w:rsidR="004F7A97" w:rsidRDefault="004F7A97" w:rsidP="00290537">
      <w:pPr>
        <w:spacing w:after="0" w:line="240" w:lineRule="auto"/>
        <w:rPr>
          <w:rFonts w:cs="Arial"/>
          <w:sz w:val="24"/>
          <w:szCs w:val="24"/>
        </w:rPr>
      </w:pPr>
    </w:p>
    <w:p w14:paraId="49671043" w14:textId="77777777" w:rsidR="004F7A97" w:rsidRDefault="004F7A97" w:rsidP="00290537">
      <w:pPr>
        <w:spacing w:after="0" w:line="240" w:lineRule="auto"/>
        <w:rPr>
          <w:rFonts w:cs="Arial"/>
          <w:sz w:val="24"/>
          <w:szCs w:val="24"/>
        </w:rPr>
      </w:pPr>
    </w:p>
    <w:p w14:paraId="11E7A93E" w14:textId="77777777" w:rsidR="004F7A97" w:rsidRDefault="004F7A97" w:rsidP="00290537">
      <w:pPr>
        <w:spacing w:after="0" w:line="240" w:lineRule="auto"/>
        <w:rPr>
          <w:rFonts w:cs="Arial"/>
          <w:sz w:val="24"/>
          <w:szCs w:val="24"/>
        </w:rPr>
      </w:pPr>
    </w:p>
    <w:p w14:paraId="7F5478BA" w14:textId="77777777" w:rsidR="004F7A97" w:rsidRDefault="004F7A97" w:rsidP="00290537">
      <w:pPr>
        <w:spacing w:after="0" w:line="240" w:lineRule="auto"/>
        <w:rPr>
          <w:rFonts w:cs="Arial"/>
          <w:sz w:val="24"/>
          <w:szCs w:val="24"/>
        </w:rPr>
      </w:pPr>
    </w:p>
    <w:p w14:paraId="66A8632A" w14:textId="77777777" w:rsidR="004F7A97" w:rsidRDefault="004F7A97" w:rsidP="00290537">
      <w:pPr>
        <w:spacing w:after="0" w:line="240" w:lineRule="auto"/>
        <w:rPr>
          <w:rFonts w:cs="Arial"/>
          <w:sz w:val="24"/>
          <w:szCs w:val="24"/>
        </w:rPr>
      </w:pPr>
    </w:p>
    <w:p w14:paraId="64F13C2A" w14:textId="77777777" w:rsidR="004F7A97" w:rsidRDefault="004F7A97" w:rsidP="00290537">
      <w:pPr>
        <w:spacing w:after="0" w:line="240" w:lineRule="auto"/>
        <w:rPr>
          <w:rFonts w:cs="Arial"/>
          <w:sz w:val="24"/>
          <w:szCs w:val="24"/>
        </w:rPr>
      </w:pPr>
    </w:p>
    <w:p w14:paraId="159E0568" w14:textId="77777777" w:rsidR="004F7A97" w:rsidRDefault="004F7A97" w:rsidP="00290537">
      <w:pPr>
        <w:spacing w:after="0" w:line="240" w:lineRule="auto"/>
        <w:rPr>
          <w:b/>
          <w:sz w:val="24"/>
        </w:rPr>
      </w:pPr>
    </w:p>
    <w:p w14:paraId="00C621CF" w14:textId="77777777" w:rsidR="009E3924" w:rsidRDefault="006661E8" w:rsidP="00290537">
      <w:pPr>
        <w:spacing w:after="0" w:line="240" w:lineRule="auto"/>
        <w:rPr>
          <w:b/>
          <w:sz w:val="24"/>
        </w:rPr>
      </w:pPr>
      <w:r>
        <w:rPr>
          <w:b/>
          <w:sz w:val="24"/>
        </w:rPr>
        <w:lastRenderedPageBreak/>
        <w:t>Table 5</w:t>
      </w:r>
      <w:r w:rsidR="009E3924" w:rsidRPr="009E3924">
        <w:rPr>
          <w:b/>
          <w:sz w:val="24"/>
        </w:rPr>
        <w:t xml:space="preserve">. </w:t>
      </w:r>
      <w:r w:rsidR="00982624">
        <w:rPr>
          <w:b/>
          <w:sz w:val="24"/>
        </w:rPr>
        <w:t>R</w:t>
      </w:r>
      <w:r w:rsidR="00982624" w:rsidRPr="00982624">
        <w:rPr>
          <w:rFonts w:cstheme="majorHAnsi"/>
          <w:b/>
          <w:sz w:val="24"/>
          <w:szCs w:val="24"/>
        </w:rPr>
        <w:t>elationship between s</w:t>
      </w:r>
      <w:r w:rsidR="002857A1">
        <w:rPr>
          <w:b/>
          <w:sz w:val="24"/>
        </w:rPr>
        <w:t>port and cu</w:t>
      </w:r>
      <w:r w:rsidR="00982624">
        <w:rPr>
          <w:b/>
          <w:sz w:val="24"/>
        </w:rPr>
        <w:t xml:space="preserve">lture and </w:t>
      </w:r>
      <w:r w:rsidR="00003AF8">
        <w:rPr>
          <w:b/>
          <w:sz w:val="24"/>
        </w:rPr>
        <w:t>good</w:t>
      </w:r>
      <w:r w:rsidR="002857A1">
        <w:rPr>
          <w:b/>
          <w:sz w:val="24"/>
        </w:rPr>
        <w:t xml:space="preserve"> general health</w:t>
      </w:r>
      <w:r w:rsidR="00513F36">
        <w:rPr>
          <w:b/>
          <w:sz w:val="24"/>
        </w:rPr>
        <w:t xml:space="preserve"> </w:t>
      </w:r>
      <w:r w:rsidR="00513F36">
        <w:rPr>
          <w:rStyle w:val="FootnoteReference"/>
          <w:b/>
          <w:sz w:val="24"/>
        </w:rPr>
        <w:footnoteReference w:id="9"/>
      </w:r>
    </w:p>
    <w:tbl>
      <w:tblPr>
        <w:tblW w:w="7686" w:type="dxa"/>
        <w:tblLook w:val="04A0" w:firstRow="1" w:lastRow="0" w:firstColumn="1" w:lastColumn="0" w:noHBand="0" w:noVBand="1"/>
      </w:tblPr>
      <w:tblGrid>
        <w:gridCol w:w="1780"/>
        <w:gridCol w:w="1206"/>
        <w:gridCol w:w="1780"/>
        <w:gridCol w:w="894"/>
        <w:gridCol w:w="986"/>
        <w:gridCol w:w="1040"/>
      </w:tblGrid>
      <w:tr w:rsidR="00DE3CD8" w:rsidRPr="00DE3CD8" w14:paraId="1F896F17" w14:textId="77777777" w:rsidTr="00DE3CD8">
        <w:trPr>
          <w:trHeight w:val="300"/>
        </w:trPr>
        <w:tc>
          <w:tcPr>
            <w:tcW w:w="1780" w:type="dxa"/>
            <w:tcBorders>
              <w:top w:val="single" w:sz="8" w:space="0" w:color="auto"/>
              <w:left w:val="single" w:sz="8" w:space="0" w:color="auto"/>
              <w:bottom w:val="double" w:sz="6" w:space="0" w:color="auto"/>
              <w:right w:val="nil"/>
            </w:tcBorders>
            <w:shd w:val="clear" w:color="000000" w:fill="0070C0"/>
            <w:noWrap/>
            <w:vAlign w:val="center"/>
            <w:hideMark/>
          </w:tcPr>
          <w:p w14:paraId="4C0BA6D7" w14:textId="77777777" w:rsidR="00DE3CD8" w:rsidRPr="00DE3CD8" w:rsidRDefault="00BE10CC" w:rsidP="00BE10CC">
            <w:pPr>
              <w:spacing w:after="0" w:line="240" w:lineRule="auto"/>
              <w:jc w:val="center"/>
              <w:rPr>
                <w:rFonts w:ascii="Calibri" w:eastAsia="Times New Roman" w:hAnsi="Calibri" w:cs="Times New Roman"/>
                <w:b/>
                <w:bCs/>
                <w:color w:val="FFFFFF"/>
                <w:lang w:eastAsia="en-GB"/>
              </w:rPr>
            </w:pPr>
            <w:r>
              <w:rPr>
                <w:rFonts w:ascii="Calibri" w:eastAsia="Times New Roman" w:hAnsi="Calibri" w:cs="Times New Roman"/>
                <w:b/>
                <w:bCs/>
                <w:color w:val="FFFFFF"/>
                <w:lang w:eastAsia="en-GB"/>
              </w:rPr>
              <w:t>V</w:t>
            </w:r>
            <w:r w:rsidR="00DE3CD8" w:rsidRPr="00DE3CD8">
              <w:rPr>
                <w:rFonts w:ascii="Calibri" w:eastAsia="Times New Roman" w:hAnsi="Calibri" w:cs="Times New Roman"/>
                <w:b/>
                <w:bCs/>
                <w:color w:val="FFFFFF"/>
                <w:lang w:eastAsia="en-GB"/>
              </w:rPr>
              <w:t>ariables</w:t>
            </w:r>
          </w:p>
        </w:tc>
        <w:tc>
          <w:tcPr>
            <w:tcW w:w="1206"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760C5920"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Coefficient</w:t>
            </w:r>
          </w:p>
        </w:tc>
        <w:tc>
          <w:tcPr>
            <w:tcW w:w="1780" w:type="dxa"/>
            <w:tcBorders>
              <w:top w:val="single" w:sz="8" w:space="0" w:color="auto"/>
              <w:left w:val="nil"/>
              <w:bottom w:val="double" w:sz="6" w:space="0" w:color="auto"/>
              <w:right w:val="nil"/>
            </w:tcBorders>
            <w:shd w:val="clear" w:color="000000" w:fill="0070C0"/>
            <w:noWrap/>
            <w:vAlign w:val="center"/>
            <w:hideMark/>
          </w:tcPr>
          <w:p w14:paraId="52C40FD1"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Probability impact</w:t>
            </w:r>
          </w:p>
        </w:tc>
        <w:tc>
          <w:tcPr>
            <w:tcW w:w="894"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469FB40B"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S.E.</w:t>
            </w:r>
          </w:p>
        </w:tc>
        <w:tc>
          <w:tcPr>
            <w:tcW w:w="986" w:type="dxa"/>
            <w:tcBorders>
              <w:top w:val="single" w:sz="8" w:space="0" w:color="auto"/>
              <w:left w:val="nil"/>
              <w:bottom w:val="double" w:sz="6" w:space="0" w:color="auto"/>
              <w:right w:val="nil"/>
            </w:tcBorders>
            <w:shd w:val="clear" w:color="000000" w:fill="0070C0"/>
            <w:noWrap/>
            <w:vAlign w:val="center"/>
            <w:hideMark/>
          </w:tcPr>
          <w:p w14:paraId="77CAF225"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Sample size</w:t>
            </w:r>
          </w:p>
        </w:tc>
        <w:tc>
          <w:tcPr>
            <w:tcW w:w="1040"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3FB861B7"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R-Squared</w:t>
            </w:r>
          </w:p>
        </w:tc>
      </w:tr>
      <w:tr w:rsidR="00DE3CD8" w:rsidRPr="00DE3CD8" w14:paraId="63666AEA" w14:textId="77777777" w:rsidTr="00DE3CD8">
        <w:trPr>
          <w:trHeight w:val="310"/>
        </w:trPr>
        <w:tc>
          <w:tcPr>
            <w:tcW w:w="1780" w:type="dxa"/>
            <w:tcBorders>
              <w:top w:val="nil"/>
              <w:left w:val="single" w:sz="8" w:space="0" w:color="auto"/>
              <w:bottom w:val="single" w:sz="8" w:space="0" w:color="auto"/>
              <w:right w:val="nil"/>
            </w:tcBorders>
            <w:shd w:val="clear" w:color="000000" w:fill="0070C0"/>
            <w:noWrap/>
            <w:vAlign w:val="center"/>
            <w:hideMark/>
          </w:tcPr>
          <w:p w14:paraId="76779560"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Sports</w:t>
            </w:r>
          </w:p>
        </w:tc>
        <w:tc>
          <w:tcPr>
            <w:tcW w:w="1206" w:type="dxa"/>
            <w:tcBorders>
              <w:top w:val="nil"/>
              <w:left w:val="single" w:sz="8" w:space="0" w:color="auto"/>
              <w:bottom w:val="single" w:sz="8" w:space="0" w:color="auto"/>
              <w:right w:val="single" w:sz="8" w:space="0" w:color="auto"/>
            </w:tcBorders>
            <w:shd w:val="clear" w:color="000000" w:fill="0070C0"/>
            <w:noWrap/>
            <w:vAlign w:val="center"/>
            <w:hideMark/>
          </w:tcPr>
          <w:p w14:paraId="64AA83C7"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 </w:t>
            </w:r>
          </w:p>
        </w:tc>
        <w:tc>
          <w:tcPr>
            <w:tcW w:w="1780" w:type="dxa"/>
            <w:tcBorders>
              <w:top w:val="nil"/>
              <w:left w:val="nil"/>
              <w:bottom w:val="single" w:sz="8" w:space="0" w:color="auto"/>
              <w:right w:val="nil"/>
            </w:tcBorders>
            <w:shd w:val="clear" w:color="000000" w:fill="0070C0"/>
            <w:noWrap/>
            <w:vAlign w:val="center"/>
            <w:hideMark/>
          </w:tcPr>
          <w:p w14:paraId="7C8E4587"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 </w:t>
            </w:r>
          </w:p>
        </w:tc>
        <w:tc>
          <w:tcPr>
            <w:tcW w:w="894" w:type="dxa"/>
            <w:tcBorders>
              <w:top w:val="nil"/>
              <w:left w:val="single" w:sz="8" w:space="0" w:color="auto"/>
              <w:bottom w:val="single" w:sz="8" w:space="0" w:color="auto"/>
              <w:right w:val="single" w:sz="8" w:space="0" w:color="auto"/>
            </w:tcBorders>
            <w:shd w:val="clear" w:color="000000" w:fill="0070C0"/>
            <w:noWrap/>
            <w:vAlign w:val="center"/>
            <w:hideMark/>
          </w:tcPr>
          <w:p w14:paraId="790E3CE2"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 </w:t>
            </w:r>
          </w:p>
        </w:tc>
        <w:tc>
          <w:tcPr>
            <w:tcW w:w="986" w:type="dxa"/>
            <w:tcBorders>
              <w:top w:val="nil"/>
              <w:left w:val="nil"/>
              <w:bottom w:val="single" w:sz="8" w:space="0" w:color="auto"/>
              <w:right w:val="nil"/>
            </w:tcBorders>
            <w:shd w:val="clear" w:color="000000" w:fill="0070C0"/>
            <w:noWrap/>
            <w:vAlign w:val="center"/>
            <w:hideMark/>
          </w:tcPr>
          <w:p w14:paraId="32429939"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 </w:t>
            </w:r>
          </w:p>
        </w:tc>
        <w:tc>
          <w:tcPr>
            <w:tcW w:w="1040" w:type="dxa"/>
            <w:tcBorders>
              <w:top w:val="nil"/>
              <w:left w:val="single" w:sz="8" w:space="0" w:color="auto"/>
              <w:bottom w:val="single" w:sz="8" w:space="0" w:color="auto"/>
              <w:right w:val="single" w:sz="8" w:space="0" w:color="auto"/>
            </w:tcBorders>
            <w:shd w:val="clear" w:color="000000" w:fill="0070C0"/>
            <w:noWrap/>
            <w:vAlign w:val="center"/>
            <w:hideMark/>
          </w:tcPr>
          <w:p w14:paraId="3FFCE192"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 </w:t>
            </w:r>
          </w:p>
        </w:tc>
      </w:tr>
      <w:tr w:rsidR="00DE3CD8" w:rsidRPr="00DE3CD8" w14:paraId="3CCB69F3" w14:textId="77777777" w:rsidTr="00DE3CD8">
        <w:trPr>
          <w:trHeight w:val="290"/>
        </w:trPr>
        <w:tc>
          <w:tcPr>
            <w:tcW w:w="1780" w:type="dxa"/>
            <w:tcBorders>
              <w:top w:val="nil"/>
              <w:left w:val="single" w:sz="8" w:space="0" w:color="auto"/>
              <w:bottom w:val="nil"/>
              <w:right w:val="nil"/>
            </w:tcBorders>
            <w:shd w:val="clear" w:color="auto" w:fill="auto"/>
            <w:noWrap/>
            <w:vAlign w:val="center"/>
            <w:hideMark/>
          </w:tcPr>
          <w:p w14:paraId="6B207AC8"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All sports</w:t>
            </w:r>
          </w:p>
        </w:tc>
        <w:tc>
          <w:tcPr>
            <w:tcW w:w="1206" w:type="dxa"/>
            <w:tcBorders>
              <w:top w:val="nil"/>
              <w:left w:val="single" w:sz="8" w:space="0" w:color="auto"/>
              <w:bottom w:val="nil"/>
              <w:right w:val="single" w:sz="8" w:space="0" w:color="auto"/>
            </w:tcBorders>
            <w:shd w:val="clear" w:color="auto" w:fill="auto"/>
            <w:noWrap/>
            <w:vAlign w:val="center"/>
            <w:hideMark/>
          </w:tcPr>
          <w:p w14:paraId="58133A73" w14:textId="77777777" w:rsidR="00DE3CD8" w:rsidRPr="00DE3CD8" w:rsidRDefault="00DE3CD8" w:rsidP="00DE3CD8">
            <w:pPr>
              <w:spacing w:after="0" w:line="240" w:lineRule="auto"/>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0.574***</w:t>
            </w:r>
          </w:p>
        </w:tc>
        <w:tc>
          <w:tcPr>
            <w:tcW w:w="1780" w:type="dxa"/>
            <w:tcBorders>
              <w:top w:val="nil"/>
              <w:left w:val="nil"/>
              <w:bottom w:val="nil"/>
              <w:right w:val="nil"/>
            </w:tcBorders>
            <w:shd w:val="clear" w:color="auto" w:fill="auto"/>
            <w:noWrap/>
            <w:vAlign w:val="center"/>
            <w:hideMark/>
          </w:tcPr>
          <w:p w14:paraId="74B627EA"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14.10%</w:t>
            </w:r>
          </w:p>
        </w:tc>
        <w:tc>
          <w:tcPr>
            <w:tcW w:w="894" w:type="dxa"/>
            <w:tcBorders>
              <w:top w:val="nil"/>
              <w:left w:val="single" w:sz="8" w:space="0" w:color="auto"/>
              <w:bottom w:val="nil"/>
              <w:right w:val="single" w:sz="8" w:space="0" w:color="auto"/>
            </w:tcBorders>
            <w:shd w:val="clear" w:color="auto" w:fill="auto"/>
            <w:noWrap/>
            <w:vAlign w:val="center"/>
            <w:hideMark/>
          </w:tcPr>
          <w:p w14:paraId="0B26298E"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0.042</w:t>
            </w:r>
          </w:p>
        </w:tc>
        <w:tc>
          <w:tcPr>
            <w:tcW w:w="986" w:type="dxa"/>
            <w:tcBorders>
              <w:top w:val="nil"/>
              <w:left w:val="nil"/>
              <w:bottom w:val="nil"/>
              <w:right w:val="nil"/>
            </w:tcBorders>
            <w:shd w:val="clear" w:color="auto" w:fill="auto"/>
            <w:noWrap/>
            <w:vAlign w:val="center"/>
            <w:hideMark/>
          </w:tcPr>
          <w:p w14:paraId="5214F5A4"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14710</w:t>
            </w:r>
          </w:p>
        </w:tc>
        <w:tc>
          <w:tcPr>
            <w:tcW w:w="1040" w:type="dxa"/>
            <w:tcBorders>
              <w:top w:val="nil"/>
              <w:left w:val="single" w:sz="8" w:space="0" w:color="auto"/>
              <w:bottom w:val="nil"/>
              <w:right w:val="single" w:sz="8" w:space="0" w:color="auto"/>
            </w:tcBorders>
            <w:shd w:val="clear" w:color="auto" w:fill="auto"/>
            <w:noWrap/>
            <w:vAlign w:val="center"/>
            <w:hideMark/>
          </w:tcPr>
          <w:p w14:paraId="0920723E"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0.085</w:t>
            </w:r>
          </w:p>
        </w:tc>
      </w:tr>
      <w:tr w:rsidR="00DE3CD8" w:rsidRPr="00DE3CD8" w14:paraId="2995AF4D" w14:textId="77777777" w:rsidTr="00DE3CD8">
        <w:trPr>
          <w:trHeight w:val="290"/>
        </w:trPr>
        <w:tc>
          <w:tcPr>
            <w:tcW w:w="1780" w:type="dxa"/>
            <w:tcBorders>
              <w:top w:val="nil"/>
              <w:left w:val="single" w:sz="8" w:space="0" w:color="auto"/>
              <w:bottom w:val="nil"/>
              <w:right w:val="nil"/>
            </w:tcBorders>
            <w:shd w:val="clear" w:color="auto" w:fill="auto"/>
            <w:noWrap/>
            <w:vAlign w:val="center"/>
            <w:hideMark/>
          </w:tcPr>
          <w:p w14:paraId="62AC564F"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Team sports</w:t>
            </w:r>
          </w:p>
        </w:tc>
        <w:tc>
          <w:tcPr>
            <w:tcW w:w="1206" w:type="dxa"/>
            <w:tcBorders>
              <w:top w:val="nil"/>
              <w:left w:val="single" w:sz="8" w:space="0" w:color="auto"/>
              <w:bottom w:val="nil"/>
              <w:right w:val="single" w:sz="8" w:space="0" w:color="auto"/>
            </w:tcBorders>
            <w:shd w:val="clear" w:color="auto" w:fill="auto"/>
            <w:noWrap/>
            <w:vAlign w:val="center"/>
            <w:hideMark/>
          </w:tcPr>
          <w:p w14:paraId="0877F609" w14:textId="77777777" w:rsidR="00DE3CD8" w:rsidRPr="00DE3CD8" w:rsidRDefault="00DE3CD8" w:rsidP="00DE3CD8">
            <w:pPr>
              <w:spacing w:after="0" w:line="240" w:lineRule="auto"/>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0.304***</w:t>
            </w:r>
          </w:p>
        </w:tc>
        <w:tc>
          <w:tcPr>
            <w:tcW w:w="1780" w:type="dxa"/>
            <w:tcBorders>
              <w:top w:val="nil"/>
              <w:left w:val="nil"/>
              <w:bottom w:val="nil"/>
              <w:right w:val="nil"/>
            </w:tcBorders>
            <w:shd w:val="clear" w:color="auto" w:fill="auto"/>
            <w:noWrap/>
            <w:vAlign w:val="center"/>
            <w:hideMark/>
          </w:tcPr>
          <w:p w14:paraId="7D2668DE"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7.60%</w:t>
            </w:r>
          </w:p>
        </w:tc>
        <w:tc>
          <w:tcPr>
            <w:tcW w:w="894" w:type="dxa"/>
            <w:tcBorders>
              <w:top w:val="nil"/>
              <w:left w:val="single" w:sz="8" w:space="0" w:color="auto"/>
              <w:bottom w:val="nil"/>
              <w:right w:val="single" w:sz="8" w:space="0" w:color="auto"/>
            </w:tcBorders>
            <w:shd w:val="clear" w:color="auto" w:fill="auto"/>
            <w:noWrap/>
            <w:vAlign w:val="center"/>
            <w:hideMark/>
          </w:tcPr>
          <w:p w14:paraId="4592164B"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0.049</w:t>
            </w:r>
          </w:p>
        </w:tc>
        <w:tc>
          <w:tcPr>
            <w:tcW w:w="986" w:type="dxa"/>
            <w:tcBorders>
              <w:top w:val="nil"/>
              <w:left w:val="nil"/>
              <w:bottom w:val="nil"/>
              <w:right w:val="nil"/>
            </w:tcBorders>
            <w:shd w:val="clear" w:color="auto" w:fill="auto"/>
            <w:noWrap/>
            <w:vAlign w:val="center"/>
            <w:hideMark/>
          </w:tcPr>
          <w:p w14:paraId="106E08A6"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14710</w:t>
            </w:r>
          </w:p>
        </w:tc>
        <w:tc>
          <w:tcPr>
            <w:tcW w:w="1040" w:type="dxa"/>
            <w:tcBorders>
              <w:top w:val="nil"/>
              <w:left w:val="single" w:sz="8" w:space="0" w:color="auto"/>
              <w:bottom w:val="nil"/>
              <w:right w:val="single" w:sz="8" w:space="0" w:color="auto"/>
            </w:tcBorders>
            <w:shd w:val="clear" w:color="auto" w:fill="auto"/>
            <w:noWrap/>
            <w:vAlign w:val="center"/>
            <w:hideMark/>
          </w:tcPr>
          <w:p w14:paraId="684E9421"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0.086</w:t>
            </w:r>
          </w:p>
        </w:tc>
      </w:tr>
      <w:tr w:rsidR="00DE3CD8" w:rsidRPr="00DE3CD8" w14:paraId="74EFF104" w14:textId="77777777" w:rsidTr="00DE3CD8">
        <w:trPr>
          <w:trHeight w:val="300"/>
        </w:trPr>
        <w:tc>
          <w:tcPr>
            <w:tcW w:w="1780" w:type="dxa"/>
            <w:tcBorders>
              <w:top w:val="nil"/>
              <w:left w:val="single" w:sz="8" w:space="0" w:color="auto"/>
              <w:bottom w:val="single" w:sz="8" w:space="0" w:color="auto"/>
              <w:right w:val="nil"/>
            </w:tcBorders>
            <w:shd w:val="clear" w:color="auto" w:fill="auto"/>
            <w:noWrap/>
            <w:vAlign w:val="center"/>
            <w:hideMark/>
          </w:tcPr>
          <w:p w14:paraId="6E72D35E"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Individual sports</w:t>
            </w:r>
          </w:p>
        </w:tc>
        <w:tc>
          <w:tcPr>
            <w:tcW w:w="1206" w:type="dxa"/>
            <w:tcBorders>
              <w:top w:val="nil"/>
              <w:left w:val="single" w:sz="8" w:space="0" w:color="auto"/>
              <w:bottom w:val="single" w:sz="8" w:space="0" w:color="auto"/>
              <w:right w:val="single" w:sz="8" w:space="0" w:color="auto"/>
            </w:tcBorders>
            <w:shd w:val="clear" w:color="auto" w:fill="auto"/>
            <w:noWrap/>
            <w:vAlign w:val="center"/>
            <w:hideMark/>
          </w:tcPr>
          <w:p w14:paraId="4623B868" w14:textId="77777777" w:rsidR="00DE3CD8" w:rsidRPr="00DE3CD8" w:rsidRDefault="00DE3CD8" w:rsidP="00DE3CD8">
            <w:pPr>
              <w:spacing w:after="0" w:line="240" w:lineRule="auto"/>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0.521***</w:t>
            </w:r>
          </w:p>
        </w:tc>
        <w:tc>
          <w:tcPr>
            <w:tcW w:w="1780" w:type="dxa"/>
            <w:tcBorders>
              <w:top w:val="nil"/>
              <w:left w:val="nil"/>
              <w:bottom w:val="single" w:sz="8" w:space="0" w:color="auto"/>
              <w:right w:val="nil"/>
            </w:tcBorders>
            <w:shd w:val="clear" w:color="auto" w:fill="auto"/>
            <w:noWrap/>
            <w:vAlign w:val="center"/>
            <w:hideMark/>
          </w:tcPr>
          <w:p w14:paraId="63663FFA"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12.90%</w:t>
            </w:r>
          </w:p>
        </w:tc>
        <w:tc>
          <w:tcPr>
            <w:tcW w:w="894" w:type="dxa"/>
            <w:tcBorders>
              <w:top w:val="nil"/>
              <w:left w:val="single" w:sz="8" w:space="0" w:color="auto"/>
              <w:bottom w:val="single" w:sz="8" w:space="0" w:color="auto"/>
              <w:right w:val="single" w:sz="8" w:space="0" w:color="auto"/>
            </w:tcBorders>
            <w:shd w:val="clear" w:color="auto" w:fill="auto"/>
            <w:noWrap/>
            <w:vAlign w:val="center"/>
            <w:hideMark/>
          </w:tcPr>
          <w:p w14:paraId="64B13D9F"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0.041</w:t>
            </w:r>
          </w:p>
        </w:tc>
        <w:tc>
          <w:tcPr>
            <w:tcW w:w="986" w:type="dxa"/>
            <w:tcBorders>
              <w:top w:val="nil"/>
              <w:left w:val="nil"/>
              <w:bottom w:val="single" w:sz="8" w:space="0" w:color="auto"/>
              <w:right w:val="nil"/>
            </w:tcBorders>
            <w:shd w:val="clear" w:color="auto" w:fill="auto"/>
            <w:noWrap/>
            <w:vAlign w:val="center"/>
            <w:hideMark/>
          </w:tcPr>
          <w:p w14:paraId="7E95FADD"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14710</w:t>
            </w: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5AC5E506"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0.086</w:t>
            </w:r>
          </w:p>
        </w:tc>
      </w:tr>
      <w:tr w:rsidR="00DE3CD8" w:rsidRPr="00DE3CD8" w14:paraId="4B926D85" w14:textId="77777777" w:rsidTr="00DE3CD8">
        <w:trPr>
          <w:trHeight w:val="300"/>
        </w:trPr>
        <w:tc>
          <w:tcPr>
            <w:tcW w:w="1780" w:type="dxa"/>
            <w:tcBorders>
              <w:top w:val="nil"/>
              <w:left w:val="single" w:sz="8" w:space="0" w:color="auto"/>
              <w:bottom w:val="single" w:sz="8" w:space="0" w:color="auto"/>
              <w:right w:val="nil"/>
            </w:tcBorders>
            <w:shd w:val="clear" w:color="000000" w:fill="0070C0"/>
            <w:noWrap/>
            <w:vAlign w:val="center"/>
            <w:hideMark/>
          </w:tcPr>
          <w:p w14:paraId="33FE1E7D" w14:textId="77777777" w:rsidR="00DE3CD8" w:rsidRPr="00DE3CD8" w:rsidRDefault="00DE3CD8" w:rsidP="00DE3CD8">
            <w:pPr>
              <w:spacing w:after="0" w:line="240" w:lineRule="auto"/>
              <w:jc w:val="center"/>
              <w:rPr>
                <w:rFonts w:ascii="Calibri" w:eastAsia="Times New Roman" w:hAnsi="Calibri" w:cs="Times New Roman"/>
                <w:b/>
                <w:bCs/>
                <w:color w:val="FFFFFF"/>
                <w:lang w:eastAsia="en-GB"/>
              </w:rPr>
            </w:pPr>
            <w:r w:rsidRPr="00DE3CD8">
              <w:rPr>
                <w:rFonts w:ascii="Calibri" w:eastAsia="Times New Roman" w:hAnsi="Calibri" w:cs="Times New Roman"/>
                <w:b/>
                <w:bCs/>
                <w:color w:val="FFFFFF"/>
                <w:lang w:eastAsia="en-GB"/>
              </w:rPr>
              <w:t>Culture</w:t>
            </w:r>
          </w:p>
        </w:tc>
        <w:tc>
          <w:tcPr>
            <w:tcW w:w="1206" w:type="dxa"/>
            <w:tcBorders>
              <w:top w:val="nil"/>
              <w:left w:val="single" w:sz="8" w:space="0" w:color="auto"/>
              <w:bottom w:val="single" w:sz="8" w:space="0" w:color="auto"/>
              <w:right w:val="single" w:sz="8" w:space="0" w:color="auto"/>
            </w:tcBorders>
            <w:shd w:val="clear" w:color="000000" w:fill="0070C0"/>
            <w:noWrap/>
            <w:vAlign w:val="center"/>
            <w:hideMark/>
          </w:tcPr>
          <w:p w14:paraId="36E47AF3" w14:textId="77777777" w:rsidR="00DE3CD8" w:rsidRPr="00DE3CD8" w:rsidRDefault="00DE3CD8" w:rsidP="00DE3CD8">
            <w:pPr>
              <w:spacing w:after="0" w:line="240" w:lineRule="auto"/>
              <w:jc w:val="center"/>
              <w:rPr>
                <w:rFonts w:ascii="Calibri" w:eastAsia="Times New Roman" w:hAnsi="Calibri" w:cs="Times New Roman"/>
                <w:color w:val="FFFFFF"/>
                <w:lang w:eastAsia="en-GB"/>
              </w:rPr>
            </w:pPr>
            <w:r w:rsidRPr="00DE3CD8">
              <w:rPr>
                <w:rFonts w:ascii="Calibri" w:eastAsia="Times New Roman" w:hAnsi="Calibri" w:cs="Times New Roman"/>
                <w:color w:val="FFFFFF"/>
                <w:lang w:eastAsia="en-GB"/>
              </w:rPr>
              <w:t> </w:t>
            </w:r>
          </w:p>
        </w:tc>
        <w:tc>
          <w:tcPr>
            <w:tcW w:w="1780" w:type="dxa"/>
            <w:tcBorders>
              <w:top w:val="nil"/>
              <w:left w:val="nil"/>
              <w:bottom w:val="single" w:sz="8" w:space="0" w:color="auto"/>
              <w:right w:val="nil"/>
            </w:tcBorders>
            <w:shd w:val="clear" w:color="000000" w:fill="0070C0"/>
            <w:noWrap/>
            <w:vAlign w:val="center"/>
            <w:hideMark/>
          </w:tcPr>
          <w:p w14:paraId="764D9870" w14:textId="77777777" w:rsidR="00DE3CD8" w:rsidRPr="00DE3CD8" w:rsidRDefault="00DE3CD8" w:rsidP="00DE3CD8">
            <w:pPr>
              <w:spacing w:after="0" w:line="240" w:lineRule="auto"/>
              <w:jc w:val="center"/>
              <w:rPr>
                <w:rFonts w:ascii="Calibri" w:eastAsia="Times New Roman" w:hAnsi="Calibri" w:cs="Times New Roman"/>
                <w:color w:val="FFFFFF"/>
                <w:lang w:eastAsia="en-GB"/>
              </w:rPr>
            </w:pPr>
            <w:r w:rsidRPr="00DE3CD8">
              <w:rPr>
                <w:rFonts w:ascii="Calibri" w:eastAsia="Times New Roman" w:hAnsi="Calibri" w:cs="Times New Roman"/>
                <w:color w:val="FFFFFF"/>
                <w:lang w:eastAsia="en-GB"/>
              </w:rPr>
              <w:t> </w:t>
            </w:r>
          </w:p>
        </w:tc>
        <w:tc>
          <w:tcPr>
            <w:tcW w:w="894" w:type="dxa"/>
            <w:tcBorders>
              <w:top w:val="nil"/>
              <w:left w:val="single" w:sz="8" w:space="0" w:color="auto"/>
              <w:bottom w:val="single" w:sz="8" w:space="0" w:color="auto"/>
              <w:right w:val="single" w:sz="8" w:space="0" w:color="auto"/>
            </w:tcBorders>
            <w:shd w:val="clear" w:color="000000" w:fill="0070C0"/>
            <w:noWrap/>
            <w:vAlign w:val="center"/>
            <w:hideMark/>
          </w:tcPr>
          <w:p w14:paraId="19DDEA90" w14:textId="77777777" w:rsidR="00DE3CD8" w:rsidRPr="00DE3CD8" w:rsidRDefault="00DE3CD8" w:rsidP="00DE3CD8">
            <w:pPr>
              <w:spacing w:after="0" w:line="240" w:lineRule="auto"/>
              <w:jc w:val="center"/>
              <w:rPr>
                <w:rFonts w:ascii="Calibri" w:eastAsia="Times New Roman" w:hAnsi="Calibri" w:cs="Times New Roman"/>
                <w:color w:val="FFFFFF"/>
                <w:lang w:eastAsia="en-GB"/>
              </w:rPr>
            </w:pPr>
            <w:r w:rsidRPr="00DE3CD8">
              <w:rPr>
                <w:rFonts w:ascii="Calibri" w:eastAsia="Times New Roman" w:hAnsi="Calibri" w:cs="Times New Roman"/>
                <w:color w:val="FFFFFF"/>
                <w:lang w:eastAsia="en-GB"/>
              </w:rPr>
              <w:t> </w:t>
            </w:r>
          </w:p>
        </w:tc>
        <w:tc>
          <w:tcPr>
            <w:tcW w:w="986" w:type="dxa"/>
            <w:tcBorders>
              <w:top w:val="nil"/>
              <w:left w:val="nil"/>
              <w:bottom w:val="single" w:sz="8" w:space="0" w:color="auto"/>
              <w:right w:val="nil"/>
            </w:tcBorders>
            <w:shd w:val="clear" w:color="000000" w:fill="0070C0"/>
            <w:noWrap/>
            <w:vAlign w:val="center"/>
            <w:hideMark/>
          </w:tcPr>
          <w:p w14:paraId="717C631C" w14:textId="77777777" w:rsidR="00DE3CD8" w:rsidRPr="00DE3CD8" w:rsidRDefault="00DE3CD8" w:rsidP="00DE3CD8">
            <w:pPr>
              <w:spacing w:after="0" w:line="240" w:lineRule="auto"/>
              <w:jc w:val="center"/>
              <w:rPr>
                <w:rFonts w:ascii="Calibri" w:eastAsia="Times New Roman" w:hAnsi="Calibri" w:cs="Times New Roman"/>
                <w:color w:val="FFFFFF"/>
                <w:lang w:eastAsia="en-GB"/>
              </w:rPr>
            </w:pPr>
            <w:r w:rsidRPr="00DE3CD8">
              <w:rPr>
                <w:rFonts w:ascii="Calibri" w:eastAsia="Times New Roman" w:hAnsi="Calibri" w:cs="Times New Roman"/>
                <w:color w:val="FFFFFF"/>
                <w:lang w:eastAsia="en-GB"/>
              </w:rPr>
              <w:t> </w:t>
            </w:r>
          </w:p>
        </w:tc>
        <w:tc>
          <w:tcPr>
            <w:tcW w:w="1040" w:type="dxa"/>
            <w:tcBorders>
              <w:top w:val="nil"/>
              <w:left w:val="single" w:sz="8" w:space="0" w:color="auto"/>
              <w:bottom w:val="single" w:sz="8" w:space="0" w:color="auto"/>
              <w:right w:val="single" w:sz="8" w:space="0" w:color="auto"/>
            </w:tcBorders>
            <w:shd w:val="clear" w:color="000000" w:fill="0070C0"/>
            <w:noWrap/>
            <w:vAlign w:val="center"/>
            <w:hideMark/>
          </w:tcPr>
          <w:p w14:paraId="4BF33058" w14:textId="77777777" w:rsidR="00DE3CD8" w:rsidRPr="00DE3CD8" w:rsidRDefault="00DE3CD8" w:rsidP="00DE3CD8">
            <w:pPr>
              <w:spacing w:after="0" w:line="240" w:lineRule="auto"/>
              <w:jc w:val="center"/>
              <w:rPr>
                <w:rFonts w:ascii="Calibri" w:eastAsia="Times New Roman" w:hAnsi="Calibri" w:cs="Times New Roman"/>
                <w:color w:val="FFFFFF"/>
                <w:lang w:eastAsia="en-GB"/>
              </w:rPr>
            </w:pPr>
            <w:r w:rsidRPr="00DE3CD8">
              <w:rPr>
                <w:rFonts w:ascii="Calibri" w:eastAsia="Times New Roman" w:hAnsi="Calibri" w:cs="Times New Roman"/>
                <w:color w:val="FFFFFF"/>
                <w:lang w:eastAsia="en-GB"/>
              </w:rPr>
              <w:t> </w:t>
            </w:r>
          </w:p>
        </w:tc>
      </w:tr>
      <w:tr w:rsidR="00DE3CD8" w:rsidRPr="00DE3CD8" w14:paraId="39004500" w14:textId="77777777" w:rsidTr="00DE3CD8">
        <w:trPr>
          <w:trHeight w:val="290"/>
        </w:trPr>
        <w:tc>
          <w:tcPr>
            <w:tcW w:w="1780" w:type="dxa"/>
            <w:tcBorders>
              <w:top w:val="nil"/>
              <w:left w:val="single" w:sz="8" w:space="0" w:color="auto"/>
              <w:bottom w:val="nil"/>
              <w:right w:val="nil"/>
            </w:tcBorders>
            <w:shd w:val="clear" w:color="auto" w:fill="auto"/>
            <w:noWrap/>
            <w:vAlign w:val="center"/>
            <w:hideMark/>
          </w:tcPr>
          <w:p w14:paraId="4B806115"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Audience arts</w:t>
            </w:r>
          </w:p>
        </w:tc>
        <w:tc>
          <w:tcPr>
            <w:tcW w:w="1206" w:type="dxa"/>
            <w:tcBorders>
              <w:top w:val="nil"/>
              <w:left w:val="single" w:sz="8" w:space="0" w:color="auto"/>
              <w:bottom w:val="nil"/>
              <w:right w:val="single" w:sz="8" w:space="0" w:color="auto"/>
            </w:tcBorders>
            <w:shd w:val="clear" w:color="auto" w:fill="auto"/>
            <w:noWrap/>
            <w:vAlign w:val="center"/>
            <w:hideMark/>
          </w:tcPr>
          <w:p w14:paraId="17192D56" w14:textId="77777777" w:rsidR="00DE3CD8" w:rsidRPr="00DE3CD8" w:rsidRDefault="00DE3CD8" w:rsidP="00DE3CD8">
            <w:pPr>
              <w:spacing w:after="0" w:line="240" w:lineRule="auto"/>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0.219***</w:t>
            </w:r>
          </w:p>
        </w:tc>
        <w:tc>
          <w:tcPr>
            <w:tcW w:w="1780" w:type="dxa"/>
            <w:tcBorders>
              <w:top w:val="nil"/>
              <w:left w:val="nil"/>
              <w:bottom w:val="nil"/>
              <w:right w:val="nil"/>
            </w:tcBorders>
            <w:shd w:val="clear" w:color="auto" w:fill="auto"/>
            <w:noWrap/>
            <w:vAlign w:val="center"/>
            <w:hideMark/>
          </w:tcPr>
          <w:p w14:paraId="3BECF364"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5.40%</w:t>
            </w:r>
          </w:p>
        </w:tc>
        <w:tc>
          <w:tcPr>
            <w:tcW w:w="894" w:type="dxa"/>
            <w:tcBorders>
              <w:top w:val="nil"/>
              <w:left w:val="single" w:sz="8" w:space="0" w:color="auto"/>
              <w:bottom w:val="nil"/>
              <w:right w:val="single" w:sz="8" w:space="0" w:color="auto"/>
            </w:tcBorders>
            <w:shd w:val="clear" w:color="auto" w:fill="auto"/>
            <w:noWrap/>
            <w:vAlign w:val="center"/>
            <w:hideMark/>
          </w:tcPr>
          <w:p w14:paraId="0C42112F"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0.047</w:t>
            </w:r>
          </w:p>
        </w:tc>
        <w:tc>
          <w:tcPr>
            <w:tcW w:w="986" w:type="dxa"/>
            <w:tcBorders>
              <w:top w:val="nil"/>
              <w:left w:val="nil"/>
              <w:bottom w:val="nil"/>
              <w:right w:val="nil"/>
            </w:tcBorders>
            <w:shd w:val="clear" w:color="auto" w:fill="auto"/>
            <w:noWrap/>
            <w:vAlign w:val="center"/>
            <w:hideMark/>
          </w:tcPr>
          <w:p w14:paraId="5D99E0FC"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14710</w:t>
            </w:r>
          </w:p>
        </w:tc>
        <w:tc>
          <w:tcPr>
            <w:tcW w:w="1040" w:type="dxa"/>
            <w:tcBorders>
              <w:top w:val="nil"/>
              <w:left w:val="single" w:sz="8" w:space="0" w:color="auto"/>
              <w:bottom w:val="nil"/>
              <w:right w:val="single" w:sz="8" w:space="0" w:color="auto"/>
            </w:tcBorders>
            <w:shd w:val="clear" w:color="auto" w:fill="auto"/>
            <w:noWrap/>
            <w:vAlign w:val="center"/>
            <w:hideMark/>
          </w:tcPr>
          <w:p w14:paraId="73590420"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0.087</w:t>
            </w:r>
          </w:p>
        </w:tc>
      </w:tr>
      <w:tr w:rsidR="00DE3CD8" w:rsidRPr="00DE3CD8" w14:paraId="33E1717E" w14:textId="77777777" w:rsidTr="00DE3CD8">
        <w:trPr>
          <w:trHeight w:val="290"/>
        </w:trPr>
        <w:tc>
          <w:tcPr>
            <w:tcW w:w="1780" w:type="dxa"/>
            <w:tcBorders>
              <w:top w:val="nil"/>
              <w:left w:val="single" w:sz="8" w:space="0" w:color="auto"/>
              <w:bottom w:val="nil"/>
              <w:right w:val="nil"/>
            </w:tcBorders>
            <w:shd w:val="clear" w:color="auto" w:fill="auto"/>
            <w:noWrap/>
            <w:hideMark/>
          </w:tcPr>
          <w:p w14:paraId="5A63D0C3"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Heritage</w:t>
            </w:r>
          </w:p>
        </w:tc>
        <w:tc>
          <w:tcPr>
            <w:tcW w:w="1206" w:type="dxa"/>
            <w:tcBorders>
              <w:top w:val="nil"/>
              <w:left w:val="single" w:sz="8" w:space="0" w:color="auto"/>
              <w:bottom w:val="nil"/>
              <w:right w:val="single" w:sz="8" w:space="0" w:color="auto"/>
            </w:tcBorders>
            <w:shd w:val="clear" w:color="auto" w:fill="auto"/>
            <w:noWrap/>
            <w:hideMark/>
          </w:tcPr>
          <w:p w14:paraId="424CB8C8"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0.11***</w:t>
            </w:r>
          </w:p>
        </w:tc>
        <w:tc>
          <w:tcPr>
            <w:tcW w:w="1780" w:type="dxa"/>
            <w:tcBorders>
              <w:top w:val="nil"/>
              <w:left w:val="nil"/>
              <w:bottom w:val="nil"/>
              <w:right w:val="nil"/>
            </w:tcBorders>
            <w:shd w:val="clear" w:color="auto" w:fill="auto"/>
            <w:noWrap/>
            <w:hideMark/>
          </w:tcPr>
          <w:p w14:paraId="1459B8BC"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2.76%</w:t>
            </w:r>
          </w:p>
        </w:tc>
        <w:tc>
          <w:tcPr>
            <w:tcW w:w="894" w:type="dxa"/>
            <w:tcBorders>
              <w:top w:val="nil"/>
              <w:left w:val="single" w:sz="8" w:space="0" w:color="auto"/>
              <w:bottom w:val="nil"/>
              <w:right w:val="single" w:sz="8" w:space="0" w:color="auto"/>
            </w:tcBorders>
            <w:shd w:val="clear" w:color="auto" w:fill="auto"/>
            <w:noWrap/>
            <w:hideMark/>
          </w:tcPr>
          <w:p w14:paraId="5110C33C"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0.01</w:t>
            </w:r>
          </w:p>
        </w:tc>
        <w:tc>
          <w:tcPr>
            <w:tcW w:w="986" w:type="dxa"/>
            <w:tcBorders>
              <w:top w:val="nil"/>
              <w:left w:val="nil"/>
              <w:bottom w:val="nil"/>
              <w:right w:val="nil"/>
            </w:tcBorders>
            <w:shd w:val="clear" w:color="auto" w:fill="auto"/>
            <w:noWrap/>
            <w:hideMark/>
          </w:tcPr>
          <w:p w14:paraId="0B1EC4D1"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25,893</w:t>
            </w:r>
          </w:p>
        </w:tc>
        <w:tc>
          <w:tcPr>
            <w:tcW w:w="1040" w:type="dxa"/>
            <w:tcBorders>
              <w:top w:val="nil"/>
              <w:left w:val="single" w:sz="8" w:space="0" w:color="auto"/>
              <w:bottom w:val="nil"/>
              <w:right w:val="single" w:sz="8" w:space="0" w:color="auto"/>
            </w:tcBorders>
            <w:shd w:val="clear" w:color="auto" w:fill="auto"/>
            <w:noWrap/>
            <w:hideMark/>
          </w:tcPr>
          <w:p w14:paraId="36714E9B"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0.065</w:t>
            </w:r>
          </w:p>
        </w:tc>
      </w:tr>
      <w:tr w:rsidR="00DE3CD8" w:rsidRPr="00DE3CD8" w14:paraId="735D7A22" w14:textId="77777777" w:rsidTr="00DE3CD8">
        <w:trPr>
          <w:trHeight w:val="290"/>
        </w:trPr>
        <w:tc>
          <w:tcPr>
            <w:tcW w:w="1780" w:type="dxa"/>
            <w:tcBorders>
              <w:top w:val="nil"/>
              <w:left w:val="single" w:sz="8" w:space="0" w:color="auto"/>
              <w:bottom w:val="nil"/>
              <w:right w:val="nil"/>
            </w:tcBorders>
            <w:shd w:val="clear" w:color="auto" w:fill="auto"/>
            <w:noWrap/>
            <w:hideMark/>
          </w:tcPr>
          <w:p w14:paraId="6ACBB8CD"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Library</w:t>
            </w:r>
          </w:p>
        </w:tc>
        <w:tc>
          <w:tcPr>
            <w:tcW w:w="1206" w:type="dxa"/>
            <w:tcBorders>
              <w:top w:val="nil"/>
              <w:left w:val="single" w:sz="8" w:space="0" w:color="auto"/>
              <w:bottom w:val="nil"/>
              <w:right w:val="single" w:sz="8" w:space="0" w:color="auto"/>
            </w:tcBorders>
            <w:shd w:val="clear" w:color="auto" w:fill="auto"/>
            <w:noWrap/>
            <w:hideMark/>
          </w:tcPr>
          <w:p w14:paraId="247D7BFF"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0.05***</w:t>
            </w:r>
          </w:p>
        </w:tc>
        <w:tc>
          <w:tcPr>
            <w:tcW w:w="1780" w:type="dxa"/>
            <w:tcBorders>
              <w:top w:val="nil"/>
              <w:left w:val="nil"/>
              <w:bottom w:val="nil"/>
              <w:right w:val="nil"/>
            </w:tcBorders>
            <w:shd w:val="clear" w:color="auto" w:fill="auto"/>
            <w:noWrap/>
            <w:hideMark/>
          </w:tcPr>
          <w:p w14:paraId="7D0AB249"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1.12%</w:t>
            </w:r>
          </w:p>
        </w:tc>
        <w:tc>
          <w:tcPr>
            <w:tcW w:w="894" w:type="dxa"/>
            <w:tcBorders>
              <w:top w:val="nil"/>
              <w:left w:val="single" w:sz="8" w:space="0" w:color="auto"/>
              <w:bottom w:val="nil"/>
              <w:right w:val="single" w:sz="8" w:space="0" w:color="auto"/>
            </w:tcBorders>
            <w:shd w:val="clear" w:color="auto" w:fill="auto"/>
            <w:noWrap/>
            <w:hideMark/>
          </w:tcPr>
          <w:p w14:paraId="1E6693C2"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0.01</w:t>
            </w:r>
          </w:p>
        </w:tc>
        <w:tc>
          <w:tcPr>
            <w:tcW w:w="986" w:type="dxa"/>
            <w:tcBorders>
              <w:top w:val="nil"/>
              <w:left w:val="nil"/>
              <w:bottom w:val="nil"/>
              <w:right w:val="nil"/>
            </w:tcBorders>
            <w:shd w:val="clear" w:color="auto" w:fill="auto"/>
            <w:noWrap/>
            <w:hideMark/>
          </w:tcPr>
          <w:p w14:paraId="603F290E"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25,894</w:t>
            </w:r>
          </w:p>
        </w:tc>
        <w:tc>
          <w:tcPr>
            <w:tcW w:w="1040" w:type="dxa"/>
            <w:tcBorders>
              <w:top w:val="nil"/>
              <w:left w:val="single" w:sz="8" w:space="0" w:color="auto"/>
              <w:bottom w:val="nil"/>
              <w:right w:val="single" w:sz="8" w:space="0" w:color="auto"/>
            </w:tcBorders>
            <w:shd w:val="clear" w:color="auto" w:fill="auto"/>
            <w:noWrap/>
            <w:hideMark/>
          </w:tcPr>
          <w:p w14:paraId="7216E509"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0.062</w:t>
            </w:r>
          </w:p>
        </w:tc>
      </w:tr>
      <w:tr w:rsidR="00DE3CD8" w:rsidRPr="00DE3CD8" w14:paraId="23F9A228" w14:textId="77777777" w:rsidTr="00DE3CD8">
        <w:trPr>
          <w:trHeight w:val="300"/>
        </w:trPr>
        <w:tc>
          <w:tcPr>
            <w:tcW w:w="1780" w:type="dxa"/>
            <w:tcBorders>
              <w:top w:val="nil"/>
              <w:left w:val="single" w:sz="8" w:space="0" w:color="auto"/>
              <w:bottom w:val="single" w:sz="8" w:space="0" w:color="auto"/>
              <w:right w:val="nil"/>
            </w:tcBorders>
            <w:shd w:val="clear" w:color="auto" w:fill="auto"/>
            <w:noWrap/>
            <w:hideMark/>
          </w:tcPr>
          <w:p w14:paraId="642371E5" w14:textId="77777777" w:rsidR="00DE3CD8" w:rsidRPr="00DE3CD8" w:rsidRDefault="00DE3CD8" w:rsidP="00DE3CD8">
            <w:pPr>
              <w:spacing w:after="0" w:line="240" w:lineRule="auto"/>
              <w:rPr>
                <w:rFonts w:ascii="Calibri" w:eastAsia="Times New Roman" w:hAnsi="Calibri" w:cs="Times New Roman"/>
                <w:i/>
                <w:iCs/>
                <w:color w:val="000000"/>
                <w:lang w:eastAsia="en-GB"/>
              </w:rPr>
            </w:pPr>
            <w:r w:rsidRPr="00DE3CD8">
              <w:rPr>
                <w:rFonts w:ascii="Calibri" w:eastAsia="Times New Roman" w:hAnsi="Calibri" w:cs="Times New Roman"/>
                <w:i/>
                <w:iCs/>
                <w:color w:val="000000"/>
                <w:lang w:eastAsia="en-GB"/>
              </w:rPr>
              <w:t>Museum</w:t>
            </w:r>
          </w:p>
        </w:tc>
        <w:tc>
          <w:tcPr>
            <w:tcW w:w="1206" w:type="dxa"/>
            <w:tcBorders>
              <w:top w:val="nil"/>
              <w:left w:val="single" w:sz="8" w:space="0" w:color="auto"/>
              <w:bottom w:val="single" w:sz="8" w:space="0" w:color="auto"/>
              <w:right w:val="single" w:sz="8" w:space="0" w:color="auto"/>
            </w:tcBorders>
            <w:shd w:val="clear" w:color="auto" w:fill="auto"/>
            <w:noWrap/>
            <w:hideMark/>
          </w:tcPr>
          <w:p w14:paraId="3ED54EA9"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0.08***</w:t>
            </w:r>
          </w:p>
        </w:tc>
        <w:tc>
          <w:tcPr>
            <w:tcW w:w="1780" w:type="dxa"/>
            <w:tcBorders>
              <w:top w:val="nil"/>
              <w:left w:val="nil"/>
              <w:bottom w:val="single" w:sz="8" w:space="0" w:color="auto"/>
              <w:right w:val="nil"/>
            </w:tcBorders>
            <w:shd w:val="clear" w:color="auto" w:fill="auto"/>
            <w:noWrap/>
            <w:hideMark/>
          </w:tcPr>
          <w:p w14:paraId="18377586"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2.01%</w:t>
            </w:r>
          </w:p>
        </w:tc>
        <w:tc>
          <w:tcPr>
            <w:tcW w:w="894" w:type="dxa"/>
            <w:tcBorders>
              <w:top w:val="nil"/>
              <w:left w:val="single" w:sz="8" w:space="0" w:color="auto"/>
              <w:bottom w:val="single" w:sz="8" w:space="0" w:color="auto"/>
              <w:right w:val="single" w:sz="8" w:space="0" w:color="auto"/>
            </w:tcBorders>
            <w:shd w:val="clear" w:color="auto" w:fill="auto"/>
            <w:noWrap/>
            <w:hideMark/>
          </w:tcPr>
          <w:p w14:paraId="22A45E23"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0.01</w:t>
            </w:r>
          </w:p>
        </w:tc>
        <w:tc>
          <w:tcPr>
            <w:tcW w:w="986" w:type="dxa"/>
            <w:tcBorders>
              <w:top w:val="nil"/>
              <w:left w:val="nil"/>
              <w:bottom w:val="single" w:sz="8" w:space="0" w:color="auto"/>
              <w:right w:val="nil"/>
            </w:tcBorders>
            <w:shd w:val="clear" w:color="auto" w:fill="auto"/>
            <w:noWrap/>
            <w:hideMark/>
          </w:tcPr>
          <w:p w14:paraId="16BC30FF"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25,896</w:t>
            </w:r>
          </w:p>
        </w:tc>
        <w:tc>
          <w:tcPr>
            <w:tcW w:w="1040" w:type="dxa"/>
            <w:tcBorders>
              <w:top w:val="nil"/>
              <w:left w:val="single" w:sz="8" w:space="0" w:color="auto"/>
              <w:bottom w:val="single" w:sz="8" w:space="0" w:color="auto"/>
              <w:right w:val="single" w:sz="8" w:space="0" w:color="auto"/>
            </w:tcBorders>
            <w:shd w:val="clear" w:color="auto" w:fill="auto"/>
            <w:noWrap/>
            <w:hideMark/>
          </w:tcPr>
          <w:p w14:paraId="4CB056AA" w14:textId="77777777" w:rsidR="00DE3CD8" w:rsidRPr="00DE3CD8" w:rsidRDefault="00DE3CD8" w:rsidP="00DE3CD8">
            <w:pPr>
              <w:spacing w:after="0" w:line="240" w:lineRule="auto"/>
              <w:jc w:val="center"/>
              <w:rPr>
                <w:rFonts w:ascii="Calibri" w:eastAsia="Times New Roman" w:hAnsi="Calibri" w:cs="Times New Roman"/>
                <w:color w:val="000000"/>
                <w:lang w:eastAsia="en-GB"/>
              </w:rPr>
            </w:pPr>
            <w:r w:rsidRPr="00DE3CD8">
              <w:rPr>
                <w:rFonts w:ascii="Calibri" w:eastAsia="Times New Roman" w:hAnsi="Calibri" w:cs="Times New Roman"/>
                <w:color w:val="000000"/>
                <w:lang w:eastAsia="en-GB"/>
              </w:rPr>
              <w:t>0.063</w:t>
            </w:r>
          </w:p>
        </w:tc>
      </w:tr>
    </w:tbl>
    <w:p w14:paraId="3ACEAFAC" w14:textId="77777777" w:rsidR="00290537" w:rsidRDefault="00290537" w:rsidP="007F6610">
      <w:pPr>
        <w:spacing w:after="0" w:line="240" w:lineRule="auto"/>
        <w:ind w:right="1372"/>
        <w:rPr>
          <w:i/>
          <w:sz w:val="20"/>
          <w:szCs w:val="24"/>
        </w:rPr>
      </w:pPr>
      <w:r w:rsidRPr="00290537">
        <w:rPr>
          <w:rFonts w:cs="Arial"/>
          <w:i/>
          <w:sz w:val="20"/>
          <w:szCs w:val="18"/>
        </w:rPr>
        <w:t>Notes: Logit model.</w:t>
      </w:r>
      <w:r>
        <w:rPr>
          <w:rFonts w:cs="Arial"/>
          <w:i/>
          <w:sz w:val="20"/>
          <w:szCs w:val="18"/>
        </w:rPr>
        <w:t xml:space="preserve"> </w:t>
      </w:r>
      <w:r w:rsidRPr="00290537">
        <w:rPr>
          <w:rFonts w:cs="Arial"/>
          <w:i/>
          <w:sz w:val="20"/>
          <w:szCs w:val="18"/>
        </w:rPr>
        <w:t>Probability = increase in likelihood of</w:t>
      </w:r>
      <w:r w:rsidR="001B69DC">
        <w:rPr>
          <w:rFonts w:cs="Arial"/>
          <w:i/>
          <w:sz w:val="20"/>
          <w:szCs w:val="18"/>
        </w:rPr>
        <w:t xml:space="preserve"> reporting good health. *** 1% significance level, ** </w:t>
      </w:r>
      <w:r w:rsidRPr="00290537">
        <w:rPr>
          <w:rFonts w:cs="Arial"/>
          <w:i/>
          <w:sz w:val="20"/>
          <w:szCs w:val="18"/>
        </w:rPr>
        <w:t>5</w:t>
      </w:r>
      <w:r w:rsidR="001B69DC">
        <w:rPr>
          <w:rFonts w:cs="Arial"/>
          <w:i/>
          <w:sz w:val="20"/>
          <w:szCs w:val="18"/>
        </w:rPr>
        <w:t>%</w:t>
      </w:r>
      <w:r w:rsidRPr="00290537">
        <w:rPr>
          <w:rFonts w:cs="Arial"/>
          <w:i/>
          <w:sz w:val="20"/>
          <w:szCs w:val="18"/>
        </w:rPr>
        <w:t xml:space="preserve"> significance</w:t>
      </w:r>
      <w:r w:rsidR="00C03F73">
        <w:rPr>
          <w:rFonts w:cs="Arial"/>
          <w:i/>
          <w:sz w:val="20"/>
          <w:szCs w:val="18"/>
        </w:rPr>
        <w:t xml:space="preserve"> level. </w:t>
      </w:r>
      <w:r w:rsidR="00781AAF">
        <w:rPr>
          <w:rFonts w:cs="Arial"/>
          <w:i/>
          <w:sz w:val="20"/>
          <w:szCs w:val="18"/>
        </w:rPr>
        <w:t xml:space="preserve">Insignificant sports and culture variables are not included in the table. </w:t>
      </w:r>
      <w:r w:rsidR="00C03F73">
        <w:rPr>
          <w:rFonts w:cs="Arial"/>
          <w:i/>
          <w:sz w:val="20"/>
          <w:szCs w:val="18"/>
        </w:rPr>
        <w:t>S.E. = Standard errors</w:t>
      </w:r>
      <w:r w:rsidRPr="00290537">
        <w:rPr>
          <w:rFonts w:cs="Arial"/>
          <w:i/>
          <w:sz w:val="20"/>
          <w:szCs w:val="18"/>
        </w:rPr>
        <w:t xml:space="preserve">. R-Squared = Psuedo R-Squared. Probability impacts calculated at the sample mean values of the other covariates. </w:t>
      </w:r>
      <w:r w:rsidR="001B69DC">
        <w:rPr>
          <w:i/>
          <w:sz w:val="20"/>
          <w:szCs w:val="24"/>
        </w:rPr>
        <w:t xml:space="preserve">Sport and culture variables are not included together due to problems of multicolinearity. We run 6 models in total: in addition to the control variables Model </w:t>
      </w:r>
      <w:r w:rsidR="001B69DC" w:rsidRPr="00293A87">
        <w:rPr>
          <w:i/>
          <w:sz w:val="20"/>
          <w:szCs w:val="24"/>
        </w:rPr>
        <w:t>(1) i</w:t>
      </w:r>
      <w:r w:rsidR="001B69DC">
        <w:rPr>
          <w:i/>
          <w:sz w:val="20"/>
          <w:szCs w:val="24"/>
        </w:rPr>
        <w:t xml:space="preserve">ncludes all arts and all sports. Model </w:t>
      </w:r>
      <w:r w:rsidR="001B69DC" w:rsidRPr="00293A87">
        <w:rPr>
          <w:i/>
          <w:sz w:val="20"/>
          <w:szCs w:val="24"/>
        </w:rPr>
        <w:t xml:space="preserve">(2) includes all </w:t>
      </w:r>
      <w:r w:rsidR="001B69DC">
        <w:rPr>
          <w:i/>
          <w:sz w:val="20"/>
          <w:szCs w:val="24"/>
        </w:rPr>
        <w:t>types of art</w:t>
      </w:r>
      <w:r w:rsidR="001B69DC" w:rsidRPr="00293A87">
        <w:rPr>
          <w:i/>
          <w:sz w:val="20"/>
          <w:szCs w:val="24"/>
        </w:rPr>
        <w:t>, team sports, individual sports</w:t>
      </w:r>
      <w:r w:rsidR="001B69DC">
        <w:rPr>
          <w:i/>
          <w:sz w:val="20"/>
          <w:szCs w:val="24"/>
        </w:rPr>
        <w:t>. Model</w:t>
      </w:r>
      <w:r w:rsidR="001B69DC" w:rsidRPr="00293A87">
        <w:rPr>
          <w:i/>
          <w:sz w:val="20"/>
          <w:szCs w:val="24"/>
        </w:rPr>
        <w:t xml:space="preserve"> (3) includes all sports, all </w:t>
      </w:r>
      <w:r w:rsidR="001B69DC">
        <w:rPr>
          <w:i/>
          <w:sz w:val="20"/>
          <w:szCs w:val="24"/>
        </w:rPr>
        <w:t xml:space="preserve">types of </w:t>
      </w:r>
      <w:r w:rsidR="001B69DC" w:rsidRPr="00293A87">
        <w:rPr>
          <w:i/>
          <w:sz w:val="20"/>
          <w:szCs w:val="24"/>
        </w:rPr>
        <w:t xml:space="preserve">arts audience, all </w:t>
      </w:r>
      <w:r w:rsidR="001B69DC">
        <w:rPr>
          <w:i/>
          <w:sz w:val="20"/>
          <w:szCs w:val="24"/>
        </w:rPr>
        <w:t xml:space="preserve">types of </w:t>
      </w:r>
      <w:r w:rsidR="001B69DC" w:rsidRPr="00293A87">
        <w:rPr>
          <w:i/>
          <w:sz w:val="20"/>
          <w:szCs w:val="24"/>
        </w:rPr>
        <w:t>arts participation</w:t>
      </w:r>
      <w:r w:rsidR="001B69DC">
        <w:rPr>
          <w:i/>
          <w:sz w:val="20"/>
          <w:szCs w:val="24"/>
        </w:rPr>
        <w:t>.</w:t>
      </w:r>
      <w:r w:rsidR="001B69DC" w:rsidRPr="00293A87">
        <w:rPr>
          <w:i/>
          <w:sz w:val="20"/>
          <w:szCs w:val="24"/>
        </w:rPr>
        <w:t xml:space="preserve"> </w:t>
      </w:r>
      <w:r w:rsidR="001B69DC">
        <w:rPr>
          <w:i/>
          <w:sz w:val="20"/>
          <w:szCs w:val="24"/>
        </w:rPr>
        <w:t xml:space="preserve">Model </w:t>
      </w:r>
      <w:r w:rsidR="001B69DC" w:rsidRPr="00293A87">
        <w:rPr>
          <w:i/>
          <w:sz w:val="20"/>
          <w:szCs w:val="24"/>
        </w:rPr>
        <w:t>(4) includes all sports and heritage</w:t>
      </w:r>
      <w:r w:rsidR="001B69DC">
        <w:rPr>
          <w:i/>
          <w:sz w:val="20"/>
          <w:szCs w:val="24"/>
        </w:rPr>
        <w:t xml:space="preserve"> visits. Model</w:t>
      </w:r>
      <w:r w:rsidR="001B69DC" w:rsidRPr="00293A87">
        <w:rPr>
          <w:i/>
          <w:sz w:val="20"/>
          <w:szCs w:val="24"/>
        </w:rPr>
        <w:t xml:space="preserve"> (5) includes all sports and library</w:t>
      </w:r>
      <w:r w:rsidR="001B69DC">
        <w:rPr>
          <w:i/>
          <w:sz w:val="20"/>
          <w:szCs w:val="24"/>
        </w:rPr>
        <w:t xml:space="preserve"> visits. Model</w:t>
      </w:r>
      <w:r w:rsidR="001B69DC" w:rsidRPr="00293A87">
        <w:rPr>
          <w:i/>
          <w:sz w:val="20"/>
          <w:szCs w:val="24"/>
        </w:rPr>
        <w:t xml:space="preserve"> (6) includes all sports and museum</w:t>
      </w:r>
      <w:r w:rsidR="001B69DC">
        <w:rPr>
          <w:i/>
          <w:sz w:val="20"/>
          <w:szCs w:val="24"/>
        </w:rPr>
        <w:t xml:space="preserve"> visits.</w:t>
      </w:r>
    </w:p>
    <w:p w14:paraId="26363CD7" w14:textId="77777777" w:rsidR="00360214" w:rsidRPr="007F6610" w:rsidRDefault="00360214" w:rsidP="007F6610">
      <w:pPr>
        <w:spacing w:after="0" w:line="240" w:lineRule="auto"/>
        <w:ind w:right="1372"/>
        <w:rPr>
          <w:rFonts w:cs="Arial"/>
          <w:i/>
          <w:sz w:val="24"/>
        </w:rPr>
      </w:pPr>
    </w:p>
    <w:p w14:paraId="09C8D867" w14:textId="77777777" w:rsidR="009E3924" w:rsidRDefault="009E3924" w:rsidP="009E3924">
      <w:pPr>
        <w:spacing w:after="0" w:line="240" w:lineRule="auto"/>
        <w:rPr>
          <w:b/>
          <w:sz w:val="24"/>
          <w:szCs w:val="24"/>
        </w:rPr>
      </w:pPr>
      <w:r w:rsidRPr="006F2A57">
        <w:rPr>
          <w:b/>
          <w:sz w:val="24"/>
          <w:szCs w:val="24"/>
        </w:rPr>
        <w:t>C.1.2. Medical service usage and general health</w:t>
      </w:r>
    </w:p>
    <w:p w14:paraId="7922A827" w14:textId="77777777" w:rsidR="009E3924" w:rsidRDefault="009E3924" w:rsidP="009E3924">
      <w:pPr>
        <w:spacing w:after="0" w:line="240" w:lineRule="auto"/>
        <w:rPr>
          <w:b/>
          <w:sz w:val="24"/>
          <w:szCs w:val="24"/>
        </w:rPr>
      </w:pPr>
    </w:p>
    <w:p w14:paraId="4199DDF9" w14:textId="77777777" w:rsidR="0059196D" w:rsidRDefault="00F8364F" w:rsidP="0059196D">
      <w:pPr>
        <w:spacing w:after="0" w:line="240" w:lineRule="auto"/>
        <w:rPr>
          <w:rFonts w:cs="Arial"/>
          <w:sz w:val="24"/>
          <w:szCs w:val="24"/>
        </w:rPr>
      </w:pPr>
      <w:r w:rsidRPr="0048618C">
        <w:rPr>
          <w:rFonts w:cs="Arial"/>
          <w:sz w:val="24"/>
        </w:rPr>
        <w:t>Data on GP visits and use of psychotherapy</w:t>
      </w:r>
      <w:r w:rsidRPr="0048618C">
        <w:rPr>
          <w:rFonts w:cs="Arial"/>
          <w:b/>
          <w:sz w:val="24"/>
        </w:rPr>
        <w:t xml:space="preserve"> </w:t>
      </w:r>
      <w:r w:rsidRPr="0048618C">
        <w:rPr>
          <w:rFonts w:cs="Arial"/>
          <w:sz w:val="24"/>
        </w:rPr>
        <w:t>services are not available in Understanding Society, but are available in the BHP</w:t>
      </w:r>
      <w:r w:rsidRPr="0048618C">
        <w:rPr>
          <w:rFonts w:cs="Arial"/>
          <w:sz w:val="24"/>
          <w:szCs w:val="24"/>
        </w:rPr>
        <w:t xml:space="preserve">S, which is the precursor to Understanding society and also is a </w:t>
      </w:r>
      <w:r>
        <w:rPr>
          <w:rFonts w:cs="Arial"/>
          <w:sz w:val="24"/>
          <w:szCs w:val="24"/>
        </w:rPr>
        <w:t xml:space="preserve">representative sample of the UK. </w:t>
      </w:r>
      <w:r w:rsidR="0059196D" w:rsidRPr="0048618C">
        <w:rPr>
          <w:sz w:val="24"/>
          <w:szCs w:val="24"/>
        </w:rPr>
        <w:t>A literature review was conducted showing that the following factors are controls for medical service usage:</w:t>
      </w:r>
    </w:p>
    <w:p w14:paraId="46E57266" w14:textId="77777777" w:rsidR="0059196D" w:rsidRDefault="0059196D" w:rsidP="0059196D">
      <w:pPr>
        <w:spacing w:after="0" w:line="240" w:lineRule="auto"/>
        <w:rPr>
          <w:sz w:val="24"/>
          <w:szCs w:val="24"/>
        </w:rPr>
      </w:pPr>
    </w:p>
    <w:p w14:paraId="6B627DD5" w14:textId="77777777" w:rsidR="0059196D" w:rsidRDefault="0059196D" w:rsidP="0059196D">
      <w:pPr>
        <w:spacing w:after="0" w:line="240" w:lineRule="auto"/>
        <w:rPr>
          <w:sz w:val="24"/>
          <w:szCs w:val="24"/>
        </w:rPr>
      </w:pPr>
      <w:r w:rsidRPr="0048618C">
        <w:rPr>
          <w:sz w:val="24"/>
          <w:szCs w:val="24"/>
        </w:rPr>
        <w:t xml:space="preserve">Age, Area Deprivation, Education, Employment status, Income, Disability or longstanding illness, Smoker, </w:t>
      </w:r>
      <w:r>
        <w:rPr>
          <w:sz w:val="24"/>
          <w:szCs w:val="24"/>
        </w:rPr>
        <w:t>Ethnicity</w:t>
      </w:r>
      <w:r w:rsidRPr="0048618C">
        <w:rPr>
          <w:sz w:val="24"/>
          <w:szCs w:val="24"/>
        </w:rPr>
        <w:t xml:space="preserve">, No. of children, </w:t>
      </w:r>
      <w:r>
        <w:rPr>
          <w:sz w:val="24"/>
          <w:szCs w:val="24"/>
        </w:rPr>
        <w:t>Social class, Geographical region</w:t>
      </w:r>
      <w:r w:rsidRPr="0048618C">
        <w:rPr>
          <w:sz w:val="24"/>
          <w:szCs w:val="24"/>
        </w:rPr>
        <w:t>, Social relations, Loneliness, Exerc</w:t>
      </w:r>
      <w:r>
        <w:rPr>
          <w:sz w:val="24"/>
          <w:szCs w:val="24"/>
        </w:rPr>
        <w:t>ise patterns</w:t>
      </w:r>
      <w:r w:rsidRPr="0048618C">
        <w:rPr>
          <w:sz w:val="24"/>
          <w:szCs w:val="24"/>
        </w:rPr>
        <w:t xml:space="preserve">, Marital status, </w:t>
      </w:r>
      <w:r w:rsidRPr="00CC0BCB">
        <w:rPr>
          <w:rFonts w:eastAsia="Times New Roman" w:cs="Times New Roman"/>
          <w:sz w:val="24"/>
          <w:szCs w:val="24"/>
        </w:rPr>
        <w:t>Parents’ health behaviours or mental health history</w:t>
      </w:r>
      <w:r w:rsidR="00CC0BCB">
        <w:rPr>
          <w:rFonts w:eastAsia="Times New Roman" w:cs="Times New Roman"/>
          <w:sz w:val="24"/>
          <w:szCs w:val="24"/>
        </w:rPr>
        <w:t>*</w:t>
      </w:r>
      <w:r w:rsidRPr="00CC0BCB">
        <w:rPr>
          <w:rFonts w:eastAsia="Times New Roman" w:cs="Times New Roman"/>
          <w:sz w:val="24"/>
          <w:szCs w:val="24"/>
        </w:rPr>
        <w:t>, Friends’ health behaviours</w:t>
      </w:r>
      <w:r w:rsidR="00CC0BCB">
        <w:rPr>
          <w:rFonts w:eastAsia="Times New Roman" w:cs="Times New Roman"/>
          <w:sz w:val="24"/>
          <w:szCs w:val="24"/>
        </w:rPr>
        <w:t>*</w:t>
      </w:r>
      <w:r w:rsidRPr="00CC0BCB">
        <w:rPr>
          <w:rFonts w:eastAsia="Times New Roman" w:cs="Times New Roman"/>
          <w:sz w:val="24"/>
          <w:szCs w:val="24"/>
        </w:rPr>
        <w:t>,</w:t>
      </w:r>
      <w:r w:rsidRPr="0048618C">
        <w:rPr>
          <w:sz w:val="24"/>
          <w:szCs w:val="24"/>
        </w:rPr>
        <w:t xml:space="preserve"> </w:t>
      </w:r>
      <w:r w:rsidRPr="0048618C">
        <w:rPr>
          <w:rFonts w:eastAsia="Arial Unicode MS" w:cs="Arial Unicode MS"/>
          <w:sz w:val="24"/>
          <w:szCs w:val="24"/>
          <w:shd w:val="clear" w:color="auto" w:fill="FFFFFF"/>
        </w:rPr>
        <w:t>Housing tenure</w:t>
      </w:r>
      <w:r w:rsidRPr="0048618C">
        <w:rPr>
          <w:sz w:val="24"/>
          <w:szCs w:val="24"/>
        </w:rPr>
        <w:t xml:space="preserve">, </w:t>
      </w:r>
      <w:r w:rsidRPr="0048618C">
        <w:rPr>
          <w:rFonts w:eastAsia="Arial Unicode MS" w:cs="Arial Unicode MS"/>
          <w:sz w:val="24"/>
          <w:szCs w:val="24"/>
          <w:shd w:val="clear" w:color="auto" w:fill="FFFFFF"/>
        </w:rPr>
        <w:t xml:space="preserve">GHQ, </w:t>
      </w:r>
      <w:r w:rsidRPr="0048618C">
        <w:rPr>
          <w:sz w:val="24"/>
          <w:szCs w:val="24"/>
        </w:rPr>
        <w:t xml:space="preserve">Fruit and vegetable consumption, Alcohol consumption, </w:t>
      </w:r>
      <w:r w:rsidRPr="00CC0BCB">
        <w:rPr>
          <w:sz w:val="24"/>
          <w:szCs w:val="24"/>
        </w:rPr>
        <w:t>Recent bereavement</w:t>
      </w:r>
      <w:r w:rsidR="00CC0BCB" w:rsidRPr="00CC0BCB">
        <w:rPr>
          <w:sz w:val="24"/>
          <w:szCs w:val="24"/>
        </w:rPr>
        <w:t>*</w:t>
      </w:r>
      <w:r w:rsidRPr="0048618C">
        <w:rPr>
          <w:sz w:val="24"/>
          <w:szCs w:val="24"/>
        </w:rPr>
        <w:t xml:space="preserve">, UK born/Non-UK born, Health insurance, Internet access, Amount of free time/leisure time. </w:t>
      </w:r>
    </w:p>
    <w:p w14:paraId="3C8238DC" w14:textId="77777777" w:rsidR="0059196D" w:rsidRDefault="0059196D" w:rsidP="0059196D">
      <w:pPr>
        <w:spacing w:after="0" w:line="240" w:lineRule="auto"/>
        <w:rPr>
          <w:sz w:val="24"/>
          <w:szCs w:val="24"/>
        </w:rPr>
      </w:pPr>
    </w:p>
    <w:p w14:paraId="6ACC19B9" w14:textId="77777777" w:rsidR="0059196D" w:rsidRDefault="0059196D" w:rsidP="0059196D">
      <w:pPr>
        <w:spacing w:after="0" w:line="240" w:lineRule="auto"/>
      </w:pPr>
      <w:r w:rsidRPr="0048618C">
        <w:rPr>
          <w:sz w:val="24"/>
        </w:rPr>
        <w:t xml:space="preserve">Not all of these variables were available in the BHPS dataset and those that were available were not necessarily present in </w:t>
      </w:r>
      <w:r>
        <w:rPr>
          <w:sz w:val="24"/>
        </w:rPr>
        <w:t xml:space="preserve">all </w:t>
      </w:r>
      <w:r w:rsidRPr="0048618C">
        <w:rPr>
          <w:sz w:val="24"/>
        </w:rPr>
        <w:t xml:space="preserve">waves </w:t>
      </w:r>
      <w:r>
        <w:rPr>
          <w:sz w:val="24"/>
        </w:rPr>
        <w:t xml:space="preserve">of the data </w:t>
      </w:r>
      <w:r w:rsidRPr="0048618C">
        <w:rPr>
          <w:sz w:val="24"/>
        </w:rPr>
        <w:t xml:space="preserve">for analysis to be conducted. </w:t>
      </w:r>
      <w:r>
        <w:rPr>
          <w:sz w:val="24"/>
        </w:rPr>
        <w:t xml:space="preserve">We </w:t>
      </w:r>
      <w:r>
        <w:rPr>
          <w:sz w:val="24"/>
        </w:rPr>
        <w:lastRenderedPageBreak/>
        <w:t xml:space="preserve">sought the best strategy to maximise the </w:t>
      </w:r>
      <w:r w:rsidRPr="0048618C">
        <w:rPr>
          <w:sz w:val="24"/>
        </w:rPr>
        <w:t xml:space="preserve">number of waves </w:t>
      </w:r>
      <w:r>
        <w:rPr>
          <w:sz w:val="24"/>
        </w:rPr>
        <w:t xml:space="preserve">(and hence sample size) whilst controlling for as many of the variables as possible in </w:t>
      </w:r>
      <w:r w:rsidRPr="0048618C">
        <w:rPr>
          <w:sz w:val="24"/>
        </w:rPr>
        <w:t>the regression models.</w:t>
      </w:r>
      <w:r>
        <w:rPr>
          <w:sz w:val="24"/>
        </w:rPr>
        <w:t xml:space="preserve"> Many of the determinant variables are related to socio-economic status, which are captured in our model through household income, employment status, industry sector and a housing tenureship</w:t>
      </w:r>
      <w:r w:rsidRPr="0048618C">
        <w:rPr>
          <w:sz w:val="24"/>
        </w:rPr>
        <w:t xml:space="preserve"> </w:t>
      </w:r>
      <w:r>
        <w:rPr>
          <w:sz w:val="24"/>
        </w:rPr>
        <w:t xml:space="preserve">variable. The </w:t>
      </w:r>
      <w:r w:rsidR="00966B2F">
        <w:rPr>
          <w:sz w:val="24"/>
        </w:rPr>
        <w:t xml:space="preserve">three </w:t>
      </w:r>
      <w:r>
        <w:rPr>
          <w:sz w:val="24"/>
        </w:rPr>
        <w:t>variables that could not be included</w:t>
      </w:r>
      <w:r w:rsidR="00CC0BCB">
        <w:rPr>
          <w:sz w:val="24"/>
        </w:rPr>
        <w:t xml:space="preserve"> are highlighted with an asterisk</w:t>
      </w:r>
      <w:r>
        <w:rPr>
          <w:sz w:val="24"/>
        </w:rPr>
        <w:t xml:space="preserve">. </w:t>
      </w:r>
      <w:r w:rsidR="00224564">
        <w:rPr>
          <w:sz w:val="24"/>
        </w:rPr>
        <w:t xml:space="preserve">It should be noted that the list of variables above is an exhaustive list of the variables that have been used or proposed before as determinants of medical service usage and that no other quantitative study uses </w:t>
      </w:r>
      <w:r w:rsidR="00224564" w:rsidRPr="00224564">
        <w:rPr>
          <w:i/>
          <w:sz w:val="24"/>
        </w:rPr>
        <w:t>all</w:t>
      </w:r>
      <w:r w:rsidR="00224564">
        <w:rPr>
          <w:sz w:val="24"/>
        </w:rPr>
        <w:t xml:space="preserve"> of these variables. </w:t>
      </w:r>
      <w:r w:rsidR="004E1758">
        <w:rPr>
          <w:sz w:val="24"/>
        </w:rPr>
        <w:t xml:space="preserve">In other words, the absence of these variables in this analysis does not weaken the study in a relative sense. </w:t>
      </w:r>
      <w:r>
        <w:rPr>
          <w:sz w:val="24"/>
        </w:rPr>
        <w:t>The same control variables were used in the GP visits and psychotherapy models. T</w:t>
      </w:r>
      <w:r w:rsidRPr="0048618C">
        <w:rPr>
          <w:sz w:val="24"/>
        </w:rPr>
        <w:t>he analysis was conducted using waves M-R</w:t>
      </w:r>
      <w:r>
        <w:rPr>
          <w:sz w:val="24"/>
        </w:rPr>
        <w:t xml:space="preserve"> (2002-2007)</w:t>
      </w:r>
      <w:r>
        <w:t>.</w:t>
      </w:r>
    </w:p>
    <w:p w14:paraId="3303CB30" w14:textId="77777777" w:rsidR="00997801" w:rsidRDefault="00997801" w:rsidP="0059196D">
      <w:pPr>
        <w:spacing w:after="0" w:line="240" w:lineRule="auto"/>
      </w:pPr>
    </w:p>
    <w:p w14:paraId="3396C961" w14:textId="77777777" w:rsidR="00997801" w:rsidRPr="009E3924" w:rsidRDefault="00997801" w:rsidP="00997801">
      <w:pPr>
        <w:spacing w:after="0" w:line="240" w:lineRule="auto"/>
        <w:rPr>
          <w:b/>
          <w:sz w:val="24"/>
          <w:szCs w:val="24"/>
        </w:rPr>
      </w:pPr>
      <w:r>
        <w:rPr>
          <w:b/>
          <w:sz w:val="24"/>
          <w:szCs w:val="24"/>
        </w:rPr>
        <w:t>C.1.3</w:t>
      </w:r>
      <w:r w:rsidRPr="009E3924">
        <w:rPr>
          <w:b/>
          <w:sz w:val="24"/>
          <w:szCs w:val="24"/>
        </w:rPr>
        <w:t xml:space="preserve">. </w:t>
      </w:r>
      <w:r>
        <w:rPr>
          <w:b/>
          <w:sz w:val="24"/>
          <w:szCs w:val="24"/>
        </w:rPr>
        <w:t>GP visits</w:t>
      </w:r>
    </w:p>
    <w:p w14:paraId="3AB85904" w14:textId="77777777" w:rsidR="0059196D" w:rsidRDefault="0059196D" w:rsidP="009E3924">
      <w:pPr>
        <w:spacing w:after="0" w:line="240" w:lineRule="auto"/>
        <w:rPr>
          <w:b/>
          <w:sz w:val="24"/>
          <w:szCs w:val="24"/>
        </w:rPr>
      </w:pPr>
    </w:p>
    <w:p w14:paraId="4D3BD2EE" w14:textId="4638F753" w:rsidR="00F8364F" w:rsidRDefault="009E3924" w:rsidP="009E3924">
      <w:pPr>
        <w:rPr>
          <w:sz w:val="24"/>
        </w:rPr>
      </w:pPr>
      <w:r>
        <w:rPr>
          <w:sz w:val="24"/>
        </w:rPr>
        <w:t xml:space="preserve">We run a </w:t>
      </w:r>
      <w:r w:rsidRPr="00AB6838">
        <w:rPr>
          <w:sz w:val="24"/>
        </w:rPr>
        <w:t xml:space="preserve">logit model with the dependent variable defined as </w:t>
      </w:r>
      <w:r w:rsidR="005C23FB">
        <w:rPr>
          <w:sz w:val="24"/>
        </w:rPr>
        <w:t xml:space="preserve">six or more </w:t>
      </w:r>
      <w:r w:rsidRPr="00AB6838">
        <w:rPr>
          <w:sz w:val="24"/>
        </w:rPr>
        <w:t xml:space="preserve">GP visits in the previous year, which aligns with the GP visit variable definition used in </w:t>
      </w:r>
      <w:r w:rsidR="00E2120F">
        <w:rPr>
          <w:sz w:val="24"/>
        </w:rPr>
        <w:t>Fujiwara et al. (2014a</w:t>
      </w:r>
      <w:r w:rsidR="00F8364F">
        <w:rPr>
          <w:sz w:val="24"/>
        </w:rPr>
        <w:t>).</w:t>
      </w:r>
    </w:p>
    <w:p w14:paraId="2EA7EB3C" w14:textId="77777777" w:rsidR="009E3924" w:rsidRPr="00A85FB4" w:rsidRDefault="009E3924" w:rsidP="00224980">
      <w:pPr>
        <w:spacing w:after="0" w:line="240" w:lineRule="auto"/>
        <w:rPr>
          <w:rFonts w:cs="Helvetica Neue"/>
          <w:b/>
          <w:color w:val="1A1A1A"/>
          <w:sz w:val="24"/>
          <w:szCs w:val="24"/>
          <w:lang w:val="en-US"/>
        </w:rPr>
      </w:pPr>
      <w:r w:rsidRPr="00AB6838">
        <w:rPr>
          <w:sz w:val="24"/>
        </w:rPr>
        <w:t xml:space="preserve"> </w:t>
      </w:r>
      <w:r w:rsidR="006661E8">
        <w:rPr>
          <w:rFonts w:cs="Helvetica Neue"/>
          <w:b/>
          <w:color w:val="1A1A1A"/>
          <w:sz w:val="24"/>
          <w:szCs w:val="24"/>
          <w:lang w:val="en-US"/>
        </w:rPr>
        <w:t>Table 6</w:t>
      </w:r>
      <w:r w:rsidRPr="00A85FB4">
        <w:rPr>
          <w:rFonts w:cs="Helvetica Neue"/>
          <w:b/>
          <w:color w:val="1A1A1A"/>
          <w:sz w:val="24"/>
          <w:szCs w:val="24"/>
          <w:lang w:val="en-US"/>
        </w:rPr>
        <w:t>. Impact of health on GP usage</w:t>
      </w:r>
    </w:p>
    <w:tbl>
      <w:tblPr>
        <w:tblW w:w="6020" w:type="dxa"/>
        <w:tblInd w:w="96" w:type="dxa"/>
        <w:tblLook w:val="04A0" w:firstRow="1" w:lastRow="0" w:firstColumn="1" w:lastColumn="0" w:noHBand="0" w:noVBand="1"/>
      </w:tblPr>
      <w:tblGrid>
        <w:gridCol w:w="3440"/>
        <w:gridCol w:w="1540"/>
        <w:gridCol w:w="1040"/>
      </w:tblGrid>
      <w:tr w:rsidR="009E3924" w:rsidRPr="009F5623" w14:paraId="61E2FD5F" w14:textId="77777777" w:rsidTr="00C85CD9">
        <w:trPr>
          <w:trHeight w:val="300"/>
        </w:trPr>
        <w:tc>
          <w:tcPr>
            <w:tcW w:w="3440" w:type="dxa"/>
            <w:tcBorders>
              <w:top w:val="single" w:sz="8" w:space="0" w:color="auto"/>
              <w:left w:val="single" w:sz="8" w:space="0" w:color="auto"/>
              <w:bottom w:val="nil"/>
              <w:right w:val="nil"/>
            </w:tcBorders>
            <w:shd w:val="clear" w:color="000000" w:fill="0070C0"/>
            <w:noWrap/>
            <w:vAlign w:val="bottom"/>
            <w:hideMark/>
          </w:tcPr>
          <w:p w14:paraId="7AF839DB" w14:textId="77777777" w:rsidR="009E3924" w:rsidRPr="009F5623" w:rsidRDefault="009E3924" w:rsidP="00C85CD9">
            <w:pPr>
              <w:spacing w:after="0" w:line="240" w:lineRule="auto"/>
              <w:rPr>
                <w:rFonts w:eastAsia="Times New Roman" w:cstheme="minorHAnsi"/>
                <w:b/>
                <w:bCs/>
                <w:color w:val="FFFFFF"/>
                <w:lang w:eastAsia="ja-JP"/>
              </w:rPr>
            </w:pPr>
            <w:r w:rsidRPr="009F5623">
              <w:rPr>
                <w:rFonts w:eastAsia="Times New Roman" w:cstheme="minorHAnsi"/>
                <w:b/>
                <w:bCs/>
                <w:color w:val="FFFFFF"/>
                <w:lang w:eastAsia="ja-JP"/>
              </w:rPr>
              <w:t>Dependent Variable: GP visits</w:t>
            </w:r>
          </w:p>
        </w:tc>
        <w:tc>
          <w:tcPr>
            <w:tcW w:w="1540" w:type="dxa"/>
            <w:tcBorders>
              <w:top w:val="single" w:sz="8" w:space="0" w:color="auto"/>
              <w:left w:val="nil"/>
              <w:bottom w:val="nil"/>
              <w:right w:val="nil"/>
            </w:tcBorders>
            <w:shd w:val="clear" w:color="000000" w:fill="0070C0"/>
            <w:noWrap/>
            <w:vAlign w:val="bottom"/>
            <w:hideMark/>
          </w:tcPr>
          <w:p w14:paraId="1FD07754" w14:textId="77777777" w:rsidR="009E3924" w:rsidRPr="009F5623" w:rsidRDefault="009E3924" w:rsidP="00C85CD9">
            <w:pPr>
              <w:spacing w:after="0" w:line="240" w:lineRule="auto"/>
              <w:rPr>
                <w:rFonts w:eastAsia="Times New Roman" w:cstheme="minorHAnsi"/>
                <w:b/>
                <w:bCs/>
                <w:color w:val="FFFFFF"/>
                <w:lang w:eastAsia="ja-JP"/>
              </w:rPr>
            </w:pPr>
            <w:r w:rsidRPr="009F5623">
              <w:rPr>
                <w:rFonts w:eastAsia="Times New Roman" w:cstheme="minorHAnsi"/>
                <w:b/>
                <w:bCs/>
                <w:color w:val="FFFFFF"/>
                <w:lang w:eastAsia="ja-JP"/>
              </w:rPr>
              <w:t>Coefficients</w:t>
            </w:r>
          </w:p>
        </w:tc>
        <w:tc>
          <w:tcPr>
            <w:tcW w:w="1040" w:type="dxa"/>
            <w:tcBorders>
              <w:top w:val="single" w:sz="8" w:space="0" w:color="auto"/>
              <w:left w:val="nil"/>
              <w:bottom w:val="nil"/>
              <w:right w:val="single" w:sz="8" w:space="0" w:color="auto"/>
            </w:tcBorders>
            <w:shd w:val="clear" w:color="000000" w:fill="0070C0"/>
            <w:noWrap/>
            <w:vAlign w:val="bottom"/>
            <w:hideMark/>
          </w:tcPr>
          <w:p w14:paraId="1B7E933B" w14:textId="77777777" w:rsidR="009E3924" w:rsidRPr="009F5623" w:rsidRDefault="00C03F73" w:rsidP="00C03F73">
            <w:pPr>
              <w:spacing w:after="0" w:line="240" w:lineRule="auto"/>
              <w:jc w:val="center"/>
              <w:rPr>
                <w:rFonts w:eastAsia="Times New Roman" w:cstheme="minorHAnsi"/>
                <w:b/>
                <w:bCs/>
                <w:color w:val="FFFFFF"/>
                <w:lang w:eastAsia="ja-JP"/>
              </w:rPr>
            </w:pPr>
            <w:r>
              <w:rPr>
                <w:rFonts w:eastAsia="Times New Roman" w:cstheme="minorHAnsi"/>
                <w:b/>
                <w:bCs/>
                <w:color w:val="FFFFFF"/>
                <w:lang w:eastAsia="ja-JP"/>
              </w:rPr>
              <w:t>S.E.</w:t>
            </w:r>
          </w:p>
        </w:tc>
      </w:tr>
      <w:tr w:rsidR="009E3924" w:rsidRPr="009F5623" w14:paraId="59B14460"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5C1F1587" w14:textId="77777777" w:rsidR="009E3924" w:rsidRPr="009F5623" w:rsidRDefault="00F601DC" w:rsidP="00C85CD9">
            <w:pPr>
              <w:spacing w:after="0" w:line="240" w:lineRule="auto"/>
              <w:rPr>
                <w:rFonts w:eastAsia="Times New Roman" w:cstheme="minorHAnsi"/>
                <w:color w:val="000000"/>
                <w:lang w:eastAsia="ja-JP"/>
              </w:rPr>
            </w:pPr>
            <w:r>
              <w:rPr>
                <w:rFonts w:eastAsia="Times New Roman" w:cstheme="minorHAnsi"/>
                <w:color w:val="000000"/>
                <w:lang w:eastAsia="ja-JP"/>
              </w:rPr>
              <w:t>l</w:t>
            </w:r>
            <w:r w:rsidR="009E3924">
              <w:rPr>
                <w:rFonts w:eastAsia="Times New Roman" w:cstheme="minorHAnsi"/>
                <w:color w:val="000000"/>
                <w:lang w:eastAsia="ja-JP"/>
              </w:rPr>
              <w:t xml:space="preserve">og </w:t>
            </w:r>
            <w:r w:rsidR="009E3924" w:rsidRPr="009F5623">
              <w:rPr>
                <w:rFonts w:eastAsia="Times New Roman" w:cstheme="minorHAnsi"/>
                <w:color w:val="000000"/>
                <w:lang w:eastAsia="ja-JP"/>
              </w:rPr>
              <w:t>income</w:t>
            </w:r>
          </w:p>
        </w:tc>
        <w:tc>
          <w:tcPr>
            <w:tcW w:w="1540" w:type="dxa"/>
            <w:tcBorders>
              <w:top w:val="nil"/>
              <w:left w:val="nil"/>
              <w:bottom w:val="nil"/>
              <w:right w:val="nil"/>
            </w:tcBorders>
            <w:shd w:val="clear" w:color="auto" w:fill="auto"/>
            <w:noWrap/>
            <w:vAlign w:val="bottom"/>
            <w:hideMark/>
          </w:tcPr>
          <w:p w14:paraId="2F89CB17"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0.064</w:t>
            </w:r>
          </w:p>
        </w:tc>
        <w:tc>
          <w:tcPr>
            <w:tcW w:w="1040" w:type="dxa"/>
            <w:tcBorders>
              <w:top w:val="nil"/>
              <w:left w:val="nil"/>
              <w:bottom w:val="nil"/>
              <w:right w:val="single" w:sz="8" w:space="0" w:color="auto"/>
            </w:tcBorders>
            <w:shd w:val="clear" w:color="auto" w:fill="auto"/>
            <w:noWrap/>
            <w:vAlign w:val="bottom"/>
            <w:hideMark/>
          </w:tcPr>
          <w:p w14:paraId="5440EC2C"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0.12</w:t>
            </w:r>
          </w:p>
        </w:tc>
      </w:tr>
      <w:tr w:rsidR="009E3924" w:rsidRPr="009F5623" w14:paraId="5A67E287"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00990267"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age</w:t>
            </w:r>
          </w:p>
        </w:tc>
        <w:tc>
          <w:tcPr>
            <w:tcW w:w="1540" w:type="dxa"/>
            <w:tcBorders>
              <w:top w:val="nil"/>
              <w:left w:val="nil"/>
              <w:bottom w:val="nil"/>
              <w:right w:val="nil"/>
            </w:tcBorders>
            <w:shd w:val="clear" w:color="auto" w:fill="auto"/>
            <w:noWrap/>
            <w:vAlign w:val="bottom"/>
            <w:hideMark/>
          </w:tcPr>
          <w:p w14:paraId="08FDCFA3"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0.006</w:t>
            </w:r>
          </w:p>
        </w:tc>
        <w:tc>
          <w:tcPr>
            <w:tcW w:w="1040" w:type="dxa"/>
            <w:tcBorders>
              <w:top w:val="nil"/>
              <w:left w:val="nil"/>
              <w:bottom w:val="nil"/>
              <w:right w:val="single" w:sz="8" w:space="0" w:color="auto"/>
            </w:tcBorders>
            <w:shd w:val="clear" w:color="auto" w:fill="auto"/>
            <w:noWrap/>
            <w:vAlign w:val="bottom"/>
            <w:hideMark/>
          </w:tcPr>
          <w:p w14:paraId="0C1345C2"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0.01</w:t>
            </w:r>
          </w:p>
        </w:tc>
      </w:tr>
      <w:tr w:rsidR="009E3924" w:rsidRPr="009F5623" w14:paraId="264C275C"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5E6A3C55"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male</w:t>
            </w:r>
          </w:p>
        </w:tc>
        <w:tc>
          <w:tcPr>
            <w:tcW w:w="1540" w:type="dxa"/>
            <w:tcBorders>
              <w:top w:val="nil"/>
              <w:left w:val="nil"/>
              <w:bottom w:val="nil"/>
              <w:right w:val="nil"/>
            </w:tcBorders>
            <w:shd w:val="clear" w:color="auto" w:fill="auto"/>
            <w:noWrap/>
            <w:vAlign w:val="bottom"/>
            <w:hideMark/>
          </w:tcPr>
          <w:p w14:paraId="2C995E99"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-0.81***</w:t>
            </w:r>
          </w:p>
        </w:tc>
        <w:tc>
          <w:tcPr>
            <w:tcW w:w="1040" w:type="dxa"/>
            <w:tcBorders>
              <w:top w:val="nil"/>
              <w:left w:val="nil"/>
              <w:bottom w:val="nil"/>
              <w:right w:val="single" w:sz="8" w:space="0" w:color="auto"/>
            </w:tcBorders>
            <w:shd w:val="clear" w:color="auto" w:fill="auto"/>
            <w:noWrap/>
            <w:vAlign w:val="bottom"/>
            <w:hideMark/>
          </w:tcPr>
          <w:p w14:paraId="12CEE5A2"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0.13</w:t>
            </w:r>
          </w:p>
        </w:tc>
      </w:tr>
      <w:tr w:rsidR="009E3924" w:rsidRPr="009F5623" w14:paraId="1F25E3B9"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528EAE0A"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white</w:t>
            </w:r>
          </w:p>
        </w:tc>
        <w:tc>
          <w:tcPr>
            <w:tcW w:w="1540" w:type="dxa"/>
            <w:tcBorders>
              <w:top w:val="nil"/>
              <w:left w:val="nil"/>
              <w:bottom w:val="nil"/>
              <w:right w:val="nil"/>
            </w:tcBorders>
            <w:shd w:val="clear" w:color="auto" w:fill="auto"/>
            <w:noWrap/>
            <w:vAlign w:val="bottom"/>
            <w:hideMark/>
          </w:tcPr>
          <w:p w14:paraId="46B7A99F"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-0.33</w:t>
            </w:r>
          </w:p>
        </w:tc>
        <w:tc>
          <w:tcPr>
            <w:tcW w:w="1040" w:type="dxa"/>
            <w:tcBorders>
              <w:top w:val="nil"/>
              <w:left w:val="nil"/>
              <w:bottom w:val="nil"/>
              <w:right w:val="single" w:sz="8" w:space="0" w:color="auto"/>
            </w:tcBorders>
            <w:shd w:val="clear" w:color="auto" w:fill="auto"/>
            <w:noWrap/>
            <w:vAlign w:val="bottom"/>
            <w:hideMark/>
          </w:tcPr>
          <w:p w14:paraId="0EF3197F"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0.28</w:t>
            </w:r>
          </w:p>
        </w:tc>
      </w:tr>
      <w:tr w:rsidR="009E3924" w:rsidRPr="009F5623" w14:paraId="797950F7"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0B9DE7BC"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foreign_born</w:t>
            </w:r>
          </w:p>
        </w:tc>
        <w:tc>
          <w:tcPr>
            <w:tcW w:w="1540" w:type="dxa"/>
            <w:tcBorders>
              <w:top w:val="nil"/>
              <w:left w:val="nil"/>
              <w:bottom w:val="nil"/>
              <w:right w:val="nil"/>
            </w:tcBorders>
            <w:shd w:val="clear" w:color="auto" w:fill="auto"/>
            <w:noWrap/>
            <w:vAlign w:val="bottom"/>
            <w:hideMark/>
          </w:tcPr>
          <w:p w14:paraId="43CFBB43"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0.698</w:t>
            </w:r>
          </w:p>
        </w:tc>
        <w:tc>
          <w:tcPr>
            <w:tcW w:w="1040" w:type="dxa"/>
            <w:tcBorders>
              <w:top w:val="nil"/>
              <w:left w:val="nil"/>
              <w:bottom w:val="nil"/>
              <w:right w:val="single" w:sz="8" w:space="0" w:color="auto"/>
            </w:tcBorders>
            <w:shd w:val="clear" w:color="auto" w:fill="auto"/>
            <w:noWrap/>
            <w:vAlign w:val="bottom"/>
            <w:hideMark/>
          </w:tcPr>
          <w:p w14:paraId="134FDA60"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0.59</w:t>
            </w:r>
          </w:p>
        </w:tc>
      </w:tr>
      <w:tr w:rsidR="009E3924" w:rsidRPr="009F5623" w14:paraId="293BBF80"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3E24077F"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nchild</w:t>
            </w:r>
          </w:p>
        </w:tc>
        <w:tc>
          <w:tcPr>
            <w:tcW w:w="1540" w:type="dxa"/>
            <w:tcBorders>
              <w:top w:val="nil"/>
              <w:left w:val="nil"/>
              <w:bottom w:val="nil"/>
              <w:right w:val="nil"/>
            </w:tcBorders>
            <w:shd w:val="clear" w:color="auto" w:fill="auto"/>
            <w:noWrap/>
            <w:vAlign w:val="bottom"/>
            <w:hideMark/>
          </w:tcPr>
          <w:p w14:paraId="07405F0B"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0.073</w:t>
            </w:r>
          </w:p>
        </w:tc>
        <w:tc>
          <w:tcPr>
            <w:tcW w:w="1040" w:type="dxa"/>
            <w:tcBorders>
              <w:top w:val="nil"/>
              <w:left w:val="nil"/>
              <w:bottom w:val="nil"/>
              <w:right w:val="single" w:sz="8" w:space="0" w:color="auto"/>
            </w:tcBorders>
            <w:shd w:val="clear" w:color="auto" w:fill="auto"/>
            <w:noWrap/>
            <w:vAlign w:val="bottom"/>
            <w:hideMark/>
          </w:tcPr>
          <w:p w14:paraId="4B8ADC8C"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0.07</w:t>
            </w:r>
          </w:p>
        </w:tc>
      </w:tr>
      <w:tr w:rsidR="009E3924" w:rsidRPr="009F5623" w14:paraId="227A0FCE"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742E66C4"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married</w:t>
            </w:r>
          </w:p>
        </w:tc>
        <w:tc>
          <w:tcPr>
            <w:tcW w:w="1540" w:type="dxa"/>
            <w:tcBorders>
              <w:top w:val="nil"/>
              <w:left w:val="nil"/>
              <w:bottom w:val="nil"/>
              <w:right w:val="nil"/>
            </w:tcBorders>
            <w:shd w:val="clear" w:color="auto" w:fill="auto"/>
            <w:noWrap/>
            <w:vAlign w:val="bottom"/>
            <w:hideMark/>
          </w:tcPr>
          <w:p w14:paraId="3329622B"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0.069</w:t>
            </w:r>
          </w:p>
        </w:tc>
        <w:tc>
          <w:tcPr>
            <w:tcW w:w="1040" w:type="dxa"/>
            <w:tcBorders>
              <w:top w:val="nil"/>
              <w:left w:val="nil"/>
              <w:bottom w:val="nil"/>
              <w:right w:val="single" w:sz="8" w:space="0" w:color="auto"/>
            </w:tcBorders>
            <w:shd w:val="clear" w:color="auto" w:fill="auto"/>
            <w:noWrap/>
            <w:vAlign w:val="bottom"/>
            <w:hideMark/>
          </w:tcPr>
          <w:p w14:paraId="55A7D3ED"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0.15</w:t>
            </w:r>
          </w:p>
        </w:tc>
      </w:tr>
      <w:tr w:rsidR="009E3924" w:rsidRPr="009F5623" w14:paraId="3508E324"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3FBD0A1C"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degree</w:t>
            </w:r>
          </w:p>
        </w:tc>
        <w:tc>
          <w:tcPr>
            <w:tcW w:w="1540" w:type="dxa"/>
            <w:tcBorders>
              <w:top w:val="nil"/>
              <w:left w:val="nil"/>
              <w:bottom w:val="nil"/>
              <w:right w:val="nil"/>
            </w:tcBorders>
            <w:shd w:val="clear" w:color="auto" w:fill="auto"/>
            <w:noWrap/>
            <w:vAlign w:val="bottom"/>
            <w:hideMark/>
          </w:tcPr>
          <w:p w14:paraId="52399775"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-0.161</w:t>
            </w:r>
          </w:p>
        </w:tc>
        <w:tc>
          <w:tcPr>
            <w:tcW w:w="1040" w:type="dxa"/>
            <w:tcBorders>
              <w:top w:val="nil"/>
              <w:left w:val="nil"/>
              <w:bottom w:val="nil"/>
              <w:right w:val="single" w:sz="8" w:space="0" w:color="auto"/>
            </w:tcBorders>
            <w:shd w:val="clear" w:color="auto" w:fill="auto"/>
            <w:noWrap/>
            <w:vAlign w:val="bottom"/>
            <w:hideMark/>
          </w:tcPr>
          <w:p w14:paraId="067441B1"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0.18</w:t>
            </w:r>
          </w:p>
        </w:tc>
      </w:tr>
      <w:tr w:rsidR="009E3924" w:rsidRPr="009F5623" w14:paraId="2500880D"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30FEACA1" w14:textId="77777777" w:rsidR="009E3924" w:rsidRPr="009F5623" w:rsidRDefault="00BC2AA2" w:rsidP="00C85CD9">
            <w:pPr>
              <w:spacing w:after="0" w:line="240" w:lineRule="auto"/>
              <w:rPr>
                <w:rFonts w:eastAsia="Times New Roman" w:cstheme="minorHAnsi"/>
                <w:color w:val="000000"/>
                <w:lang w:eastAsia="ja-JP"/>
              </w:rPr>
            </w:pPr>
            <w:r>
              <w:rPr>
                <w:rFonts w:eastAsia="Times New Roman" w:cstheme="minorHAnsi"/>
                <w:color w:val="000000"/>
                <w:lang w:eastAsia="ja-JP"/>
              </w:rPr>
              <w:t>Employed</w:t>
            </w:r>
          </w:p>
        </w:tc>
        <w:tc>
          <w:tcPr>
            <w:tcW w:w="1540" w:type="dxa"/>
            <w:tcBorders>
              <w:top w:val="nil"/>
              <w:left w:val="nil"/>
              <w:bottom w:val="nil"/>
              <w:right w:val="nil"/>
            </w:tcBorders>
            <w:shd w:val="clear" w:color="auto" w:fill="auto"/>
            <w:noWrap/>
            <w:vAlign w:val="bottom"/>
            <w:hideMark/>
          </w:tcPr>
          <w:p w14:paraId="35315A15"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-0.461**</w:t>
            </w:r>
          </w:p>
        </w:tc>
        <w:tc>
          <w:tcPr>
            <w:tcW w:w="1040" w:type="dxa"/>
            <w:tcBorders>
              <w:top w:val="nil"/>
              <w:left w:val="nil"/>
              <w:bottom w:val="nil"/>
              <w:right w:val="single" w:sz="8" w:space="0" w:color="auto"/>
            </w:tcBorders>
            <w:shd w:val="clear" w:color="auto" w:fill="auto"/>
            <w:noWrap/>
            <w:vAlign w:val="bottom"/>
            <w:hideMark/>
          </w:tcPr>
          <w:p w14:paraId="415996F2"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0.21</w:t>
            </w:r>
          </w:p>
        </w:tc>
      </w:tr>
      <w:tr w:rsidR="009E3924" w:rsidRPr="009F5623" w14:paraId="35E0DC38"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20700ECD" w14:textId="77777777" w:rsidR="009E3924" w:rsidRPr="009A5ACD" w:rsidRDefault="00BC2AA2" w:rsidP="00C85CD9">
            <w:pPr>
              <w:spacing w:after="0" w:line="240" w:lineRule="auto"/>
              <w:rPr>
                <w:rFonts w:eastAsia="Times New Roman" w:cstheme="minorHAnsi"/>
                <w:color w:val="000000"/>
                <w:lang w:eastAsia="ja-JP"/>
              </w:rPr>
            </w:pPr>
            <w:r w:rsidRPr="009A5ACD">
              <w:rPr>
                <w:rFonts w:ascii="Calibri" w:eastAsia="Times New Roman" w:hAnsi="Calibri" w:cs="Calibri"/>
                <w:iCs/>
                <w:color w:val="000000"/>
                <w:sz w:val="21"/>
                <w:szCs w:val="20"/>
                <w:lang w:eastAsia="ja-JP"/>
              </w:rPr>
              <w:t>I</w:t>
            </w:r>
            <w:r w:rsidR="009E3924" w:rsidRPr="009A5ACD">
              <w:rPr>
                <w:rFonts w:ascii="Calibri" w:eastAsia="Times New Roman" w:hAnsi="Calibri" w:cs="Calibri"/>
                <w:iCs/>
                <w:color w:val="000000"/>
                <w:sz w:val="21"/>
                <w:szCs w:val="20"/>
                <w:lang w:eastAsia="ja-JP"/>
              </w:rPr>
              <w:t>ndustry</w:t>
            </w:r>
          </w:p>
        </w:tc>
        <w:tc>
          <w:tcPr>
            <w:tcW w:w="1540" w:type="dxa"/>
            <w:tcBorders>
              <w:top w:val="nil"/>
              <w:left w:val="nil"/>
              <w:bottom w:val="nil"/>
              <w:right w:val="nil"/>
            </w:tcBorders>
            <w:shd w:val="clear" w:color="auto" w:fill="auto"/>
            <w:noWrap/>
            <w:vAlign w:val="bottom"/>
            <w:hideMark/>
          </w:tcPr>
          <w:p w14:paraId="05F48B2B"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-0.236</w:t>
            </w:r>
          </w:p>
        </w:tc>
        <w:tc>
          <w:tcPr>
            <w:tcW w:w="1040" w:type="dxa"/>
            <w:tcBorders>
              <w:top w:val="nil"/>
              <w:left w:val="nil"/>
              <w:bottom w:val="nil"/>
              <w:right w:val="single" w:sz="8" w:space="0" w:color="auto"/>
            </w:tcBorders>
            <w:shd w:val="clear" w:color="auto" w:fill="auto"/>
            <w:noWrap/>
            <w:vAlign w:val="bottom"/>
            <w:hideMark/>
          </w:tcPr>
          <w:p w14:paraId="118BA90C"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0.17</w:t>
            </w:r>
          </w:p>
        </w:tc>
      </w:tr>
      <w:tr w:rsidR="009E3924" w:rsidRPr="009F5623" w14:paraId="34807BFA"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0E6D264A"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good_health</w:t>
            </w:r>
          </w:p>
        </w:tc>
        <w:tc>
          <w:tcPr>
            <w:tcW w:w="1540" w:type="dxa"/>
            <w:tcBorders>
              <w:top w:val="nil"/>
              <w:left w:val="nil"/>
              <w:bottom w:val="nil"/>
              <w:right w:val="nil"/>
            </w:tcBorders>
            <w:shd w:val="clear" w:color="auto" w:fill="auto"/>
            <w:noWrap/>
            <w:vAlign w:val="bottom"/>
            <w:hideMark/>
          </w:tcPr>
          <w:p w14:paraId="0C62A579"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-2.064***</w:t>
            </w:r>
          </w:p>
        </w:tc>
        <w:tc>
          <w:tcPr>
            <w:tcW w:w="1040" w:type="dxa"/>
            <w:tcBorders>
              <w:top w:val="nil"/>
              <w:left w:val="nil"/>
              <w:bottom w:val="nil"/>
              <w:right w:val="single" w:sz="8" w:space="0" w:color="auto"/>
            </w:tcBorders>
            <w:shd w:val="clear" w:color="auto" w:fill="auto"/>
            <w:noWrap/>
            <w:vAlign w:val="bottom"/>
            <w:hideMark/>
          </w:tcPr>
          <w:p w14:paraId="3F72DC76"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0.12</w:t>
            </w:r>
          </w:p>
        </w:tc>
      </w:tr>
      <w:tr w:rsidR="009E3924" w:rsidRPr="009F5623" w14:paraId="183A0443"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4020E8E2"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talk_neigh</w:t>
            </w:r>
          </w:p>
        </w:tc>
        <w:tc>
          <w:tcPr>
            <w:tcW w:w="1540" w:type="dxa"/>
            <w:tcBorders>
              <w:top w:val="nil"/>
              <w:left w:val="nil"/>
              <w:bottom w:val="nil"/>
              <w:right w:val="nil"/>
            </w:tcBorders>
            <w:shd w:val="clear" w:color="auto" w:fill="auto"/>
            <w:noWrap/>
            <w:vAlign w:val="bottom"/>
            <w:hideMark/>
          </w:tcPr>
          <w:p w14:paraId="4992EF62"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0.183</w:t>
            </w:r>
          </w:p>
        </w:tc>
        <w:tc>
          <w:tcPr>
            <w:tcW w:w="1040" w:type="dxa"/>
            <w:tcBorders>
              <w:top w:val="nil"/>
              <w:left w:val="nil"/>
              <w:bottom w:val="nil"/>
              <w:right w:val="single" w:sz="8" w:space="0" w:color="auto"/>
            </w:tcBorders>
            <w:shd w:val="clear" w:color="auto" w:fill="auto"/>
            <w:noWrap/>
            <w:vAlign w:val="bottom"/>
            <w:hideMark/>
          </w:tcPr>
          <w:p w14:paraId="24F64ECE"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0.13</w:t>
            </w:r>
          </w:p>
        </w:tc>
      </w:tr>
      <w:tr w:rsidR="009E3924" w:rsidRPr="009F5623" w14:paraId="0E6CF4A6"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04C24680"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meet_people</w:t>
            </w:r>
          </w:p>
        </w:tc>
        <w:tc>
          <w:tcPr>
            <w:tcW w:w="1540" w:type="dxa"/>
            <w:tcBorders>
              <w:top w:val="nil"/>
              <w:left w:val="nil"/>
              <w:bottom w:val="nil"/>
              <w:right w:val="nil"/>
            </w:tcBorders>
            <w:shd w:val="clear" w:color="auto" w:fill="auto"/>
            <w:noWrap/>
            <w:vAlign w:val="bottom"/>
            <w:hideMark/>
          </w:tcPr>
          <w:p w14:paraId="2C174CE8"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0.175</w:t>
            </w:r>
          </w:p>
        </w:tc>
        <w:tc>
          <w:tcPr>
            <w:tcW w:w="1040" w:type="dxa"/>
            <w:tcBorders>
              <w:top w:val="nil"/>
              <w:left w:val="nil"/>
              <w:bottom w:val="nil"/>
              <w:right w:val="single" w:sz="8" w:space="0" w:color="auto"/>
            </w:tcBorders>
            <w:shd w:val="clear" w:color="auto" w:fill="auto"/>
            <w:noWrap/>
            <w:vAlign w:val="bottom"/>
            <w:hideMark/>
          </w:tcPr>
          <w:p w14:paraId="14EE20CC"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0.13</w:t>
            </w:r>
          </w:p>
        </w:tc>
      </w:tr>
      <w:tr w:rsidR="009E3924" w:rsidRPr="009F5623" w14:paraId="79A43153"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04F2432C"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alcohol_drugs</w:t>
            </w:r>
          </w:p>
        </w:tc>
        <w:tc>
          <w:tcPr>
            <w:tcW w:w="1540" w:type="dxa"/>
            <w:tcBorders>
              <w:top w:val="nil"/>
              <w:left w:val="nil"/>
              <w:bottom w:val="nil"/>
              <w:right w:val="nil"/>
            </w:tcBorders>
            <w:shd w:val="clear" w:color="auto" w:fill="auto"/>
            <w:noWrap/>
            <w:vAlign w:val="bottom"/>
            <w:hideMark/>
          </w:tcPr>
          <w:p w14:paraId="5D07B1AB"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-0.925</w:t>
            </w:r>
          </w:p>
        </w:tc>
        <w:tc>
          <w:tcPr>
            <w:tcW w:w="1040" w:type="dxa"/>
            <w:tcBorders>
              <w:top w:val="nil"/>
              <w:left w:val="nil"/>
              <w:bottom w:val="nil"/>
              <w:right w:val="single" w:sz="8" w:space="0" w:color="auto"/>
            </w:tcBorders>
            <w:shd w:val="clear" w:color="auto" w:fill="auto"/>
            <w:noWrap/>
            <w:vAlign w:val="bottom"/>
            <w:hideMark/>
          </w:tcPr>
          <w:p w14:paraId="0B37E04A"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1.09</w:t>
            </w:r>
          </w:p>
        </w:tc>
      </w:tr>
      <w:tr w:rsidR="009E3924" w:rsidRPr="009F5623" w14:paraId="6C9A8F03"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2B053111" w14:textId="77777777" w:rsidR="009E3924" w:rsidRPr="009F5623" w:rsidRDefault="00F97460" w:rsidP="00C85CD9">
            <w:pPr>
              <w:spacing w:after="0" w:line="240" w:lineRule="auto"/>
              <w:rPr>
                <w:rFonts w:eastAsia="Times New Roman" w:cstheme="minorHAnsi"/>
                <w:color w:val="000000"/>
                <w:lang w:eastAsia="ja-JP"/>
              </w:rPr>
            </w:pPr>
            <w:r>
              <w:rPr>
                <w:rFonts w:eastAsia="Times New Roman" w:cstheme="minorHAnsi"/>
                <w:color w:val="000000"/>
                <w:lang w:eastAsia="ja-JP"/>
              </w:rPr>
              <w:t>s</w:t>
            </w:r>
            <w:r w:rsidR="009E3924" w:rsidRPr="009F5623">
              <w:rPr>
                <w:rFonts w:eastAsia="Times New Roman" w:cstheme="minorHAnsi"/>
                <w:color w:val="000000"/>
                <w:lang w:eastAsia="ja-JP"/>
              </w:rPr>
              <w:t>moker</w:t>
            </w:r>
          </w:p>
        </w:tc>
        <w:tc>
          <w:tcPr>
            <w:tcW w:w="1540" w:type="dxa"/>
            <w:tcBorders>
              <w:top w:val="nil"/>
              <w:left w:val="nil"/>
              <w:bottom w:val="nil"/>
              <w:right w:val="nil"/>
            </w:tcBorders>
            <w:shd w:val="clear" w:color="auto" w:fill="auto"/>
            <w:noWrap/>
            <w:vAlign w:val="bottom"/>
            <w:hideMark/>
          </w:tcPr>
          <w:p w14:paraId="01383305"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0.016</w:t>
            </w:r>
          </w:p>
        </w:tc>
        <w:tc>
          <w:tcPr>
            <w:tcW w:w="1040" w:type="dxa"/>
            <w:tcBorders>
              <w:top w:val="nil"/>
              <w:left w:val="nil"/>
              <w:bottom w:val="nil"/>
              <w:right w:val="single" w:sz="8" w:space="0" w:color="auto"/>
            </w:tcBorders>
            <w:shd w:val="clear" w:color="auto" w:fill="auto"/>
            <w:noWrap/>
            <w:vAlign w:val="bottom"/>
            <w:hideMark/>
          </w:tcPr>
          <w:p w14:paraId="6409F220"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0.14</w:t>
            </w:r>
          </w:p>
        </w:tc>
      </w:tr>
      <w:tr w:rsidR="009E3924" w:rsidRPr="009F5623" w14:paraId="0BB9A818"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006D6626"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health_insurance</w:t>
            </w:r>
          </w:p>
        </w:tc>
        <w:tc>
          <w:tcPr>
            <w:tcW w:w="1540" w:type="dxa"/>
            <w:tcBorders>
              <w:top w:val="nil"/>
              <w:left w:val="nil"/>
              <w:bottom w:val="nil"/>
              <w:right w:val="nil"/>
            </w:tcBorders>
            <w:shd w:val="clear" w:color="auto" w:fill="auto"/>
            <w:noWrap/>
            <w:vAlign w:val="bottom"/>
            <w:hideMark/>
          </w:tcPr>
          <w:p w14:paraId="7FF45D3F"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0.061</w:t>
            </w:r>
          </w:p>
        </w:tc>
        <w:tc>
          <w:tcPr>
            <w:tcW w:w="1040" w:type="dxa"/>
            <w:tcBorders>
              <w:top w:val="nil"/>
              <w:left w:val="nil"/>
              <w:bottom w:val="nil"/>
              <w:right w:val="single" w:sz="8" w:space="0" w:color="auto"/>
            </w:tcBorders>
            <w:shd w:val="clear" w:color="auto" w:fill="auto"/>
            <w:noWrap/>
            <w:vAlign w:val="bottom"/>
            <w:hideMark/>
          </w:tcPr>
          <w:p w14:paraId="5CAA48DA"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0.16</w:t>
            </w:r>
          </w:p>
        </w:tc>
      </w:tr>
      <w:tr w:rsidR="009E3924" w:rsidRPr="009F5623" w14:paraId="2FB48BA4"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6C724C79" w14:textId="77777777" w:rsidR="009E3924" w:rsidRPr="009F5623" w:rsidRDefault="0005134A" w:rsidP="00C85CD9">
            <w:pPr>
              <w:spacing w:after="0" w:line="240" w:lineRule="auto"/>
              <w:rPr>
                <w:rFonts w:eastAsia="Times New Roman" w:cstheme="minorHAnsi"/>
                <w:color w:val="000000"/>
                <w:lang w:eastAsia="ja-JP"/>
              </w:rPr>
            </w:pPr>
            <w:r>
              <w:rPr>
                <w:rFonts w:eastAsia="Times New Roman" w:cstheme="minorHAnsi"/>
                <w:color w:val="000000"/>
                <w:lang w:eastAsia="ja-JP"/>
              </w:rPr>
              <w:t>deb</w:t>
            </w:r>
            <w:r w:rsidR="009E3924" w:rsidRPr="009F5623">
              <w:rPr>
                <w:rFonts w:eastAsia="Times New Roman" w:cstheme="minorHAnsi"/>
                <w:color w:val="000000"/>
                <w:lang w:eastAsia="ja-JP"/>
              </w:rPr>
              <w:t>t_burden</w:t>
            </w:r>
          </w:p>
        </w:tc>
        <w:tc>
          <w:tcPr>
            <w:tcW w:w="1540" w:type="dxa"/>
            <w:tcBorders>
              <w:top w:val="nil"/>
              <w:left w:val="nil"/>
              <w:bottom w:val="nil"/>
              <w:right w:val="nil"/>
            </w:tcBorders>
            <w:shd w:val="clear" w:color="auto" w:fill="auto"/>
            <w:noWrap/>
            <w:vAlign w:val="bottom"/>
            <w:hideMark/>
          </w:tcPr>
          <w:p w14:paraId="77ECC127"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0.03</w:t>
            </w:r>
          </w:p>
        </w:tc>
        <w:tc>
          <w:tcPr>
            <w:tcW w:w="1040" w:type="dxa"/>
            <w:tcBorders>
              <w:top w:val="nil"/>
              <w:left w:val="nil"/>
              <w:bottom w:val="nil"/>
              <w:right w:val="single" w:sz="8" w:space="0" w:color="auto"/>
            </w:tcBorders>
            <w:shd w:val="clear" w:color="auto" w:fill="auto"/>
            <w:noWrap/>
            <w:vAlign w:val="bottom"/>
            <w:hideMark/>
          </w:tcPr>
          <w:p w14:paraId="50BAF778"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0.13</w:t>
            </w:r>
          </w:p>
        </w:tc>
      </w:tr>
      <w:tr w:rsidR="009E3924" w:rsidRPr="009F5623" w14:paraId="3E050AB4"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3C5DCC46" w14:textId="77777777" w:rsidR="009E3924" w:rsidRPr="009F5623" w:rsidRDefault="00BC2AA2" w:rsidP="00C85CD9">
            <w:pPr>
              <w:spacing w:after="0" w:line="240" w:lineRule="auto"/>
              <w:rPr>
                <w:rFonts w:eastAsia="Times New Roman" w:cstheme="minorHAnsi"/>
                <w:color w:val="000000"/>
                <w:lang w:eastAsia="ja-JP"/>
              </w:rPr>
            </w:pPr>
            <w:r>
              <w:rPr>
                <w:rFonts w:eastAsia="Times New Roman" w:cstheme="minorHAnsi"/>
                <w:color w:val="000000"/>
                <w:lang w:eastAsia="ja-JP"/>
              </w:rPr>
              <w:t>internet</w:t>
            </w:r>
          </w:p>
        </w:tc>
        <w:tc>
          <w:tcPr>
            <w:tcW w:w="1540" w:type="dxa"/>
            <w:tcBorders>
              <w:top w:val="nil"/>
              <w:left w:val="nil"/>
              <w:bottom w:val="nil"/>
              <w:right w:val="nil"/>
            </w:tcBorders>
            <w:shd w:val="clear" w:color="auto" w:fill="auto"/>
            <w:noWrap/>
            <w:vAlign w:val="bottom"/>
            <w:hideMark/>
          </w:tcPr>
          <w:p w14:paraId="75726E05"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-0.024</w:t>
            </w:r>
          </w:p>
        </w:tc>
        <w:tc>
          <w:tcPr>
            <w:tcW w:w="1040" w:type="dxa"/>
            <w:tcBorders>
              <w:top w:val="nil"/>
              <w:left w:val="nil"/>
              <w:bottom w:val="nil"/>
              <w:right w:val="single" w:sz="8" w:space="0" w:color="auto"/>
            </w:tcBorders>
            <w:shd w:val="clear" w:color="auto" w:fill="auto"/>
            <w:noWrap/>
            <w:vAlign w:val="bottom"/>
            <w:hideMark/>
          </w:tcPr>
          <w:p w14:paraId="41F3B8CB"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0.16</w:t>
            </w:r>
          </w:p>
        </w:tc>
      </w:tr>
      <w:tr w:rsidR="009E3924" w:rsidRPr="009F5623" w14:paraId="58D4CF2C"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627875C1"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house_owned</w:t>
            </w:r>
          </w:p>
        </w:tc>
        <w:tc>
          <w:tcPr>
            <w:tcW w:w="1540" w:type="dxa"/>
            <w:tcBorders>
              <w:top w:val="nil"/>
              <w:left w:val="nil"/>
              <w:bottom w:val="nil"/>
              <w:right w:val="nil"/>
            </w:tcBorders>
            <w:shd w:val="clear" w:color="auto" w:fill="auto"/>
            <w:noWrap/>
            <w:vAlign w:val="bottom"/>
            <w:hideMark/>
          </w:tcPr>
          <w:p w14:paraId="424A4933"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-0.238</w:t>
            </w:r>
          </w:p>
        </w:tc>
        <w:tc>
          <w:tcPr>
            <w:tcW w:w="1040" w:type="dxa"/>
            <w:tcBorders>
              <w:top w:val="nil"/>
              <w:left w:val="nil"/>
              <w:bottom w:val="nil"/>
              <w:right w:val="single" w:sz="8" w:space="0" w:color="auto"/>
            </w:tcBorders>
            <w:shd w:val="clear" w:color="auto" w:fill="auto"/>
            <w:noWrap/>
            <w:vAlign w:val="bottom"/>
            <w:hideMark/>
          </w:tcPr>
          <w:p w14:paraId="36E70C6F"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0.21</w:t>
            </w:r>
          </w:p>
        </w:tc>
      </w:tr>
      <w:tr w:rsidR="009E3924" w:rsidRPr="009F5623" w14:paraId="37EF9A94"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771CA472"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social_housing</w:t>
            </w:r>
          </w:p>
        </w:tc>
        <w:tc>
          <w:tcPr>
            <w:tcW w:w="1540" w:type="dxa"/>
            <w:tcBorders>
              <w:top w:val="nil"/>
              <w:left w:val="nil"/>
              <w:bottom w:val="nil"/>
              <w:right w:val="nil"/>
            </w:tcBorders>
            <w:shd w:val="clear" w:color="auto" w:fill="auto"/>
            <w:noWrap/>
            <w:vAlign w:val="bottom"/>
            <w:hideMark/>
          </w:tcPr>
          <w:p w14:paraId="20DDA4F9"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0.064</w:t>
            </w:r>
          </w:p>
        </w:tc>
        <w:tc>
          <w:tcPr>
            <w:tcW w:w="1040" w:type="dxa"/>
            <w:tcBorders>
              <w:top w:val="nil"/>
              <w:left w:val="nil"/>
              <w:bottom w:val="nil"/>
              <w:right w:val="single" w:sz="8" w:space="0" w:color="auto"/>
            </w:tcBorders>
            <w:shd w:val="clear" w:color="auto" w:fill="auto"/>
            <w:noWrap/>
            <w:vAlign w:val="bottom"/>
            <w:hideMark/>
          </w:tcPr>
          <w:p w14:paraId="720EAC29"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0.27</w:t>
            </w:r>
          </w:p>
        </w:tc>
      </w:tr>
      <w:tr w:rsidR="009E3924" w:rsidRPr="009F5623" w14:paraId="7BC471BE"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7E09F900"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Wales</w:t>
            </w:r>
          </w:p>
        </w:tc>
        <w:tc>
          <w:tcPr>
            <w:tcW w:w="1540" w:type="dxa"/>
            <w:tcBorders>
              <w:top w:val="nil"/>
              <w:left w:val="nil"/>
              <w:bottom w:val="nil"/>
              <w:right w:val="nil"/>
            </w:tcBorders>
            <w:shd w:val="clear" w:color="auto" w:fill="auto"/>
            <w:noWrap/>
            <w:vAlign w:val="bottom"/>
            <w:hideMark/>
          </w:tcPr>
          <w:p w14:paraId="5FA28203"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0.851*</w:t>
            </w:r>
          </w:p>
        </w:tc>
        <w:tc>
          <w:tcPr>
            <w:tcW w:w="1040" w:type="dxa"/>
            <w:tcBorders>
              <w:top w:val="nil"/>
              <w:left w:val="nil"/>
              <w:bottom w:val="nil"/>
              <w:right w:val="single" w:sz="8" w:space="0" w:color="auto"/>
            </w:tcBorders>
            <w:shd w:val="clear" w:color="auto" w:fill="auto"/>
            <w:noWrap/>
            <w:vAlign w:val="bottom"/>
            <w:hideMark/>
          </w:tcPr>
          <w:p w14:paraId="7862A798"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0.46</w:t>
            </w:r>
          </w:p>
        </w:tc>
      </w:tr>
      <w:tr w:rsidR="009E3924" w:rsidRPr="009F5623" w14:paraId="1276A4D9"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3A4C8C38"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Scotland</w:t>
            </w:r>
          </w:p>
        </w:tc>
        <w:tc>
          <w:tcPr>
            <w:tcW w:w="1540" w:type="dxa"/>
            <w:tcBorders>
              <w:top w:val="nil"/>
              <w:left w:val="nil"/>
              <w:bottom w:val="nil"/>
              <w:right w:val="nil"/>
            </w:tcBorders>
            <w:shd w:val="clear" w:color="auto" w:fill="auto"/>
            <w:noWrap/>
            <w:vAlign w:val="bottom"/>
            <w:hideMark/>
          </w:tcPr>
          <w:p w14:paraId="25AC2679"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0.878*</w:t>
            </w:r>
          </w:p>
        </w:tc>
        <w:tc>
          <w:tcPr>
            <w:tcW w:w="1040" w:type="dxa"/>
            <w:tcBorders>
              <w:top w:val="nil"/>
              <w:left w:val="nil"/>
              <w:bottom w:val="nil"/>
              <w:right w:val="single" w:sz="8" w:space="0" w:color="auto"/>
            </w:tcBorders>
            <w:shd w:val="clear" w:color="auto" w:fill="auto"/>
            <w:noWrap/>
            <w:vAlign w:val="bottom"/>
            <w:hideMark/>
          </w:tcPr>
          <w:p w14:paraId="584CB989"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0.45</w:t>
            </w:r>
          </w:p>
        </w:tc>
      </w:tr>
      <w:tr w:rsidR="009E3924" w:rsidRPr="009F5623" w14:paraId="16A0C00A"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6C9ED7C5"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N_Ireland</w:t>
            </w:r>
          </w:p>
        </w:tc>
        <w:tc>
          <w:tcPr>
            <w:tcW w:w="1540" w:type="dxa"/>
            <w:tcBorders>
              <w:top w:val="nil"/>
              <w:left w:val="nil"/>
              <w:bottom w:val="nil"/>
              <w:right w:val="nil"/>
            </w:tcBorders>
            <w:shd w:val="clear" w:color="auto" w:fill="auto"/>
            <w:noWrap/>
            <w:vAlign w:val="bottom"/>
            <w:hideMark/>
          </w:tcPr>
          <w:p w14:paraId="24C89096"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0.887*</w:t>
            </w:r>
          </w:p>
        </w:tc>
        <w:tc>
          <w:tcPr>
            <w:tcW w:w="1040" w:type="dxa"/>
            <w:tcBorders>
              <w:top w:val="nil"/>
              <w:left w:val="nil"/>
              <w:bottom w:val="nil"/>
              <w:right w:val="single" w:sz="8" w:space="0" w:color="auto"/>
            </w:tcBorders>
            <w:shd w:val="clear" w:color="auto" w:fill="auto"/>
            <w:noWrap/>
            <w:vAlign w:val="bottom"/>
            <w:hideMark/>
          </w:tcPr>
          <w:p w14:paraId="3D5F9340"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0.46</w:t>
            </w:r>
          </w:p>
        </w:tc>
      </w:tr>
      <w:tr w:rsidR="009E3924" w:rsidRPr="009F5623" w14:paraId="3747ED07"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2FF4058B"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NE</w:t>
            </w:r>
          </w:p>
        </w:tc>
        <w:tc>
          <w:tcPr>
            <w:tcW w:w="1540" w:type="dxa"/>
            <w:tcBorders>
              <w:top w:val="nil"/>
              <w:left w:val="nil"/>
              <w:bottom w:val="nil"/>
              <w:right w:val="nil"/>
            </w:tcBorders>
            <w:shd w:val="clear" w:color="auto" w:fill="auto"/>
            <w:noWrap/>
            <w:vAlign w:val="bottom"/>
            <w:hideMark/>
          </w:tcPr>
          <w:p w14:paraId="3F856B08"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0.994*</w:t>
            </w:r>
          </w:p>
        </w:tc>
        <w:tc>
          <w:tcPr>
            <w:tcW w:w="1040" w:type="dxa"/>
            <w:tcBorders>
              <w:top w:val="nil"/>
              <w:left w:val="nil"/>
              <w:bottom w:val="nil"/>
              <w:right w:val="single" w:sz="8" w:space="0" w:color="auto"/>
            </w:tcBorders>
            <w:shd w:val="clear" w:color="auto" w:fill="auto"/>
            <w:noWrap/>
            <w:vAlign w:val="bottom"/>
            <w:hideMark/>
          </w:tcPr>
          <w:p w14:paraId="7C67DAF5"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0.52</w:t>
            </w:r>
          </w:p>
        </w:tc>
      </w:tr>
      <w:tr w:rsidR="009E3924" w:rsidRPr="009F5623" w14:paraId="42A18E31"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5D5D017B"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NW</w:t>
            </w:r>
          </w:p>
        </w:tc>
        <w:tc>
          <w:tcPr>
            <w:tcW w:w="1540" w:type="dxa"/>
            <w:tcBorders>
              <w:top w:val="nil"/>
              <w:left w:val="nil"/>
              <w:bottom w:val="nil"/>
              <w:right w:val="nil"/>
            </w:tcBorders>
            <w:shd w:val="clear" w:color="auto" w:fill="auto"/>
            <w:noWrap/>
            <w:vAlign w:val="bottom"/>
            <w:hideMark/>
          </w:tcPr>
          <w:p w14:paraId="540EA0A7"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0.578</w:t>
            </w:r>
          </w:p>
        </w:tc>
        <w:tc>
          <w:tcPr>
            <w:tcW w:w="1040" w:type="dxa"/>
            <w:tcBorders>
              <w:top w:val="nil"/>
              <w:left w:val="nil"/>
              <w:bottom w:val="nil"/>
              <w:right w:val="single" w:sz="8" w:space="0" w:color="auto"/>
            </w:tcBorders>
            <w:shd w:val="clear" w:color="auto" w:fill="auto"/>
            <w:noWrap/>
            <w:vAlign w:val="bottom"/>
            <w:hideMark/>
          </w:tcPr>
          <w:p w14:paraId="5035FFC2"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0.48</w:t>
            </w:r>
          </w:p>
        </w:tc>
      </w:tr>
      <w:tr w:rsidR="009E3924" w:rsidRPr="009F5623" w14:paraId="4E17485E"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4AD8CA0A"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York_hmb</w:t>
            </w:r>
          </w:p>
        </w:tc>
        <w:tc>
          <w:tcPr>
            <w:tcW w:w="1540" w:type="dxa"/>
            <w:tcBorders>
              <w:top w:val="nil"/>
              <w:left w:val="nil"/>
              <w:bottom w:val="nil"/>
              <w:right w:val="nil"/>
            </w:tcBorders>
            <w:shd w:val="clear" w:color="auto" w:fill="auto"/>
            <w:noWrap/>
            <w:vAlign w:val="bottom"/>
            <w:hideMark/>
          </w:tcPr>
          <w:p w14:paraId="79CBAC1C"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1.08**</w:t>
            </w:r>
          </w:p>
        </w:tc>
        <w:tc>
          <w:tcPr>
            <w:tcW w:w="1040" w:type="dxa"/>
            <w:tcBorders>
              <w:top w:val="nil"/>
              <w:left w:val="nil"/>
              <w:bottom w:val="nil"/>
              <w:right w:val="single" w:sz="8" w:space="0" w:color="auto"/>
            </w:tcBorders>
            <w:shd w:val="clear" w:color="auto" w:fill="auto"/>
            <w:noWrap/>
            <w:vAlign w:val="bottom"/>
            <w:hideMark/>
          </w:tcPr>
          <w:p w14:paraId="15969D25"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0.5</w:t>
            </w:r>
          </w:p>
        </w:tc>
      </w:tr>
      <w:tr w:rsidR="009E3924" w:rsidRPr="009F5623" w14:paraId="61ED7EA3"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6E401344"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E_mid</w:t>
            </w:r>
          </w:p>
        </w:tc>
        <w:tc>
          <w:tcPr>
            <w:tcW w:w="1540" w:type="dxa"/>
            <w:tcBorders>
              <w:top w:val="nil"/>
              <w:left w:val="nil"/>
              <w:bottom w:val="nil"/>
              <w:right w:val="nil"/>
            </w:tcBorders>
            <w:shd w:val="clear" w:color="auto" w:fill="auto"/>
            <w:noWrap/>
            <w:vAlign w:val="bottom"/>
            <w:hideMark/>
          </w:tcPr>
          <w:p w14:paraId="2B2FFEBB"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1.33*</w:t>
            </w:r>
          </w:p>
        </w:tc>
        <w:tc>
          <w:tcPr>
            <w:tcW w:w="1040" w:type="dxa"/>
            <w:tcBorders>
              <w:top w:val="nil"/>
              <w:left w:val="nil"/>
              <w:bottom w:val="nil"/>
              <w:right w:val="single" w:sz="8" w:space="0" w:color="auto"/>
            </w:tcBorders>
            <w:shd w:val="clear" w:color="auto" w:fill="auto"/>
            <w:noWrap/>
            <w:vAlign w:val="bottom"/>
            <w:hideMark/>
          </w:tcPr>
          <w:p w14:paraId="6B4C1C7B"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0.5</w:t>
            </w:r>
          </w:p>
        </w:tc>
      </w:tr>
      <w:tr w:rsidR="009E3924" w:rsidRPr="009F5623" w14:paraId="06424D10"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6F20190A"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lastRenderedPageBreak/>
              <w:t>W_mid</w:t>
            </w:r>
          </w:p>
        </w:tc>
        <w:tc>
          <w:tcPr>
            <w:tcW w:w="1540" w:type="dxa"/>
            <w:tcBorders>
              <w:top w:val="nil"/>
              <w:left w:val="nil"/>
              <w:bottom w:val="nil"/>
              <w:right w:val="nil"/>
            </w:tcBorders>
            <w:shd w:val="clear" w:color="auto" w:fill="auto"/>
            <w:noWrap/>
            <w:vAlign w:val="bottom"/>
            <w:hideMark/>
          </w:tcPr>
          <w:p w14:paraId="3D6D8F11"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0.857***</w:t>
            </w:r>
          </w:p>
        </w:tc>
        <w:tc>
          <w:tcPr>
            <w:tcW w:w="1040" w:type="dxa"/>
            <w:tcBorders>
              <w:top w:val="nil"/>
              <w:left w:val="nil"/>
              <w:bottom w:val="nil"/>
              <w:right w:val="single" w:sz="8" w:space="0" w:color="auto"/>
            </w:tcBorders>
            <w:shd w:val="clear" w:color="auto" w:fill="auto"/>
            <w:noWrap/>
            <w:vAlign w:val="bottom"/>
            <w:hideMark/>
          </w:tcPr>
          <w:p w14:paraId="2F165186"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0.49</w:t>
            </w:r>
          </w:p>
        </w:tc>
      </w:tr>
      <w:tr w:rsidR="009E3924" w:rsidRPr="009F5623" w14:paraId="1B312B24"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389307F3"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E_Eng</w:t>
            </w:r>
          </w:p>
        </w:tc>
        <w:tc>
          <w:tcPr>
            <w:tcW w:w="1540" w:type="dxa"/>
            <w:tcBorders>
              <w:top w:val="nil"/>
              <w:left w:val="nil"/>
              <w:bottom w:val="nil"/>
              <w:right w:val="nil"/>
            </w:tcBorders>
            <w:shd w:val="clear" w:color="auto" w:fill="auto"/>
            <w:noWrap/>
            <w:vAlign w:val="bottom"/>
            <w:hideMark/>
          </w:tcPr>
          <w:p w14:paraId="7BA4C466"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0.861*</w:t>
            </w:r>
          </w:p>
        </w:tc>
        <w:tc>
          <w:tcPr>
            <w:tcW w:w="1040" w:type="dxa"/>
            <w:tcBorders>
              <w:top w:val="nil"/>
              <w:left w:val="nil"/>
              <w:bottom w:val="nil"/>
              <w:right w:val="single" w:sz="8" w:space="0" w:color="auto"/>
            </w:tcBorders>
            <w:shd w:val="clear" w:color="auto" w:fill="auto"/>
            <w:noWrap/>
            <w:vAlign w:val="bottom"/>
            <w:hideMark/>
          </w:tcPr>
          <w:p w14:paraId="7B0F7610"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0.49</w:t>
            </w:r>
          </w:p>
        </w:tc>
      </w:tr>
      <w:tr w:rsidR="009E3924" w:rsidRPr="009F5623" w14:paraId="731F73A8"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4850CA23"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SE</w:t>
            </w:r>
          </w:p>
        </w:tc>
        <w:tc>
          <w:tcPr>
            <w:tcW w:w="1540" w:type="dxa"/>
            <w:tcBorders>
              <w:top w:val="nil"/>
              <w:left w:val="nil"/>
              <w:bottom w:val="nil"/>
              <w:right w:val="nil"/>
            </w:tcBorders>
            <w:shd w:val="clear" w:color="auto" w:fill="auto"/>
            <w:noWrap/>
            <w:vAlign w:val="bottom"/>
            <w:hideMark/>
          </w:tcPr>
          <w:p w14:paraId="5E67742F"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0.723</w:t>
            </w:r>
          </w:p>
        </w:tc>
        <w:tc>
          <w:tcPr>
            <w:tcW w:w="1040" w:type="dxa"/>
            <w:tcBorders>
              <w:top w:val="nil"/>
              <w:left w:val="nil"/>
              <w:bottom w:val="nil"/>
              <w:right w:val="single" w:sz="8" w:space="0" w:color="auto"/>
            </w:tcBorders>
            <w:shd w:val="clear" w:color="auto" w:fill="auto"/>
            <w:noWrap/>
            <w:vAlign w:val="bottom"/>
            <w:hideMark/>
          </w:tcPr>
          <w:p w14:paraId="41E11640"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0.47</w:t>
            </w:r>
          </w:p>
        </w:tc>
      </w:tr>
      <w:tr w:rsidR="009E3924" w:rsidRPr="009F5623" w14:paraId="5BA9FCE0"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18A4EF24"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SW</w:t>
            </w:r>
          </w:p>
        </w:tc>
        <w:tc>
          <w:tcPr>
            <w:tcW w:w="1540" w:type="dxa"/>
            <w:tcBorders>
              <w:top w:val="nil"/>
              <w:left w:val="nil"/>
              <w:bottom w:val="nil"/>
              <w:right w:val="nil"/>
            </w:tcBorders>
            <w:shd w:val="clear" w:color="auto" w:fill="auto"/>
            <w:noWrap/>
            <w:vAlign w:val="bottom"/>
            <w:hideMark/>
          </w:tcPr>
          <w:p w14:paraId="0A76FC57"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0.958*</w:t>
            </w:r>
          </w:p>
        </w:tc>
        <w:tc>
          <w:tcPr>
            <w:tcW w:w="1040" w:type="dxa"/>
            <w:tcBorders>
              <w:top w:val="nil"/>
              <w:left w:val="nil"/>
              <w:bottom w:val="nil"/>
              <w:right w:val="single" w:sz="8" w:space="0" w:color="auto"/>
            </w:tcBorders>
            <w:shd w:val="clear" w:color="auto" w:fill="auto"/>
            <w:noWrap/>
            <w:vAlign w:val="bottom"/>
            <w:hideMark/>
          </w:tcPr>
          <w:p w14:paraId="11BB5B4B"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0.51</w:t>
            </w:r>
          </w:p>
        </w:tc>
      </w:tr>
      <w:tr w:rsidR="009E3924" w:rsidRPr="009F5623" w14:paraId="0BC18BB7" w14:textId="77777777" w:rsidTr="00C85CD9">
        <w:trPr>
          <w:trHeight w:val="300"/>
        </w:trPr>
        <w:tc>
          <w:tcPr>
            <w:tcW w:w="3440" w:type="dxa"/>
            <w:tcBorders>
              <w:top w:val="nil"/>
              <w:left w:val="single" w:sz="8" w:space="0" w:color="auto"/>
              <w:bottom w:val="single" w:sz="4" w:space="0" w:color="auto"/>
              <w:right w:val="nil"/>
            </w:tcBorders>
            <w:shd w:val="clear" w:color="auto" w:fill="auto"/>
            <w:noWrap/>
            <w:vAlign w:val="bottom"/>
            <w:hideMark/>
          </w:tcPr>
          <w:p w14:paraId="2356F2CC"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Constant</w:t>
            </w:r>
          </w:p>
        </w:tc>
        <w:tc>
          <w:tcPr>
            <w:tcW w:w="1540" w:type="dxa"/>
            <w:tcBorders>
              <w:top w:val="nil"/>
              <w:left w:val="nil"/>
              <w:bottom w:val="single" w:sz="4" w:space="0" w:color="auto"/>
              <w:right w:val="nil"/>
            </w:tcBorders>
            <w:shd w:val="clear" w:color="auto" w:fill="auto"/>
            <w:noWrap/>
            <w:vAlign w:val="bottom"/>
            <w:hideMark/>
          </w:tcPr>
          <w:p w14:paraId="59AD3248"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-1.35</w:t>
            </w:r>
          </w:p>
        </w:tc>
        <w:tc>
          <w:tcPr>
            <w:tcW w:w="1040" w:type="dxa"/>
            <w:tcBorders>
              <w:top w:val="nil"/>
              <w:left w:val="nil"/>
              <w:bottom w:val="single" w:sz="4" w:space="0" w:color="auto"/>
              <w:right w:val="single" w:sz="8" w:space="0" w:color="auto"/>
            </w:tcBorders>
            <w:shd w:val="clear" w:color="auto" w:fill="auto"/>
            <w:noWrap/>
            <w:vAlign w:val="bottom"/>
            <w:hideMark/>
          </w:tcPr>
          <w:p w14:paraId="646EDA82" w14:textId="77777777" w:rsidR="009E3924" w:rsidRPr="009F5623" w:rsidRDefault="009E3924" w:rsidP="00C85CD9">
            <w:pPr>
              <w:spacing w:after="0" w:line="240" w:lineRule="auto"/>
              <w:jc w:val="center"/>
              <w:rPr>
                <w:rFonts w:eastAsia="Times New Roman" w:cstheme="minorHAnsi"/>
                <w:color w:val="000000"/>
                <w:lang w:eastAsia="ja-JP"/>
              </w:rPr>
            </w:pPr>
            <w:r w:rsidRPr="009F5623">
              <w:rPr>
                <w:rFonts w:eastAsia="Times New Roman" w:cstheme="minorHAnsi"/>
                <w:color w:val="000000"/>
                <w:lang w:eastAsia="ja-JP"/>
              </w:rPr>
              <w:t>1.39</w:t>
            </w:r>
          </w:p>
        </w:tc>
      </w:tr>
      <w:tr w:rsidR="009E3924" w:rsidRPr="009F5623" w14:paraId="343F9375" w14:textId="77777777" w:rsidTr="00C85CD9">
        <w:trPr>
          <w:trHeight w:val="300"/>
        </w:trPr>
        <w:tc>
          <w:tcPr>
            <w:tcW w:w="3440" w:type="dxa"/>
            <w:tcBorders>
              <w:top w:val="nil"/>
              <w:left w:val="single" w:sz="8" w:space="0" w:color="auto"/>
              <w:bottom w:val="nil"/>
              <w:right w:val="nil"/>
            </w:tcBorders>
            <w:shd w:val="clear" w:color="auto" w:fill="auto"/>
            <w:noWrap/>
            <w:vAlign w:val="bottom"/>
            <w:hideMark/>
          </w:tcPr>
          <w:p w14:paraId="1B19A0D5"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N</w:t>
            </w:r>
          </w:p>
        </w:tc>
        <w:tc>
          <w:tcPr>
            <w:tcW w:w="1540" w:type="dxa"/>
            <w:tcBorders>
              <w:top w:val="nil"/>
              <w:left w:val="nil"/>
              <w:bottom w:val="nil"/>
              <w:right w:val="nil"/>
            </w:tcBorders>
            <w:shd w:val="clear" w:color="auto" w:fill="auto"/>
            <w:noWrap/>
            <w:vAlign w:val="bottom"/>
            <w:hideMark/>
          </w:tcPr>
          <w:p w14:paraId="413BCB71"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3,149</w:t>
            </w:r>
          </w:p>
        </w:tc>
        <w:tc>
          <w:tcPr>
            <w:tcW w:w="1040" w:type="dxa"/>
            <w:tcBorders>
              <w:top w:val="nil"/>
              <w:left w:val="nil"/>
              <w:bottom w:val="nil"/>
              <w:right w:val="single" w:sz="8" w:space="0" w:color="auto"/>
            </w:tcBorders>
            <w:shd w:val="clear" w:color="auto" w:fill="auto"/>
            <w:noWrap/>
            <w:vAlign w:val="bottom"/>
            <w:hideMark/>
          </w:tcPr>
          <w:p w14:paraId="2DF89381"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 </w:t>
            </w:r>
          </w:p>
        </w:tc>
      </w:tr>
      <w:tr w:rsidR="009E3924" w:rsidRPr="009F5623" w14:paraId="071FB596" w14:textId="77777777" w:rsidTr="00C85CD9">
        <w:trPr>
          <w:trHeight w:val="315"/>
        </w:trPr>
        <w:tc>
          <w:tcPr>
            <w:tcW w:w="3440" w:type="dxa"/>
            <w:tcBorders>
              <w:top w:val="nil"/>
              <w:left w:val="single" w:sz="8" w:space="0" w:color="auto"/>
              <w:bottom w:val="single" w:sz="8" w:space="0" w:color="auto"/>
              <w:right w:val="nil"/>
            </w:tcBorders>
            <w:shd w:val="clear" w:color="auto" w:fill="auto"/>
            <w:noWrap/>
            <w:vAlign w:val="bottom"/>
            <w:hideMark/>
          </w:tcPr>
          <w:p w14:paraId="0608AFF2"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R-squared</w:t>
            </w:r>
          </w:p>
        </w:tc>
        <w:tc>
          <w:tcPr>
            <w:tcW w:w="1540" w:type="dxa"/>
            <w:tcBorders>
              <w:top w:val="nil"/>
              <w:left w:val="nil"/>
              <w:bottom w:val="single" w:sz="8" w:space="0" w:color="auto"/>
              <w:right w:val="nil"/>
            </w:tcBorders>
            <w:shd w:val="clear" w:color="auto" w:fill="auto"/>
            <w:noWrap/>
            <w:vAlign w:val="bottom"/>
            <w:hideMark/>
          </w:tcPr>
          <w:p w14:paraId="1652927C" w14:textId="77777777" w:rsidR="009E3924" w:rsidRPr="009F5623" w:rsidRDefault="009E3924" w:rsidP="00C85CD9">
            <w:pPr>
              <w:spacing w:after="0" w:line="240" w:lineRule="auto"/>
              <w:jc w:val="both"/>
              <w:rPr>
                <w:rFonts w:eastAsia="Times New Roman" w:cstheme="minorHAnsi"/>
                <w:color w:val="000000"/>
                <w:lang w:eastAsia="ja-JP"/>
              </w:rPr>
            </w:pPr>
            <w:r w:rsidRPr="009F5623">
              <w:rPr>
                <w:rFonts w:eastAsia="Times New Roman" w:cstheme="minorHAnsi"/>
                <w:color w:val="000000"/>
                <w:lang w:eastAsia="ja-JP"/>
              </w:rPr>
              <w:t>0.18</w:t>
            </w:r>
          </w:p>
        </w:tc>
        <w:tc>
          <w:tcPr>
            <w:tcW w:w="1040" w:type="dxa"/>
            <w:tcBorders>
              <w:top w:val="nil"/>
              <w:left w:val="nil"/>
              <w:bottom w:val="single" w:sz="8" w:space="0" w:color="auto"/>
              <w:right w:val="single" w:sz="8" w:space="0" w:color="auto"/>
            </w:tcBorders>
            <w:shd w:val="clear" w:color="auto" w:fill="auto"/>
            <w:noWrap/>
            <w:vAlign w:val="bottom"/>
            <w:hideMark/>
          </w:tcPr>
          <w:p w14:paraId="78CA6208" w14:textId="77777777" w:rsidR="009E3924" w:rsidRPr="009F5623" w:rsidRDefault="009E3924" w:rsidP="00C85CD9">
            <w:pPr>
              <w:spacing w:after="0" w:line="240" w:lineRule="auto"/>
              <w:rPr>
                <w:rFonts w:eastAsia="Times New Roman" w:cstheme="minorHAnsi"/>
                <w:color w:val="000000"/>
                <w:lang w:eastAsia="ja-JP"/>
              </w:rPr>
            </w:pPr>
            <w:r w:rsidRPr="009F5623">
              <w:rPr>
                <w:rFonts w:eastAsia="Times New Roman" w:cstheme="minorHAnsi"/>
                <w:color w:val="000000"/>
                <w:lang w:eastAsia="ja-JP"/>
              </w:rPr>
              <w:t> </w:t>
            </w:r>
          </w:p>
        </w:tc>
      </w:tr>
    </w:tbl>
    <w:p w14:paraId="6685E586" w14:textId="77777777" w:rsidR="009E3924" w:rsidRPr="00B9514E" w:rsidRDefault="009E3924" w:rsidP="00224980">
      <w:pPr>
        <w:spacing w:after="0" w:line="240" w:lineRule="auto"/>
        <w:ind w:left="142" w:right="2930"/>
        <w:rPr>
          <w:i/>
          <w:sz w:val="20"/>
          <w:szCs w:val="20"/>
        </w:rPr>
      </w:pPr>
      <w:r w:rsidRPr="00B9514E">
        <w:rPr>
          <w:i/>
          <w:sz w:val="20"/>
          <w:szCs w:val="20"/>
        </w:rPr>
        <w:t xml:space="preserve">Notes: *10% significance **5% significance ***1% significance. Logit </w:t>
      </w:r>
      <w:r>
        <w:rPr>
          <w:i/>
          <w:sz w:val="20"/>
          <w:szCs w:val="20"/>
        </w:rPr>
        <w:t xml:space="preserve">model. </w:t>
      </w:r>
      <w:r w:rsidRPr="00B9514E">
        <w:rPr>
          <w:i/>
          <w:sz w:val="20"/>
          <w:szCs w:val="20"/>
        </w:rPr>
        <w:t xml:space="preserve">Coefficient shows impact on log-odds ratio. </w:t>
      </w:r>
      <w:r w:rsidR="00C03F73">
        <w:rPr>
          <w:rFonts w:cs="Arial"/>
          <w:i/>
          <w:sz w:val="20"/>
          <w:szCs w:val="18"/>
        </w:rPr>
        <w:t>S.E. = Standard errors</w:t>
      </w:r>
      <w:r w:rsidR="00C03F73" w:rsidRPr="00290537">
        <w:rPr>
          <w:rFonts w:cs="Arial"/>
          <w:i/>
          <w:sz w:val="20"/>
          <w:szCs w:val="18"/>
        </w:rPr>
        <w:t>. R-Squared = Psuedo R-Squared.</w:t>
      </w:r>
    </w:p>
    <w:p w14:paraId="39C34210" w14:textId="77777777" w:rsidR="009E3924" w:rsidRPr="00BF1D2D" w:rsidRDefault="009E3924" w:rsidP="009E3924">
      <w:pPr>
        <w:spacing w:after="0" w:line="240" w:lineRule="auto"/>
      </w:pPr>
    </w:p>
    <w:p w14:paraId="12CA275F" w14:textId="6DFD5648" w:rsidR="009E3924" w:rsidRDefault="009E3924" w:rsidP="009E3924">
      <w:pPr>
        <w:spacing w:after="0" w:line="240" w:lineRule="auto"/>
        <w:rPr>
          <w:sz w:val="24"/>
        </w:rPr>
      </w:pPr>
      <w:r>
        <w:rPr>
          <w:sz w:val="24"/>
          <w:szCs w:val="24"/>
        </w:rPr>
        <w:t>After controlling for a large range of determinants of medical service usage, p</w:t>
      </w:r>
      <w:r w:rsidRPr="00BF1D2D">
        <w:rPr>
          <w:sz w:val="24"/>
        </w:rPr>
        <w:t>eople in good health are</w:t>
      </w:r>
      <w:r>
        <w:rPr>
          <w:sz w:val="24"/>
        </w:rPr>
        <w:t xml:space="preserve"> less likely to visit GPs </w:t>
      </w:r>
      <w:r w:rsidR="00224980">
        <w:rPr>
          <w:sz w:val="24"/>
        </w:rPr>
        <w:t>(</w:t>
      </w:r>
      <w:r w:rsidR="005C23FB">
        <w:rPr>
          <w:sz w:val="24"/>
        </w:rPr>
        <w:t>6 or more</w:t>
      </w:r>
      <w:r w:rsidR="00224980">
        <w:rPr>
          <w:sz w:val="24"/>
        </w:rPr>
        <w:t xml:space="preserve"> times per year) </w:t>
      </w:r>
      <w:r>
        <w:rPr>
          <w:sz w:val="24"/>
        </w:rPr>
        <w:t>by 25.4%</w:t>
      </w:r>
      <w:r w:rsidR="008D4A70">
        <w:rPr>
          <w:sz w:val="24"/>
        </w:rPr>
        <w:t xml:space="preserve"> </w:t>
      </w:r>
      <w:r w:rsidR="00EE55DA">
        <w:rPr>
          <w:rStyle w:val="FootnoteReference"/>
          <w:sz w:val="24"/>
        </w:rPr>
        <w:footnoteReference w:id="10"/>
      </w:r>
      <w:r>
        <w:rPr>
          <w:sz w:val="24"/>
        </w:rPr>
        <w:t>.</w:t>
      </w:r>
    </w:p>
    <w:p w14:paraId="70552CE5" w14:textId="77777777" w:rsidR="009E3924" w:rsidRPr="009E3924" w:rsidRDefault="009E3924" w:rsidP="009E3924">
      <w:pPr>
        <w:spacing w:after="0" w:line="240" w:lineRule="auto"/>
        <w:rPr>
          <w:sz w:val="24"/>
          <w:szCs w:val="24"/>
        </w:rPr>
      </w:pPr>
    </w:p>
    <w:p w14:paraId="0EA82EAD" w14:textId="77777777" w:rsidR="009E3924" w:rsidRPr="009E3924" w:rsidRDefault="00997801" w:rsidP="009E3924">
      <w:pPr>
        <w:spacing w:after="0" w:line="240" w:lineRule="auto"/>
        <w:rPr>
          <w:b/>
          <w:sz w:val="24"/>
          <w:szCs w:val="24"/>
        </w:rPr>
      </w:pPr>
      <w:r>
        <w:rPr>
          <w:b/>
          <w:sz w:val="24"/>
          <w:szCs w:val="24"/>
        </w:rPr>
        <w:t>C.1.4</w:t>
      </w:r>
      <w:r w:rsidR="009E3924" w:rsidRPr="009E3924">
        <w:rPr>
          <w:b/>
          <w:sz w:val="24"/>
          <w:szCs w:val="24"/>
        </w:rPr>
        <w:t>. Psychotherapy service usage</w:t>
      </w:r>
    </w:p>
    <w:p w14:paraId="65136276" w14:textId="77777777" w:rsidR="009E3924" w:rsidRPr="009E3924" w:rsidRDefault="009E3924" w:rsidP="009E3924">
      <w:pPr>
        <w:spacing w:after="0" w:line="240" w:lineRule="auto"/>
        <w:rPr>
          <w:sz w:val="24"/>
          <w:szCs w:val="24"/>
        </w:rPr>
      </w:pPr>
    </w:p>
    <w:p w14:paraId="33B52AE0" w14:textId="77777777" w:rsidR="009E3924" w:rsidRPr="009E3924" w:rsidRDefault="009E3924" w:rsidP="009E3924">
      <w:pPr>
        <w:spacing w:after="0" w:line="240" w:lineRule="auto"/>
        <w:rPr>
          <w:rFonts w:cs="Helvetica Neue"/>
          <w:color w:val="1A1A1A"/>
          <w:sz w:val="24"/>
          <w:szCs w:val="24"/>
          <w:lang w:val="en-US"/>
        </w:rPr>
      </w:pPr>
      <w:r w:rsidRPr="009E3924">
        <w:rPr>
          <w:sz w:val="24"/>
          <w:szCs w:val="24"/>
        </w:rPr>
        <w:t>The BHPS asks whether the respondent has used/visited a p</w:t>
      </w:r>
      <w:r w:rsidR="0005134A" w:rsidRPr="009E3924">
        <w:rPr>
          <w:rFonts w:cs="Helvetica Neue"/>
          <w:color w:val="1A1A1A"/>
          <w:sz w:val="24"/>
          <w:szCs w:val="24"/>
          <w:lang w:val="en-US"/>
        </w:rPr>
        <w:t>sychotherapist</w:t>
      </w:r>
      <w:r w:rsidRPr="009E3924">
        <w:rPr>
          <w:rFonts w:cs="Helvetica Neue"/>
          <w:color w:val="1A1A1A"/>
          <w:sz w:val="24"/>
          <w:szCs w:val="24"/>
          <w:lang w:val="en-US"/>
        </w:rPr>
        <w:t xml:space="preserve"> (including psychiatrist) over the past year. A logit model was estimated with reported </w:t>
      </w:r>
      <w:r w:rsidRPr="009E3924">
        <w:rPr>
          <w:sz w:val="24"/>
          <w:szCs w:val="24"/>
        </w:rPr>
        <w:t>p</w:t>
      </w:r>
      <w:r w:rsidRPr="009E3924">
        <w:rPr>
          <w:rFonts w:cs="Helvetica Neue"/>
          <w:color w:val="1A1A1A"/>
          <w:sz w:val="24"/>
          <w:szCs w:val="24"/>
          <w:lang w:val="en-US"/>
        </w:rPr>
        <w:t>sychotherapy usage as a binary dependent variable.</w:t>
      </w:r>
    </w:p>
    <w:p w14:paraId="483A9D54" w14:textId="77777777" w:rsidR="009E3924" w:rsidRPr="009E3924" w:rsidRDefault="009E3924" w:rsidP="009E3924">
      <w:pPr>
        <w:spacing w:after="0" w:line="240" w:lineRule="auto"/>
        <w:rPr>
          <w:rFonts w:cs="Helvetica Neue"/>
          <w:color w:val="1A1A1A"/>
          <w:sz w:val="24"/>
          <w:szCs w:val="24"/>
          <w:lang w:val="en-US"/>
        </w:rPr>
      </w:pPr>
    </w:p>
    <w:p w14:paraId="0BB28413" w14:textId="77777777" w:rsidR="009E3924" w:rsidRDefault="006661E8" w:rsidP="00224980">
      <w:pPr>
        <w:spacing w:after="0" w:line="240" w:lineRule="auto"/>
        <w:ind w:left="142"/>
        <w:rPr>
          <w:rFonts w:cs="Helvetica Neue"/>
          <w:b/>
          <w:color w:val="1A1A1A"/>
          <w:sz w:val="24"/>
          <w:szCs w:val="24"/>
          <w:lang w:val="en-US"/>
        </w:rPr>
      </w:pPr>
      <w:r>
        <w:rPr>
          <w:rFonts w:cs="Helvetica Neue"/>
          <w:b/>
          <w:color w:val="1A1A1A"/>
          <w:sz w:val="24"/>
          <w:szCs w:val="24"/>
          <w:lang w:val="en-US"/>
        </w:rPr>
        <w:t>Table 7</w:t>
      </w:r>
      <w:r w:rsidR="009E3924" w:rsidRPr="00A0523D">
        <w:rPr>
          <w:rFonts w:cs="Helvetica Neue"/>
          <w:b/>
          <w:color w:val="1A1A1A"/>
          <w:sz w:val="24"/>
          <w:szCs w:val="24"/>
          <w:lang w:val="en-US"/>
        </w:rPr>
        <w:t xml:space="preserve">. </w:t>
      </w:r>
      <w:r w:rsidR="009E3924">
        <w:rPr>
          <w:rFonts w:cs="Helvetica Neue"/>
          <w:b/>
          <w:color w:val="1A1A1A"/>
          <w:sz w:val="24"/>
          <w:szCs w:val="24"/>
          <w:lang w:val="en-US"/>
        </w:rPr>
        <w:t xml:space="preserve">Impact of health on psychotherapy </w:t>
      </w:r>
    </w:p>
    <w:tbl>
      <w:tblPr>
        <w:tblW w:w="6500" w:type="dxa"/>
        <w:tblInd w:w="96" w:type="dxa"/>
        <w:tblLook w:val="04A0" w:firstRow="1" w:lastRow="0" w:firstColumn="1" w:lastColumn="0" w:noHBand="0" w:noVBand="1"/>
      </w:tblPr>
      <w:tblGrid>
        <w:gridCol w:w="4160"/>
        <w:gridCol w:w="1300"/>
        <w:gridCol w:w="1040"/>
      </w:tblGrid>
      <w:tr w:rsidR="009E3924" w:rsidRPr="00197522" w14:paraId="10954CC3" w14:textId="77777777" w:rsidTr="00C85CD9">
        <w:trPr>
          <w:trHeight w:val="300"/>
        </w:trPr>
        <w:tc>
          <w:tcPr>
            <w:tcW w:w="4160" w:type="dxa"/>
            <w:tcBorders>
              <w:top w:val="single" w:sz="8" w:space="0" w:color="auto"/>
              <w:left w:val="single" w:sz="8" w:space="0" w:color="auto"/>
              <w:bottom w:val="nil"/>
              <w:right w:val="nil"/>
            </w:tcBorders>
            <w:shd w:val="clear" w:color="000000" w:fill="0070C0"/>
            <w:noWrap/>
            <w:vAlign w:val="bottom"/>
            <w:hideMark/>
          </w:tcPr>
          <w:p w14:paraId="5A81773C" w14:textId="77777777" w:rsidR="009E3924" w:rsidRPr="00197522" w:rsidRDefault="009E3924" w:rsidP="00C85CD9">
            <w:pPr>
              <w:spacing w:after="0" w:line="240" w:lineRule="auto"/>
              <w:rPr>
                <w:rFonts w:eastAsia="Times New Roman" w:cstheme="minorHAnsi"/>
                <w:b/>
                <w:bCs/>
                <w:color w:val="FFFFFF"/>
                <w:lang w:eastAsia="ja-JP"/>
              </w:rPr>
            </w:pPr>
            <w:r w:rsidRPr="00197522">
              <w:rPr>
                <w:rFonts w:eastAsia="Times New Roman" w:cstheme="minorHAnsi"/>
                <w:b/>
                <w:bCs/>
                <w:color w:val="FFFFFF"/>
                <w:lang w:eastAsia="ja-JP"/>
              </w:rPr>
              <w:t>Dependent Variable: Psychotherapy</w:t>
            </w:r>
          </w:p>
        </w:tc>
        <w:tc>
          <w:tcPr>
            <w:tcW w:w="1300" w:type="dxa"/>
            <w:tcBorders>
              <w:top w:val="single" w:sz="8" w:space="0" w:color="auto"/>
              <w:left w:val="nil"/>
              <w:bottom w:val="nil"/>
              <w:right w:val="nil"/>
            </w:tcBorders>
            <w:shd w:val="clear" w:color="000000" w:fill="0070C0"/>
            <w:noWrap/>
            <w:vAlign w:val="bottom"/>
            <w:hideMark/>
          </w:tcPr>
          <w:p w14:paraId="33C82AB0" w14:textId="77777777" w:rsidR="009E3924" w:rsidRPr="00197522" w:rsidRDefault="009E3924" w:rsidP="00C85CD9">
            <w:pPr>
              <w:spacing w:after="0" w:line="240" w:lineRule="auto"/>
              <w:rPr>
                <w:rFonts w:eastAsia="Times New Roman" w:cstheme="minorHAnsi"/>
                <w:b/>
                <w:bCs/>
                <w:color w:val="FFFFFF"/>
                <w:lang w:eastAsia="ja-JP"/>
              </w:rPr>
            </w:pPr>
            <w:r w:rsidRPr="00197522">
              <w:rPr>
                <w:rFonts w:eastAsia="Times New Roman" w:cstheme="minorHAnsi"/>
                <w:b/>
                <w:bCs/>
                <w:color w:val="FFFFFF"/>
                <w:lang w:eastAsia="ja-JP"/>
              </w:rPr>
              <w:t>Coefficient</w:t>
            </w:r>
          </w:p>
        </w:tc>
        <w:tc>
          <w:tcPr>
            <w:tcW w:w="1040" w:type="dxa"/>
            <w:tcBorders>
              <w:top w:val="single" w:sz="8" w:space="0" w:color="auto"/>
              <w:left w:val="nil"/>
              <w:bottom w:val="nil"/>
              <w:right w:val="single" w:sz="8" w:space="0" w:color="auto"/>
            </w:tcBorders>
            <w:shd w:val="clear" w:color="000000" w:fill="0070C0"/>
            <w:noWrap/>
            <w:vAlign w:val="bottom"/>
            <w:hideMark/>
          </w:tcPr>
          <w:p w14:paraId="211A7F60" w14:textId="77777777" w:rsidR="009E3924" w:rsidRPr="00197522" w:rsidRDefault="009E3924" w:rsidP="00C03F73">
            <w:pPr>
              <w:spacing w:after="0" w:line="240" w:lineRule="auto"/>
              <w:jc w:val="center"/>
              <w:rPr>
                <w:rFonts w:eastAsia="Times New Roman" w:cstheme="minorHAnsi"/>
                <w:b/>
                <w:bCs/>
                <w:color w:val="FFFFFF"/>
                <w:lang w:eastAsia="ja-JP"/>
              </w:rPr>
            </w:pPr>
            <w:r w:rsidRPr="00197522">
              <w:rPr>
                <w:rFonts w:eastAsia="Times New Roman" w:cstheme="minorHAnsi"/>
                <w:b/>
                <w:bCs/>
                <w:color w:val="FFFFFF"/>
                <w:lang w:eastAsia="ja-JP"/>
              </w:rPr>
              <w:t>S</w:t>
            </w:r>
            <w:r w:rsidR="00C03F73">
              <w:rPr>
                <w:rFonts w:eastAsia="Times New Roman" w:cstheme="minorHAnsi"/>
                <w:b/>
                <w:bCs/>
                <w:color w:val="FFFFFF"/>
                <w:lang w:eastAsia="ja-JP"/>
              </w:rPr>
              <w:t>.</w:t>
            </w:r>
            <w:r w:rsidRPr="00197522">
              <w:rPr>
                <w:rFonts w:eastAsia="Times New Roman" w:cstheme="minorHAnsi"/>
                <w:b/>
                <w:bCs/>
                <w:color w:val="FFFFFF"/>
                <w:lang w:eastAsia="ja-JP"/>
              </w:rPr>
              <w:t>E</w:t>
            </w:r>
            <w:r w:rsidR="00C03F73">
              <w:rPr>
                <w:rFonts w:eastAsia="Times New Roman" w:cstheme="minorHAnsi"/>
                <w:b/>
                <w:bCs/>
                <w:color w:val="FFFFFF"/>
                <w:lang w:eastAsia="ja-JP"/>
              </w:rPr>
              <w:t>.</w:t>
            </w:r>
          </w:p>
        </w:tc>
      </w:tr>
      <w:tr w:rsidR="009E3924" w:rsidRPr="00197522" w14:paraId="31353BBF"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4AAE81DF"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log income</w:t>
            </w:r>
          </w:p>
        </w:tc>
        <w:tc>
          <w:tcPr>
            <w:tcW w:w="1300" w:type="dxa"/>
            <w:tcBorders>
              <w:top w:val="nil"/>
              <w:left w:val="nil"/>
              <w:bottom w:val="nil"/>
              <w:right w:val="nil"/>
            </w:tcBorders>
            <w:shd w:val="clear" w:color="auto" w:fill="auto"/>
            <w:noWrap/>
            <w:vAlign w:val="bottom"/>
            <w:hideMark/>
          </w:tcPr>
          <w:p w14:paraId="23B92839"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-0.021</w:t>
            </w:r>
          </w:p>
        </w:tc>
        <w:tc>
          <w:tcPr>
            <w:tcW w:w="1040" w:type="dxa"/>
            <w:tcBorders>
              <w:top w:val="nil"/>
              <w:left w:val="nil"/>
              <w:bottom w:val="nil"/>
              <w:right w:val="single" w:sz="8" w:space="0" w:color="auto"/>
            </w:tcBorders>
            <w:shd w:val="clear" w:color="auto" w:fill="auto"/>
            <w:noWrap/>
            <w:vAlign w:val="bottom"/>
            <w:hideMark/>
          </w:tcPr>
          <w:p w14:paraId="1148CEE1"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0.14</w:t>
            </w:r>
          </w:p>
        </w:tc>
      </w:tr>
      <w:tr w:rsidR="009E3924" w:rsidRPr="00197522" w14:paraId="408E43AA"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6241D617"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age    </w:t>
            </w:r>
          </w:p>
        </w:tc>
        <w:tc>
          <w:tcPr>
            <w:tcW w:w="1300" w:type="dxa"/>
            <w:tcBorders>
              <w:top w:val="nil"/>
              <w:left w:val="nil"/>
              <w:bottom w:val="nil"/>
              <w:right w:val="nil"/>
            </w:tcBorders>
            <w:shd w:val="clear" w:color="auto" w:fill="auto"/>
            <w:noWrap/>
            <w:vAlign w:val="bottom"/>
            <w:hideMark/>
          </w:tcPr>
          <w:p w14:paraId="12BF2A0B"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0.001</w:t>
            </w:r>
          </w:p>
        </w:tc>
        <w:tc>
          <w:tcPr>
            <w:tcW w:w="1040" w:type="dxa"/>
            <w:tcBorders>
              <w:top w:val="nil"/>
              <w:left w:val="nil"/>
              <w:bottom w:val="nil"/>
              <w:right w:val="single" w:sz="8" w:space="0" w:color="auto"/>
            </w:tcBorders>
            <w:shd w:val="clear" w:color="auto" w:fill="auto"/>
            <w:noWrap/>
            <w:vAlign w:val="bottom"/>
            <w:hideMark/>
          </w:tcPr>
          <w:p w14:paraId="4ABC9ADF"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0.01</w:t>
            </w:r>
          </w:p>
        </w:tc>
      </w:tr>
      <w:tr w:rsidR="009E3924" w:rsidRPr="00197522" w14:paraId="3230A8C6"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2CC6A4C1"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male  </w:t>
            </w:r>
          </w:p>
        </w:tc>
        <w:tc>
          <w:tcPr>
            <w:tcW w:w="1300" w:type="dxa"/>
            <w:tcBorders>
              <w:top w:val="nil"/>
              <w:left w:val="nil"/>
              <w:bottom w:val="nil"/>
              <w:right w:val="nil"/>
            </w:tcBorders>
            <w:shd w:val="clear" w:color="auto" w:fill="auto"/>
            <w:noWrap/>
            <w:vAlign w:val="bottom"/>
            <w:hideMark/>
          </w:tcPr>
          <w:p w14:paraId="5BAB4B57"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0.175</w:t>
            </w:r>
          </w:p>
        </w:tc>
        <w:tc>
          <w:tcPr>
            <w:tcW w:w="1040" w:type="dxa"/>
            <w:tcBorders>
              <w:top w:val="nil"/>
              <w:left w:val="nil"/>
              <w:bottom w:val="nil"/>
              <w:right w:val="single" w:sz="8" w:space="0" w:color="auto"/>
            </w:tcBorders>
            <w:shd w:val="clear" w:color="auto" w:fill="auto"/>
            <w:noWrap/>
            <w:vAlign w:val="bottom"/>
            <w:hideMark/>
          </w:tcPr>
          <w:p w14:paraId="55763088"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0.14</w:t>
            </w:r>
          </w:p>
        </w:tc>
      </w:tr>
      <w:tr w:rsidR="009E3924" w:rsidRPr="00197522" w14:paraId="439AB308"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0FC785D4"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white  </w:t>
            </w:r>
          </w:p>
        </w:tc>
        <w:tc>
          <w:tcPr>
            <w:tcW w:w="1300" w:type="dxa"/>
            <w:tcBorders>
              <w:top w:val="nil"/>
              <w:left w:val="nil"/>
              <w:bottom w:val="nil"/>
              <w:right w:val="nil"/>
            </w:tcBorders>
            <w:shd w:val="clear" w:color="auto" w:fill="auto"/>
            <w:noWrap/>
            <w:vAlign w:val="bottom"/>
            <w:hideMark/>
          </w:tcPr>
          <w:p w14:paraId="7465DDF2"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0.415</w:t>
            </w:r>
          </w:p>
        </w:tc>
        <w:tc>
          <w:tcPr>
            <w:tcW w:w="1040" w:type="dxa"/>
            <w:tcBorders>
              <w:top w:val="nil"/>
              <w:left w:val="nil"/>
              <w:bottom w:val="nil"/>
              <w:right w:val="single" w:sz="8" w:space="0" w:color="auto"/>
            </w:tcBorders>
            <w:shd w:val="clear" w:color="auto" w:fill="auto"/>
            <w:noWrap/>
            <w:vAlign w:val="bottom"/>
            <w:hideMark/>
          </w:tcPr>
          <w:p w14:paraId="03007525"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0.38</w:t>
            </w:r>
          </w:p>
        </w:tc>
      </w:tr>
      <w:tr w:rsidR="009E3924" w:rsidRPr="00197522" w14:paraId="5A22D385"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20D3024B"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nchild   </w:t>
            </w:r>
          </w:p>
        </w:tc>
        <w:tc>
          <w:tcPr>
            <w:tcW w:w="1300" w:type="dxa"/>
            <w:tcBorders>
              <w:top w:val="nil"/>
              <w:left w:val="nil"/>
              <w:bottom w:val="nil"/>
              <w:right w:val="nil"/>
            </w:tcBorders>
            <w:shd w:val="clear" w:color="auto" w:fill="auto"/>
            <w:noWrap/>
            <w:vAlign w:val="bottom"/>
            <w:hideMark/>
          </w:tcPr>
          <w:p w14:paraId="5A0BAD31"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0.088</w:t>
            </w:r>
          </w:p>
        </w:tc>
        <w:tc>
          <w:tcPr>
            <w:tcW w:w="1040" w:type="dxa"/>
            <w:tcBorders>
              <w:top w:val="nil"/>
              <w:left w:val="nil"/>
              <w:bottom w:val="nil"/>
              <w:right w:val="single" w:sz="8" w:space="0" w:color="auto"/>
            </w:tcBorders>
            <w:shd w:val="clear" w:color="auto" w:fill="auto"/>
            <w:noWrap/>
            <w:vAlign w:val="bottom"/>
            <w:hideMark/>
          </w:tcPr>
          <w:p w14:paraId="0D00289D"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0.08</w:t>
            </w:r>
          </w:p>
        </w:tc>
      </w:tr>
      <w:tr w:rsidR="009E3924" w:rsidRPr="00197522" w14:paraId="6D76C968"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05196FE9"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married  </w:t>
            </w:r>
          </w:p>
        </w:tc>
        <w:tc>
          <w:tcPr>
            <w:tcW w:w="1300" w:type="dxa"/>
            <w:tcBorders>
              <w:top w:val="nil"/>
              <w:left w:val="nil"/>
              <w:bottom w:val="nil"/>
              <w:right w:val="nil"/>
            </w:tcBorders>
            <w:shd w:val="clear" w:color="auto" w:fill="auto"/>
            <w:noWrap/>
            <w:vAlign w:val="bottom"/>
            <w:hideMark/>
          </w:tcPr>
          <w:p w14:paraId="3BE6E1E9"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-0.188</w:t>
            </w:r>
          </w:p>
        </w:tc>
        <w:tc>
          <w:tcPr>
            <w:tcW w:w="1040" w:type="dxa"/>
            <w:tcBorders>
              <w:top w:val="nil"/>
              <w:left w:val="nil"/>
              <w:bottom w:val="nil"/>
              <w:right w:val="single" w:sz="8" w:space="0" w:color="auto"/>
            </w:tcBorders>
            <w:shd w:val="clear" w:color="auto" w:fill="auto"/>
            <w:noWrap/>
            <w:vAlign w:val="bottom"/>
            <w:hideMark/>
          </w:tcPr>
          <w:p w14:paraId="23757E30"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0.18</w:t>
            </w:r>
          </w:p>
        </w:tc>
      </w:tr>
      <w:tr w:rsidR="009E3924" w:rsidRPr="00197522" w14:paraId="7736DA45"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0119900C"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foreign_born  </w:t>
            </w:r>
          </w:p>
        </w:tc>
        <w:tc>
          <w:tcPr>
            <w:tcW w:w="1300" w:type="dxa"/>
            <w:tcBorders>
              <w:top w:val="nil"/>
              <w:left w:val="nil"/>
              <w:bottom w:val="nil"/>
              <w:right w:val="nil"/>
            </w:tcBorders>
            <w:shd w:val="clear" w:color="auto" w:fill="auto"/>
            <w:noWrap/>
            <w:vAlign w:val="bottom"/>
            <w:hideMark/>
          </w:tcPr>
          <w:p w14:paraId="4CB7DA2D"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0.896</w:t>
            </w:r>
          </w:p>
        </w:tc>
        <w:tc>
          <w:tcPr>
            <w:tcW w:w="1040" w:type="dxa"/>
            <w:tcBorders>
              <w:top w:val="nil"/>
              <w:left w:val="nil"/>
              <w:bottom w:val="nil"/>
              <w:right w:val="single" w:sz="8" w:space="0" w:color="auto"/>
            </w:tcBorders>
            <w:shd w:val="clear" w:color="auto" w:fill="auto"/>
            <w:noWrap/>
            <w:vAlign w:val="bottom"/>
            <w:hideMark/>
          </w:tcPr>
          <w:p w14:paraId="4439C491"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0.66</w:t>
            </w:r>
          </w:p>
        </w:tc>
      </w:tr>
      <w:tr w:rsidR="009E3924" w:rsidRPr="00197522" w14:paraId="4268EACE"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0E6082FA"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degree   </w:t>
            </w:r>
          </w:p>
        </w:tc>
        <w:tc>
          <w:tcPr>
            <w:tcW w:w="1300" w:type="dxa"/>
            <w:tcBorders>
              <w:top w:val="nil"/>
              <w:left w:val="nil"/>
              <w:bottom w:val="nil"/>
              <w:right w:val="nil"/>
            </w:tcBorders>
            <w:shd w:val="clear" w:color="auto" w:fill="auto"/>
            <w:noWrap/>
            <w:vAlign w:val="bottom"/>
            <w:hideMark/>
          </w:tcPr>
          <w:p w14:paraId="278D78AE"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0.032</w:t>
            </w:r>
          </w:p>
        </w:tc>
        <w:tc>
          <w:tcPr>
            <w:tcW w:w="1040" w:type="dxa"/>
            <w:tcBorders>
              <w:top w:val="nil"/>
              <w:left w:val="nil"/>
              <w:bottom w:val="nil"/>
              <w:right w:val="single" w:sz="8" w:space="0" w:color="auto"/>
            </w:tcBorders>
            <w:shd w:val="clear" w:color="auto" w:fill="auto"/>
            <w:noWrap/>
            <w:vAlign w:val="bottom"/>
            <w:hideMark/>
          </w:tcPr>
          <w:p w14:paraId="795B661A"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0.19</w:t>
            </w:r>
          </w:p>
        </w:tc>
      </w:tr>
      <w:tr w:rsidR="009E3924" w:rsidRPr="00197522" w14:paraId="5EF40DE2"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4E04C850"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employment   </w:t>
            </w:r>
          </w:p>
        </w:tc>
        <w:tc>
          <w:tcPr>
            <w:tcW w:w="1300" w:type="dxa"/>
            <w:tcBorders>
              <w:top w:val="nil"/>
              <w:left w:val="nil"/>
              <w:bottom w:val="nil"/>
              <w:right w:val="nil"/>
            </w:tcBorders>
            <w:shd w:val="clear" w:color="auto" w:fill="auto"/>
            <w:noWrap/>
            <w:vAlign w:val="bottom"/>
            <w:hideMark/>
          </w:tcPr>
          <w:p w14:paraId="288578FC"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-0.222</w:t>
            </w:r>
          </w:p>
        </w:tc>
        <w:tc>
          <w:tcPr>
            <w:tcW w:w="1040" w:type="dxa"/>
            <w:tcBorders>
              <w:top w:val="nil"/>
              <w:left w:val="nil"/>
              <w:bottom w:val="nil"/>
              <w:right w:val="single" w:sz="8" w:space="0" w:color="auto"/>
            </w:tcBorders>
            <w:shd w:val="clear" w:color="auto" w:fill="auto"/>
            <w:noWrap/>
            <w:vAlign w:val="bottom"/>
            <w:hideMark/>
          </w:tcPr>
          <w:p w14:paraId="237F1FCF"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0.26</w:t>
            </w:r>
          </w:p>
        </w:tc>
      </w:tr>
      <w:tr w:rsidR="009E3924" w:rsidRPr="00197522" w14:paraId="1E93D09B"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53C56E18" w14:textId="77777777" w:rsidR="009E3924" w:rsidRPr="00197522" w:rsidRDefault="009E3924" w:rsidP="00C85CD9">
            <w:pPr>
              <w:spacing w:after="0" w:line="240" w:lineRule="auto"/>
              <w:rPr>
                <w:rFonts w:eastAsia="Times New Roman" w:cstheme="minorHAnsi"/>
                <w:color w:val="000000"/>
                <w:lang w:eastAsia="ja-JP"/>
              </w:rPr>
            </w:pPr>
            <w:r w:rsidRPr="009A5ACD">
              <w:rPr>
                <w:rFonts w:eastAsia="Times New Roman" w:cstheme="minorHAnsi"/>
                <w:iCs/>
                <w:color w:val="000000"/>
                <w:lang w:eastAsia="ja-JP"/>
              </w:rPr>
              <w:t>industry</w:t>
            </w:r>
          </w:p>
        </w:tc>
        <w:tc>
          <w:tcPr>
            <w:tcW w:w="1300" w:type="dxa"/>
            <w:tcBorders>
              <w:top w:val="nil"/>
              <w:left w:val="nil"/>
              <w:bottom w:val="nil"/>
              <w:right w:val="nil"/>
            </w:tcBorders>
            <w:shd w:val="clear" w:color="auto" w:fill="auto"/>
            <w:noWrap/>
            <w:vAlign w:val="bottom"/>
            <w:hideMark/>
          </w:tcPr>
          <w:p w14:paraId="581D6423"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0.02</w:t>
            </w:r>
          </w:p>
        </w:tc>
        <w:tc>
          <w:tcPr>
            <w:tcW w:w="1040" w:type="dxa"/>
            <w:tcBorders>
              <w:top w:val="nil"/>
              <w:left w:val="nil"/>
              <w:bottom w:val="nil"/>
              <w:right w:val="single" w:sz="8" w:space="0" w:color="auto"/>
            </w:tcBorders>
            <w:shd w:val="clear" w:color="auto" w:fill="auto"/>
            <w:noWrap/>
            <w:vAlign w:val="bottom"/>
            <w:hideMark/>
          </w:tcPr>
          <w:p w14:paraId="7A976F3F"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0.18</w:t>
            </w:r>
          </w:p>
        </w:tc>
      </w:tr>
      <w:tr w:rsidR="009E3924" w:rsidRPr="00197522" w14:paraId="1AC1C581"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27B68295"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 xml:space="preserve">good </w:t>
            </w:r>
            <w:r w:rsidRPr="00197522">
              <w:rPr>
                <w:rFonts w:eastAsia="Times New Roman" w:cstheme="minorHAnsi"/>
                <w:color w:val="000000"/>
                <w:lang w:eastAsia="ja-JP"/>
              </w:rPr>
              <w:t xml:space="preserve">health   </w:t>
            </w:r>
          </w:p>
        </w:tc>
        <w:tc>
          <w:tcPr>
            <w:tcW w:w="1300" w:type="dxa"/>
            <w:tcBorders>
              <w:top w:val="nil"/>
              <w:left w:val="nil"/>
              <w:bottom w:val="nil"/>
              <w:right w:val="nil"/>
            </w:tcBorders>
            <w:shd w:val="clear" w:color="auto" w:fill="auto"/>
            <w:noWrap/>
            <w:vAlign w:val="bottom"/>
            <w:hideMark/>
          </w:tcPr>
          <w:p w14:paraId="1FBC516B"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-1.06***</w:t>
            </w:r>
          </w:p>
        </w:tc>
        <w:tc>
          <w:tcPr>
            <w:tcW w:w="1040" w:type="dxa"/>
            <w:tcBorders>
              <w:top w:val="nil"/>
              <w:left w:val="nil"/>
              <w:bottom w:val="nil"/>
              <w:right w:val="single" w:sz="8" w:space="0" w:color="auto"/>
            </w:tcBorders>
            <w:shd w:val="clear" w:color="auto" w:fill="auto"/>
            <w:noWrap/>
            <w:vAlign w:val="bottom"/>
            <w:hideMark/>
          </w:tcPr>
          <w:p w14:paraId="168C2DB2"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0.14</w:t>
            </w:r>
          </w:p>
        </w:tc>
      </w:tr>
      <w:tr w:rsidR="009E3924" w:rsidRPr="00197522" w14:paraId="4624C0F9"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16C2B66A"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 xml:space="preserve">talk </w:t>
            </w:r>
            <w:r w:rsidRPr="00197522">
              <w:rPr>
                <w:rFonts w:eastAsia="Times New Roman" w:cstheme="minorHAnsi"/>
                <w:color w:val="000000"/>
                <w:lang w:eastAsia="ja-JP"/>
              </w:rPr>
              <w:t xml:space="preserve">neigh  </w:t>
            </w:r>
          </w:p>
        </w:tc>
        <w:tc>
          <w:tcPr>
            <w:tcW w:w="1300" w:type="dxa"/>
            <w:tcBorders>
              <w:top w:val="nil"/>
              <w:left w:val="nil"/>
              <w:bottom w:val="nil"/>
              <w:right w:val="nil"/>
            </w:tcBorders>
            <w:shd w:val="clear" w:color="auto" w:fill="auto"/>
            <w:noWrap/>
            <w:vAlign w:val="bottom"/>
            <w:hideMark/>
          </w:tcPr>
          <w:p w14:paraId="46DCBE19"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-0.157</w:t>
            </w:r>
          </w:p>
        </w:tc>
        <w:tc>
          <w:tcPr>
            <w:tcW w:w="1040" w:type="dxa"/>
            <w:tcBorders>
              <w:top w:val="nil"/>
              <w:left w:val="nil"/>
              <w:bottom w:val="nil"/>
              <w:right w:val="single" w:sz="8" w:space="0" w:color="auto"/>
            </w:tcBorders>
            <w:shd w:val="clear" w:color="auto" w:fill="auto"/>
            <w:noWrap/>
            <w:vAlign w:val="bottom"/>
            <w:hideMark/>
          </w:tcPr>
          <w:p w14:paraId="1D75AAC3"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0.16</w:t>
            </w:r>
          </w:p>
        </w:tc>
      </w:tr>
      <w:tr w:rsidR="009E3924" w:rsidRPr="00197522" w14:paraId="237AB0B5"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0B0BEAE6"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 xml:space="preserve">meet </w:t>
            </w:r>
            <w:r w:rsidRPr="00197522">
              <w:rPr>
                <w:rFonts w:eastAsia="Times New Roman" w:cstheme="minorHAnsi"/>
                <w:color w:val="000000"/>
                <w:lang w:eastAsia="ja-JP"/>
              </w:rPr>
              <w:t xml:space="preserve">people    </w:t>
            </w:r>
          </w:p>
        </w:tc>
        <w:tc>
          <w:tcPr>
            <w:tcW w:w="1300" w:type="dxa"/>
            <w:tcBorders>
              <w:top w:val="nil"/>
              <w:left w:val="nil"/>
              <w:bottom w:val="nil"/>
              <w:right w:val="nil"/>
            </w:tcBorders>
            <w:shd w:val="clear" w:color="auto" w:fill="auto"/>
            <w:noWrap/>
            <w:vAlign w:val="bottom"/>
            <w:hideMark/>
          </w:tcPr>
          <w:p w14:paraId="633F363F"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-0.008</w:t>
            </w:r>
          </w:p>
        </w:tc>
        <w:tc>
          <w:tcPr>
            <w:tcW w:w="1040" w:type="dxa"/>
            <w:tcBorders>
              <w:top w:val="nil"/>
              <w:left w:val="nil"/>
              <w:bottom w:val="nil"/>
              <w:right w:val="single" w:sz="8" w:space="0" w:color="auto"/>
            </w:tcBorders>
            <w:shd w:val="clear" w:color="auto" w:fill="auto"/>
            <w:noWrap/>
            <w:vAlign w:val="bottom"/>
            <w:hideMark/>
          </w:tcPr>
          <w:p w14:paraId="0B10EDAD"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0.15</w:t>
            </w:r>
          </w:p>
        </w:tc>
      </w:tr>
      <w:tr w:rsidR="009E3924" w:rsidRPr="00197522" w14:paraId="19B54107"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34D9E5B3" w14:textId="77777777" w:rsidR="009E3924" w:rsidRPr="00197522" w:rsidRDefault="00F97460" w:rsidP="00C85CD9">
            <w:pPr>
              <w:spacing w:after="0" w:line="240" w:lineRule="auto"/>
              <w:rPr>
                <w:rFonts w:eastAsia="Times New Roman" w:cstheme="minorHAnsi"/>
                <w:color w:val="000000"/>
                <w:lang w:eastAsia="ja-JP"/>
              </w:rPr>
            </w:pPr>
            <w:r>
              <w:rPr>
                <w:rFonts w:eastAsia="Times New Roman" w:cstheme="minorHAnsi"/>
                <w:color w:val="000000"/>
                <w:lang w:eastAsia="ja-JP"/>
              </w:rPr>
              <w:t>a</w:t>
            </w:r>
            <w:r w:rsidR="009E3924" w:rsidRPr="00197522">
              <w:rPr>
                <w:rFonts w:eastAsia="Times New Roman" w:cstheme="minorHAnsi"/>
                <w:color w:val="000000"/>
                <w:lang w:eastAsia="ja-JP"/>
              </w:rPr>
              <w:t>lcohol</w:t>
            </w:r>
            <w:r w:rsidR="009E3924">
              <w:rPr>
                <w:rFonts w:eastAsia="Times New Roman" w:cstheme="minorHAnsi"/>
                <w:color w:val="000000"/>
                <w:lang w:eastAsia="ja-JP"/>
              </w:rPr>
              <w:t xml:space="preserve"> </w:t>
            </w:r>
            <w:r w:rsidR="009E3924" w:rsidRPr="00197522">
              <w:rPr>
                <w:rFonts w:eastAsia="Times New Roman" w:cstheme="minorHAnsi"/>
                <w:color w:val="000000"/>
                <w:lang w:eastAsia="ja-JP"/>
              </w:rPr>
              <w:t xml:space="preserve">drugs  </w:t>
            </w:r>
          </w:p>
        </w:tc>
        <w:tc>
          <w:tcPr>
            <w:tcW w:w="1300" w:type="dxa"/>
            <w:tcBorders>
              <w:top w:val="nil"/>
              <w:left w:val="nil"/>
              <w:bottom w:val="nil"/>
              <w:right w:val="nil"/>
            </w:tcBorders>
            <w:shd w:val="clear" w:color="auto" w:fill="auto"/>
            <w:noWrap/>
            <w:vAlign w:val="bottom"/>
            <w:hideMark/>
          </w:tcPr>
          <w:p w14:paraId="264DC49E"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-0.031</w:t>
            </w:r>
          </w:p>
        </w:tc>
        <w:tc>
          <w:tcPr>
            <w:tcW w:w="1040" w:type="dxa"/>
            <w:tcBorders>
              <w:top w:val="nil"/>
              <w:left w:val="nil"/>
              <w:bottom w:val="nil"/>
              <w:right w:val="single" w:sz="8" w:space="0" w:color="auto"/>
            </w:tcBorders>
            <w:shd w:val="clear" w:color="auto" w:fill="auto"/>
            <w:noWrap/>
            <w:vAlign w:val="bottom"/>
            <w:hideMark/>
          </w:tcPr>
          <w:p w14:paraId="107CAAE8"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1.08</w:t>
            </w:r>
          </w:p>
        </w:tc>
      </w:tr>
      <w:tr w:rsidR="009E3924" w:rsidRPr="00197522" w14:paraId="53B71EF2"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598C6C9A"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smoker   </w:t>
            </w:r>
          </w:p>
        </w:tc>
        <w:tc>
          <w:tcPr>
            <w:tcW w:w="1300" w:type="dxa"/>
            <w:tcBorders>
              <w:top w:val="nil"/>
              <w:left w:val="nil"/>
              <w:bottom w:val="nil"/>
              <w:right w:val="nil"/>
            </w:tcBorders>
            <w:shd w:val="clear" w:color="auto" w:fill="auto"/>
            <w:noWrap/>
            <w:vAlign w:val="bottom"/>
            <w:hideMark/>
          </w:tcPr>
          <w:p w14:paraId="7B2F3F96"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-0.386***</w:t>
            </w:r>
          </w:p>
        </w:tc>
        <w:tc>
          <w:tcPr>
            <w:tcW w:w="1040" w:type="dxa"/>
            <w:tcBorders>
              <w:top w:val="nil"/>
              <w:left w:val="nil"/>
              <w:bottom w:val="nil"/>
              <w:right w:val="single" w:sz="8" w:space="0" w:color="auto"/>
            </w:tcBorders>
            <w:shd w:val="clear" w:color="auto" w:fill="auto"/>
            <w:noWrap/>
            <w:vAlign w:val="bottom"/>
            <w:hideMark/>
          </w:tcPr>
          <w:p w14:paraId="5EA7500E"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0.17</w:t>
            </w:r>
          </w:p>
        </w:tc>
      </w:tr>
      <w:tr w:rsidR="009E3924" w:rsidRPr="00197522" w14:paraId="5605B131"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332B1F67"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h</w:t>
            </w:r>
            <w:r w:rsidRPr="00197522">
              <w:rPr>
                <w:rFonts w:eastAsia="Times New Roman" w:cstheme="minorHAnsi"/>
                <w:color w:val="000000"/>
                <w:lang w:eastAsia="ja-JP"/>
              </w:rPr>
              <w:t>ealth</w:t>
            </w:r>
            <w:r>
              <w:rPr>
                <w:rFonts w:eastAsia="Times New Roman" w:cstheme="minorHAnsi"/>
                <w:color w:val="000000"/>
                <w:lang w:eastAsia="ja-JP"/>
              </w:rPr>
              <w:t xml:space="preserve"> </w:t>
            </w:r>
            <w:r w:rsidRPr="00197522">
              <w:rPr>
                <w:rFonts w:eastAsia="Times New Roman" w:cstheme="minorHAnsi"/>
                <w:color w:val="000000"/>
                <w:lang w:eastAsia="ja-JP"/>
              </w:rPr>
              <w:t xml:space="preserve">insurance  </w:t>
            </w:r>
          </w:p>
        </w:tc>
        <w:tc>
          <w:tcPr>
            <w:tcW w:w="1300" w:type="dxa"/>
            <w:tcBorders>
              <w:top w:val="nil"/>
              <w:left w:val="nil"/>
              <w:bottom w:val="nil"/>
              <w:right w:val="nil"/>
            </w:tcBorders>
            <w:shd w:val="clear" w:color="auto" w:fill="auto"/>
            <w:noWrap/>
            <w:vAlign w:val="bottom"/>
            <w:hideMark/>
          </w:tcPr>
          <w:p w14:paraId="18608511"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0.38***</w:t>
            </w:r>
          </w:p>
        </w:tc>
        <w:tc>
          <w:tcPr>
            <w:tcW w:w="1040" w:type="dxa"/>
            <w:tcBorders>
              <w:top w:val="nil"/>
              <w:left w:val="nil"/>
              <w:bottom w:val="nil"/>
              <w:right w:val="single" w:sz="8" w:space="0" w:color="auto"/>
            </w:tcBorders>
            <w:shd w:val="clear" w:color="auto" w:fill="auto"/>
            <w:noWrap/>
            <w:vAlign w:val="bottom"/>
            <w:hideMark/>
          </w:tcPr>
          <w:p w14:paraId="49DD9E10"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0.16</w:t>
            </w:r>
          </w:p>
        </w:tc>
      </w:tr>
      <w:tr w:rsidR="009E3924" w:rsidRPr="00197522" w14:paraId="4DB84BDD"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336B756D"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d</w:t>
            </w:r>
            <w:r w:rsidRPr="00197522">
              <w:rPr>
                <w:rFonts w:eastAsia="Times New Roman" w:cstheme="minorHAnsi"/>
                <w:color w:val="000000"/>
                <w:lang w:eastAsia="ja-JP"/>
              </w:rPr>
              <w:t>ebt</w:t>
            </w:r>
            <w:r>
              <w:rPr>
                <w:rFonts w:eastAsia="Times New Roman" w:cstheme="minorHAnsi"/>
                <w:color w:val="000000"/>
                <w:lang w:eastAsia="ja-JP"/>
              </w:rPr>
              <w:t xml:space="preserve"> </w:t>
            </w:r>
            <w:r w:rsidRPr="00197522">
              <w:rPr>
                <w:rFonts w:eastAsia="Times New Roman" w:cstheme="minorHAnsi"/>
                <w:color w:val="000000"/>
                <w:lang w:eastAsia="ja-JP"/>
              </w:rPr>
              <w:t xml:space="preserve">burden   </w:t>
            </w:r>
          </w:p>
        </w:tc>
        <w:tc>
          <w:tcPr>
            <w:tcW w:w="1300" w:type="dxa"/>
            <w:tcBorders>
              <w:top w:val="nil"/>
              <w:left w:val="nil"/>
              <w:bottom w:val="nil"/>
              <w:right w:val="nil"/>
            </w:tcBorders>
            <w:shd w:val="clear" w:color="auto" w:fill="auto"/>
            <w:noWrap/>
            <w:vAlign w:val="bottom"/>
            <w:hideMark/>
          </w:tcPr>
          <w:p w14:paraId="3C849B28"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0.046</w:t>
            </w:r>
          </w:p>
        </w:tc>
        <w:tc>
          <w:tcPr>
            <w:tcW w:w="1040" w:type="dxa"/>
            <w:tcBorders>
              <w:top w:val="nil"/>
              <w:left w:val="nil"/>
              <w:bottom w:val="nil"/>
              <w:right w:val="single" w:sz="8" w:space="0" w:color="auto"/>
            </w:tcBorders>
            <w:shd w:val="clear" w:color="auto" w:fill="auto"/>
            <w:noWrap/>
            <w:vAlign w:val="bottom"/>
            <w:hideMark/>
          </w:tcPr>
          <w:p w14:paraId="46412F16"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0.15</w:t>
            </w:r>
          </w:p>
        </w:tc>
      </w:tr>
      <w:tr w:rsidR="009E3924" w:rsidRPr="00197522" w14:paraId="434E1751"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32433434" w14:textId="77777777" w:rsidR="009E3924" w:rsidRPr="00197522" w:rsidRDefault="00F97460" w:rsidP="00C85CD9">
            <w:pPr>
              <w:spacing w:after="0" w:line="240" w:lineRule="auto"/>
              <w:rPr>
                <w:rFonts w:eastAsia="Times New Roman" w:cstheme="minorHAnsi"/>
                <w:color w:val="000000"/>
                <w:lang w:eastAsia="ja-JP"/>
              </w:rPr>
            </w:pPr>
            <w:r>
              <w:rPr>
                <w:rFonts w:eastAsia="Times New Roman" w:cstheme="minorHAnsi"/>
                <w:color w:val="000000"/>
                <w:lang w:eastAsia="ja-JP"/>
              </w:rPr>
              <w:t>inter</w:t>
            </w:r>
            <w:r w:rsidR="009E3924" w:rsidRPr="00197522">
              <w:rPr>
                <w:rFonts w:eastAsia="Times New Roman" w:cstheme="minorHAnsi"/>
                <w:color w:val="000000"/>
                <w:lang w:eastAsia="ja-JP"/>
              </w:rPr>
              <w:t xml:space="preserve">net   </w:t>
            </w:r>
          </w:p>
        </w:tc>
        <w:tc>
          <w:tcPr>
            <w:tcW w:w="1300" w:type="dxa"/>
            <w:tcBorders>
              <w:top w:val="nil"/>
              <w:left w:val="nil"/>
              <w:bottom w:val="nil"/>
              <w:right w:val="nil"/>
            </w:tcBorders>
            <w:shd w:val="clear" w:color="auto" w:fill="auto"/>
            <w:noWrap/>
            <w:vAlign w:val="bottom"/>
            <w:hideMark/>
          </w:tcPr>
          <w:p w14:paraId="57367D57"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-0.242</w:t>
            </w:r>
          </w:p>
        </w:tc>
        <w:tc>
          <w:tcPr>
            <w:tcW w:w="1040" w:type="dxa"/>
            <w:tcBorders>
              <w:top w:val="nil"/>
              <w:left w:val="nil"/>
              <w:bottom w:val="nil"/>
              <w:right w:val="single" w:sz="8" w:space="0" w:color="auto"/>
            </w:tcBorders>
            <w:shd w:val="clear" w:color="auto" w:fill="auto"/>
            <w:noWrap/>
            <w:vAlign w:val="bottom"/>
            <w:hideMark/>
          </w:tcPr>
          <w:p w14:paraId="60735343"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0.21</w:t>
            </w:r>
          </w:p>
        </w:tc>
      </w:tr>
      <w:tr w:rsidR="009E3924" w:rsidRPr="00197522" w14:paraId="78133B07"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25E1606F"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h</w:t>
            </w:r>
            <w:r w:rsidRPr="00197522">
              <w:rPr>
                <w:rFonts w:eastAsia="Times New Roman" w:cstheme="minorHAnsi"/>
                <w:color w:val="000000"/>
                <w:lang w:eastAsia="ja-JP"/>
              </w:rPr>
              <w:t>ouse</w:t>
            </w:r>
            <w:r>
              <w:rPr>
                <w:rFonts w:eastAsia="Times New Roman" w:cstheme="minorHAnsi"/>
                <w:color w:val="000000"/>
                <w:lang w:eastAsia="ja-JP"/>
              </w:rPr>
              <w:t xml:space="preserve"> </w:t>
            </w:r>
            <w:r w:rsidRPr="00197522">
              <w:rPr>
                <w:rFonts w:eastAsia="Times New Roman" w:cstheme="minorHAnsi"/>
                <w:color w:val="000000"/>
                <w:lang w:eastAsia="ja-JP"/>
              </w:rPr>
              <w:t xml:space="preserve">owned   </w:t>
            </w:r>
          </w:p>
        </w:tc>
        <w:tc>
          <w:tcPr>
            <w:tcW w:w="1300" w:type="dxa"/>
            <w:tcBorders>
              <w:top w:val="nil"/>
              <w:left w:val="nil"/>
              <w:bottom w:val="nil"/>
              <w:right w:val="nil"/>
            </w:tcBorders>
            <w:shd w:val="clear" w:color="auto" w:fill="auto"/>
            <w:noWrap/>
            <w:vAlign w:val="bottom"/>
            <w:hideMark/>
          </w:tcPr>
          <w:p w14:paraId="523D4C47"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-0.05</w:t>
            </w:r>
          </w:p>
        </w:tc>
        <w:tc>
          <w:tcPr>
            <w:tcW w:w="1040" w:type="dxa"/>
            <w:tcBorders>
              <w:top w:val="nil"/>
              <w:left w:val="nil"/>
              <w:bottom w:val="nil"/>
              <w:right w:val="single" w:sz="8" w:space="0" w:color="auto"/>
            </w:tcBorders>
            <w:shd w:val="clear" w:color="auto" w:fill="auto"/>
            <w:noWrap/>
            <w:vAlign w:val="bottom"/>
            <w:hideMark/>
          </w:tcPr>
          <w:p w14:paraId="14A4245A"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0.25</w:t>
            </w:r>
          </w:p>
        </w:tc>
      </w:tr>
      <w:tr w:rsidR="009E3924" w:rsidRPr="00197522" w14:paraId="7B56079A"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14CC6D70" w14:textId="77777777" w:rsidR="009E3924" w:rsidRPr="00197522" w:rsidRDefault="009E3924" w:rsidP="00C85CD9">
            <w:pPr>
              <w:spacing w:after="0" w:line="240" w:lineRule="auto"/>
              <w:rPr>
                <w:rFonts w:eastAsia="Times New Roman" w:cstheme="minorHAnsi"/>
                <w:color w:val="000000"/>
                <w:lang w:eastAsia="ja-JP"/>
              </w:rPr>
            </w:pPr>
            <w:r>
              <w:rPr>
                <w:rFonts w:eastAsia="Times New Roman" w:cstheme="minorHAnsi"/>
                <w:color w:val="000000"/>
                <w:lang w:eastAsia="ja-JP"/>
              </w:rPr>
              <w:t>s</w:t>
            </w:r>
            <w:r w:rsidRPr="00197522">
              <w:rPr>
                <w:rFonts w:eastAsia="Times New Roman" w:cstheme="minorHAnsi"/>
                <w:color w:val="000000"/>
                <w:lang w:eastAsia="ja-JP"/>
              </w:rPr>
              <w:t>ocial</w:t>
            </w:r>
            <w:r>
              <w:rPr>
                <w:rFonts w:eastAsia="Times New Roman" w:cstheme="minorHAnsi"/>
                <w:color w:val="000000"/>
                <w:lang w:eastAsia="ja-JP"/>
              </w:rPr>
              <w:t xml:space="preserve"> </w:t>
            </w:r>
            <w:r w:rsidRPr="00197522">
              <w:rPr>
                <w:rFonts w:eastAsia="Times New Roman" w:cstheme="minorHAnsi"/>
                <w:color w:val="000000"/>
                <w:lang w:eastAsia="ja-JP"/>
              </w:rPr>
              <w:t xml:space="preserve">housing  </w:t>
            </w:r>
          </w:p>
        </w:tc>
        <w:tc>
          <w:tcPr>
            <w:tcW w:w="1300" w:type="dxa"/>
            <w:tcBorders>
              <w:top w:val="nil"/>
              <w:left w:val="nil"/>
              <w:bottom w:val="nil"/>
              <w:right w:val="nil"/>
            </w:tcBorders>
            <w:shd w:val="clear" w:color="auto" w:fill="auto"/>
            <w:noWrap/>
            <w:vAlign w:val="bottom"/>
            <w:hideMark/>
          </w:tcPr>
          <w:p w14:paraId="018F18C4"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-0.075</w:t>
            </w:r>
          </w:p>
        </w:tc>
        <w:tc>
          <w:tcPr>
            <w:tcW w:w="1040" w:type="dxa"/>
            <w:tcBorders>
              <w:top w:val="nil"/>
              <w:left w:val="nil"/>
              <w:bottom w:val="nil"/>
              <w:right w:val="single" w:sz="8" w:space="0" w:color="auto"/>
            </w:tcBorders>
            <w:shd w:val="clear" w:color="auto" w:fill="auto"/>
            <w:noWrap/>
            <w:vAlign w:val="bottom"/>
            <w:hideMark/>
          </w:tcPr>
          <w:p w14:paraId="69B5B7B8"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0.34</w:t>
            </w:r>
          </w:p>
        </w:tc>
      </w:tr>
      <w:tr w:rsidR="009E3924" w:rsidRPr="00197522" w14:paraId="059699AE"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2E6E8A9E"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Wales   </w:t>
            </w:r>
          </w:p>
        </w:tc>
        <w:tc>
          <w:tcPr>
            <w:tcW w:w="1300" w:type="dxa"/>
            <w:tcBorders>
              <w:top w:val="nil"/>
              <w:left w:val="nil"/>
              <w:bottom w:val="nil"/>
              <w:right w:val="nil"/>
            </w:tcBorders>
            <w:shd w:val="clear" w:color="auto" w:fill="auto"/>
            <w:noWrap/>
            <w:vAlign w:val="bottom"/>
            <w:hideMark/>
          </w:tcPr>
          <w:p w14:paraId="61C8A9FC"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0.209</w:t>
            </w:r>
          </w:p>
        </w:tc>
        <w:tc>
          <w:tcPr>
            <w:tcW w:w="1040" w:type="dxa"/>
            <w:tcBorders>
              <w:top w:val="nil"/>
              <w:left w:val="nil"/>
              <w:bottom w:val="nil"/>
              <w:right w:val="single" w:sz="8" w:space="0" w:color="auto"/>
            </w:tcBorders>
            <w:shd w:val="clear" w:color="auto" w:fill="auto"/>
            <w:noWrap/>
            <w:vAlign w:val="bottom"/>
            <w:hideMark/>
          </w:tcPr>
          <w:p w14:paraId="6A2E1989"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0.45</w:t>
            </w:r>
          </w:p>
        </w:tc>
      </w:tr>
      <w:tr w:rsidR="009E3924" w:rsidRPr="00197522" w14:paraId="197080B2"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7D9253D1"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Scotland   </w:t>
            </w:r>
          </w:p>
        </w:tc>
        <w:tc>
          <w:tcPr>
            <w:tcW w:w="1300" w:type="dxa"/>
            <w:tcBorders>
              <w:top w:val="nil"/>
              <w:left w:val="nil"/>
              <w:bottom w:val="nil"/>
              <w:right w:val="nil"/>
            </w:tcBorders>
            <w:shd w:val="clear" w:color="auto" w:fill="auto"/>
            <w:noWrap/>
            <w:vAlign w:val="bottom"/>
            <w:hideMark/>
          </w:tcPr>
          <w:p w14:paraId="71A66E30"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0.206</w:t>
            </w:r>
          </w:p>
        </w:tc>
        <w:tc>
          <w:tcPr>
            <w:tcW w:w="1040" w:type="dxa"/>
            <w:tcBorders>
              <w:top w:val="nil"/>
              <w:left w:val="nil"/>
              <w:bottom w:val="nil"/>
              <w:right w:val="single" w:sz="8" w:space="0" w:color="auto"/>
            </w:tcBorders>
            <w:shd w:val="clear" w:color="auto" w:fill="auto"/>
            <w:noWrap/>
            <w:vAlign w:val="bottom"/>
            <w:hideMark/>
          </w:tcPr>
          <w:p w14:paraId="18DE0B9F"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0.44</w:t>
            </w:r>
          </w:p>
        </w:tc>
      </w:tr>
      <w:tr w:rsidR="009E3924" w:rsidRPr="00197522" w14:paraId="5ED63031"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0C05ED68"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lastRenderedPageBreak/>
              <w:t xml:space="preserve">N_Ireland  </w:t>
            </w:r>
          </w:p>
        </w:tc>
        <w:tc>
          <w:tcPr>
            <w:tcW w:w="1300" w:type="dxa"/>
            <w:tcBorders>
              <w:top w:val="nil"/>
              <w:left w:val="nil"/>
              <w:bottom w:val="nil"/>
              <w:right w:val="nil"/>
            </w:tcBorders>
            <w:shd w:val="clear" w:color="auto" w:fill="auto"/>
            <w:noWrap/>
            <w:vAlign w:val="bottom"/>
            <w:hideMark/>
          </w:tcPr>
          <w:p w14:paraId="5A715FDC"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-0.082</w:t>
            </w:r>
          </w:p>
        </w:tc>
        <w:tc>
          <w:tcPr>
            <w:tcW w:w="1040" w:type="dxa"/>
            <w:tcBorders>
              <w:top w:val="nil"/>
              <w:left w:val="nil"/>
              <w:bottom w:val="nil"/>
              <w:right w:val="single" w:sz="8" w:space="0" w:color="auto"/>
            </w:tcBorders>
            <w:shd w:val="clear" w:color="auto" w:fill="auto"/>
            <w:noWrap/>
            <w:vAlign w:val="bottom"/>
            <w:hideMark/>
          </w:tcPr>
          <w:p w14:paraId="4A7753C9"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0.46</w:t>
            </w:r>
          </w:p>
        </w:tc>
      </w:tr>
      <w:tr w:rsidR="009E3924" w:rsidRPr="00197522" w14:paraId="626D3BBF"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5A03B066"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NE  </w:t>
            </w:r>
          </w:p>
        </w:tc>
        <w:tc>
          <w:tcPr>
            <w:tcW w:w="1300" w:type="dxa"/>
            <w:tcBorders>
              <w:top w:val="nil"/>
              <w:left w:val="nil"/>
              <w:bottom w:val="nil"/>
              <w:right w:val="nil"/>
            </w:tcBorders>
            <w:shd w:val="clear" w:color="auto" w:fill="auto"/>
            <w:noWrap/>
            <w:vAlign w:val="bottom"/>
            <w:hideMark/>
          </w:tcPr>
          <w:p w14:paraId="5A9328C5"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-0.417</w:t>
            </w:r>
          </w:p>
        </w:tc>
        <w:tc>
          <w:tcPr>
            <w:tcW w:w="1040" w:type="dxa"/>
            <w:tcBorders>
              <w:top w:val="nil"/>
              <w:left w:val="nil"/>
              <w:bottom w:val="nil"/>
              <w:right w:val="single" w:sz="8" w:space="0" w:color="auto"/>
            </w:tcBorders>
            <w:shd w:val="clear" w:color="auto" w:fill="auto"/>
            <w:noWrap/>
            <w:vAlign w:val="bottom"/>
            <w:hideMark/>
          </w:tcPr>
          <w:p w14:paraId="5A900719"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0.59</w:t>
            </w:r>
          </w:p>
        </w:tc>
      </w:tr>
      <w:tr w:rsidR="009E3924" w:rsidRPr="00197522" w14:paraId="342E1DB6"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1399FD49"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NW    </w:t>
            </w:r>
          </w:p>
        </w:tc>
        <w:tc>
          <w:tcPr>
            <w:tcW w:w="1300" w:type="dxa"/>
            <w:tcBorders>
              <w:top w:val="nil"/>
              <w:left w:val="nil"/>
              <w:bottom w:val="nil"/>
              <w:right w:val="nil"/>
            </w:tcBorders>
            <w:shd w:val="clear" w:color="auto" w:fill="auto"/>
            <w:noWrap/>
            <w:vAlign w:val="bottom"/>
            <w:hideMark/>
          </w:tcPr>
          <w:p w14:paraId="15968668"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0.035</w:t>
            </w:r>
          </w:p>
        </w:tc>
        <w:tc>
          <w:tcPr>
            <w:tcW w:w="1040" w:type="dxa"/>
            <w:tcBorders>
              <w:top w:val="nil"/>
              <w:left w:val="nil"/>
              <w:bottom w:val="nil"/>
              <w:right w:val="single" w:sz="8" w:space="0" w:color="auto"/>
            </w:tcBorders>
            <w:shd w:val="clear" w:color="auto" w:fill="auto"/>
            <w:noWrap/>
            <w:vAlign w:val="bottom"/>
            <w:hideMark/>
          </w:tcPr>
          <w:p w14:paraId="4AAEEFB0"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0.48</w:t>
            </w:r>
          </w:p>
        </w:tc>
      </w:tr>
      <w:tr w:rsidR="009E3924" w:rsidRPr="00197522" w14:paraId="3F6EEF8E"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6836A2BC"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York_hmb   </w:t>
            </w:r>
          </w:p>
        </w:tc>
        <w:tc>
          <w:tcPr>
            <w:tcW w:w="1300" w:type="dxa"/>
            <w:tcBorders>
              <w:top w:val="nil"/>
              <w:left w:val="nil"/>
              <w:bottom w:val="nil"/>
              <w:right w:val="nil"/>
            </w:tcBorders>
            <w:shd w:val="clear" w:color="auto" w:fill="auto"/>
            <w:noWrap/>
            <w:vAlign w:val="bottom"/>
            <w:hideMark/>
          </w:tcPr>
          <w:p w14:paraId="130DFB6A"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0.616</w:t>
            </w:r>
          </w:p>
        </w:tc>
        <w:tc>
          <w:tcPr>
            <w:tcW w:w="1040" w:type="dxa"/>
            <w:tcBorders>
              <w:top w:val="nil"/>
              <w:left w:val="nil"/>
              <w:bottom w:val="nil"/>
              <w:right w:val="single" w:sz="8" w:space="0" w:color="auto"/>
            </w:tcBorders>
            <w:shd w:val="clear" w:color="auto" w:fill="auto"/>
            <w:noWrap/>
            <w:vAlign w:val="bottom"/>
            <w:hideMark/>
          </w:tcPr>
          <w:p w14:paraId="1A72C151"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0.48</w:t>
            </w:r>
          </w:p>
        </w:tc>
      </w:tr>
      <w:tr w:rsidR="009E3924" w:rsidRPr="00197522" w14:paraId="25FA93E3"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1DE8FE18"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E_mid   </w:t>
            </w:r>
          </w:p>
        </w:tc>
        <w:tc>
          <w:tcPr>
            <w:tcW w:w="1300" w:type="dxa"/>
            <w:tcBorders>
              <w:top w:val="nil"/>
              <w:left w:val="nil"/>
              <w:bottom w:val="nil"/>
              <w:right w:val="nil"/>
            </w:tcBorders>
            <w:shd w:val="clear" w:color="auto" w:fill="auto"/>
            <w:noWrap/>
            <w:vAlign w:val="bottom"/>
            <w:hideMark/>
          </w:tcPr>
          <w:p w14:paraId="0E689A97"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-0.686</w:t>
            </w:r>
          </w:p>
        </w:tc>
        <w:tc>
          <w:tcPr>
            <w:tcW w:w="1040" w:type="dxa"/>
            <w:tcBorders>
              <w:top w:val="nil"/>
              <w:left w:val="nil"/>
              <w:bottom w:val="nil"/>
              <w:right w:val="single" w:sz="8" w:space="0" w:color="auto"/>
            </w:tcBorders>
            <w:shd w:val="clear" w:color="auto" w:fill="auto"/>
            <w:noWrap/>
            <w:vAlign w:val="bottom"/>
            <w:hideMark/>
          </w:tcPr>
          <w:p w14:paraId="5DFF4B5A"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0.62</w:t>
            </w:r>
          </w:p>
        </w:tc>
      </w:tr>
      <w:tr w:rsidR="009E3924" w:rsidRPr="00197522" w14:paraId="2FE00094"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19083D4A"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W_mid </w:t>
            </w:r>
          </w:p>
        </w:tc>
        <w:tc>
          <w:tcPr>
            <w:tcW w:w="1300" w:type="dxa"/>
            <w:tcBorders>
              <w:top w:val="nil"/>
              <w:left w:val="nil"/>
              <w:bottom w:val="nil"/>
              <w:right w:val="nil"/>
            </w:tcBorders>
            <w:shd w:val="clear" w:color="auto" w:fill="auto"/>
            <w:noWrap/>
            <w:vAlign w:val="bottom"/>
            <w:hideMark/>
          </w:tcPr>
          <w:p w14:paraId="6C2400D8"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-0.071</w:t>
            </w:r>
          </w:p>
        </w:tc>
        <w:tc>
          <w:tcPr>
            <w:tcW w:w="1040" w:type="dxa"/>
            <w:tcBorders>
              <w:top w:val="nil"/>
              <w:left w:val="nil"/>
              <w:bottom w:val="nil"/>
              <w:right w:val="single" w:sz="8" w:space="0" w:color="auto"/>
            </w:tcBorders>
            <w:shd w:val="clear" w:color="auto" w:fill="auto"/>
            <w:noWrap/>
            <w:vAlign w:val="bottom"/>
            <w:hideMark/>
          </w:tcPr>
          <w:p w14:paraId="3C414AD1"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0.51</w:t>
            </w:r>
          </w:p>
        </w:tc>
      </w:tr>
      <w:tr w:rsidR="009E3924" w:rsidRPr="00197522" w14:paraId="47B556C5"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3F8300A3"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E_Eng </w:t>
            </w:r>
          </w:p>
        </w:tc>
        <w:tc>
          <w:tcPr>
            <w:tcW w:w="1300" w:type="dxa"/>
            <w:tcBorders>
              <w:top w:val="nil"/>
              <w:left w:val="nil"/>
              <w:bottom w:val="nil"/>
              <w:right w:val="nil"/>
            </w:tcBorders>
            <w:shd w:val="clear" w:color="auto" w:fill="auto"/>
            <w:noWrap/>
            <w:vAlign w:val="bottom"/>
            <w:hideMark/>
          </w:tcPr>
          <w:p w14:paraId="1FBC4303"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-0.41</w:t>
            </w:r>
          </w:p>
        </w:tc>
        <w:tc>
          <w:tcPr>
            <w:tcW w:w="1040" w:type="dxa"/>
            <w:tcBorders>
              <w:top w:val="nil"/>
              <w:left w:val="nil"/>
              <w:bottom w:val="nil"/>
              <w:right w:val="single" w:sz="8" w:space="0" w:color="auto"/>
            </w:tcBorders>
            <w:shd w:val="clear" w:color="auto" w:fill="auto"/>
            <w:noWrap/>
            <w:vAlign w:val="bottom"/>
            <w:hideMark/>
          </w:tcPr>
          <w:p w14:paraId="14637CBF"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0.52</w:t>
            </w:r>
          </w:p>
        </w:tc>
      </w:tr>
      <w:tr w:rsidR="009E3924" w:rsidRPr="00197522" w14:paraId="5AD6D045"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12CEA3ED"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SE   </w:t>
            </w:r>
          </w:p>
        </w:tc>
        <w:tc>
          <w:tcPr>
            <w:tcW w:w="1300" w:type="dxa"/>
            <w:tcBorders>
              <w:top w:val="nil"/>
              <w:left w:val="nil"/>
              <w:bottom w:val="nil"/>
              <w:right w:val="nil"/>
            </w:tcBorders>
            <w:shd w:val="clear" w:color="auto" w:fill="auto"/>
            <w:noWrap/>
            <w:vAlign w:val="bottom"/>
            <w:hideMark/>
          </w:tcPr>
          <w:p w14:paraId="1C738534"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-0.266</w:t>
            </w:r>
          </w:p>
        </w:tc>
        <w:tc>
          <w:tcPr>
            <w:tcW w:w="1040" w:type="dxa"/>
            <w:tcBorders>
              <w:top w:val="nil"/>
              <w:left w:val="nil"/>
              <w:bottom w:val="nil"/>
              <w:right w:val="single" w:sz="8" w:space="0" w:color="auto"/>
            </w:tcBorders>
            <w:shd w:val="clear" w:color="auto" w:fill="auto"/>
            <w:noWrap/>
            <w:vAlign w:val="bottom"/>
            <w:hideMark/>
          </w:tcPr>
          <w:p w14:paraId="16C9E805"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0.48</w:t>
            </w:r>
          </w:p>
        </w:tc>
      </w:tr>
      <w:tr w:rsidR="009E3924" w:rsidRPr="00197522" w14:paraId="05CCD320"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7E00D9B4"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SW  </w:t>
            </w:r>
          </w:p>
        </w:tc>
        <w:tc>
          <w:tcPr>
            <w:tcW w:w="1300" w:type="dxa"/>
            <w:tcBorders>
              <w:top w:val="nil"/>
              <w:left w:val="nil"/>
              <w:bottom w:val="nil"/>
              <w:right w:val="nil"/>
            </w:tcBorders>
            <w:shd w:val="clear" w:color="auto" w:fill="auto"/>
            <w:noWrap/>
            <w:vAlign w:val="bottom"/>
            <w:hideMark/>
          </w:tcPr>
          <w:p w14:paraId="01ACCB26"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0.317</w:t>
            </w:r>
          </w:p>
        </w:tc>
        <w:tc>
          <w:tcPr>
            <w:tcW w:w="1040" w:type="dxa"/>
            <w:tcBorders>
              <w:top w:val="nil"/>
              <w:left w:val="nil"/>
              <w:bottom w:val="nil"/>
              <w:right w:val="single" w:sz="8" w:space="0" w:color="auto"/>
            </w:tcBorders>
            <w:shd w:val="clear" w:color="auto" w:fill="auto"/>
            <w:noWrap/>
            <w:vAlign w:val="bottom"/>
            <w:hideMark/>
          </w:tcPr>
          <w:p w14:paraId="5CFA34EA"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0.5</w:t>
            </w:r>
          </w:p>
        </w:tc>
      </w:tr>
      <w:tr w:rsidR="009E3924" w:rsidRPr="00197522" w14:paraId="51B69F24" w14:textId="77777777" w:rsidTr="00C85CD9">
        <w:trPr>
          <w:trHeight w:val="300"/>
        </w:trPr>
        <w:tc>
          <w:tcPr>
            <w:tcW w:w="4160" w:type="dxa"/>
            <w:tcBorders>
              <w:top w:val="nil"/>
              <w:left w:val="single" w:sz="8" w:space="0" w:color="auto"/>
              <w:bottom w:val="single" w:sz="4" w:space="0" w:color="auto"/>
              <w:right w:val="nil"/>
            </w:tcBorders>
            <w:shd w:val="clear" w:color="auto" w:fill="auto"/>
            <w:noWrap/>
            <w:vAlign w:val="bottom"/>
            <w:hideMark/>
          </w:tcPr>
          <w:p w14:paraId="1DCC1C23"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 xml:space="preserve">Constant  </w:t>
            </w:r>
          </w:p>
        </w:tc>
        <w:tc>
          <w:tcPr>
            <w:tcW w:w="1300" w:type="dxa"/>
            <w:tcBorders>
              <w:top w:val="nil"/>
              <w:left w:val="nil"/>
              <w:bottom w:val="single" w:sz="4" w:space="0" w:color="auto"/>
              <w:right w:val="nil"/>
            </w:tcBorders>
            <w:shd w:val="clear" w:color="auto" w:fill="auto"/>
            <w:noWrap/>
            <w:vAlign w:val="bottom"/>
            <w:hideMark/>
          </w:tcPr>
          <w:p w14:paraId="3A603651"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-1.56</w:t>
            </w:r>
          </w:p>
        </w:tc>
        <w:tc>
          <w:tcPr>
            <w:tcW w:w="1040" w:type="dxa"/>
            <w:tcBorders>
              <w:top w:val="nil"/>
              <w:left w:val="nil"/>
              <w:bottom w:val="single" w:sz="4" w:space="0" w:color="auto"/>
              <w:right w:val="single" w:sz="8" w:space="0" w:color="auto"/>
            </w:tcBorders>
            <w:shd w:val="clear" w:color="auto" w:fill="auto"/>
            <w:noWrap/>
            <w:vAlign w:val="bottom"/>
            <w:hideMark/>
          </w:tcPr>
          <w:p w14:paraId="1810A5D5"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1.57</w:t>
            </w:r>
          </w:p>
        </w:tc>
      </w:tr>
      <w:tr w:rsidR="009E3924" w:rsidRPr="00197522" w14:paraId="034C7CC5" w14:textId="77777777" w:rsidTr="00C85CD9">
        <w:trPr>
          <w:trHeight w:val="300"/>
        </w:trPr>
        <w:tc>
          <w:tcPr>
            <w:tcW w:w="4160" w:type="dxa"/>
            <w:tcBorders>
              <w:top w:val="nil"/>
              <w:left w:val="single" w:sz="8" w:space="0" w:color="auto"/>
              <w:bottom w:val="nil"/>
              <w:right w:val="nil"/>
            </w:tcBorders>
            <w:shd w:val="clear" w:color="auto" w:fill="auto"/>
            <w:noWrap/>
            <w:vAlign w:val="bottom"/>
            <w:hideMark/>
          </w:tcPr>
          <w:p w14:paraId="6603FBD9"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N</w:t>
            </w:r>
          </w:p>
        </w:tc>
        <w:tc>
          <w:tcPr>
            <w:tcW w:w="1300" w:type="dxa"/>
            <w:tcBorders>
              <w:top w:val="nil"/>
              <w:left w:val="nil"/>
              <w:bottom w:val="nil"/>
              <w:right w:val="nil"/>
            </w:tcBorders>
            <w:shd w:val="clear" w:color="auto" w:fill="auto"/>
            <w:noWrap/>
            <w:vAlign w:val="bottom"/>
            <w:hideMark/>
          </w:tcPr>
          <w:p w14:paraId="41E19085"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3</w:t>
            </w:r>
            <w:r w:rsidRPr="009A5ACD">
              <w:rPr>
                <w:rFonts w:eastAsia="Times New Roman" w:cstheme="minorHAnsi"/>
                <w:color w:val="000000"/>
                <w:lang w:eastAsia="ja-JP"/>
              </w:rPr>
              <w:t>,</w:t>
            </w:r>
            <w:r w:rsidRPr="00197522">
              <w:rPr>
                <w:rFonts w:eastAsia="Times New Roman" w:cstheme="minorHAnsi"/>
                <w:color w:val="000000"/>
                <w:lang w:eastAsia="ja-JP"/>
              </w:rPr>
              <w:t>149</w:t>
            </w:r>
          </w:p>
        </w:tc>
        <w:tc>
          <w:tcPr>
            <w:tcW w:w="1040" w:type="dxa"/>
            <w:tcBorders>
              <w:top w:val="nil"/>
              <w:left w:val="nil"/>
              <w:bottom w:val="nil"/>
              <w:right w:val="single" w:sz="8" w:space="0" w:color="auto"/>
            </w:tcBorders>
            <w:shd w:val="clear" w:color="auto" w:fill="auto"/>
            <w:noWrap/>
            <w:vAlign w:val="bottom"/>
            <w:hideMark/>
          </w:tcPr>
          <w:p w14:paraId="05720C3F"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 </w:t>
            </w:r>
          </w:p>
        </w:tc>
      </w:tr>
      <w:tr w:rsidR="009E3924" w:rsidRPr="00197522" w14:paraId="50D89C35" w14:textId="77777777" w:rsidTr="00C85CD9">
        <w:trPr>
          <w:trHeight w:val="315"/>
        </w:trPr>
        <w:tc>
          <w:tcPr>
            <w:tcW w:w="4160" w:type="dxa"/>
            <w:tcBorders>
              <w:top w:val="nil"/>
              <w:left w:val="single" w:sz="8" w:space="0" w:color="auto"/>
              <w:bottom w:val="single" w:sz="8" w:space="0" w:color="auto"/>
              <w:right w:val="nil"/>
            </w:tcBorders>
            <w:shd w:val="clear" w:color="auto" w:fill="auto"/>
            <w:noWrap/>
            <w:vAlign w:val="bottom"/>
            <w:hideMark/>
          </w:tcPr>
          <w:p w14:paraId="285B47AB" w14:textId="77777777" w:rsidR="009E3924" w:rsidRPr="00197522" w:rsidRDefault="009E3924" w:rsidP="00C85CD9">
            <w:pPr>
              <w:spacing w:after="0" w:line="240" w:lineRule="auto"/>
              <w:rPr>
                <w:rFonts w:eastAsia="Times New Roman" w:cstheme="minorHAnsi"/>
                <w:color w:val="000000"/>
                <w:lang w:eastAsia="ja-JP"/>
              </w:rPr>
            </w:pPr>
            <w:r w:rsidRPr="00197522">
              <w:rPr>
                <w:rFonts w:eastAsia="Times New Roman" w:cstheme="minorHAnsi"/>
                <w:color w:val="000000"/>
                <w:lang w:eastAsia="ja-JP"/>
              </w:rPr>
              <w:t>R-squared</w:t>
            </w:r>
          </w:p>
        </w:tc>
        <w:tc>
          <w:tcPr>
            <w:tcW w:w="1300" w:type="dxa"/>
            <w:tcBorders>
              <w:top w:val="nil"/>
              <w:left w:val="nil"/>
              <w:bottom w:val="single" w:sz="8" w:space="0" w:color="auto"/>
              <w:right w:val="nil"/>
            </w:tcBorders>
            <w:shd w:val="clear" w:color="auto" w:fill="auto"/>
            <w:noWrap/>
            <w:vAlign w:val="bottom"/>
            <w:hideMark/>
          </w:tcPr>
          <w:p w14:paraId="50D92425" w14:textId="77777777" w:rsidR="009E3924" w:rsidRPr="00197522" w:rsidRDefault="009E3924" w:rsidP="00C85CD9">
            <w:pPr>
              <w:spacing w:after="0" w:line="240" w:lineRule="auto"/>
              <w:jc w:val="both"/>
              <w:rPr>
                <w:rFonts w:eastAsia="Times New Roman" w:cstheme="minorHAnsi"/>
                <w:color w:val="000000"/>
                <w:lang w:eastAsia="ja-JP"/>
              </w:rPr>
            </w:pPr>
            <w:r w:rsidRPr="00197522">
              <w:rPr>
                <w:rFonts w:eastAsia="Times New Roman" w:cstheme="minorHAnsi"/>
                <w:color w:val="000000"/>
                <w:lang w:eastAsia="ja-JP"/>
              </w:rPr>
              <w:t>0.05</w:t>
            </w:r>
          </w:p>
        </w:tc>
        <w:tc>
          <w:tcPr>
            <w:tcW w:w="1040" w:type="dxa"/>
            <w:tcBorders>
              <w:top w:val="nil"/>
              <w:left w:val="nil"/>
              <w:bottom w:val="single" w:sz="8" w:space="0" w:color="auto"/>
              <w:right w:val="single" w:sz="8" w:space="0" w:color="auto"/>
            </w:tcBorders>
            <w:shd w:val="clear" w:color="auto" w:fill="auto"/>
            <w:noWrap/>
            <w:vAlign w:val="bottom"/>
            <w:hideMark/>
          </w:tcPr>
          <w:p w14:paraId="354C72B0" w14:textId="77777777" w:rsidR="009E3924" w:rsidRPr="00197522" w:rsidRDefault="009E3924" w:rsidP="00C85CD9">
            <w:pPr>
              <w:spacing w:after="0" w:line="240" w:lineRule="auto"/>
              <w:jc w:val="center"/>
              <w:rPr>
                <w:rFonts w:eastAsia="Times New Roman" w:cstheme="minorHAnsi"/>
                <w:color w:val="000000"/>
                <w:lang w:eastAsia="ja-JP"/>
              </w:rPr>
            </w:pPr>
            <w:r w:rsidRPr="00197522">
              <w:rPr>
                <w:rFonts w:eastAsia="Times New Roman" w:cstheme="minorHAnsi"/>
                <w:color w:val="000000"/>
                <w:lang w:eastAsia="ja-JP"/>
              </w:rPr>
              <w:t> </w:t>
            </w:r>
          </w:p>
        </w:tc>
      </w:tr>
    </w:tbl>
    <w:p w14:paraId="20ED8807" w14:textId="77777777" w:rsidR="009E3924" w:rsidRPr="00B9514E" w:rsidRDefault="009E3924" w:rsidP="00224980">
      <w:pPr>
        <w:spacing w:after="0" w:line="240" w:lineRule="auto"/>
        <w:ind w:left="142" w:right="2505"/>
        <w:rPr>
          <w:i/>
          <w:sz w:val="20"/>
          <w:szCs w:val="20"/>
        </w:rPr>
      </w:pPr>
      <w:r w:rsidRPr="00B9514E">
        <w:rPr>
          <w:i/>
          <w:sz w:val="20"/>
          <w:szCs w:val="20"/>
        </w:rPr>
        <w:t xml:space="preserve">Notes: *10% significance **5% significance ***1% significance. Logit </w:t>
      </w:r>
      <w:r>
        <w:rPr>
          <w:i/>
          <w:sz w:val="20"/>
          <w:szCs w:val="20"/>
        </w:rPr>
        <w:t xml:space="preserve">model. </w:t>
      </w:r>
      <w:r w:rsidRPr="00B9514E">
        <w:rPr>
          <w:i/>
          <w:sz w:val="20"/>
          <w:szCs w:val="20"/>
        </w:rPr>
        <w:t xml:space="preserve">Coefficient shows impact on log-odds ratio. </w:t>
      </w:r>
      <w:r w:rsidR="00C03F73">
        <w:rPr>
          <w:rFonts w:cs="Arial"/>
          <w:i/>
          <w:sz w:val="20"/>
          <w:szCs w:val="18"/>
        </w:rPr>
        <w:t>S.E. = Standard errors</w:t>
      </w:r>
      <w:r w:rsidR="00C03F73" w:rsidRPr="00290537">
        <w:rPr>
          <w:rFonts w:cs="Arial"/>
          <w:i/>
          <w:sz w:val="20"/>
          <w:szCs w:val="18"/>
        </w:rPr>
        <w:t>. R-Squared = Psuedo R-Squared.</w:t>
      </w:r>
    </w:p>
    <w:p w14:paraId="53884829" w14:textId="77777777" w:rsidR="009E3924" w:rsidRPr="00B17245" w:rsidRDefault="009E3924" w:rsidP="00EA4B35">
      <w:pPr>
        <w:spacing w:after="0" w:line="240" w:lineRule="auto"/>
        <w:rPr>
          <w:sz w:val="28"/>
        </w:rPr>
      </w:pPr>
    </w:p>
    <w:p w14:paraId="2E454202" w14:textId="77777777" w:rsidR="009E3924" w:rsidRPr="00BF1D2D" w:rsidRDefault="009E3924" w:rsidP="009E3924">
      <w:pPr>
        <w:spacing w:after="0" w:line="240" w:lineRule="auto"/>
        <w:rPr>
          <w:sz w:val="24"/>
        </w:rPr>
      </w:pPr>
      <w:r>
        <w:rPr>
          <w:sz w:val="24"/>
          <w:szCs w:val="24"/>
        </w:rPr>
        <w:t>After controlling for a large range of determinants of medical service usage, p</w:t>
      </w:r>
      <w:r w:rsidRPr="00BF1D2D">
        <w:rPr>
          <w:sz w:val="24"/>
        </w:rPr>
        <w:t>eople in good health are</w:t>
      </w:r>
      <w:r>
        <w:rPr>
          <w:sz w:val="24"/>
        </w:rPr>
        <w:t xml:space="preserve"> less likely to use psychotherapy services by 8.4%</w:t>
      </w:r>
      <w:r w:rsidR="008D4A70">
        <w:rPr>
          <w:sz w:val="24"/>
        </w:rPr>
        <w:t xml:space="preserve"> </w:t>
      </w:r>
      <w:r w:rsidR="00EE55DA">
        <w:rPr>
          <w:rStyle w:val="FootnoteReference"/>
          <w:sz w:val="24"/>
        </w:rPr>
        <w:footnoteReference w:id="11"/>
      </w:r>
      <w:r>
        <w:rPr>
          <w:sz w:val="24"/>
        </w:rPr>
        <w:t>.</w:t>
      </w:r>
    </w:p>
    <w:p w14:paraId="32021CE5" w14:textId="77777777" w:rsidR="00702457" w:rsidRPr="009E3924" w:rsidRDefault="00702457" w:rsidP="00EA4B35">
      <w:pPr>
        <w:spacing w:after="0" w:line="240" w:lineRule="auto"/>
        <w:rPr>
          <w:b/>
          <w:sz w:val="24"/>
        </w:rPr>
      </w:pPr>
    </w:p>
    <w:p w14:paraId="161B52B0" w14:textId="77777777" w:rsidR="009E3924" w:rsidRDefault="00997801" w:rsidP="00EA4B35">
      <w:pPr>
        <w:spacing w:after="0" w:line="240" w:lineRule="auto"/>
        <w:rPr>
          <w:b/>
          <w:sz w:val="24"/>
        </w:rPr>
      </w:pPr>
      <w:r>
        <w:rPr>
          <w:b/>
          <w:sz w:val="24"/>
        </w:rPr>
        <w:t>C.1.5</w:t>
      </w:r>
      <w:r w:rsidR="009E3924">
        <w:rPr>
          <w:b/>
          <w:sz w:val="24"/>
        </w:rPr>
        <w:t xml:space="preserve"> Valuing </w:t>
      </w:r>
      <w:r w:rsidR="00EF3F9E" w:rsidRPr="00EF3F9E">
        <w:rPr>
          <w:rFonts w:cs="Arial"/>
          <w:b/>
          <w:sz w:val="24"/>
          <w:szCs w:val="24"/>
        </w:rPr>
        <w:t>predicted</w:t>
      </w:r>
      <w:r w:rsidR="00EF3F9E">
        <w:rPr>
          <w:b/>
          <w:sz w:val="24"/>
        </w:rPr>
        <w:t xml:space="preserve"> </w:t>
      </w:r>
      <w:r w:rsidR="009E3924">
        <w:rPr>
          <w:b/>
          <w:sz w:val="24"/>
        </w:rPr>
        <w:t>reductions in medical service usage</w:t>
      </w:r>
    </w:p>
    <w:p w14:paraId="313FE715" w14:textId="77777777" w:rsidR="007D2BAD" w:rsidRDefault="007D2BAD" w:rsidP="00865BAF">
      <w:pPr>
        <w:spacing w:after="0" w:line="240" w:lineRule="auto"/>
        <w:rPr>
          <w:color w:val="FF0000"/>
          <w:sz w:val="24"/>
        </w:rPr>
      </w:pPr>
    </w:p>
    <w:p w14:paraId="7B90CC7E" w14:textId="77777777" w:rsidR="00865BAF" w:rsidRPr="00865BAF" w:rsidRDefault="00865BAF" w:rsidP="00865BAF">
      <w:pPr>
        <w:spacing w:after="0" w:line="240" w:lineRule="auto"/>
        <w:rPr>
          <w:rFonts w:cs="Courier New"/>
          <w:b/>
          <w:color w:val="000000"/>
          <w:sz w:val="24"/>
          <w:szCs w:val="24"/>
        </w:rPr>
      </w:pPr>
      <w:r w:rsidRPr="00865BAF">
        <w:rPr>
          <w:rFonts w:cs="Courier New"/>
          <w:b/>
          <w:color w:val="000000"/>
          <w:sz w:val="24"/>
          <w:szCs w:val="24"/>
        </w:rPr>
        <w:t>Unit costs</w:t>
      </w:r>
    </w:p>
    <w:p w14:paraId="7D0202FE" w14:textId="77777777" w:rsidR="00865BAF" w:rsidRDefault="00055ED2" w:rsidP="00865BAF">
      <w:pPr>
        <w:spacing w:after="0" w:line="240" w:lineRule="auto"/>
        <w:rPr>
          <w:rFonts w:cs="Courier New"/>
          <w:color w:val="000000"/>
          <w:sz w:val="24"/>
          <w:szCs w:val="24"/>
        </w:rPr>
      </w:pPr>
      <w:r>
        <w:rPr>
          <w:rFonts w:cs="Courier New"/>
          <w:color w:val="000000"/>
          <w:sz w:val="24"/>
          <w:szCs w:val="24"/>
        </w:rPr>
        <w:t xml:space="preserve">We use </w:t>
      </w:r>
      <w:r w:rsidR="00E44EEC">
        <w:rPr>
          <w:rFonts w:cs="Courier New"/>
          <w:color w:val="000000"/>
          <w:sz w:val="24"/>
          <w:szCs w:val="24"/>
        </w:rPr>
        <w:t xml:space="preserve">health care costs from data </w:t>
      </w:r>
      <w:r w:rsidRPr="00C13016">
        <w:rPr>
          <w:rFonts w:cs="Courier New"/>
          <w:color w:val="000000"/>
          <w:sz w:val="24"/>
          <w:szCs w:val="24"/>
        </w:rPr>
        <w:t>compiled by the Personal Social Services Research Unit (P</w:t>
      </w:r>
      <w:r w:rsidR="00865BAF">
        <w:rPr>
          <w:rFonts w:cs="Courier New"/>
          <w:color w:val="000000"/>
          <w:sz w:val="24"/>
          <w:szCs w:val="24"/>
        </w:rPr>
        <w:t xml:space="preserve">SSRU) at the University of Kent: </w:t>
      </w:r>
      <w:r w:rsidR="00E44EEC">
        <w:rPr>
          <w:rFonts w:cs="Courier New"/>
          <w:color w:val="000000"/>
          <w:sz w:val="24"/>
          <w:szCs w:val="24"/>
        </w:rPr>
        <w:t>“</w:t>
      </w:r>
      <w:r w:rsidRPr="00E44EEC">
        <w:rPr>
          <w:rFonts w:cs="Courier New"/>
          <w:i/>
          <w:color w:val="000000"/>
          <w:sz w:val="24"/>
          <w:szCs w:val="24"/>
        </w:rPr>
        <w:t>Unit Costs of Health &amp; Social Care 2013</w:t>
      </w:r>
      <w:r w:rsidR="00E44EEC" w:rsidRPr="00E44EEC">
        <w:rPr>
          <w:rFonts w:cs="Courier New"/>
          <w:color w:val="000000"/>
          <w:sz w:val="24"/>
          <w:szCs w:val="24"/>
        </w:rPr>
        <w:t>”</w:t>
      </w:r>
      <w:r w:rsidR="00E44EEC">
        <w:rPr>
          <w:rFonts w:cs="Courier New"/>
          <w:color w:val="000000"/>
          <w:sz w:val="24"/>
          <w:szCs w:val="24"/>
        </w:rPr>
        <w:t xml:space="preserve"> </w:t>
      </w:r>
      <w:r w:rsidR="00E44EEC">
        <w:rPr>
          <w:rStyle w:val="FootnoteReference"/>
          <w:rFonts w:cs="Courier New"/>
          <w:color w:val="000000"/>
          <w:sz w:val="24"/>
          <w:szCs w:val="24"/>
        </w:rPr>
        <w:footnoteReference w:id="12"/>
      </w:r>
      <w:r w:rsidRPr="00C13016">
        <w:rPr>
          <w:rFonts w:cs="Courier New"/>
          <w:color w:val="000000"/>
          <w:sz w:val="24"/>
          <w:szCs w:val="24"/>
        </w:rPr>
        <w:t xml:space="preserve">. </w:t>
      </w:r>
    </w:p>
    <w:p w14:paraId="5139C8FA" w14:textId="77777777" w:rsidR="00865BAF" w:rsidRDefault="00865BAF" w:rsidP="00865BAF">
      <w:pPr>
        <w:spacing w:after="0" w:line="240" w:lineRule="auto"/>
        <w:rPr>
          <w:rFonts w:cs="Courier New"/>
          <w:color w:val="000000"/>
          <w:sz w:val="24"/>
          <w:szCs w:val="24"/>
        </w:rPr>
      </w:pPr>
    </w:p>
    <w:p w14:paraId="30DFFEA8" w14:textId="77777777" w:rsidR="00865BAF" w:rsidRPr="0086256C" w:rsidRDefault="00865BAF" w:rsidP="00865BAF">
      <w:pPr>
        <w:spacing w:after="0" w:line="240" w:lineRule="auto"/>
        <w:rPr>
          <w:rFonts w:cs="Courier New"/>
          <w:sz w:val="24"/>
          <w:szCs w:val="24"/>
        </w:rPr>
      </w:pPr>
      <w:r>
        <w:rPr>
          <w:rFonts w:cs="Courier New"/>
          <w:color w:val="000000"/>
          <w:sz w:val="24"/>
          <w:szCs w:val="24"/>
        </w:rPr>
        <w:t>We use the unit cost estimate for c</w:t>
      </w:r>
      <w:r w:rsidRPr="00865BAF">
        <w:rPr>
          <w:rFonts w:cs="Courier New"/>
          <w:color w:val="000000"/>
          <w:sz w:val="24"/>
          <w:szCs w:val="24"/>
        </w:rPr>
        <w:t xml:space="preserve">ounselling and psychotherapy </w:t>
      </w:r>
      <w:r>
        <w:rPr>
          <w:rFonts w:cs="Courier New"/>
          <w:color w:val="000000"/>
          <w:sz w:val="24"/>
          <w:szCs w:val="24"/>
        </w:rPr>
        <w:t>(an umbrella term</w:t>
      </w:r>
      <w:r w:rsidRPr="00865BAF">
        <w:rPr>
          <w:rFonts w:cs="Courier New"/>
          <w:color w:val="000000"/>
          <w:sz w:val="24"/>
          <w:szCs w:val="24"/>
        </w:rPr>
        <w:t xml:space="preserve"> that cover</w:t>
      </w:r>
      <w:r>
        <w:rPr>
          <w:rFonts w:cs="Courier New"/>
          <w:color w:val="000000"/>
          <w:sz w:val="24"/>
          <w:szCs w:val="24"/>
        </w:rPr>
        <w:t>s</w:t>
      </w:r>
      <w:r w:rsidRPr="00865BAF">
        <w:rPr>
          <w:rFonts w:cs="Courier New"/>
          <w:color w:val="000000"/>
          <w:sz w:val="24"/>
          <w:szCs w:val="24"/>
        </w:rPr>
        <w:t xml:space="preserve"> a range of talking therapies</w:t>
      </w:r>
      <w:r>
        <w:rPr>
          <w:rFonts w:cs="Courier New"/>
          <w:color w:val="000000"/>
          <w:sz w:val="24"/>
          <w:szCs w:val="24"/>
        </w:rPr>
        <w:t xml:space="preserve">) which is £58 per consultation. </w:t>
      </w:r>
      <w:r w:rsidR="0086256C">
        <w:rPr>
          <w:rFonts w:cs="Courier New"/>
          <w:sz w:val="24"/>
          <w:szCs w:val="24"/>
        </w:rPr>
        <w:t xml:space="preserve">We assume that people </w:t>
      </w:r>
      <w:r w:rsidR="00A45BA0">
        <w:rPr>
          <w:rFonts w:cs="Courier New"/>
          <w:sz w:val="24"/>
          <w:szCs w:val="24"/>
        </w:rPr>
        <w:t xml:space="preserve">who see </w:t>
      </w:r>
      <w:r w:rsidR="0086256C">
        <w:rPr>
          <w:rFonts w:cs="Courier New"/>
          <w:sz w:val="24"/>
          <w:szCs w:val="24"/>
        </w:rPr>
        <w:t>therapist</w:t>
      </w:r>
      <w:r w:rsidR="00A45BA0">
        <w:rPr>
          <w:rFonts w:cs="Courier New"/>
          <w:sz w:val="24"/>
          <w:szCs w:val="24"/>
        </w:rPr>
        <w:t>s see them</w:t>
      </w:r>
      <w:r w:rsidR="0086256C">
        <w:rPr>
          <w:rFonts w:cs="Courier New"/>
          <w:sz w:val="24"/>
          <w:szCs w:val="24"/>
        </w:rPr>
        <w:t xml:space="preserve"> once every two weeks </w:t>
      </w:r>
      <w:r w:rsidR="00A45BA0">
        <w:rPr>
          <w:rFonts w:cs="Courier New"/>
          <w:sz w:val="24"/>
          <w:szCs w:val="24"/>
        </w:rPr>
        <w:t>for the full year</w:t>
      </w:r>
      <w:r w:rsidR="00653063">
        <w:rPr>
          <w:rFonts w:cs="Courier New"/>
          <w:sz w:val="24"/>
          <w:szCs w:val="24"/>
        </w:rPr>
        <w:t>. This may be</w:t>
      </w:r>
      <w:r w:rsidR="009A7891">
        <w:rPr>
          <w:rFonts w:cs="Courier New"/>
          <w:sz w:val="24"/>
          <w:szCs w:val="24"/>
        </w:rPr>
        <w:t xml:space="preserve"> a conservative estimate: long-term psychotherapy on the NHS is 40 sessions per year for one or two years, whilst short-term therapy is </w:t>
      </w:r>
      <w:r w:rsidR="00CF4DB4">
        <w:rPr>
          <w:rFonts w:cs="Courier New"/>
          <w:sz w:val="24"/>
          <w:szCs w:val="24"/>
        </w:rPr>
        <w:t>16-20 sessions over 4-6 months</w:t>
      </w:r>
      <w:r w:rsidR="00653063">
        <w:rPr>
          <w:rFonts w:cs="Courier New"/>
          <w:sz w:val="24"/>
          <w:szCs w:val="24"/>
        </w:rPr>
        <w:t xml:space="preserve"> (NICE, 2009; White, 2012). The precise number of annual sessions is dependent upon the severity of the condition; this information was not available in the data we analysed.</w:t>
      </w:r>
    </w:p>
    <w:p w14:paraId="1C3932B9" w14:textId="77777777" w:rsidR="00865BAF" w:rsidRPr="00865BAF" w:rsidRDefault="00865BAF" w:rsidP="00865BAF">
      <w:pPr>
        <w:spacing w:after="0" w:line="240" w:lineRule="auto"/>
        <w:rPr>
          <w:rFonts w:cs="Courier New"/>
          <w:color w:val="FF0000"/>
          <w:sz w:val="24"/>
          <w:szCs w:val="24"/>
        </w:rPr>
      </w:pPr>
    </w:p>
    <w:p w14:paraId="595BA5D1" w14:textId="73962706" w:rsidR="00DA2303" w:rsidRDefault="00055ED2" w:rsidP="00865BAF">
      <w:pPr>
        <w:spacing w:after="0" w:line="240" w:lineRule="auto"/>
        <w:rPr>
          <w:rFonts w:cs="Courier New"/>
          <w:color w:val="000000"/>
          <w:sz w:val="24"/>
          <w:szCs w:val="24"/>
        </w:rPr>
      </w:pPr>
      <w:r w:rsidRPr="00C13016">
        <w:rPr>
          <w:rFonts w:cs="Courier New"/>
          <w:color w:val="000000"/>
          <w:sz w:val="24"/>
          <w:szCs w:val="24"/>
        </w:rPr>
        <w:t>For GP</w:t>
      </w:r>
      <w:r w:rsidR="00865BAF">
        <w:rPr>
          <w:rFonts w:cs="Courier New"/>
          <w:color w:val="000000"/>
          <w:sz w:val="24"/>
          <w:szCs w:val="24"/>
        </w:rPr>
        <w:t xml:space="preserve"> visits we use the conservative lower bound estimate of</w:t>
      </w:r>
      <w:r w:rsidRPr="00C13016">
        <w:rPr>
          <w:rFonts w:cs="Courier New"/>
          <w:color w:val="000000"/>
          <w:sz w:val="24"/>
          <w:szCs w:val="24"/>
        </w:rPr>
        <w:t xml:space="preserve"> £192 per hour</w:t>
      </w:r>
      <w:r w:rsidR="00865BAF">
        <w:rPr>
          <w:rFonts w:cs="Courier New"/>
          <w:color w:val="000000"/>
          <w:sz w:val="24"/>
          <w:szCs w:val="24"/>
        </w:rPr>
        <w:t xml:space="preserve"> (</w:t>
      </w:r>
      <w:r w:rsidRPr="00C13016">
        <w:rPr>
          <w:rFonts w:cs="Courier New"/>
          <w:color w:val="000000"/>
          <w:sz w:val="24"/>
          <w:szCs w:val="24"/>
        </w:rPr>
        <w:t>or £3.20 per minute</w:t>
      </w:r>
      <w:r w:rsidR="00865BAF">
        <w:rPr>
          <w:rFonts w:cs="Courier New"/>
          <w:color w:val="000000"/>
          <w:sz w:val="24"/>
          <w:szCs w:val="24"/>
        </w:rPr>
        <w:t xml:space="preserve">). </w:t>
      </w:r>
      <w:r w:rsidRPr="00C13016">
        <w:rPr>
          <w:rFonts w:cs="Courier New"/>
          <w:color w:val="000000"/>
          <w:sz w:val="24"/>
          <w:szCs w:val="24"/>
        </w:rPr>
        <w:t>The average length of a GP surge</w:t>
      </w:r>
      <w:r w:rsidR="00865BAF">
        <w:rPr>
          <w:rFonts w:cs="Courier New"/>
          <w:color w:val="000000"/>
          <w:sz w:val="24"/>
          <w:szCs w:val="24"/>
        </w:rPr>
        <w:t>ry consultation is 11.7 minutes which works out to a</w:t>
      </w:r>
      <w:r w:rsidR="00DA2303">
        <w:rPr>
          <w:rFonts w:cs="Courier New"/>
          <w:color w:val="000000"/>
          <w:sz w:val="24"/>
          <w:szCs w:val="24"/>
        </w:rPr>
        <w:t xml:space="preserve"> cost of</w:t>
      </w:r>
      <w:r w:rsidRPr="00C13016">
        <w:rPr>
          <w:rFonts w:cs="Courier New"/>
          <w:color w:val="000000"/>
          <w:sz w:val="24"/>
          <w:szCs w:val="24"/>
        </w:rPr>
        <w:t xml:space="preserve"> £37</w:t>
      </w:r>
      <w:r w:rsidR="00DA2303">
        <w:rPr>
          <w:rFonts w:cs="Courier New"/>
          <w:color w:val="000000"/>
          <w:sz w:val="24"/>
          <w:szCs w:val="24"/>
        </w:rPr>
        <w:t xml:space="preserve"> per GP visit. </w:t>
      </w:r>
      <w:r w:rsidR="008D4A70">
        <w:rPr>
          <w:rFonts w:cs="Courier New"/>
          <w:color w:val="000000"/>
          <w:sz w:val="24"/>
          <w:szCs w:val="24"/>
        </w:rPr>
        <w:t>We assume that those visiting GPs 6</w:t>
      </w:r>
      <w:r w:rsidR="006B6B14">
        <w:rPr>
          <w:rFonts w:cs="Courier New"/>
          <w:color w:val="000000"/>
          <w:sz w:val="24"/>
          <w:szCs w:val="24"/>
        </w:rPr>
        <w:t xml:space="preserve"> or more</w:t>
      </w:r>
      <w:r w:rsidR="008D4A70">
        <w:rPr>
          <w:rFonts w:cs="Courier New"/>
          <w:color w:val="000000"/>
          <w:sz w:val="24"/>
          <w:szCs w:val="24"/>
        </w:rPr>
        <w:t xml:space="preserve"> times per year visit on average 10 times</w:t>
      </w:r>
      <w:r w:rsidR="00D75605">
        <w:rPr>
          <w:rFonts w:cs="Courier New"/>
          <w:color w:val="000000"/>
          <w:sz w:val="24"/>
          <w:szCs w:val="24"/>
        </w:rPr>
        <w:t>.</w:t>
      </w:r>
    </w:p>
    <w:p w14:paraId="2BF52F20" w14:textId="77777777" w:rsidR="00456380" w:rsidRDefault="00456380" w:rsidP="00865BAF">
      <w:pPr>
        <w:spacing w:after="0" w:line="240" w:lineRule="auto"/>
        <w:rPr>
          <w:rFonts w:cs="Courier New"/>
          <w:color w:val="000000"/>
          <w:sz w:val="24"/>
          <w:szCs w:val="24"/>
        </w:rPr>
      </w:pPr>
    </w:p>
    <w:p w14:paraId="781D9D30" w14:textId="7D170B7A" w:rsidR="00456380" w:rsidRDefault="00456380" w:rsidP="00865BAF">
      <w:pPr>
        <w:spacing w:after="0" w:line="240" w:lineRule="auto"/>
        <w:rPr>
          <w:rFonts w:cs="Courier New"/>
          <w:color w:val="000000"/>
          <w:sz w:val="24"/>
          <w:szCs w:val="24"/>
        </w:rPr>
      </w:pPr>
      <w:r>
        <w:rPr>
          <w:rFonts w:cs="Courier New"/>
          <w:color w:val="000000"/>
          <w:sz w:val="24"/>
          <w:szCs w:val="24"/>
        </w:rPr>
        <w:t>For total annual cost savings to the NHS, we use the most current ONS population estimates available</w:t>
      </w:r>
      <w:r w:rsidR="00502249">
        <w:rPr>
          <w:rFonts w:cs="Courier New"/>
          <w:color w:val="000000"/>
          <w:sz w:val="24"/>
          <w:szCs w:val="24"/>
        </w:rPr>
        <w:t xml:space="preserve"> for England</w:t>
      </w:r>
      <w:r>
        <w:rPr>
          <w:rFonts w:cs="Courier New"/>
          <w:color w:val="000000"/>
          <w:sz w:val="24"/>
          <w:szCs w:val="24"/>
        </w:rPr>
        <w:t xml:space="preserve">, which are from June 2013. We multiple this by the </w:t>
      </w:r>
      <w:r w:rsidR="00BD232F">
        <w:rPr>
          <w:rFonts w:cs="Courier New"/>
          <w:color w:val="000000"/>
          <w:sz w:val="24"/>
          <w:szCs w:val="24"/>
        </w:rPr>
        <w:t xml:space="preserve">weighted </w:t>
      </w:r>
      <w:r>
        <w:rPr>
          <w:rFonts w:cs="Courier New"/>
          <w:color w:val="000000"/>
          <w:sz w:val="24"/>
          <w:szCs w:val="24"/>
        </w:rPr>
        <w:t>proportion of people engaging in culture and sports</w:t>
      </w:r>
      <w:r w:rsidR="00502249">
        <w:rPr>
          <w:rFonts w:cs="Courier New"/>
          <w:color w:val="000000"/>
          <w:sz w:val="24"/>
          <w:szCs w:val="24"/>
        </w:rPr>
        <w:t xml:space="preserve"> in England</w:t>
      </w:r>
      <w:r>
        <w:rPr>
          <w:rFonts w:cs="Courier New"/>
          <w:color w:val="000000"/>
          <w:sz w:val="24"/>
          <w:szCs w:val="24"/>
        </w:rPr>
        <w:t xml:space="preserve">, </w:t>
      </w:r>
      <w:r w:rsidR="00020D7D">
        <w:rPr>
          <w:rFonts w:cs="Courier New"/>
          <w:color w:val="000000"/>
          <w:sz w:val="24"/>
          <w:szCs w:val="24"/>
        </w:rPr>
        <w:t xml:space="preserve">which are </w:t>
      </w:r>
      <w:r>
        <w:rPr>
          <w:rFonts w:cs="Courier New"/>
          <w:color w:val="000000"/>
          <w:sz w:val="24"/>
          <w:szCs w:val="24"/>
        </w:rPr>
        <w:t>taken from the most current version of the Taking Part Survey</w:t>
      </w:r>
      <w:r w:rsidR="00020D7D">
        <w:rPr>
          <w:rFonts w:cs="Courier New"/>
          <w:color w:val="000000"/>
          <w:sz w:val="24"/>
          <w:szCs w:val="24"/>
        </w:rPr>
        <w:t xml:space="preserve"> covering</w:t>
      </w:r>
      <w:r>
        <w:rPr>
          <w:rFonts w:cs="Courier New"/>
          <w:color w:val="000000"/>
          <w:sz w:val="24"/>
          <w:szCs w:val="24"/>
        </w:rPr>
        <w:t xml:space="preserve"> 2012/2013.</w:t>
      </w:r>
      <w:r w:rsidR="00020D7D">
        <w:rPr>
          <w:rFonts w:cs="Courier New"/>
          <w:color w:val="000000"/>
          <w:sz w:val="24"/>
          <w:szCs w:val="24"/>
        </w:rPr>
        <w:t xml:space="preserve"> We then multiply this </w:t>
      </w:r>
      <w:r w:rsidR="00020D7D">
        <w:rPr>
          <w:rFonts w:cs="Courier New"/>
          <w:color w:val="000000"/>
          <w:sz w:val="24"/>
          <w:szCs w:val="24"/>
        </w:rPr>
        <w:lastRenderedPageBreak/>
        <w:t>figure by the estimated NHS cost savings per person to generate the total annual cost savings.</w:t>
      </w:r>
    </w:p>
    <w:p w14:paraId="23242DFB" w14:textId="77777777" w:rsidR="00D75605" w:rsidRDefault="00D75605" w:rsidP="00865BAF">
      <w:pPr>
        <w:spacing w:after="0" w:line="240" w:lineRule="auto"/>
        <w:rPr>
          <w:rFonts w:cs="Courier New"/>
          <w:color w:val="000000"/>
          <w:sz w:val="24"/>
          <w:szCs w:val="24"/>
        </w:rPr>
      </w:pPr>
    </w:p>
    <w:p w14:paraId="3E04AD42" w14:textId="77777777" w:rsidR="00456380" w:rsidRPr="003C623A" w:rsidRDefault="006661E8" w:rsidP="00EE01AA">
      <w:pPr>
        <w:spacing w:after="0" w:line="240" w:lineRule="auto"/>
        <w:rPr>
          <w:i/>
          <w:sz w:val="20"/>
        </w:rPr>
      </w:pPr>
      <w:r>
        <w:rPr>
          <w:rFonts w:cs="Courier New"/>
          <w:b/>
          <w:sz w:val="24"/>
          <w:szCs w:val="24"/>
        </w:rPr>
        <w:t>Table 8</w:t>
      </w:r>
      <w:r w:rsidR="00D75605" w:rsidRPr="001E34C0">
        <w:rPr>
          <w:rFonts w:cs="Courier New"/>
          <w:b/>
          <w:sz w:val="24"/>
          <w:szCs w:val="24"/>
        </w:rPr>
        <w:t xml:space="preserve">. </w:t>
      </w:r>
      <w:r w:rsidR="00E14343" w:rsidRPr="001E34C0">
        <w:rPr>
          <w:rFonts w:cs="Courier New"/>
          <w:b/>
          <w:sz w:val="24"/>
          <w:szCs w:val="24"/>
        </w:rPr>
        <w:t xml:space="preserve">Estimated NHS cost savings due to </w:t>
      </w:r>
      <w:r w:rsidR="00982624">
        <w:rPr>
          <w:rFonts w:cs="Courier New"/>
          <w:b/>
          <w:sz w:val="24"/>
          <w:szCs w:val="24"/>
        </w:rPr>
        <w:t xml:space="preserve">predicted </w:t>
      </w:r>
      <w:r w:rsidR="00E14343" w:rsidRPr="001E34C0">
        <w:rPr>
          <w:rFonts w:cs="Courier New"/>
          <w:b/>
          <w:sz w:val="24"/>
          <w:szCs w:val="24"/>
        </w:rPr>
        <w:t xml:space="preserve">reductions in GP visits </w:t>
      </w:r>
    </w:p>
    <w:tbl>
      <w:tblPr>
        <w:tblW w:w="8600" w:type="dxa"/>
        <w:tblInd w:w="93" w:type="dxa"/>
        <w:tblLook w:val="04A0" w:firstRow="1" w:lastRow="0" w:firstColumn="1" w:lastColumn="0" w:noHBand="0" w:noVBand="1"/>
      </w:tblPr>
      <w:tblGrid>
        <w:gridCol w:w="2060"/>
        <w:gridCol w:w="3080"/>
        <w:gridCol w:w="1500"/>
        <w:gridCol w:w="1960"/>
      </w:tblGrid>
      <w:tr w:rsidR="00686F3C" w:rsidRPr="00686F3C" w14:paraId="014FADFA" w14:textId="77777777" w:rsidTr="00686F3C">
        <w:trPr>
          <w:trHeight w:val="1140"/>
        </w:trPr>
        <w:tc>
          <w:tcPr>
            <w:tcW w:w="2060" w:type="dxa"/>
            <w:tcBorders>
              <w:top w:val="single" w:sz="8" w:space="0" w:color="auto"/>
              <w:left w:val="single" w:sz="8" w:space="0" w:color="auto"/>
              <w:bottom w:val="double" w:sz="6" w:space="0" w:color="auto"/>
              <w:right w:val="nil"/>
            </w:tcBorders>
            <w:shd w:val="clear" w:color="000000" w:fill="0070C0"/>
            <w:vAlign w:val="center"/>
            <w:hideMark/>
          </w:tcPr>
          <w:p w14:paraId="547783DC"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Variables</w:t>
            </w:r>
          </w:p>
        </w:tc>
        <w:tc>
          <w:tcPr>
            <w:tcW w:w="3080" w:type="dxa"/>
            <w:tcBorders>
              <w:top w:val="single" w:sz="8" w:space="0" w:color="auto"/>
              <w:left w:val="single" w:sz="8" w:space="0" w:color="auto"/>
              <w:bottom w:val="double" w:sz="6" w:space="0" w:color="auto"/>
              <w:right w:val="single" w:sz="8" w:space="0" w:color="auto"/>
            </w:tcBorders>
            <w:shd w:val="clear" w:color="000000" w:fill="0070C0"/>
            <w:vAlign w:val="center"/>
            <w:hideMark/>
          </w:tcPr>
          <w:p w14:paraId="080A6252"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Probability impact on likelihood of visiting GP 6+ times</w:t>
            </w:r>
          </w:p>
        </w:tc>
        <w:tc>
          <w:tcPr>
            <w:tcW w:w="1500" w:type="dxa"/>
            <w:tcBorders>
              <w:top w:val="single" w:sz="8" w:space="0" w:color="auto"/>
              <w:left w:val="nil"/>
              <w:bottom w:val="double" w:sz="6" w:space="0" w:color="auto"/>
              <w:right w:val="single" w:sz="8" w:space="0" w:color="auto"/>
            </w:tcBorders>
            <w:shd w:val="clear" w:color="000000" w:fill="0070C0"/>
            <w:vAlign w:val="center"/>
            <w:hideMark/>
          </w:tcPr>
          <w:p w14:paraId="116A9DA3"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Estimated NHS cost saving per person</w:t>
            </w:r>
          </w:p>
        </w:tc>
        <w:tc>
          <w:tcPr>
            <w:tcW w:w="1960" w:type="dxa"/>
            <w:tcBorders>
              <w:top w:val="single" w:sz="8" w:space="0" w:color="auto"/>
              <w:left w:val="nil"/>
              <w:bottom w:val="double" w:sz="6" w:space="0" w:color="auto"/>
              <w:right w:val="single" w:sz="8" w:space="0" w:color="auto"/>
            </w:tcBorders>
            <w:shd w:val="clear" w:color="000000" w:fill="0070C0"/>
            <w:vAlign w:val="center"/>
            <w:hideMark/>
          </w:tcPr>
          <w:p w14:paraId="422E3262"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Total annual cost savings to the NHS</w:t>
            </w:r>
          </w:p>
        </w:tc>
      </w:tr>
      <w:tr w:rsidR="00686F3C" w:rsidRPr="00686F3C" w14:paraId="06A645B9" w14:textId="77777777" w:rsidTr="00686F3C">
        <w:trPr>
          <w:trHeight w:val="340"/>
        </w:trPr>
        <w:tc>
          <w:tcPr>
            <w:tcW w:w="2060" w:type="dxa"/>
            <w:tcBorders>
              <w:top w:val="nil"/>
              <w:left w:val="single" w:sz="8" w:space="0" w:color="auto"/>
              <w:bottom w:val="single" w:sz="8" w:space="0" w:color="auto"/>
              <w:right w:val="nil"/>
            </w:tcBorders>
            <w:shd w:val="clear" w:color="000000" w:fill="0070C0"/>
            <w:noWrap/>
            <w:vAlign w:val="center"/>
            <w:hideMark/>
          </w:tcPr>
          <w:p w14:paraId="68D1F129"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Sports</w:t>
            </w:r>
          </w:p>
        </w:tc>
        <w:tc>
          <w:tcPr>
            <w:tcW w:w="3080" w:type="dxa"/>
            <w:tcBorders>
              <w:top w:val="nil"/>
              <w:left w:val="single" w:sz="8" w:space="0" w:color="auto"/>
              <w:bottom w:val="single" w:sz="8" w:space="0" w:color="auto"/>
              <w:right w:val="single" w:sz="8" w:space="0" w:color="auto"/>
            </w:tcBorders>
            <w:shd w:val="clear" w:color="000000" w:fill="0070C0"/>
            <w:noWrap/>
            <w:vAlign w:val="center"/>
            <w:hideMark/>
          </w:tcPr>
          <w:p w14:paraId="591DAB94"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 </w:t>
            </w:r>
          </w:p>
        </w:tc>
        <w:tc>
          <w:tcPr>
            <w:tcW w:w="1500" w:type="dxa"/>
            <w:tcBorders>
              <w:top w:val="nil"/>
              <w:left w:val="nil"/>
              <w:bottom w:val="single" w:sz="8" w:space="0" w:color="auto"/>
              <w:right w:val="single" w:sz="8" w:space="0" w:color="auto"/>
            </w:tcBorders>
            <w:shd w:val="clear" w:color="000000" w:fill="0070C0"/>
            <w:noWrap/>
            <w:vAlign w:val="center"/>
            <w:hideMark/>
          </w:tcPr>
          <w:p w14:paraId="624C3178"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 </w:t>
            </w:r>
          </w:p>
        </w:tc>
        <w:tc>
          <w:tcPr>
            <w:tcW w:w="1960" w:type="dxa"/>
            <w:tcBorders>
              <w:top w:val="nil"/>
              <w:left w:val="nil"/>
              <w:bottom w:val="single" w:sz="8" w:space="0" w:color="auto"/>
              <w:right w:val="single" w:sz="8" w:space="0" w:color="auto"/>
            </w:tcBorders>
            <w:shd w:val="clear" w:color="000000" w:fill="0070C0"/>
            <w:noWrap/>
            <w:vAlign w:val="center"/>
            <w:hideMark/>
          </w:tcPr>
          <w:p w14:paraId="2012A73B"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 </w:t>
            </w:r>
          </w:p>
        </w:tc>
      </w:tr>
      <w:tr w:rsidR="00686F3C" w:rsidRPr="00686F3C" w14:paraId="0E7CFED8" w14:textId="77777777" w:rsidTr="00686F3C">
        <w:trPr>
          <w:trHeight w:val="300"/>
        </w:trPr>
        <w:tc>
          <w:tcPr>
            <w:tcW w:w="2060" w:type="dxa"/>
            <w:tcBorders>
              <w:top w:val="nil"/>
              <w:left w:val="single" w:sz="8" w:space="0" w:color="auto"/>
              <w:bottom w:val="nil"/>
              <w:right w:val="nil"/>
            </w:tcBorders>
            <w:shd w:val="clear" w:color="auto" w:fill="auto"/>
            <w:noWrap/>
            <w:vAlign w:val="center"/>
            <w:hideMark/>
          </w:tcPr>
          <w:p w14:paraId="33CD8208"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All sports</w:t>
            </w:r>
          </w:p>
        </w:tc>
        <w:tc>
          <w:tcPr>
            <w:tcW w:w="3080" w:type="dxa"/>
            <w:tcBorders>
              <w:top w:val="nil"/>
              <w:left w:val="single" w:sz="8" w:space="0" w:color="auto"/>
              <w:bottom w:val="nil"/>
              <w:right w:val="single" w:sz="8" w:space="0" w:color="auto"/>
            </w:tcBorders>
            <w:shd w:val="clear" w:color="auto" w:fill="auto"/>
            <w:noWrap/>
            <w:vAlign w:val="center"/>
            <w:hideMark/>
          </w:tcPr>
          <w:p w14:paraId="6E022CBE"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-3.58%</w:t>
            </w:r>
          </w:p>
        </w:tc>
        <w:tc>
          <w:tcPr>
            <w:tcW w:w="1500" w:type="dxa"/>
            <w:tcBorders>
              <w:top w:val="nil"/>
              <w:left w:val="nil"/>
              <w:bottom w:val="nil"/>
              <w:right w:val="single" w:sz="8" w:space="0" w:color="auto"/>
            </w:tcBorders>
            <w:shd w:val="clear" w:color="auto" w:fill="auto"/>
            <w:noWrap/>
            <w:vAlign w:val="center"/>
            <w:hideMark/>
          </w:tcPr>
          <w:p w14:paraId="647B6BEF"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£13.25</w:t>
            </w:r>
          </w:p>
        </w:tc>
        <w:tc>
          <w:tcPr>
            <w:tcW w:w="1960" w:type="dxa"/>
            <w:tcBorders>
              <w:top w:val="nil"/>
              <w:left w:val="nil"/>
              <w:bottom w:val="nil"/>
              <w:right w:val="single" w:sz="8" w:space="0" w:color="auto"/>
            </w:tcBorders>
            <w:shd w:val="clear" w:color="auto" w:fill="auto"/>
            <w:noWrap/>
            <w:vAlign w:val="bottom"/>
            <w:hideMark/>
          </w:tcPr>
          <w:p w14:paraId="6DE893DA"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£384,900,412</w:t>
            </w:r>
          </w:p>
        </w:tc>
      </w:tr>
      <w:tr w:rsidR="00686F3C" w:rsidRPr="00686F3C" w14:paraId="21893160" w14:textId="77777777" w:rsidTr="00686F3C">
        <w:trPr>
          <w:trHeight w:val="300"/>
        </w:trPr>
        <w:tc>
          <w:tcPr>
            <w:tcW w:w="2060" w:type="dxa"/>
            <w:tcBorders>
              <w:top w:val="nil"/>
              <w:left w:val="single" w:sz="8" w:space="0" w:color="auto"/>
              <w:bottom w:val="nil"/>
              <w:right w:val="nil"/>
            </w:tcBorders>
            <w:shd w:val="clear" w:color="auto" w:fill="auto"/>
            <w:noWrap/>
            <w:vAlign w:val="center"/>
            <w:hideMark/>
          </w:tcPr>
          <w:p w14:paraId="6C4966A1"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Team sports</w:t>
            </w:r>
          </w:p>
        </w:tc>
        <w:tc>
          <w:tcPr>
            <w:tcW w:w="3080" w:type="dxa"/>
            <w:tcBorders>
              <w:top w:val="nil"/>
              <w:left w:val="single" w:sz="8" w:space="0" w:color="auto"/>
              <w:bottom w:val="nil"/>
              <w:right w:val="single" w:sz="8" w:space="0" w:color="auto"/>
            </w:tcBorders>
            <w:shd w:val="clear" w:color="auto" w:fill="auto"/>
            <w:noWrap/>
            <w:vAlign w:val="center"/>
            <w:hideMark/>
          </w:tcPr>
          <w:p w14:paraId="56F3173D"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-1.93%</w:t>
            </w:r>
          </w:p>
        </w:tc>
        <w:tc>
          <w:tcPr>
            <w:tcW w:w="1500" w:type="dxa"/>
            <w:tcBorders>
              <w:top w:val="nil"/>
              <w:left w:val="nil"/>
              <w:bottom w:val="nil"/>
              <w:right w:val="single" w:sz="8" w:space="0" w:color="auto"/>
            </w:tcBorders>
            <w:shd w:val="clear" w:color="auto" w:fill="auto"/>
            <w:noWrap/>
            <w:vAlign w:val="center"/>
            <w:hideMark/>
          </w:tcPr>
          <w:p w14:paraId="46CF569A"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£7.14</w:t>
            </w:r>
          </w:p>
        </w:tc>
        <w:tc>
          <w:tcPr>
            <w:tcW w:w="1960" w:type="dxa"/>
            <w:tcBorders>
              <w:top w:val="nil"/>
              <w:left w:val="nil"/>
              <w:bottom w:val="nil"/>
              <w:right w:val="single" w:sz="8" w:space="0" w:color="auto"/>
            </w:tcBorders>
            <w:shd w:val="clear" w:color="auto" w:fill="auto"/>
            <w:noWrap/>
            <w:vAlign w:val="center"/>
            <w:hideMark/>
          </w:tcPr>
          <w:p w14:paraId="1B3A2AD0"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£38,340,081</w:t>
            </w:r>
          </w:p>
        </w:tc>
      </w:tr>
      <w:tr w:rsidR="00686F3C" w:rsidRPr="00686F3C" w14:paraId="4373DCDE" w14:textId="77777777" w:rsidTr="00686F3C">
        <w:trPr>
          <w:trHeight w:val="320"/>
        </w:trPr>
        <w:tc>
          <w:tcPr>
            <w:tcW w:w="2060" w:type="dxa"/>
            <w:tcBorders>
              <w:top w:val="nil"/>
              <w:left w:val="single" w:sz="8" w:space="0" w:color="auto"/>
              <w:bottom w:val="single" w:sz="8" w:space="0" w:color="auto"/>
              <w:right w:val="nil"/>
            </w:tcBorders>
            <w:shd w:val="clear" w:color="auto" w:fill="auto"/>
            <w:noWrap/>
            <w:vAlign w:val="center"/>
            <w:hideMark/>
          </w:tcPr>
          <w:p w14:paraId="2737F21D"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Individual sports</w:t>
            </w:r>
          </w:p>
        </w:tc>
        <w:tc>
          <w:tcPr>
            <w:tcW w:w="3080" w:type="dxa"/>
            <w:tcBorders>
              <w:top w:val="nil"/>
              <w:left w:val="single" w:sz="8" w:space="0" w:color="auto"/>
              <w:bottom w:val="single" w:sz="8" w:space="0" w:color="auto"/>
              <w:right w:val="single" w:sz="8" w:space="0" w:color="auto"/>
            </w:tcBorders>
            <w:shd w:val="clear" w:color="auto" w:fill="auto"/>
            <w:noWrap/>
            <w:vAlign w:val="center"/>
            <w:hideMark/>
          </w:tcPr>
          <w:p w14:paraId="28500BE4"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-3.28%</w:t>
            </w:r>
          </w:p>
        </w:tc>
        <w:tc>
          <w:tcPr>
            <w:tcW w:w="1500" w:type="dxa"/>
            <w:tcBorders>
              <w:top w:val="nil"/>
              <w:left w:val="nil"/>
              <w:bottom w:val="nil"/>
              <w:right w:val="single" w:sz="8" w:space="0" w:color="auto"/>
            </w:tcBorders>
            <w:shd w:val="clear" w:color="auto" w:fill="auto"/>
            <w:noWrap/>
            <w:vAlign w:val="center"/>
            <w:hideMark/>
          </w:tcPr>
          <w:p w14:paraId="21E4FD00"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£12.12</w:t>
            </w:r>
          </w:p>
        </w:tc>
        <w:tc>
          <w:tcPr>
            <w:tcW w:w="1960" w:type="dxa"/>
            <w:tcBorders>
              <w:top w:val="nil"/>
              <w:left w:val="nil"/>
              <w:bottom w:val="single" w:sz="8" w:space="0" w:color="auto"/>
              <w:right w:val="single" w:sz="8" w:space="0" w:color="auto"/>
            </w:tcBorders>
            <w:shd w:val="clear" w:color="auto" w:fill="auto"/>
            <w:noWrap/>
            <w:vAlign w:val="center"/>
            <w:hideMark/>
          </w:tcPr>
          <w:p w14:paraId="68CAB44D"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£347,048,324</w:t>
            </w:r>
          </w:p>
        </w:tc>
      </w:tr>
      <w:tr w:rsidR="00686F3C" w:rsidRPr="00686F3C" w14:paraId="6DEB0125" w14:textId="77777777" w:rsidTr="00686F3C">
        <w:trPr>
          <w:trHeight w:val="320"/>
        </w:trPr>
        <w:tc>
          <w:tcPr>
            <w:tcW w:w="2060" w:type="dxa"/>
            <w:tcBorders>
              <w:top w:val="nil"/>
              <w:left w:val="single" w:sz="8" w:space="0" w:color="auto"/>
              <w:bottom w:val="single" w:sz="8" w:space="0" w:color="auto"/>
              <w:right w:val="nil"/>
            </w:tcBorders>
            <w:shd w:val="clear" w:color="000000" w:fill="0070C0"/>
            <w:noWrap/>
            <w:vAlign w:val="center"/>
            <w:hideMark/>
          </w:tcPr>
          <w:p w14:paraId="4EED03E5" w14:textId="77777777" w:rsidR="00686F3C" w:rsidRPr="00686F3C" w:rsidRDefault="00686F3C" w:rsidP="00686F3C">
            <w:pPr>
              <w:spacing w:after="0" w:line="240" w:lineRule="auto"/>
              <w:jc w:val="center"/>
              <w:rPr>
                <w:rFonts w:ascii="Calibri" w:eastAsia="Times New Roman" w:hAnsi="Calibri" w:cs="Times New Roman"/>
                <w:b/>
                <w:bCs/>
                <w:color w:val="FFFFFF"/>
                <w:lang w:val="en-US"/>
              </w:rPr>
            </w:pPr>
            <w:r w:rsidRPr="00686F3C">
              <w:rPr>
                <w:rFonts w:ascii="Calibri" w:eastAsia="Times New Roman" w:hAnsi="Calibri" w:cs="Times New Roman"/>
                <w:b/>
                <w:bCs/>
                <w:color w:val="FFFFFF"/>
                <w:lang w:val="en-US"/>
              </w:rPr>
              <w:t>Culture</w:t>
            </w:r>
          </w:p>
        </w:tc>
        <w:tc>
          <w:tcPr>
            <w:tcW w:w="3080" w:type="dxa"/>
            <w:tcBorders>
              <w:top w:val="nil"/>
              <w:left w:val="single" w:sz="8" w:space="0" w:color="auto"/>
              <w:bottom w:val="single" w:sz="8" w:space="0" w:color="auto"/>
              <w:right w:val="single" w:sz="8" w:space="0" w:color="auto"/>
            </w:tcBorders>
            <w:shd w:val="clear" w:color="000000" w:fill="0070C0"/>
            <w:noWrap/>
            <w:vAlign w:val="center"/>
            <w:hideMark/>
          </w:tcPr>
          <w:p w14:paraId="75BB3A76" w14:textId="77777777" w:rsidR="00686F3C" w:rsidRPr="00686F3C" w:rsidRDefault="00686F3C" w:rsidP="00686F3C">
            <w:pPr>
              <w:spacing w:after="0" w:line="240" w:lineRule="auto"/>
              <w:jc w:val="center"/>
              <w:rPr>
                <w:rFonts w:ascii="Calibri" w:eastAsia="Times New Roman" w:hAnsi="Calibri" w:cs="Times New Roman"/>
                <w:color w:val="FFFFFF"/>
                <w:lang w:val="en-US"/>
              </w:rPr>
            </w:pPr>
            <w:r w:rsidRPr="00686F3C">
              <w:rPr>
                <w:rFonts w:ascii="Calibri" w:eastAsia="Times New Roman" w:hAnsi="Calibri" w:cs="Times New Roman"/>
                <w:color w:val="FFFFFF"/>
                <w:lang w:val="en-US"/>
              </w:rPr>
              <w:t> </w:t>
            </w:r>
          </w:p>
        </w:tc>
        <w:tc>
          <w:tcPr>
            <w:tcW w:w="1500" w:type="dxa"/>
            <w:tcBorders>
              <w:top w:val="single" w:sz="8" w:space="0" w:color="auto"/>
              <w:left w:val="nil"/>
              <w:bottom w:val="single" w:sz="8" w:space="0" w:color="auto"/>
              <w:right w:val="single" w:sz="8" w:space="0" w:color="auto"/>
            </w:tcBorders>
            <w:shd w:val="clear" w:color="000000" w:fill="0070C0"/>
            <w:noWrap/>
            <w:vAlign w:val="center"/>
            <w:hideMark/>
          </w:tcPr>
          <w:p w14:paraId="2ABEABA4" w14:textId="77777777" w:rsidR="00686F3C" w:rsidRPr="00686F3C" w:rsidRDefault="00686F3C" w:rsidP="00686F3C">
            <w:pPr>
              <w:spacing w:after="0" w:line="240" w:lineRule="auto"/>
              <w:jc w:val="center"/>
              <w:rPr>
                <w:rFonts w:ascii="Calibri" w:eastAsia="Times New Roman" w:hAnsi="Calibri" w:cs="Times New Roman"/>
                <w:color w:val="FFFFFF"/>
                <w:lang w:val="en-US"/>
              </w:rPr>
            </w:pPr>
            <w:r w:rsidRPr="00686F3C">
              <w:rPr>
                <w:rFonts w:ascii="Calibri" w:eastAsia="Times New Roman" w:hAnsi="Calibri" w:cs="Times New Roman"/>
                <w:color w:val="FFFFFF"/>
                <w:lang w:val="en-US"/>
              </w:rPr>
              <w:t> </w:t>
            </w:r>
          </w:p>
        </w:tc>
        <w:tc>
          <w:tcPr>
            <w:tcW w:w="1960" w:type="dxa"/>
            <w:tcBorders>
              <w:top w:val="nil"/>
              <w:left w:val="nil"/>
              <w:bottom w:val="single" w:sz="8" w:space="0" w:color="auto"/>
              <w:right w:val="single" w:sz="8" w:space="0" w:color="auto"/>
            </w:tcBorders>
            <w:shd w:val="clear" w:color="000000" w:fill="0070C0"/>
            <w:noWrap/>
            <w:vAlign w:val="center"/>
            <w:hideMark/>
          </w:tcPr>
          <w:p w14:paraId="6FCB8645" w14:textId="77777777" w:rsidR="00686F3C" w:rsidRPr="00686F3C" w:rsidRDefault="00686F3C" w:rsidP="00686F3C">
            <w:pPr>
              <w:spacing w:after="0" w:line="240" w:lineRule="auto"/>
              <w:jc w:val="center"/>
              <w:rPr>
                <w:rFonts w:ascii="Calibri" w:eastAsia="Times New Roman" w:hAnsi="Calibri" w:cs="Times New Roman"/>
                <w:color w:val="FFFFFF"/>
                <w:lang w:val="en-US"/>
              </w:rPr>
            </w:pPr>
            <w:r w:rsidRPr="00686F3C">
              <w:rPr>
                <w:rFonts w:ascii="Calibri" w:eastAsia="Times New Roman" w:hAnsi="Calibri" w:cs="Times New Roman"/>
                <w:color w:val="FFFFFF"/>
                <w:lang w:val="en-US"/>
              </w:rPr>
              <w:t> </w:t>
            </w:r>
          </w:p>
        </w:tc>
      </w:tr>
      <w:tr w:rsidR="00686F3C" w:rsidRPr="00686F3C" w14:paraId="354EDC46" w14:textId="77777777" w:rsidTr="00686F3C">
        <w:trPr>
          <w:trHeight w:val="300"/>
        </w:trPr>
        <w:tc>
          <w:tcPr>
            <w:tcW w:w="2060" w:type="dxa"/>
            <w:tcBorders>
              <w:top w:val="nil"/>
              <w:left w:val="single" w:sz="8" w:space="0" w:color="auto"/>
              <w:bottom w:val="nil"/>
              <w:right w:val="nil"/>
            </w:tcBorders>
            <w:shd w:val="clear" w:color="auto" w:fill="auto"/>
            <w:noWrap/>
            <w:vAlign w:val="center"/>
            <w:hideMark/>
          </w:tcPr>
          <w:p w14:paraId="6B97E0D9"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Audience arts</w:t>
            </w:r>
          </w:p>
        </w:tc>
        <w:tc>
          <w:tcPr>
            <w:tcW w:w="3080" w:type="dxa"/>
            <w:tcBorders>
              <w:top w:val="nil"/>
              <w:left w:val="single" w:sz="8" w:space="0" w:color="auto"/>
              <w:bottom w:val="nil"/>
              <w:right w:val="single" w:sz="8" w:space="0" w:color="auto"/>
            </w:tcBorders>
            <w:shd w:val="clear" w:color="auto" w:fill="auto"/>
            <w:noWrap/>
            <w:vAlign w:val="center"/>
            <w:hideMark/>
          </w:tcPr>
          <w:p w14:paraId="3C99E123"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-1.37%</w:t>
            </w:r>
          </w:p>
        </w:tc>
        <w:tc>
          <w:tcPr>
            <w:tcW w:w="1500" w:type="dxa"/>
            <w:tcBorders>
              <w:top w:val="nil"/>
              <w:left w:val="nil"/>
              <w:bottom w:val="nil"/>
              <w:right w:val="single" w:sz="8" w:space="0" w:color="auto"/>
            </w:tcBorders>
            <w:shd w:val="clear" w:color="auto" w:fill="auto"/>
            <w:noWrap/>
            <w:vAlign w:val="center"/>
            <w:hideMark/>
          </w:tcPr>
          <w:p w14:paraId="765EE2BD"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£5.07</w:t>
            </w:r>
          </w:p>
        </w:tc>
        <w:tc>
          <w:tcPr>
            <w:tcW w:w="1960" w:type="dxa"/>
            <w:tcBorders>
              <w:top w:val="nil"/>
              <w:left w:val="nil"/>
              <w:bottom w:val="nil"/>
              <w:right w:val="single" w:sz="8" w:space="0" w:color="auto"/>
            </w:tcBorders>
            <w:shd w:val="clear" w:color="auto" w:fill="auto"/>
            <w:noWrap/>
            <w:vAlign w:val="center"/>
            <w:hideMark/>
          </w:tcPr>
          <w:p w14:paraId="312D637F"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£168,837,279</w:t>
            </w:r>
          </w:p>
        </w:tc>
      </w:tr>
      <w:tr w:rsidR="00686F3C" w:rsidRPr="00686F3C" w14:paraId="0431EC56" w14:textId="77777777" w:rsidTr="00686F3C">
        <w:trPr>
          <w:trHeight w:val="300"/>
        </w:trPr>
        <w:tc>
          <w:tcPr>
            <w:tcW w:w="2060" w:type="dxa"/>
            <w:tcBorders>
              <w:top w:val="nil"/>
              <w:left w:val="single" w:sz="8" w:space="0" w:color="auto"/>
              <w:bottom w:val="nil"/>
              <w:right w:val="nil"/>
            </w:tcBorders>
            <w:shd w:val="clear" w:color="auto" w:fill="auto"/>
            <w:noWrap/>
            <w:vAlign w:val="center"/>
            <w:hideMark/>
          </w:tcPr>
          <w:p w14:paraId="2D653ACE"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Heritage</w:t>
            </w:r>
          </w:p>
        </w:tc>
        <w:tc>
          <w:tcPr>
            <w:tcW w:w="3080" w:type="dxa"/>
            <w:tcBorders>
              <w:top w:val="nil"/>
              <w:left w:val="single" w:sz="8" w:space="0" w:color="auto"/>
              <w:bottom w:val="nil"/>
              <w:right w:val="single" w:sz="8" w:space="0" w:color="auto"/>
            </w:tcBorders>
            <w:shd w:val="clear" w:color="auto" w:fill="auto"/>
            <w:noWrap/>
            <w:vAlign w:val="center"/>
            <w:hideMark/>
          </w:tcPr>
          <w:p w14:paraId="1F8DAE5B"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-0.70%</w:t>
            </w:r>
          </w:p>
        </w:tc>
        <w:tc>
          <w:tcPr>
            <w:tcW w:w="1500" w:type="dxa"/>
            <w:tcBorders>
              <w:top w:val="nil"/>
              <w:left w:val="nil"/>
              <w:bottom w:val="nil"/>
              <w:right w:val="single" w:sz="8" w:space="0" w:color="auto"/>
            </w:tcBorders>
            <w:shd w:val="clear" w:color="auto" w:fill="auto"/>
            <w:noWrap/>
            <w:vAlign w:val="center"/>
            <w:hideMark/>
          </w:tcPr>
          <w:p w14:paraId="19669168"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£2.59</w:t>
            </w:r>
          </w:p>
        </w:tc>
        <w:tc>
          <w:tcPr>
            <w:tcW w:w="1960" w:type="dxa"/>
            <w:tcBorders>
              <w:top w:val="nil"/>
              <w:left w:val="nil"/>
              <w:bottom w:val="nil"/>
              <w:right w:val="single" w:sz="8" w:space="0" w:color="auto"/>
            </w:tcBorders>
            <w:shd w:val="clear" w:color="auto" w:fill="auto"/>
            <w:noWrap/>
            <w:vAlign w:val="center"/>
            <w:hideMark/>
          </w:tcPr>
          <w:p w14:paraId="0EE50D0A"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£82,179,668</w:t>
            </w:r>
          </w:p>
        </w:tc>
      </w:tr>
      <w:tr w:rsidR="00686F3C" w:rsidRPr="00686F3C" w14:paraId="5935C384" w14:textId="77777777" w:rsidTr="00686F3C">
        <w:trPr>
          <w:trHeight w:val="300"/>
        </w:trPr>
        <w:tc>
          <w:tcPr>
            <w:tcW w:w="2060" w:type="dxa"/>
            <w:tcBorders>
              <w:top w:val="nil"/>
              <w:left w:val="single" w:sz="8" w:space="0" w:color="auto"/>
              <w:bottom w:val="nil"/>
              <w:right w:val="nil"/>
            </w:tcBorders>
            <w:shd w:val="clear" w:color="auto" w:fill="auto"/>
            <w:noWrap/>
            <w:vAlign w:val="center"/>
            <w:hideMark/>
          </w:tcPr>
          <w:p w14:paraId="0A445F76"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Library</w:t>
            </w:r>
          </w:p>
        </w:tc>
        <w:tc>
          <w:tcPr>
            <w:tcW w:w="3080" w:type="dxa"/>
            <w:tcBorders>
              <w:top w:val="nil"/>
              <w:left w:val="single" w:sz="8" w:space="0" w:color="auto"/>
              <w:bottom w:val="nil"/>
              <w:right w:val="single" w:sz="8" w:space="0" w:color="auto"/>
            </w:tcBorders>
            <w:shd w:val="clear" w:color="auto" w:fill="auto"/>
            <w:noWrap/>
            <w:vAlign w:val="center"/>
            <w:hideMark/>
          </w:tcPr>
          <w:p w14:paraId="7C0ED887"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-0.28%</w:t>
            </w:r>
          </w:p>
        </w:tc>
        <w:tc>
          <w:tcPr>
            <w:tcW w:w="1500" w:type="dxa"/>
            <w:tcBorders>
              <w:top w:val="nil"/>
              <w:left w:val="nil"/>
              <w:bottom w:val="nil"/>
              <w:right w:val="single" w:sz="8" w:space="0" w:color="auto"/>
            </w:tcBorders>
            <w:shd w:val="clear" w:color="auto" w:fill="auto"/>
            <w:noWrap/>
            <w:vAlign w:val="center"/>
            <w:hideMark/>
          </w:tcPr>
          <w:p w14:paraId="6095A8C1"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£1.05</w:t>
            </w:r>
          </w:p>
        </w:tc>
        <w:tc>
          <w:tcPr>
            <w:tcW w:w="1960" w:type="dxa"/>
            <w:tcBorders>
              <w:top w:val="nil"/>
              <w:left w:val="nil"/>
              <w:bottom w:val="nil"/>
              <w:right w:val="single" w:sz="8" w:space="0" w:color="auto"/>
            </w:tcBorders>
            <w:shd w:val="clear" w:color="auto" w:fill="auto"/>
            <w:noWrap/>
            <w:vAlign w:val="center"/>
            <w:hideMark/>
          </w:tcPr>
          <w:p w14:paraId="6877DBBD"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£17,991,968</w:t>
            </w:r>
          </w:p>
        </w:tc>
      </w:tr>
      <w:tr w:rsidR="00686F3C" w:rsidRPr="00686F3C" w14:paraId="1D8A81A5" w14:textId="77777777" w:rsidTr="00686F3C">
        <w:trPr>
          <w:trHeight w:val="320"/>
        </w:trPr>
        <w:tc>
          <w:tcPr>
            <w:tcW w:w="2060" w:type="dxa"/>
            <w:tcBorders>
              <w:top w:val="nil"/>
              <w:left w:val="single" w:sz="8" w:space="0" w:color="auto"/>
              <w:bottom w:val="single" w:sz="8" w:space="0" w:color="auto"/>
              <w:right w:val="nil"/>
            </w:tcBorders>
            <w:shd w:val="clear" w:color="auto" w:fill="auto"/>
            <w:noWrap/>
            <w:vAlign w:val="center"/>
            <w:hideMark/>
          </w:tcPr>
          <w:p w14:paraId="7E9A8155" w14:textId="77777777" w:rsidR="00686F3C" w:rsidRPr="00686F3C" w:rsidRDefault="00686F3C" w:rsidP="00686F3C">
            <w:pPr>
              <w:spacing w:after="0" w:line="240" w:lineRule="auto"/>
              <w:rPr>
                <w:rFonts w:ascii="Calibri" w:eastAsia="Times New Roman" w:hAnsi="Calibri" w:cs="Times New Roman"/>
                <w:i/>
                <w:iCs/>
                <w:color w:val="000000"/>
                <w:lang w:val="en-US"/>
              </w:rPr>
            </w:pPr>
            <w:r w:rsidRPr="00686F3C">
              <w:rPr>
                <w:rFonts w:ascii="Calibri" w:eastAsia="Times New Roman" w:hAnsi="Calibri" w:cs="Times New Roman"/>
                <w:i/>
                <w:iCs/>
                <w:color w:val="000000"/>
                <w:lang w:val="en-US"/>
              </w:rPr>
              <w:t>Museum</w:t>
            </w:r>
          </w:p>
        </w:tc>
        <w:tc>
          <w:tcPr>
            <w:tcW w:w="3080" w:type="dxa"/>
            <w:tcBorders>
              <w:top w:val="nil"/>
              <w:left w:val="single" w:sz="8" w:space="0" w:color="auto"/>
              <w:bottom w:val="single" w:sz="8" w:space="0" w:color="auto"/>
              <w:right w:val="single" w:sz="8" w:space="0" w:color="auto"/>
            </w:tcBorders>
            <w:shd w:val="clear" w:color="auto" w:fill="auto"/>
            <w:noWrap/>
            <w:vAlign w:val="center"/>
            <w:hideMark/>
          </w:tcPr>
          <w:p w14:paraId="086086AE"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-0.51%</w:t>
            </w:r>
          </w:p>
        </w:tc>
        <w:tc>
          <w:tcPr>
            <w:tcW w:w="1500" w:type="dxa"/>
            <w:tcBorders>
              <w:top w:val="nil"/>
              <w:left w:val="nil"/>
              <w:bottom w:val="single" w:sz="8" w:space="0" w:color="auto"/>
              <w:right w:val="single" w:sz="8" w:space="0" w:color="auto"/>
            </w:tcBorders>
            <w:shd w:val="clear" w:color="auto" w:fill="auto"/>
            <w:noWrap/>
            <w:vAlign w:val="center"/>
            <w:hideMark/>
          </w:tcPr>
          <w:p w14:paraId="7A1B6ACB"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£1.89</w:t>
            </w:r>
          </w:p>
        </w:tc>
        <w:tc>
          <w:tcPr>
            <w:tcW w:w="1960" w:type="dxa"/>
            <w:tcBorders>
              <w:top w:val="nil"/>
              <w:left w:val="nil"/>
              <w:bottom w:val="single" w:sz="8" w:space="0" w:color="auto"/>
              <w:right w:val="single" w:sz="8" w:space="0" w:color="auto"/>
            </w:tcBorders>
            <w:shd w:val="clear" w:color="auto" w:fill="auto"/>
            <w:noWrap/>
            <w:vAlign w:val="center"/>
            <w:hideMark/>
          </w:tcPr>
          <w:p w14:paraId="08DCE6AF" w14:textId="77777777" w:rsidR="00686F3C" w:rsidRPr="00686F3C" w:rsidRDefault="00686F3C" w:rsidP="00686F3C">
            <w:pPr>
              <w:spacing w:after="0" w:line="240" w:lineRule="auto"/>
              <w:jc w:val="center"/>
              <w:rPr>
                <w:rFonts w:ascii="Calibri" w:eastAsia="Times New Roman" w:hAnsi="Calibri" w:cs="Times New Roman"/>
                <w:color w:val="000000"/>
                <w:lang w:val="en-US"/>
              </w:rPr>
            </w:pPr>
            <w:r w:rsidRPr="00686F3C">
              <w:rPr>
                <w:rFonts w:ascii="Calibri" w:eastAsia="Times New Roman" w:hAnsi="Calibri" w:cs="Times New Roman"/>
                <w:color w:val="000000"/>
                <w:lang w:val="en-US"/>
              </w:rPr>
              <w:t>£44,720,926</w:t>
            </w:r>
          </w:p>
        </w:tc>
      </w:tr>
    </w:tbl>
    <w:p w14:paraId="659C6803" w14:textId="77777777" w:rsidR="007D2BAD" w:rsidRPr="003C623A" w:rsidRDefault="003C623A" w:rsidP="003C623A">
      <w:pPr>
        <w:spacing w:after="0" w:line="240" w:lineRule="auto"/>
        <w:ind w:right="1229"/>
        <w:rPr>
          <w:i/>
          <w:sz w:val="20"/>
        </w:rPr>
      </w:pPr>
      <w:r>
        <w:rPr>
          <w:i/>
          <w:sz w:val="20"/>
        </w:rPr>
        <w:t xml:space="preserve"> Probability impact estimates from product of coefficients on ‘good_health’ from </w:t>
      </w:r>
      <w:r w:rsidR="006661E8">
        <w:rPr>
          <w:i/>
          <w:sz w:val="20"/>
        </w:rPr>
        <w:t>Table 7</w:t>
      </w:r>
      <w:r>
        <w:rPr>
          <w:i/>
          <w:sz w:val="20"/>
        </w:rPr>
        <w:t xml:space="preserve"> and culture/sports variables from </w:t>
      </w:r>
      <w:r w:rsidR="006661E8">
        <w:rPr>
          <w:i/>
          <w:sz w:val="20"/>
        </w:rPr>
        <w:t>Table 4</w:t>
      </w:r>
      <w:r>
        <w:rPr>
          <w:i/>
          <w:sz w:val="20"/>
        </w:rPr>
        <w:t>.</w:t>
      </w:r>
    </w:p>
    <w:p w14:paraId="3C4F2976" w14:textId="77777777" w:rsidR="003C623A" w:rsidRDefault="003C623A" w:rsidP="00EA4B35">
      <w:pPr>
        <w:spacing w:after="0" w:line="240" w:lineRule="auto"/>
        <w:rPr>
          <w:sz w:val="24"/>
        </w:rPr>
      </w:pPr>
    </w:p>
    <w:p w14:paraId="43F65CB3" w14:textId="77777777" w:rsidR="001E34C0" w:rsidRDefault="001E34C0" w:rsidP="00EA4B35">
      <w:pPr>
        <w:spacing w:after="0" w:line="240" w:lineRule="auto"/>
        <w:rPr>
          <w:sz w:val="24"/>
        </w:rPr>
      </w:pPr>
      <w:r w:rsidRPr="001E34C0">
        <w:rPr>
          <w:sz w:val="24"/>
        </w:rPr>
        <w:t xml:space="preserve">NHS cost savings represent the </w:t>
      </w:r>
      <w:r w:rsidR="00EF3F9E">
        <w:rPr>
          <w:rFonts w:cs="Arial"/>
          <w:sz w:val="24"/>
          <w:szCs w:val="24"/>
        </w:rPr>
        <w:t>predicted</w:t>
      </w:r>
      <w:r w:rsidR="00EF3F9E" w:rsidRPr="001E34C0">
        <w:rPr>
          <w:sz w:val="24"/>
        </w:rPr>
        <w:t xml:space="preserve"> </w:t>
      </w:r>
      <w:r w:rsidRPr="001E34C0">
        <w:rPr>
          <w:sz w:val="24"/>
        </w:rPr>
        <w:t>annual reduction in costs due to reductions in GP visit frequency</w:t>
      </w:r>
      <w:r>
        <w:rPr>
          <w:sz w:val="24"/>
        </w:rPr>
        <w:t xml:space="preserve"> per person that partakes in the cultural/sporting activity.</w:t>
      </w:r>
      <w:r w:rsidRPr="001E34C0">
        <w:rPr>
          <w:sz w:val="24"/>
        </w:rPr>
        <w:t xml:space="preserve"> </w:t>
      </w:r>
      <w:r w:rsidR="00C12A2B">
        <w:rPr>
          <w:sz w:val="24"/>
        </w:rPr>
        <w:t>For impacts over time they should be discounted using the HM Treasury discount rate.</w:t>
      </w:r>
    </w:p>
    <w:p w14:paraId="5D4F07C8" w14:textId="77777777" w:rsidR="003143AD" w:rsidRDefault="003143AD" w:rsidP="00821281">
      <w:pPr>
        <w:spacing w:after="0" w:line="240" w:lineRule="auto"/>
        <w:rPr>
          <w:rFonts w:cs="Courier New"/>
          <w:b/>
          <w:sz w:val="24"/>
          <w:szCs w:val="24"/>
        </w:rPr>
      </w:pPr>
    </w:p>
    <w:p w14:paraId="3BEA6BCF" w14:textId="77777777" w:rsidR="00821281" w:rsidRPr="0012748B" w:rsidRDefault="0015758C" w:rsidP="00821281">
      <w:pPr>
        <w:spacing w:after="0" w:line="240" w:lineRule="auto"/>
        <w:rPr>
          <w:rFonts w:cs="Courier New"/>
          <w:b/>
          <w:sz w:val="24"/>
          <w:szCs w:val="24"/>
        </w:rPr>
      </w:pPr>
      <w:r>
        <w:rPr>
          <w:rFonts w:cs="Courier New"/>
          <w:b/>
          <w:sz w:val="24"/>
          <w:szCs w:val="24"/>
        </w:rPr>
        <w:t>Table 9</w:t>
      </w:r>
      <w:r w:rsidR="00821281" w:rsidRPr="001E34C0">
        <w:rPr>
          <w:rFonts w:cs="Courier New"/>
          <w:b/>
          <w:sz w:val="24"/>
          <w:szCs w:val="24"/>
        </w:rPr>
        <w:t>. Estimated NHS cost savings due to</w:t>
      </w:r>
      <w:r w:rsidR="00982624">
        <w:rPr>
          <w:rFonts w:cs="Courier New"/>
          <w:b/>
          <w:sz w:val="24"/>
          <w:szCs w:val="24"/>
        </w:rPr>
        <w:t xml:space="preserve"> predicted</w:t>
      </w:r>
      <w:r w:rsidR="00821281" w:rsidRPr="001E34C0">
        <w:rPr>
          <w:rFonts w:cs="Courier New"/>
          <w:b/>
          <w:sz w:val="24"/>
          <w:szCs w:val="24"/>
        </w:rPr>
        <w:t xml:space="preserve"> reductions in psychotherapy use</w:t>
      </w:r>
    </w:p>
    <w:tbl>
      <w:tblPr>
        <w:tblW w:w="8600" w:type="dxa"/>
        <w:tblInd w:w="93" w:type="dxa"/>
        <w:tblLook w:val="04A0" w:firstRow="1" w:lastRow="0" w:firstColumn="1" w:lastColumn="0" w:noHBand="0" w:noVBand="1"/>
      </w:tblPr>
      <w:tblGrid>
        <w:gridCol w:w="2060"/>
        <w:gridCol w:w="3080"/>
        <w:gridCol w:w="1500"/>
        <w:gridCol w:w="1960"/>
      </w:tblGrid>
      <w:tr w:rsidR="00FD5D18" w:rsidRPr="00FD5D18" w14:paraId="419E9294" w14:textId="77777777" w:rsidTr="00FD5D18">
        <w:trPr>
          <w:trHeight w:val="860"/>
        </w:trPr>
        <w:tc>
          <w:tcPr>
            <w:tcW w:w="2060" w:type="dxa"/>
            <w:tcBorders>
              <w:top w:val="single" w:sz="8" w:space="0" w:color="auto"/>
              <w:left w:val="single" w:sz="8" w:space="0" w:color="auto"/>
              <w:bottom w:val="double" w:sz="6" w:space="0" w:color="auto"/>
              <w:right w:val="nil"/>
            </w:tcBorders>
            <w:shd w:val="clear" w:color="000000" w:fill="0070C0"/>
            <w:vAlign w:val="center"/>
            <w:hideMark/>
          </w:tcPr>
          <w:p w14:paraId="2B36AA1C"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Variables</w:t>
            </w:r>
          </w:p>
        </w:tc>
        <w:tc>
          <w:tcPr>
            <w:tcW w:w="3080" w:type="dxa"/>
            <w:tcBorders>
              <w:top w:val="single" w:sz="8" w:space="0" w:color="auto"/>
              <w:left w:val="single" w:sz="8" w:space="0" w:color="auto"/>
              <w:bottom w:val="double" w:sz="6" w:space="0" w:color="auto"/>
              <w:right w:val="single" w:sz="8" w:space="0" w:color="auto"/>
            </w:tcBorders>
            <w:shd w:val="clear" w:color="000000" w:fill="0070C0"/>
            <w:vAlign w:val="center"/>
            <w:hideMark/>
          </w:tcPr>
          <w:p w14:paraId="6B28B9B4"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Probability impact on likelihood of using psychotherapy</w:t>
            </w:r>
          </w:p>
        </w:tc>
        <w:tc>
          <w:tcPr>
            <w:tcW w:w="1500" w:type="dxa"/>
            <w:tcBorders>
              <w:top w:val="single" w:sz="8" w:space="0" w:color="auto"/>
              <w:left w:val="nil"/>
              <w:bottom w:val="double" w:sz="6" w:space="0" w:color="auto"/>
              <w:right w:val="single" w:sz="8" w:space="0" w:color="auto"/>
            </w:tcBorders>
            <w:shd w:val="clear" w:color="000000" w:fill="0070C0"/>
            <w:vAlign w:val="center"/>
            <w:hideMark/>
          </w:tcPr>
          <w:p w14:paraId="14691DD0"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Estimated NHS cost saving</w:t>
            </w:r>
            <w:r w:rsidR="003B1137">
              <w:rPr>
                <w:rFonts w:ascii="Calibri" w:eastAsia="Times New Roman" w:hAnsi="Calibri" w:cs="Times New Roman"/>
                <w:b/>
                <w:bCs/>
                <w:color w:val="FFFFFF"/>
                <w:lang w:val="en-US"/>
              </w:rPr>
              <w:t xml:space="preserve"> per person</w:t>
            </w:r>
          </w:p>
        </w:tc>
        <w:tc>
          <w:tcPr>
            <w:tcW w:w="1960" w:type="dxa"/>
            <w:tcBorders>
              <w:top w:val="single" w:sz="8" w:space="0" w:color="auto"/>
              <w:left w:val="nil"/>
              <w:bottom w:val="double" w:sz="6" w:space="0" w:color="auto"/>
              <w:right w:val="single" w:sz="8" w:space="0" w:color="auto"/>
            </w:tcBorders>
            <w:shd w:val="clear" w:color="000000" w:fill="0070C0"/>
            <w:vAlign w:val="center"/>
            <w:hideMark/>
          </w:tcPr>
          <w:p w14:paraId="1FA96BF0"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Total annual cost savings to the NHS</w:t>
            </w:r>
          </w:p>
        </w:tc>
      </w:tr>
      <w:tr w:rsidR="00FD5D18" w:rsidRPr="00FD5D18" w14:paraId="6D4F5967" w14:textId="77777777" w:rsidTr="00FD5D18">
        <w:trPr>
          <w:trHeight w:val="340"/>
        </w:trPr>
        <w:tc>
          <w:tcPr>
            <w:tcW w:w="2060" w:type="dxa"/>
            <w:tcBorders>
              <w:top w:val="nil"/>
              <w:left w:val="single" w:sz="8" w:space="0" w:color="auto"/>
              <w:bottom w:val="single" w:sz="8" w:space="0" w:color="auto"/>
              <w:right w:val="nil"/>
            </w:tcBorders>
            <w:shd w:val="clear" w:color="000000" w:fill="0070C0"/>
            <w:noWrap/>
            <w:vAlign w:val="center"/>
            <w:hideMark/>
          </w:tcPr>
          <w:p w14:paraId="7B6A2109"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Sports</w:t>
            </w:r>
          </w:p>
        </w:tc>
        <w:tc>
          <w:tcPr>
            <w:tcW w:w="3080" w:type="dxa"/>
            <w:tcBorders>
              <w:top w:val="nil"/>
              <w:left w:val="single" w:sz="8" w:space="0" w:color="auto"/>
              <w:bottom w:val="single" w:sz="8" w:space="0" w:color="auto"/>
              <w:right w:val="single" w:sz="8" w:space="0" w:color="auto"/>
            </w:tcBorders>
            <w:shd w:val="clear" w:color="000000" w:fill="0070C0"/>
            <w:noWrap/>
            <w:vAlign w:val="center"/>
            <w:hideMark/>
          </w:tcPr>
          <w:p w14:paraId="31825E57"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 </w:t>
            </w:r>
          </w:p>
        </w:tc>
        <w:tc>
          <w:tcPr>
            <w:tcW w:w="1500" w:type="dxa"/>
            <w:tcBorders>
              <w:top w:val="nil"/>
              <w:left w:val="nil"/>
              <w:bottom w:val="single" w:sz="8" w:space="0" w:color="auto"/>
              <w:right w:val="single" w:sz="8" w:space="0" w:color="auto"/>
            </w:tcBorders>
            <w:shd w:val="clear" w:color="000000" w:fill="0070C0"/>
            <w:noWrap/>
            <w:vAlign w:val="center"/>
            <w:hideMark/>
          </w:tcPr>
          <w:p w14:paraId="716A040C"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 </w:t>
            </w:r>
          </w:p>
        </w:tc>
        <w:tc>
          <w:tcPr>
            <w:tcW w:w="1960" w:type="dxa"/>
            <w:tcBorders>
              <w:top w:val="nil"/>
              <w:left w:val="nil"/>
              <w:bottom w:val="single" w:sz="8" w:space="0" w:color="auto"/>
              <w:right w:val="single" w:sz="8" w:space="0" w:color="auto"/>
            </w:tcBorders>
            <w:shd w:val="clear" w:color="000000" w:fill="0070C0"/>
            <w:noWrap/>
            <w:vAlign w:val="center"/>
            <w:hideMark/>
          </w:tcPr>
          <w:p w14:paraId="0B2A3567"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 </w:t>
            </w:r>
          </w:p>
        </w:tc>
      </w:tr>
      <w:tr w:rsidR="00FD5D18" w:rsidRPr="00FD5D18" w14:paraId="568F6541" w14:textId="77777777" w:rsidTr="00FD5D18">
        <w:trPr>
          <w:trHeight w:val="300"/>
        </w:trPr>
        <w:tc>
          <w:tcPr>
            <w:tcW w:w="2060" w:type="dxa"/>
            <w:tcBorders>
              <w:top w:val="nil"/>
              <w:left w:val="single" w:sz="8" w:space="0" w:color="auto"/>
              <w:bottom w:val="nil"/>
              <w:right w:val="nil"/>
            </w:tcBorders>
            <w:shd w:val="clear" w:color="auto" w:fill="auto"/>
            <w:noWrap/>
            <w:vAlign w:val="center"/>
            <w:hideMark/>
          </w:tcPr>
          <w:p w14:paraId="1825ABF9"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All sports</w:t>
            </w:r>
          </w:p>
        </w:tc>
        <w:tc>
          <w:tcPr>
            <w:tcW w:w="3080" w:type="dxa"/>
            <w:tcBorders>
              <w:top w:val="nil"/>
              <w:left w:val="single" w:sz="8" w:space="0" w:color="auto"/>
              <w:bottom w:val="nil"/>
              <w:right w:val="single" w:sz="8" w:space="0" w:color="auto"/>
            </w:tcBorders>
            <w:shd w:val="clear" w:color="auto" w:fill="auto"/>
            <w:noWrap/>
            <w:vAlign w:val="center"/>
            <w:hideMark/>
          </w:tcPr>
          <w:p w14:paraId="78432421"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-1.18%</w:t>
            </w:r>
          </w:p>
        </w:tc>
        <w:tc>
          <w:tcPr>
            <w:tcW w:w="1500" w:type="dxa"/>
            <w:tcBorders>
              <w:top w:val="nil"/>
              <w:left w:val="nil"/>
              <w:bottom w:val="nil"/>
              <w:right w:val="single" w:sz="8" w:space="0" w:color="auto"/>
            </w:tcBorders>
            <w:shd w:val="clear" w:color="auto" w:fill="auto"/>
            <w:noWrap/>
            <w:vAlign w:val="center"/>
            <w:hideMark/>
          </w:tcPr>
          <w:p w14:paraId="42CDFA6D"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£17.86</w:t>
            </w:r>
          </w:p>
        </w:tc>
        <w:tc>
          <w:tcPr>
            <w:tcW w:w="1960" w:type="dxa"/>
            <w:tcBorders>
              <w:top w:val="nil"/>
              <w:left w:val="nil"/>
              <w:bottom w:val="nil"/>
              <w:right w:val="single" w:sz="8" w:space="0" w:color="auto"/>
            </w:tcBorders>
            <w:shd w:val="clear" w:color="auto" w:fill="auto"/>
            <w:noWrap/>
            <w:vAlign w:val="bottom"/>
            <w:hideMark/>
          </w:tcPr>
          <w:p w14:paraId="730D0BED"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£518,816,706</w:t>
            </w:r>
          </w:p>
        </w:tc>
      </w:tr>
      <w:tr w:rsidR="00FD5D18" w:rsidRPr="00FD5D18" w14:paraId="5510D06A" w14:textId="77777777" w:rsidTr="00FD5D18">
        <w:trPr>
          <w:trHeight w:val="300"/>
        </w:trPr>
        <w:tc>
          <w:tcPr>
            <w:tcW w:w="2060" w:type="dxa"/>
            <w:tcBorders>
              <w:top w:val="nil"/>
              <w:left w:val="single" w:sz="8" w:space="0" w:color="auto"/>
              <w:bottom w:val="nil"/>
              <w:right w:val="nil"/>
            </w:tcBorders>
            <w:shd w:val="clear" w:color="auto" w:fill="auto"/>
            <w:noWrap/>
            <w:vAlign w:val="center"/>
            <w:hideMark/>
          </w:tcPr>
          <w:p w14:paraId="562C46A7"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Team sports</w:t>
            </w:r>
          </w:p>
        </w:tc>
        <w:tc>
          <w:tcPr>
            <w:tcW w:w="3080" w:type="dxa"/>
            <w:tcBorders>
              <w:top w:val="nil"/>
              <w:left w:val="single" w:sz="8" w:space="0" w:color="auto"/>
              <w:bottom w:val="nil"/>
              <w:right w:val="single" w:sz="8" w:space="0" w:color="auto"/>
            </w:tcBorders>
            <w:shd w:val="clear" w:color="auto" w:fill="auto"/>
            <w:noWrap/>
            <w:vAlign w:val="center"/>
            <w:hideMark/>
          </w:tcPr>
          <w:p w14:paraId="7B9F5EEA"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-0.64%</w:t>
            </w:r>
          </w:p>
        </w:tc>
        <w:tc>
          <w:tcPr>
            <w:tcW w:w="1500" w:type="dxa"/>
            <w:tcBorders>
              <w:top w:val="nil"/>
              <w:left w:val="nil"/>
              <w:bottom w:val="nil"/>
              <w:right w:val="single" w:sz="8" w:space="0" w:color="auto"/>
            </w:tcBorders>
            <w:shd w:val="clear" w:color="auto" w:fill="auto"/>
            <w:noWrap/>
            <w:vAlign w:val="center"/>
            <w:hideMark/>
          </w:tcPr>
          <w:p w14:paraId="2C092694"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£9.63</w:t>
            </w:r>
          </w:p>
        </w:tc>
        <w:tc>
          <w:tcPr>
            <w:tcW w:w="1960" w:type="dxa"/>
            <w:tcBorders>
              <w:top w:val="nil"/>
              <w:left w:val="nil"/>
              <w:bottom w:val="nil"/>
              <w:right w:val="single" w:sz="8" w:space="0" w:color="auto"/>
            </w:tcBorders>
            <w:shd w:val="clear" w:color="auto" w:fill="auto"/>
            <w:noWrap/>
            <w:vAlign w:val="center"/>
            <w:hideMark/>
          </w:tcPr>
          <w:p w14:paraId="7619C112"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£51,710,781</w:t>
            </w:r>
          </w:p>
        </w:tc>
      </w:tr>
      <w:tr w:rsidR="00FD5D18" w:rsidRPr="00FD5D18" w14:paraId="74F1662B" w14:textId="77777777" w:rsidTr="00FD5D18">
        <w:trPr>
          <w:trHeight w:val="320"/>
        </w:trPr>
        <w:tc>
          <w:tcPr>
            <w:tcW w:w="2060" w:type="dxa"/>
            <w:tcBorders>
              <w:top w:val="nil"/>
              <w:left w:val="single" w:sz="8" w:space="0" w:color="auto"/>
              <w:bottom w:val="single" w:sz="8" w:space="0" w:color="auto"/>
              <w:right w:val="nil"/>
            </w:tcBorders>
            <w:shd w:val="clear" w:color="auto" w:fill="auto"/>
            <w:noWrap/>
            <w:vAlign w:val="center"/>
            <w:hideMark/>
          </w:tcPr>
          <w:p w14:paraId="01185C89"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Individual sports</w:t>
            </w:r>
          </w:p>
        </w:tc>
        <w:tc>
          <w:tcPr>
            <w:tcW w:w="3080" w:type="dxa"/>
            <w:tcBorders>
              <w:top w:val="nil"/>
              <w:left w:val="single" w:sz="8" w:space="0" w:color="auto"/>
              <w:bottom w:val="single" w:sz="8" w:space="0" w:color="auto"/>
              <w:right w:val="single" w:sz="8" w:space="0" w:color="auto"/>
            </w:tcBorders>
            <w:shd w:val="clear" w:color="auto" w:fill="auto"/>
            <w:noWrap/>
            <w:vAlign w:val="center"/>
            <w:hideMark/>
          </w:tcPr>
          <w:p w14:paraId="1EA2A812"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-1.08%</w:t>
            </w:r>
          </w:p>
        </w:tc>
        <w:tc>
          <w:tcPr>
            <w:tcW w:w="1500" w:type="dxa"/>
            <w:tcBorders>
              <w:top w:val="nil"/>
              <w:left w:val="nil"/>
              <w:bottom w:val="nil"/>
              <w:right w:val="single" w:sz="8" w:space="0" w:color="auto"/>
            </w:tcBorders>
            <w:shd w:val="clear" w:color="auto" w:fill="auto"/>
            <w:noWrap/>
            <w:vAlign w:val="center"/>
            <w:hideMark/>
          </w:tcPr>
          <w:p w14:paraId="61168C23"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£16.34</w:t>
            </w:r>
          </w:p>
        </w:tc>
        <w:tc>
          <w:tcPr>
            <w:tcW w:w="1960" w:type="dxa"/>
            <w:tcBorders>
              <w:top w:val="nil"/>
              <w:left w:val="nil"/>
              <w:bottom w:val="single" w:sz="8" w:space="0" w:color="auto"/>
              <w:right w:val="single" w:sz="8" w:space="0" w:color="auto"/>
            </w:tcBorders>
            <w:shd w:val="clear" w:color="auto" w:fill="auto"/>
            <w:noWrap/>
            <w:vAlign w:val="center"/>
            <w:hideMark/>
          </w:tcPr>
          <w:p w14:paraId="390AF8A3"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£467,885,282</w:t>
            </w:r>
          </w:p>
        </w:tc>
      </w:tr>
      <w:tr w:rsidR="00FD5D18" w:rsidRPr="00FD5D18" w14:paraId="5BABAB1D" w14:textId="77777777" w:rsidTr="00FD5D18">
        <w:trPr>
          <w:trHeight w:val="320"/>
        </w:trPr>
        <w:tc>
          <w:tcPr>
            <w:tcW w:w="2060" w:type="dxa"/>
            <w:tcBorders>
              <w:top w:val="nil"/>
              <w:left w:val="single" w:sz="8" w:space="0" w:color="auto"/>
              <w:bottom w:val="single" w:sz="8" w:space="0" w:color="auto"/>
              <w:right w:val="nil"/>
            </w:tcBorders>
            <w:shd w:val="clear" w:color="000000" w:fill="0070C0"/>
            <w:noWrap/>
            <w:vAlign w:val="center"/>
            <w:hideMark/>
          </w:tcPr>
          <w:p w14:paraId="6BE98178" w14:textId="77777777" w:rsidR="00FD5D18" w:rsidRPr="00FD5D18" w:rsidRDefault="00FD5D18" w:rsidP="00FD5D18">
            <w:pPr>
              <w:spacing w:after="0" w:line="240" w:lineRule="auto"/>
              <w:jc w:val="center"/>
              <w:rPr>
                <w:rFonts w:ascii="Calibri" w:eastAsia="Times New Roman" w:hAnsi="Calibri" w:cs="Times New Roman"/>
                <w:b/>
                <w:bCs/>
                <w:color w:val="FFFFFF"/>
                <w:lang w:val="en-US"/>
              </w:rPr>
            </w:pPr>
            <w:r w:rsidRPr="00FD5D18">
              <w:rPr>
                <w:rFonts w:ascii="Calibri" w:eastAsia="Times New Roman" w:hAnsi="Calibri" w:cs="Times New Roman"/>
                <w:b/>
                <w:bCs/>
                <w:color w:val="FFFFFF"/>
                <w:lang w:val="en-US"/>
              </w:rPr>
              <w:t>Culture</w:t>
            </w:r>
          </w:p>
        </w:tc>
        <w:tc>
          <w:tcPr>
            <w:tcW w:w="3080" w:type="dxa"/>
            <w:tcBorders>
              <w:top w:val="nil"/>
              <w:left w:val="single" w:sz="8" w:space="0" w:color="auto"/>
              <w:bottom w:val="single" w:sz="8" w:space="0" w:color="auto"/>
              <w:right w:val="single" w:sz="8" w:space="0" w:color="auto"/>
            </w:tcBorders>
            <w:shd w:val="clear" w:color="000000" w:fill="0070C0"/>
            <w:noWrap/>
            <w:vAlign w:val="center"/>
            <w:hideMark/>
          </w:tcPr>
          <w:p w14:paraId="7818D08D" w14:textId="77777777" w:rsidR="00FD5D18" w:rsidRPr="00FD5D18" w:rsidRDefault="00FD5D18" w:rsidP="00FD5D18">
            <w:pPr>
              <w:spacing w:after="0" w:line="240" w:lineRule="auto"/>
              <w:jc w:val="center"/>
              <w:rPr>
                <w:rFonts w:ascii="Calibri" w:eastAsia="Times New Roman" w:hAnsi="Calibri" w:cs="Times New Roman"/>
                <w:color w:val="FFFFFF"/>
                <w:lang w:val="en-US"/>
              </w:rPr>
            </w:pPr>
            <w:r w:rsidRPr="00FD5D18">
              <w:rPr>
                <w:rFonts w:ascii="Calibri" w:eastAsia="Times New Roman" w:hAnsi="Calibri" w:cs="Times New Roman"/>
                <w:color w:val="FFFFFF"/>
                <w:lang w:val="en-US"/>
              </w:rPr>
              <w:t> </w:t>
            </w:r>
          </w:p>
        </w:tc>
        <w:tc>
          <w:tcPr>
            <w:tcW w:w="1500" w:type="dxa"/>
            <w:tcBorders>
              <w:top w:val="single" w:sz="8" w:space="0" w:color="auto"/>
              <w:left w:val="nil"/>
              <w:bottom w:val="single" w:sz="8" w:space="0" w:color="auto"/>
              <w:right w:val="single" w:sz="8" w:space="0" w:color="auto"/>
            </w:tcBorders>
            <w:shd w:val="clear" w:color="000000" w:fill="0070C0"/>
            <w:noWrap/>
            <w:vAlign w:val="center"/>
            <w:hideMark/>
          </w:tcPr>
          <w:p w14:paraId="6B05AA14" w14:textId="77777777" w:rsidR="00FD5D18" w:rsidRPr="00FD5D18" w:rsidRDefault="00FD5D18" w:rsidP="00FD5D18">
            <w:pPr>
              <w:spacing w:after="0" w:line="240" w:lineRule="auto"/>
              <w:jc w:val="center"/>
              <w:rPr>
                <w:rFonts w:ascii="Calibri" w:eastAsia="Times New Roman" w:hAnsi="Calibri" w:cs="Times New Roman"/>
                <w:color w:val="FFFFFF"/>
                <w:lang w:val="en-US"/>
              </w:rPr>
            </w:pPr>
            <w:r w:rsidRPr="00FD5D18">
              <w:rPr>
                <w:rFonts w:ascii="Calibri" w:eastAsia="Times New Roman" w:hAnsi="Calibri" w:cs="Times New Roman"/>
                <w:color w:val="FFFFFF"/>
                <w:lang w:val="en-US"/>
              </w:rPr>
              <w:t> </w:t>
            </w:r>
          </w:p>
        </w:tc>
        <w:tc>
          <w:tcPr>
            <w:tcW w:w="1960" w:type="dxa"/>
            <w:tcBorders>
              <w:top w:val="nil"/>
              <w:left w:val="nil"/>
              <w:bottom w:val="single" w:sz="8" w:space="0" w:color="auto"/>
              <w:right w:val="single" w:sz="8" w:space="0" w:color="auto"/>
            </w:tcBorders>
            <w:shd w:val="clear" w:color="000000" w:fill="0070C0"/>
            <w:noWrap/>
            <w:vAlign w:val="center"/>
            <w:hideMark/>
          </w:tcPr>
          <w:p w14:paraId="535AC104" w14:textId="77777777" w:rsidR="00FD5D18" w:rsidRPr="00FD5D18" w:rsidRDefault="00FD5D18" w:rsidP="00FD5D18">
            <w:pPr>
              <w:spacing w:after="0" w:line="240" w:lineRule="auto"/>
              <w:jc w:val="center"/>
              <w:rPr>
                <w:rFonts w:ascii="Calibri" w:eastAsia="Times New Roman" w:hAnsi="Calibri" w:cs="Times New Roman"/>
                <w:color w:val="FFFFFF"/>
                <w:lang w:val="en-US"/>
              </w:rPr>
            </w:pPr>
            <w:r w:rsidRPr="00FD5D18">
              <w:rPr>
                <w:rFonts w:ascii="Calibri" w:eastAsia="Times New Roman" w:hAnsi="Calibri" w:cs="Times New Roman"/>
                <w:color w:val="FFFFFF"/>
                <w:lang w:val="en-US"/>
              </w:rPr>
              <w:t> </w:t>
            </w:r>
          </w:p>
        </w:tc>
      </w:tr>
      <w:tr w:rsidR="00FD5D18" w:rsidRPr="00FD5D18" w14:paraId="16232EF2" w14:textId="77777777" w:rsidTr="00FD5D18">
        <w:trPr>
          <w:trHeight w:val="300"/>
        </w:trPr>
        <w:tc>
          <w:tcPr>
            <w:tcW w:w="2060" w:type="dxa"/>
            <w:tcBorders>
              <w:top w:val="nil"/>
              <w:left w:val="single" w:sz="8" w:space="0" w:color="auto"/>
              <w:bottom w:val="nil"/>
              <w:right w:val="nil"/>
            </w:tcBorders>
            <w:shd w:val="clear" w:color="auto" w:fill="auto"/>
            <w:noWrap/>
            <w:vAlign w:val="center"/>
            <w:hideMark/>
          </w:tcPr>
          <w:p w14:paraId="63D0709E"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Audience arts</w:t>
            </w:r>
          </w:p>
        </w:tc>
        <w:tc>
          <w:tcPr>
            <w:tcW w:w="3080" w:type="dxa"/>
            <w:tcBorders>
              <w:top w:val="nil"/>
              <w:left w:val="single" w:sz="8" w:space="0" w:color="auto"/>
              <w:bottom w:val="nil"/>
              <w:right w:val="single" w:sz="8" w:space="0" w:color="auto"/>
            </w:tcBorders>
            <w:shd w:val="clear" w:color="auto" w:fill="auto"/>
            <w:noWrap/>
            <w:vAlign w:val="center"/>
            <w:hideMark/>
          </w:tcPr>
          <w:p w14:paraId="4E7D4B9E"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-0.45%</w:t>
            </w:r>
          </w:p>
        </w:tc>
        <w:tc>
          <w:tcPr>
            <w:tcW w:w="1500" w:type="dxa"/>
            <w:tcBorders>
              <w:top w:val="nil"/>
              <w:left w:val="nil"/>
              <w:bottom w:val="nil"/>
              <w:right w:val="single" w:sz="8" w:space="0" w:color="auto"/>
            </w:tcBorders>
            <w:shd w:val="clear" w:color="auto" w:fill="auto"/>
            <w:noWrap/>
            <w:vAlign w:val="center"/>
            <w:hideMark/>
          </w:tcPr>
          <w:p w14:paraId="37CACDA8"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£6.84</w:t>
            </w:r>
          </w:p>
        </w:tc>
        <w:tc>
          <w:tcPr>
            <w:tcW w:w="1960" w:type="dxa"/>
            <w:tcBorders>
              <w:top w:val="nil"/>
              <w:left w:val="nil"/>
              <w:bottom w:val="nil"/>
              <w:right w:val="single" w:sz="8" w:space="0" w:color="auto"/>
            </w:tcBorders>
            <w:shd w:val="clear" w:color="auto" w:fill="auto"/>
            <w:noWrap/>
            <w:vAlign w:val="center"/>
            <w:hideMark/>
          </w:tcPr>
          <w:p w14:paraId="7A407707"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£227,780,471</w:t>
            </w:r>
          </w:p>
        </w:tc>
      </w:tr>
      <w:tr w:rsidR="00FD5D18" w:rsidRPr="00FD5D18" w14:paraId="6B5202AA" w14:textId="77777777" w:rsidTr="00FD5D18">
        <w:trPr>
          <w:trHeight w:val="300"/>
        </w:trPr>
        <w:tc>
          <w:tcPr>
            <w:tcW w:w="2060" w:type="dxa"/>
            <w:tcBorders>
              <w:top w:val="nil"/>
              <w:left w:val="single" w:sz="8" w:space="0" w:color="auto"/>
              <w:bottom w:val="nil"/>
              <w:right w:val="nil"/>
            </w:tcBorders>
            <w:shd w:val="clear" w:color="auto" w:fill="auto"/>
            <w:noWrap/>
            <w:vAlign w:val="center"/>
            <w:hideMark/>
          </w:tcPr>
          <w:p w14:paraId="5ECCC6DD"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Heritage</w:t>
            </w:r>
          </w:p>
        </w:tc>
        <w:tc>
          <w:tcPr>
            <w:tcW w:w="3080" w:type="dxa"/>
            <w:tcBorders>
              <w:top w:val="nil"/>
              <w:left w:val="single" w:sz="8" w:space="0" w:color="auto"/>
              <w:bottom w:val="nil"/>
              <w:right w:val="single" w:sz="8" w:space="0" w:color="auto"/>
            </w:tcBorders>
            <w:shd w:val="clear" w:color="auto" w:fill="auto"/>
            <w:noWrap/>
            <w:vAlign w:val="center"/>
            <w:hideMark/>
          </w:tcPr>
          <w:p w14:paraId="70F5FB07"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-0.23%</w:t>
            </w:r>
          </w:p>
        </w:tc>
        <w:tc>
          <w:tcPr>
            <w:tcW w:w="1500" w:type="dxa"/>
            <w:tcBorders>
              <w:top w:val="nil"/>
              <w:left w:val="nil"/>
              <w:bottom w:val="nil"/>
              <w:right w:val="single" w:sz="8" w:space="0" w:color="auto"/>
            </w:tcBorders>
            <w:shd w:val="clear" w:color="auto" w:fill="auto"/>
            <w:noWrap/>
            <w:vAlign w:val="center"/>
            <w:hideMark/>
          </w:tcPr>
          <w:p w14:paraId="27AC2737"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£3.50</w:t>
            </w:r>
          </w:p>
        </w:tc>
        <w:tc>
          <w:tcPr>
            <w:tcW w:w="1960" w:type="dxa"/>
            <w:tcBorders>
              <w:top w:val="nil"/>
              <w:left w:val="nil"/>
              <w:bottom w:val="nil"/>
              <w:right w:val="single" w:sz="8" w:space="0" w:color="auto"/>
            </w:tcBorders>
            <w:shd w:val="clear" w:color="auto" w:fill="auto"/>
            <w:noWrap/>
            <w:vAlign w:val="center"/>
            <w:hideMark/>
          </w:tcPr>
          <w:p w14:paraId="12694392"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£111,053,606</w:t>
            </w:r>
          </w:p>
        </w:tc>
      </w:tr>
      <w:tr w:rsidR="00FD5D18" w:rsidRPr="00FD5D18" w14:paraId="5FA0C03E" w14:textId="77777777" w:rsidTr="00FD5D18">
        <w:trPr>
          <w:trHeight w:val="300"/>
        </w:trPr>
        <w:tc>
          <w:tcPr>
            <w:tcW w:w="2060" w:type="dxa"/>
            <w:tcBorders>
              <w:top w:val="nil"/>
              <w:left w:val="single" w:sz="8" w:space="0" w:color="auto"/>
              <w:bottom w:val="nil"/>
              <w:right w:val="nil"/>
            </w:tcBorders>
            <w:shd w:val="clear" w:color="auto" w:fill="auto"/>
            <w:noWrap/>
            <w:vAlign w:val="center"/>
            <w:hideMark/>
          </w:tcPr>
          <w:p w14:paraId="443D30AA"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Library</w:t>
            </w:r>
          </w:p>
        </w:tc>
        <w:tc>
          <w:tcPr>
            <w:tcW w:w="3080" w:type="dxa"/>
            <w:tcBorders>
              <w:top w:val="nil"/>
              <w:left w:val="single" w:sz="8" w:space="0" w:color="auto"/>
              <w:bottom w:val="nil"/>
              <w:right w:val="single" w:sz="8" w:space="0" w:color="auto"/>
            </w:tcBorders>
            <w:shd w:val="clear" w:color="auto" w:fill="auto"/>
            <w:noWrap/>
            <w:vAlign w:val="center"/>
            <w:hideMark/>
          </w:tcPr>
          <w:p w14:paraId="7A80BBCD"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-0.09%</w:t>
            </w:r>
          </w:p>
        </w:tc>
        <w:tc>
          <w:tcPr>
            <w:tcW w:w="1500" w:type="dxa"/>
            <w:tcBorders>
              <w:top w:val="nil"/>
              <w:left w:val="nil"/>
              <w:bottom w:val="nil"/>
              <w:right w:val="single" w:sz="8" w:space="0" w:color="auto"/>
            </w:tcBorders>
            <w:shd w:val="clear" w:color="auto" w:fill="auto"/>
            <w:noWrap/>
            <w:vAlign w:val="center"/>
            <w:hideMark/>
          </w:tcPr>
          <w:p w14:paraId="37B1A3B4"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£1.42</w:t>
            </w:r>
          </w:p>
        </w:tc>
        <w:tc>
          <w:tcPr>
            <w:tcW w:w="1960" w:type="dxa"/>
            <w:tcBorders>
              <w:top w:val="nil"/>
              <w:left w:val="nil"/>
              <w:bottom w:val="nil"/>
              <w:right w:val="single" w:sz="8" w:space="0" w:color="auto"/>
            </w:tcBorders>
            <w:shd w:val="clear" w:color="auto" w:fill="auto"/>
            <w:noWrap/>
            <w:vAlign w:val="center"/>
            <w:hideMark/>
          </w:tcPr>
          <w:p w14:paraId="34E21086"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£24,331,994</w:t>
            </w:r>
          </w:p>
        </w:tc>
      </w:tr>
      <w:tr w:rsidR="00FD5D18" w:rsidRPr="00FD5D18" w14:paraId="35AC04FC" w14:textId="77777777" w:rsidTr="00FD5D18">
        <w:trPr>
          <w:trHeight w:val="320"/>
        </w:trPr>
        <w:tc>
          <w:tcPr>
            <w:tcW w:w="2060" w:type="dxa"/>
            <w:tcBorders>
              <w:top w:val="nil"/>
              <w:left w:val="single" w:sz="8" w:space="0" w:color="auto"/>
              <w:bottom w:val="single" w:sz="8" w:space="0" w:color="auto"/>
              <w:right w:val="nil"/>
            </w:tcBorders>
            <w:shd w:val="clear" w:color="auto" w:fill="auto"/>
            <w:noWrap/>
            <w:vAlign w:val="center"/>
            <w:hideMark/>
          </w:tcPr>
          <w:p w14:paraId="34FBE304" w14:textId="77777777" w:rsidR="00FD5D18" w:rsidRPr="00FD5D18" w:rsidRDefault="00FD5D18" w:rsidP="00FD5D18">
            <w:pPr>
              <w:spacing w:after="0" w:line="240" w:lineRule="auto"/>
              <w:rPr>
                <w:rFonts w:ascii="Calibri" w:eastAsia="Times New Roman" w:hAnsi="Calibri" w:cs="Times New Roman"/>
                <w:i/>
                <w:iCs/>
                <w:color w:val="000000"/>
                <w:lang w:val="en-US"/>
              </w:rPr>
            </w:pPr>
            <w:r w:rsidRPr="00FD5D18">
              <w:rPr>
                <w:rFonts w:ascii="Calibri" w:eastAsia="Times New Roman" w:hAnsi="Calibri" w:cs="Times New Roman"/>
                <w:i/>
                <w:iCs/>
                <w:color w:val="000000"/>
                <w:lang w:val="en-US"/>
              </w:rPr>
              <w:t>Museum</w:t>
            </w:r>
          </w:p>
        </w:tc>
        <w:tc>
          <w:tcPr>
            <w:tcW w:w="3080" w:type="dxa"/>
            <w:tcBorders>
              <w:top w:val="nil"/>
              <w:left w:val="single" w:sz="8" w:space="0" w:color="auto"/>
              <w:bottom w:val="single" w:sz="8" w:space="0" w:color="auto"/>
              <w:right w:val="single" w:sz="8" w:space="0" w:color="auto"/>
            </w:tcBorders>
            <w:shd w:val="clear" w:color="auto" w:fill="auto"/>
            <w:noWrap/>
            <w:vAlign w:val="center"/>
            <w:hideMark/>
          </w:tcPr>
          <w:p w14:paraId="3E40D7C9"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-0.17%</w:t>
            </w:r>
          </w:p>
        </w:tc>
        <w:tc>
          <w:tcPr>
            <w:tcW w:w="1500" w:type="dxa"/>
            <w:tcBorders>
              <w:top w:val="nil"/>
              <w:left w:val="nil"/>
              <w:bottom w:val="single" w:sz="8" w:space="0" w:color="auto"/>
              <w:right w:val="single" w:sz="8" w:space="0" w:color="auto"/>
            </w:tcBorders>
            <w:shd w:val="clear" w:color="auto" w:fill="auto"/>
            <w:noWrap/>
            <w:vAlign w:val="center"/>
            <w:hideMark/>
          </w:tcPr>
          <w:p w14:paraId="58A310DC"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£2.55</w:t>
            </w:r>
          </w:p>
        </w:tc>
        <w:tc>
          <w:tcPr>
            <w:tcW w:w="1960" w:type="dxa"/>
            <w:tcBorders>
              <w:top w:val="nil"/>
              <w:left w:val="nil"/>
              <w:bottom w:val="single" w:sz="8" w:space="0" w:color="auto"/>
              <w:right w:val="single" w:sz="8" w:space="0" w:color="auto"/>
            </w:tcBorders>
            <w:shd w:val="clear" w:color="auto" w:fill="auto"/>
            <w:noWrap/>
            <w:vAlign w:val="center"/>
            <w:hideMark/>
          </w:tcPr>
          <w:p w14:paraId="02CAB5C5" w14:textId="77777777" w:rsidR="00FD5D18" w:rsidRPr="00FD5D18" w:rsidRDefault="00FD5D18" w:rsidP="00FD5D18">
            <w:pPr>
              <w:spacing w:after="0" w:line="240" w:lineRule="auto"/>
              <w:jc w:val="center"/>
              <w:rPr>
                <w:rFonts w:ascii="Calibri" w:eastAsia="Times New Roman" w:hAnsi="Calibri" w:cs="Times New Roman"/>
                <w:color w:val="000000"/>
                <w:lang w:val="en-US"/>
              </w:rPr>
            </w:pPr>
            <w:r w:rsidRPr="00FD5D18">
              <w:rPr>
                <w:rFonts w:ascii="Calibri" w:eastAsia="Times New Roman" w:hAnsi="Calibri" w:cs="Times New Roman"/>
                <w:color w:val="000000"/>
                <w:lang w:val="en-US"/>
              </w:rPr>
              <w:t>£60,337,758</w:t>
            </w:r>
          </w:p>
        </w:tc>
      </w:tr>
    </w:tbl>
    <w:p w14:paraId="2347F6CA" w14:textId="77777777" w:rsidR="0005656A" w:rsidRDefault="003C623A" w:rsidP="00EA4B35">
      <w:pPr>
        <w:spacing w:after="0" w:line="240" w:lineRule="auto"/>
        <w:rPr>
          <w:sz w:val="24"/>
        </w:rPr>
      </w:pPr>
      <w:r w:rsidRPr="003C623A">
        <w:rPr>
          <w:i/>
          <w:sz w:val="20"/>
        </w:rPr>
        <w:t>Notes:</w:t>
      </w:r>
      <w:r>
        <w:rPr>
          <w:i/>
          <w:sz w:val="20"/>
        </w:rPr>
        <w:t xml:space="preserve"> Probability impact estimates from product of coefficients on ‘good_health’</w:t>
      </w:r>
      <w:r w:rsidR="00E43729">
        <w:rPr>
          <w:i/>
          <w:sz w:val="20"/>
        </w:rPr>
        <w:t xml:space="preserve"> from </w:t>
      </w:r>
      <w:r w:rsidR="006661E8">
        <w:rPr>
          <w:i/>
          <w:sz w:val="20"/>
        </w:rPr>
        <w:t>Table 7</w:t>
      </w:r>
      <w:r>
        <w:rPr>
          <w:i/>
          <w:sz w:val="20"/>
        </w:rPr>
        <w:t xml:space="preserve"> and culture/sports variables from </w:t>
      </w:r>
      <w:r w:rsidR="006661E8">
        <w:rPr>
          <w:i/>
          <w:sz w:val="20"/>
        </w:rPr>
        <w:t>Table 4</w:t>
      </w:r>
      <w:r w:rsidR="00E43729">
        <w:rPr>
          <w:i/>
          <w:sz w:val="20"/>
        </w:rPr>
        <w:t>.</w:t>
      </w:r>
    </w:p>
    <w:p w14:paraId="1AD3798E" w14:textId="77777777" w:rsidR="003C623A" w:rsidRPr="001E34C0" w:rsidRDefault="00C12A2B" w:rsidP="00EA4B35">
      <w:pPr>
        <w:spacing w:after="0" w:line="240" w:lineRule="auto"/>
        <w:rPr>
          <w:sz w:val="24"/>
        </w:rPr>
      </w:pPr>
      <w:r>
        <w:rPr>
          <w:sz w:val="24"/>
        </w:rPr>
        <w:t xml:space="preserve"> </w:t>
      </w:r>
    </w:p>
    <w:p w14:paraId="3DEAEBB7" w14:textId="247EFE1E" w:rsidR="0005656A" w:rsidRDefault="0005656A" w:rsidP="0005656A">
      <w:pPr>
        <w:spacing w:after="0" w:line="240" w:lineRule="auto"/>
        <w:rPr>
          <w:sz w:val="24"/>
        </w:rPr>
      </w:pPr>
      <w:r w:rsidRPr="001E34C0">
        <w:rPr>
          <w:sz w:val="24"/>
        </w:rPr>
        <w:t>NHS cost savings represent the</w:t>
      </w:r>
      <w:r w:rsidR="00EF3F9E">
        <w:rPr>
          <w:sz w:val="24"/>
        </w:rPr>
        <w:t xml:space="preserve"> </w:t>
      </w:r>
      <w:r w:rsidR="00EF3F9E">
        <w:rPr>
          <w:rFonts w:cs="Arial"/>
          <w:sz w:val="24"/>
          <w:szCs w:val="24"/>
        </w:rPr>
        <w:t>predicted</w:t>
      </w:r>
      <w:r w:rsidRPr="001E34C0">
        <w:rPr>
          <w:sz w:val="24"/>
        </w:rPr>
        <w:t xml:space="preserve"> annual reduction in costs due to reductions in </w:t>
      </w:r>
      <w:r>
        <w:rPr>
          <w:sz w:val="24"/>
        </w:rPr>
        <w:t>psychotherapy usage per person that partakes in the cultural/sporting activity.</w:t>
      </w:r>
      <w:r w:rsidRPr="001E34C0">
        <w:rPr>
          <w:sz w:val="24"/>
        </w:rPr>
        <w:t xml:space="preserve"> </w:t>
      </w:r>
      <w:r w:rsidR="00C12A2B">
        <w:rPr>
          <w:sz w:val="24"/>
        </w:rPr>
        <w:t>For impacts over time they should be discounted using the HM Treasury discount rate.</w:t>
      </w:r>
    </w:p>
    <w:p w14:paraId="7861AEFB" w14:textId="77777777" w:rsidR="00084386" w:rsidRDefault="00084386" w:rsidP="0005656A">
      <w:pPr>
        <w:spacing w:after="0" w:line="240" w:lineRule="auto"/>
        <w:rPr>
          <w:sz w:val="24"/>
        </w:rPr>
      </w:pPr>
    </w:p>
    <w:p w14:paraId="5682DBC7" w14:textId="77777777" w:rsidR="00084386" w:rsidRDefault="00084386" w:rsidP="00084386">
      <w:pPr>
        <w:spacing w:after="0" w:line="240" w:lineRule="auto"/>
        <w:rPr>
          <w:rFonts w:eastAsiaTheme="minorEastAsia" w:cs="Arial"/>
          <w:sz w:val="24"/>
        </w:rPr>
      </w:pPr>
      <w:r>
        <w:rPr>
          <w:rFonts w:eastAsiaTheme="minorEastAsia" w:cs="Arial"/>
          <w:sz w:val="24"/>
        </w:rPr>
        <w:lastRenderedPageBreak/>
        <w:t xml:space="preserve">Since the analysis looks at two different types of medical service usage the values derived in Tables </w:t>
      </w:r>
      <w:r w:rsidR="00576F9E">
        <w:rPr>
          <w:rFonts w:eastAsiaTheme="minorEastAsia" w:cs="Arial"/>
          <w:sz w:val="24"/>
        </w:rPr>
        <w:t>8</w:t>
      </w:r>
      <w:r>
        <w:rPr>
          <w:rFonts w:eastAsiaTheme="minorEastAsia" w:cs="Arial"/>
          <w:sz w:val="24"/>
        </w:rPr>
        <w:t xml:space="preserve"> and </w:t>
      </w:r>
      <w:r w:rsidR="00576F9E">
        <w:rPr>
          <w:rFonts w:eastAsiaTheme="minorEastAsia" w:cs="Arial"/>
          <w:sz w:val="24"/>
        </w:rPr>
        <w:t>9</w:t>
      </w:r>
      <w:r>
        <w:rPr>
          <w:rFonts w:eastAsiaTheme="minorEastAsia" w:cs="Arial"/>
          <w:sz w:val="24"/>
        </w:rPr>
        <w:t xml:space="preserve"> can be added together to derive a total NHS cost saving</w:t>
      </w:r>
      <w:r w:rsidR="00A86E8D">
        <w:rPr>
          <w:rFonts w:eastAsiaTheme="minorEastAsia" w:cs="Arial"/>
          <w:sz w:val="24"/>
        </w:rPr>
        <w:t xml:space="preserve"> (related to GP and psychotherapy usage)</w:t>
      </w:r>
      <w:r>
        <w:rPr>
          <w:rFonts w:eastAsiaTheme="minorEastAsia" w:cs="Arial"/>
          <w:sz w:val="24"/>
        </w:rPr>
        <w:t xml:space="preserve"> per person.</w:t>
      </w:r>
      <w:r w:rsidR="005865EF">
        <w:rPr>
          <w:rFonts w:eastAsiaTheme="minorEastAsia" w:cs="Arial"/>
          <w:sz w:val="24"/>
        </w:rPr>
        <w:t xml:space="preserve"> The </w:t>
      </w:r>
      <w:r w:rsidR="00EF3F9E">
        <w:rPr>
          <w:rFonts w:cs="Arial"/>
          <w:sz w:val="24"/>
          <w:szCs w:val="24"/>
        </w:rPr>
        <w:t>predicted</w:t>
      </w:r>
      <w:r w:rsidR="00EF3F9E">
        <w:rPr>
          <w:sz w:val="24"/>
        </w:rPr>
        <w:t xml:space="preserve"> </w:t>
      </w:r>
      <w:r w:rsidR="005865EF">
        <w:rPr>
          <w:sz w:val="24"/>
        </w:rPr>
        <w:t>cost</w:t>
      </w:r>
      <w:r w:rsidR="005865EF" w:rsidRPr="001E34C0">
        <w:rPr>
          <w:sz w:val="24"/>
        </w:rPr>
        <w:t xml:space="preserve"> reductions </w:t>
      </w:r>
      <w:r w:rsidR="005865EF">
        <w:rPr>
          <w:sz w:val="24"/>
        </w:rPr>
        <w:t>associated with</w:t>
      </w:r>
      <w:r w:rsidR="005865EF" w:rsidRPr="001E34C0">
        <w:rPr>
          <w:sz w:val="24"/>
        </w:rPr>
        <w:t xml:space="preserve"> </w:t>
      </w:r>
      <w:r w:rsidR="005865EF">
        <w:rPr>
          <w:sz w:val="24"/>
        </w:rPr>
        <w:t xml:space="preserve">psychotherapy usage are values related to mental health impacts and the </w:t>
      </w:r>
      <w:r w:rsidR="00EF3F9E">
        <w:rPr>
          <w:rFonts w:cs="Arial"/>
          <w:sz w:val="24"/>
          <w:szCs w:val="24"/>
        </w:rPr>
        <w:t>predicted</w:t>
      </w:r>
      <w:r w:rsidR="00EF3F9E" w:rsidRPr="001E34C0">
        <w:rPr>
          <w:sz w:val="24"/>
        </w:rPr>
        <w:t xml:space="preserve"> </w:t>
      </w:r>
      <w:r w:rsidR="00A86E8D" w:rsidRPr="001E34C0">
        <w:rPr>
          <w:sz w:val="24"/>
        </w:rPr>
        <w:t xml:space="preserve">costs reductions </w:t>
      </w:r>
      <w:r w:rsidR="00A86E8D">
        <w:rPr>
          <w:sz w:val="24"/>
        </w:rPr>
        <w:t xml:space="preserve">associated with GP visits can be seen as values related to both mental </w:t>
      </w:r>
      <w:r w:rsidR="00EF3F9E">
        <w:rPr>
          <w:sz w:val="24"/>
        </w:rPr>
        <w:t xml:space="preserve">health </w:t>
      </w:r>
      <w:r w:rsidR="00A86E8D">
        <w:rPr>
          <w:sz w:val="24"/>
        </w:rPr>
        <w:t>and physical health.</w:t>
      </w:r>
      <w:r w:rsidR="00EF3F9E">
        <w:rPr>
          <w:sz w:val="24"/>
        </w:rPr>
        <w:t xml:space="preserve"> </w:t>
      </w:r>
    </w:p>
    <w:p w14:paraId="75364039" w14:textId="77777777" w:rsidR="00084386" w:rsidRDefault="00084386" w:rsidP="0005656A">
      <w:pPr>
        <w:spacing w:after="0" w:line="240" w:lineRule="auto"/>
        <w:rPr>
          <w:sz w:val="24"/>
        </w:rPr>
      </w:pPr>
    </w:p>
    <w:p w14:paraId="3D4AD03B" w14:textId="77777777" w:rsidR="00C85CD9" w:rsidRDefault="00C85CD9" w:rsidP="00C85CD9">
      <w:pPr>
        <w:spacing w:after="0" w:line="240" w:lineRule="auto"/>
        <w:rPr>
          <w:b/>
          <w:sz w:val="24"/>
        </w:rPr>
      </w:pPr>
      <w:r w:rsidRPr="0005656A">
        <w:rPr>
          <w:b/>
          <w:sz w:val="24"/>
        </w:rPr>
        <w:t>C.2. Clinical depression</w:t>
      </w:r>
    </w:p>
    <w:p w14:paraId="7A233548" w14:textId="77777777" w:rsidR="006F2A57" w:rsidRDefault="006F2A57" w:rsidP="00C85CD9">
      <w:pPr>
        <w:spacing w:after="0" w:line="240" w:lineRule="auto"/>
        <w:rPr>
          <w:b/>
          <w:sz w:val="24"/>
        </w:rPr>
      </w:pPr>
    </w:p>
    <w:p w14:paraId="33C000CB" w14:textId="77777777" w:rsidR="006F2A57" w:rsidRPr="009E3924" w:rsidRDefault="006F2A57" w:rsidP="00C85CD9">
      <w:pPr>
        <w:spacing w:after="0" w:line="240" w:lineRule="auto"/>
        <w:rPr>
          <w:b/>
          <w:sz w:val="24"/>
        </w:rPr>
      </w:pPr>
      <w:r>
        <w:rPr>
          <w:b/>
          <w:sz w:val="24"/>
        </w:rPr>
        <w:t>C.2.1. Clinical depression, sport and culture</w:t>
      </w:r>
    </w:p>
    <w:p w14:paraId="67EB4C7A" w14:textId="77777777" w:rsidR="00C85CD9" w:rsidRDefault="00C85CD9" w:rsidP="00EA4B35">
      <w:pPr>
        <w:spacing w:after="0" w:line="240" w:lineRule="auto"/>
        <w:rPr>
          <w:b/>
          <w:sz w:val="24"/>
        </w:rPr>
      </w:pPr>
    </w:p>
    <w:p w14:paraId="48E1D144" w14:textId="77777777" w:rsidR="003143AD" w:rsidRDefault="00E43A25" w:rsidP="001B69DC">
      <w:pPr>
        <w:spacing w:after="0" w:line="240" w:lineRule="auto"/>
        <w:rPr>
          <w:rFonts w:cs="Arial"/>
          <w:sz w:val="24"/>
          <w:szCs w:val="24"/>
        </w:rPr>
      </w:pPr>
      <w:r w:rsidRPr="00293A87">
        <w:rPr>
          <w:rFonts w:cstheme="minorHAnsi"/>
          <w:sz w:val="24"/>
          <w:szCs w:val="24"/>
        </w:rPr>
        <w:t>We use Understanding Society to estimate</w:t>
      </w:r>
      <w:r w:rsidR="00982624">
        <w:rPr>
          <w:rFonts w:cstheme="minorHAnsi"/>
          <w:sz w:val="24"/>
          <w:szCs w:val="24"/>
        </w:rPr>
        <w:t xml:space="preserve"> the </w:t>
      </w:r>
      <w:r w:rsidR="00982624">
        <w:rPr>
          <w:rFonts w:cstheme="majorHAnsi"/>
          <w:sz w:val="24"/>
          <w:szCs w:val="24"/>
        </w:rPr>
        <w:t>relationship between with</w:t>
      </w:r>
      <w:r w:rsidRPr="00293A87">
        <w:rPr>
          <w:rFonts w:cstheme="minorHAnsi"/>
          <w:sz w:val="24"/>
          <w:szCs w:val="24"/>
        </w:rPr>
        <w:t xml:space="preserve"> clinical depression for the </w:t>
      </w:r>
      <w:r>
        <w:rPr>
          <w:rFonts w:cstheme="minorHAnsi"/>
          <w:sz w:val="24"/>
          <w:szCs w:val="24"/>
        </w:rPr>
        <w:t>nine</w:t>
      </w:r>
      <w:r w:rsidRPr="00293A87">
        <w:rPr>
          <w:rFonts w:cstheme="minorHAnsi"/>
          <w:sz w:val="24"/>
          <w:szCs w:val="24"/>
        </w:rPr>
        <w:t xml:space="preserve"> </w:t>
      </w:r>
      <w:r>
        <w:rPr>
          <w:rFonts w:cstheme="minorHAnsi"/>
          <w:sz w:val="24"/>
          <w:szCs w:val="24"/>
        </w:rPr>
        <w:t xml:space="preserve">culture </w:t>
      </w:r>
      <w:r w:rsidRPr="00293A87">
        <w:rPr>
          <w:rFonts w:cstheme="minorHAnsi"/>
          <w:sz w:val="24"/>
          <w:szCs w:val="24"/>
        </w:rPr>
        <w:t xml:space="preserve">and </w:t>
      </w:r>
      <w:r>
        <w:rPr>
          <w:rFonts w:cstheme="minorHAnsi"/>
          <w:sz w:val="24"/>
          <w:szCs w:val="24"/>
        </w:rPr>
        <w:t xml:space="preserve">sports variables. </w:t>
      </w:r>
      <w:r w:rsidRPr="00E43A25">
        <w:rPr>
          <w:sz w:val="24"/>
          <w:szCs w:val="20"/>
        </w:rPr>
        <w:t xml:space="preserve">Control </w:t>
      </w:r>
      <w:r w:rsidRPr="00E43A25">
        <w:rPr>
          <w:sz w:val="24"/>
          <w:szCs w:val="24"/>
        </w:rPr>
        <w:t xml:space="preserve">variables (determined from </w:t>
      </w:r>
      <w:r>
        <w:rPr>
          <w:sz w:val="24"/>
          <w:szCs w:val="24"/>
        </w:rPr>
        <w:t>a</w:t>
      </w:r>
      <w:r w:rsidRPr="00E43A25">
        <w:rPr>
          <w:sz w:val="24"/>
          <w:szCs w:val="24"/>
        </w:rPr>
        <w:t xml:space="preserve"> literature review) are age, gender, employment status, marital status, education, household income, occupational class (NSSEC), long term physical illness or disability, smoker, lives alone, region, consumption of fruits and vegetables, alcohol consumption, social relations, home ownership. </w:t>
      </w:r>
      <w:r w:rsidR="0015758C">
        <w:rPr>
          <w:sz w:val="24"/>
          <w:szCs w:val="24"/>
        </w:rPr>
        <w:t>Table 10</w:t>
      </w:r>
      <w:r w:rsidR="003143AD">
        <w:rPr>
          <w:sz w:val="24"/>
          <w:szCs w:val="24"/>
        </w:rPr>
        <w:t xml:space="preserve"> s</w:t>
      </w:r>
      <w:r w:rsidR="001B69DC" w:rsidRPr="00290537">
        <w:rPr>
          <w:rFonts w:cs="Arial"/>
          <w:sz w:val="24"/>
          <w:szCs w:val="24"/>
        </w:rPr>
        <w:t>hows results for the culture and sports variables that are significant at the 5% level. We present the coefficient sizes, standard errors, sample sizes and R-Squared values for each model.</w:t>
      </w:r>
      <w:r w:rsidR="001B69DC">
        <w:rPr>
          <w:rFonts w:cs="Arial"/>
          <w:sz w:val="24"/>
          <w:szCs w:val="24"/>
        </w:rPr>
        <w:t xml:space="preserve"> </w:t>
      </w:r>
    </w:p>
    <w:p w14:paraId="1A25FB97" w14:textId="77777777" w:rsidR="003143AD" w:rsidRDefault="003143AD" w:rsidP="001B69DC">
      <w:pPr>
        <w:spacing w:after="0" w:line="240" w:lineRule="auto"/>
        <w:rPr>
          <w:rFonts w:cs="Arial"/>
          <w:sz w:val="24"/>
          <w:szCs w:val="24"/>
        </w:rPr>
      </w:pPr>
    </w:p>
    <w:p w14:paraId="3E319A2F" w14:textId="77777777" w:rsidR="00E43A25" w:rsidRPr="004C2171" w:rsidRDefault="0015758C" w:rsidP="00E43A25">
      <w:pPr>
        <w:spacing w:after="0" w:line="240" w:lineRule="auto"/>
        <w:rPr>
          <w:b/>
          <w:sz w:val="24"/>
        </w:rPr>
      </w:pPr>
      <w:r>
        <w:rPr>
          <w:b/>
          <w:sz w:val="24"/>
        </w:rPr>
        <w:t>Table 10</w:t>
      </w:r>
      <w:r w:rsidR="00E43A25" w:rsidRPr="004C2171">
        <w:rPr>
          <w:b/>
          <w:sz w:val="24"/>
        </w:rPr>
        <w:t>.</w:t>
      </w:r>
      <w:r w:rsidR="004C2171" w:rsidRPr="004C2171">
        <w:rPr>
          <w:b/>
          <w:sz w:val="24"/>
        </w:rPr>
        <w:t xml:space="preserve"> R</w:t>
      </w:r>
      <w:r w:rsidR="004C2171" w:rsidRPr="004C2171">
        <w:rPr>
          <w:rFonts w:cstheme="majorHAnsi"/>
          <w:b/>
          <w:sz w:val="24"/>
          <w:szCs w:val="24"/>
        </w:rPr>
        <w:t>elationship between</w:t>
      </w:r>
      <w:r w:rsidR="00E43A25" w:rsidRPr="004C2171">
        <w:rPr>
          <w:b/>
          <w:sz w:val="24"/>
        </w:rPr>
        <w:t xml:space="preserve"> sport</w:t>
      </w:r>
      <w:r w:rsidR="003143AD" w:rsidRPr="004C2171">
        <w:rPr>
          <w:b/>
          <w:sz w:val="24"/>
        </w:rPr>
        <w:t xml:space="preserve"> participation</w:t>
      </w:r>
      <w:r w:rsidR="00E43A25" w:rsidRPr="004C2171">
        <w:rPr>
          <w:b/>
          <w:sz w:val="24"/>
        </w:rPr>
        <w:t xml:space="preserve"> </w:t>
      </w:r>
      <w:r w:rsidR="004C2171" w:rsidRPr="004C2171">
        <w:rPr>
          <w:b/>
          <w:sz w:val="24"/>
        </w:rPr>
        <w:t>and</w:t>
      </w:r>
      <w:r w:rsidR="00E43A25" w:rsidRPr="004C2171">
        <w:rPr>
          <w:b/>
          <w:sz w:val="24"/>
        </w:rPr>
        <w:t xml:space="preserve"> </w:t>
      </w:r>
      <w:r w:rsidR="00A453E8" w:rsidRPr="004C2171">
        <w:rPr>
          <w:b/>
          <w:sz w:val="24"/>
        </w:rPr>
        <w:t>clinical depression</w:t>
      </w:r>
    </w:p>
    <w:tbl>
      <w:tblPr>
        <w:tblW w:w="9706" w:type="dxa"/>
        <w:tblInd w:w="-10" w:type="dxa"/>
        <w:tblLook w:val="04A0" w:firstRow="1" w:lastRow="0" w:firstColumn="1" w:lastColumn="0" w:noHBand="0" w:noVBand="1"/>
      </w:tblPr>
      <w:tblGrid>
        <w:gridCol w:w="2800"/>
        <w:gridCol w:w="1206"/>
        <w:gridCol w:w="1780"/>
        <w:gridCol w:w="1720"/>
        <w:gridCol w:w="1160"/>
        <w:gridCol w:w="1040"/>
      </w:tblGrid>
      <w:tr w:rsidR="00C85CD9" w:rsidRPr="00C85CD9" w14:paraId="70B433EC" w14:textId="77777777" w:rsidTr="00E43A25">
        <w:trPr>
          <w:trHeight w:val="300"/>
        </w:trPr>
        <w:tc>
          <w:tcPr>
            <w:tcW w:w="2800" w:type="dxa"/>
            <w:tcBorders>
              <w:top w:val="single" w:sz="8" w:space="0" w:color="auto"/>
              <w:left w:val="single" w:sz="8" w:space="0" w:color="auto"/>
              <w:bottom w:val="double" w:sz="6" w:space="0" w:color="auto"/>
              <w:right w:val="nil"/>
            </w:tcBorders>
            <w:shd w:val="clear" w:color="000000" w:fill="0070C0"/>
            <w:noWrap/>
            <w:vAlign w:val="center"/>
            <w:hideMark/>
          </w:tcPr>
          <w:p w14:paraId="0FF4DE1C" w14:textId="77777777" w:rsidR="00C85CD9" w:rsidRPr="00C85CD9" w:rsidRDefault="00872055" w:rsidP="00872055">
            <w:pPr>
              <w:spacing w:after="0" w:line="240" w:lineRule="auto"/>
              <w:jc w:val="center"/>
              <w:rPr>
                <w:rFonts w:ascii="Calibri" w:eastAsia="Times New Roman" w:hAnsi="Calibri" w:cs="Times New Roman"/>
                <w:b/>
                <w:bCs/>
                <w:color w:val="FFFFFF"/>
                <w:lang w:eastAsia="en-GB"/>
              </w:rPr>
            </w:pPr>
            <w:r>
              <w:rPr>
                <w:rFonts w:ascii="Calibri" w:eastAsia="Times New Roman" w:hAnsi="Calibri" w:cs="Times New Roman"/>
                <w:b/>
                <w:bCs/>
                <w:color w:val="FFFFFF"/>
                <w:lang w:val="en-US" w:eastAsia="en-GB"/>
              </w:rPr>
              <w:t>Variables</w:t>
            </w:r>
          </w:p>
        </w:tc>
        <w:tc>
          <w:tcPr>
            <w:tcW w:w="1206"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3FF99444"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Coefficient</w:t>
            </w:r>
          </w:p>
        </w:tc>
        <w:tc>
          <w:tcPr>
            <w:tcW w:w="1780" w:type="dxa"/>
            <w:tcBorders>
              <w:top w:val="single" w:sz="8" w:space="0" w:color="auto"/>
              <w:left w:val="nil"/>
              <w:bottom w:val="double" w:sz="6" w:space="0" w:color="auto"/>
              <w:right w:val="nil"/>
            </w:tcBorders>
            <w:shd w:val="clear" w:color="000000" w:fill="0070C0"/>
            <w:noWrap/>
            <w:vAlign w:val="center"/>
            <w:hideMark/>
          </w:tcPr>
          <w:p w14:paraId="64B9C21A"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Probability impact</w:t>
            </w:r>
          </w:p>
        </w:tc>
        <w:tc>
          <w:tcPr>
            <w:tcW w:w="1720"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455851A3"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S.E. of Coefficient</w:t>
            </w:r>
          </w:p>
        </w:tc>
        <w:tc>
          <w:tcPr>
            <w:tcW w:w="1160" w:type="dxa"/>
            <w:tcBorders>
              <w:top w:val="single" w:sz="8" w:space="0" w:color="auto"/>
              <w:left w:val="nil"/>
              <w:bottom w:val="double" w:sz="6" w:space="0" w:color="auto"/>
              <w:right w:val="single" w:sz="8" w:space="0" w:color="auto"/>
            </w:tcBorders>
            <w:shd w:val="clear" w:color="000000" w:fill="0070C0"/>
            <w:noWrap/>
            <w:vAlign w:val="center"/>
            <w:hideMark/>
          </w:tcPr>
          <w:p w14:paraId="6840AD29"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Sample size</w:t>
            </w:r>
          </w:p>
        </w:tc>
        <w:tc>
          <w:tcPr>
            <w:tcW w:w="1040" w:type="dxa"/>
            <w:tcBorders>
              <w:top w:val="single" w:sz="8" w:space="0" w:color="auto"/>
              <w:left w:val="nil"/>
              <w:bottom w:val="double" w:sz="6" w:space="0" w:color="auto"/>
              <w:right w:val="single" w:sz="8" w:space="0" w:color="auto"/>
            </w:tcBorders>
            <w:shd w:val="clear" w:color="000000" w:fill="0070C0"/>
            <w:noWrap/>
            <w:vAlign w:val="center"/>
            <w:hideMark/>
          </w:tcPr>
          <w:p w14:paraId="143FDAA9"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R-Squared</w:t>
            </w:r>
          </w:p>
        </w:tc>
      </w:tr>
      <w:tr w:rsidR="00C85CD9" w:rsidRPr="00C85CD9" w14:paraId="02BB13C7" w14:textId="77777777" w:rsidTr="00E43A25">
        <w:trPr>
          <w:trHeight w:val="310"/>
        </w:trPr>
        <w:tc>
          <w:tcPr>
            <w:tcW w:w="2800" w:type="dxa"/>
            <w:tcBorders>
              <w:top w:val="nil"/>
              <w:left w:val="single" w:sz="8" w:space="0" w:color="auto"/>
              <w:bottom w:val="single" w:sz="8" w:space="0" w:color="auto"/>
              <w:right w:val="nil"/>
            </w:tcBorders>
            <w:shd w:val="clear" w:color="000000" w:fill="0070C0"/>
            <w:noWrap/>
            <w:vAlign w:val="center"/>
            <w:hideMark/>
          </w:tcPr>
          <w:p w14:paraId="4C38DD38"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Sports</w:t>
            </w:r>
          </w:p>
        </w:tc>
        <w:tc>
          <w:tcPr>
            <w:tcW w:w="1206" w:type="dxa"/>
            <w:tcBorders>
              <w:top w:val="nil"/>
              <w:left w:val="single" w:sz="8" w:space="0" w:color="auto"/>
              <w:bottom w:val="nil"/>
              <w:right w:val="single" w:sz="8" w:space="0" w:color="auto"/>
            </w:tcBorders>
            <w:shd w:val="clear" w:color="000000" w:fill="0070C0"/>
            <w:noWrap/>
            <w:vAlign w:val="center"/>
            <w:hideMark/>
          </w:tcPr>
          <w:p w14:paraId="3C8B8A2E"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 </w:t>
            </w:r>
          </w:p>
        </w:tc>
        <w:tc>
          <w:tcPr>
            <w:tcW w:w="1780" w:type="dxa"/>
            <w:tcBorders>
              <w:top w:val="nil"/>
              <w:left w:val="nil"/>
              <w:bottom w:val="nil"/>
              <w:right w:val="nil"/>
            </w:tcBorders>
            <w:shd w:val="clear" w:color="000000" w:fill="0070C0"/>
            <w:noWrap/>
            <w:vAlign w:val="center"/>
            <w:hideMark/>
          </w:tcPr>
          <w:p w14:paraId="5040E293"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 </w:t>
            </w:r>
          </w:p>
        </w:tc>
        <w:tc>
          <w:tcPr>
            <w:tcW w:w="1720" w:type="dxa"/>
            <w:tcBorders>
              <w:top w:val="nil"/>
              <w:left w:val="single" w:sz="8" w:space="0" w:color="auto"/>
              <w:bottom w:val="nil"/>
              <w:right w:val="single" w:sz="8" w:space="0" w:color="auto"/>
            </w:tcBorders>
            <w:shd w:val="clear" w:color="000000" w:fill="0070C0"/>
            <w:noWrap/>
            <w:vAlign w:val="center"/>
            <w:hideMark/>
          </w:tcPr>
          <w:p w14:paraId="6440EF67"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 </w:t>
            </w:r>
          </w:p>
        </w:tc>
        <w:tc>
          <w:tcPr>
            <w:tcW w:w="1160" w:type="dxa"/>
            <w:tcBorders>
              <w:top w:val="nil"/>
              <w:left w:val="nil"/>
              <w:bottom w:val="nil"/>
              <w:right w:val="single" w:sz="8" w:space="0" w:color="auto"/>
            </w:tcBorders>
            <w:shd w:val="clear" w:color="000000" w:fill="0070C0"/>
            <w:noWrap/>
            <w:vAlign w:val="center"/>
            <w:hideMark/>
          </w:tcPr>
          <w:p w14:paraId="2A2D1FA1"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 </w:t>
            </w:r>
          </w:p>
        </w:tc>
        <w:tc>
          <w:tcPr>
            <w:tcW w:w="1040" w:type="dxa"/>
            <w:tcBorders>
              <w:top w:val="nil"/>
              <w:left w:val="nil"/>
              <w:bottom w:val="nil"/>
              <w:right w:val="single" w:sz="8" w:space="0" w:color="auto"/>
            </w:tcBorders>
            <w:shd w:val="clear" w:color="000000" w:fill="0070C0"/>
            <w:noWrap/>
            <w:vAlign w:val="center"/>
            <w:hideMark/>
          </w:tcPr>
          <w:p w14:paraId="20233BD5" w14:textId="77777777" w:rsidR="00C85CD9" w:rsidRPr="00C85CD9" w:rsidRDefault="00C85CD9" w:rsidP="00C85CD9">
            <w:pPr>
              <w:spacing w:after="0" w:line="240" w:lineRule="auto"/>
              <w:jc w:val="center"/>
              <w:rPr>
                <w:rFonts w:ascii="Calibri" w:eastAsia="Times New Roman" w:hAnsi="Calibri" w:cs="Times New Roman"/>
                <w:b/>
                <w:bCs/>
                <w:color w:val="FFFFFF"/>
                <w:lang w:eastAsia="en-GB"/>
              </w:rPr>
            </w:pPr>
            <w:r w:rsidRPr="00C85CD9">
              <w:rPr>
                <w:rFonts w:ascii="Calibri" w:eastAsia="Times New Roman" w:hAnsi="Calibri" w:cs="Times New Roman"/>
                <w:b/>
                <w:bCs/>
                <w:color w:val="FFFFFF"/>
                <w:lang w:val="en-US" w:eastAsia="en-GB"/>
              </w:rPr>
              <w:t> </w:t>
            </w:r>
          </w:p>
        </w:tc>
      </w:tr>
      <w:tr w:rsidR="00C85CD9" w:rsidRPr="00C85CD9" w14:paraId="69C78893" w14:textId="77777777" w:rsidTr="00E43A25">
        <w:trPr>
          <w:trHeight w:val="290"/>
        </w:trPr>
        <w:tc>
          <w:tcPr>
            <w:tcW w:w="2800" w:type="dxa"/>
            <w:tcBorders>
              <w:top w:val="nil"/>
              <w:left w:val="single" w:sz="8" w:space="0" w:color="auto"/>
              <w:bottom w:val="nil"/>
              <w:right w:val="nil"/>
            </w:tcBorders>
            <w:shd w:val="clear" w:color="auto" w:fill="auto"/>
            <w:noWrap/>
            <w:vAlign w:val="center"/>
            <w:hideMark/>
          </w:tcPr>
          <w:p w14:paraId="5DF27203" w14:textId="77777777" w:rsidR="00C85CD9" w:rsidRPr="00C85CD9" w:rsidRDefault="00C85CD9" w:rsidP="00C85CD9">
            <w:pPr>
              <w:spacing w:after="0" w:line="240" w:lineRule="auto"/>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All sports</w:t>
            </w:r>
          </w:p>
        </w:tc>
        <w:tc>
          <w:tcPr>
            <w:tcW w:w="1206" w:type="dxa"/>
            <w:tcBorders>
              <w:top w:val="nil"/>
              <w:left w:val="single" w:sz="8" w:space="0" w:color="auto"/>
              <w:bottom w:val="nil"/>
              <w:right w:val="single" w:sz="8" w:space="0" w:color="auto"/>
            </w:tcBorders>
            <w:shd w:val="clear" w:color="auto" w:fill="auto"/>
            <w:noWrap/>
            <w:vAlign w:val="center"/>
            <w:hideMark/>
          </w:tcPr>
          <w:p w14:paraId="390CCA30" w14:textId="77777777" w:rsidR="00C85CD9" w:rsidRPr="00C85CD9" w:rsidRDefault="00C85CD9" w:rsidP="00C85CD9">
            <w:pPr>
              <w:spacing w:after="0" w:line="240" w:lineRule="auto"/>
              <w:jc w:val="both"/>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-0.60***</w:t>
            </w:r>
          </w:p>
        </w:tc>
        <w:tc>
          <w:tcPr>
            <w:tcW w:w="1780" w:type="dxa"/>
            <w:tcBorders>
              <w:top w:val="nil"/>
              <w:left w:val="nil"/>
              <w:bottom w:val="nil"/>
              <w:right w:val="nil"/>
            </w:tcBorders>
            <w:shd w:val="clear" w:color="auto" w:fill="auto"/>
            <w:noWrap/>
            <w:vAlign w:val="center"/>
            <w:hideMark/>
          </w:tcPr>
          <w:p w14:paraId="3AB56FE6"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-0.54%</w:t>
            </w:r>
          </w:p>
        </w:tc>
        <w:tc>
          <w:tcPr>
            <w:tcW w:w="1720" w:type="dxa"/>
            <w:tcBorders>
              <w:top w:val="nil"/>
              <w:left w:val="single" w:sz="8" w:space="0" w:color="auto"/>
              <w:bottom w:val="nil"/>
              <w:right w:val="single" w:sz="8" w:space="0" w:color="auto"/>
            </w:tcBorders>
            <w:shd w:val="clear" w:color="auto" w:fill="auto"/>
            <w:noWrap/>
            <w:vAlign w:val="center"/>
            <w:hideMark/>
          </w:tcPr>
          <w:p w14:paraId="5D92A9F0"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0.25</w:t>
            </w:r>
          </w:p>
        </w:tc>
        <w:tc>
          <w:tcPr>
            <w:tcW w:w="1160" w:type="dxa"/>
            <w:tcBorders>
              <w:top w:val="nil"/>
              <w:left w:val="nil"/>
              <w:bottom w:val="nil"/>
              <w:right w:val="single" w:sz="8" w:space="0" w:color="auto"/>
            </w:tcBorders>
            <w:shd w:val="clear" w:color="auto" w:fill="auto"/>
            <w:noWrap/>
            <w:vAlign w:val="center"/>
            <w:hideMark/>
          </w:tcPr>
          <w:p w14:paraId="5E8E3ECB"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15,587</w:t>
            </w:r>
          </w:p>
        </w:tc>
        <w:tc>
          <w:tcPr>
            <w:tcW w:w="1040" w:type="dxa"/>
            <w:tcBorders>
              <w:top w:val="nil"/>
              <w:left w:val="nil"/>
              <w:bottom w:val="nil"/>
              <w:right w:val="single" w:sz="8" w:space="0" w:color="auto"/>
            </w:tcBorders>
            <w:shd w:val="clear" w:color="auto" w:fill="auto"/>
            <w:noWrap/>
            <w:vAlign w:val="center"/>
            <w:hideMark/>
          </w:tcPr>
          <w:p w14:paraId="120BCD16"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0.091</w:t>
            </w:r>
          </w:p>
        </w:tc>
      </w:tr>
      <w:tr w:rsidR="00C85CD9" w:rsidRPr="00C85CD9" w14:paraId="05370BF7" w14:textId="77777777" w:rsidTr="00E43A25">
        <w:trPr>
          <w:trHeight w:val="300"/>
        </w:trPr>
        <w:tc>
          <w:tcPr>
            <w:tcW w:w="2800" w:type="dxa"/>
            <w:tcBorders>
              <w:top w:val="nil"/>
              <w:left w:val="single" w:sz="8" w:space="0" w:color="auto"/>
              <w:bottom w:val="single" w:sz="8" w:space="0" w:color="auto"/>
              <w:right w:val="nil"/>
            </w:tcBorders>
            <w:shd w:val="clear" w:color="auto" w:fill="auto"/>
            <w:noWrap/>
            <w:vAlign w:val="center"/>
            <w:hideMark/>
          </w:tcPr>
          <w:p w14:paraId="26CF6976" w14:textId="77777777" w:rsidR="00C85CD9" w:rsidRPr="00C85CD9" w:rsidRDefault="00C85CD9" w:rsidP="00C85CD9">
            <w:pPr>
              <w:spacing w:after="0" w:line="240" w:lineRule="auto"/>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Individual sports</w:t>
            </w:r>
          </w:p>
        </w:tc>
        <w:tc>
          <w:tcPr>
            <w:tcW w:w="1206" w:type="dxa"/>
            <w:tcBorders>
              <w:top w:val="nil"/>
              <w:left w:val="single" w:sz="8" w:space="0" w:color="auto"/>
              <w:bottom w:val="single" w:sz="8" w:space="0" w:color="auto"/>
              <w:right w:val="single" w:sz="8" w:space="0" w:color="auto"/>
            </w:tcBorders>
            <w:shd w:val="clear" w:color="auto" w:fill="auto"/>
            <w:noWrap/>
            <w:vAlign w:val="center"/>
            <w:hideMark/>
          </w:tcPr>
          <w:p w14:paraId="7E0DA995" w14:textId="77777777" w:rsidR="00C85CD9" w:rsidRPr="00C85CD9" w:rsidRDefault="00C85CD9" w:rsidP="00C85CD9">
            <w:pPr>
              <w:spacing w:after="0" w:line="240" w:lineRule="auto"/>
              <w:jc w:val="both"/>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-0.53***</w:t>
            </w:r>
          </w:p>
        </w:tc>
        <w:tc>
          <w:tcPr>
            <w:tcW w:w="1780" w:type="dxa"/>
            <w:tcBorders>
              <w:top w:val="nil"/>
              <w:left w:val="nil"/>
              <w:bottom w:val="single" w:sz="8" w:space="0" w:color="auto"/>
              <w:right w:val="nil"/>
            </w:tcBorders>
            <w:shd w:val="clear" w:color="auto" w:fill="auto"/>
            <w:noWrap/>
            <w:vAlign w:val="center"/>
            <w:hideMark/>
          </w:tcPr>
          <w:p w14:paraId="6D2FB189"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-0.46%</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14:paraId="59BAD113"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0.16</w:t>
            </w:r>
          </w:p>
        </w:tc>
        <w:tc>
          <w:tcPr>
            <w:tcW w:w="1160" w:type="dxa"/>
            <w:tcBorders>
              <w:top w:val="nil"/>
              <w:left w:val="nil"/>
              <w:bottom w:val="single" w:sz="8" w:space="0" w:color="auto"/>
              <w:right w:val="single" w:sz="8" w:space="0" w:color="auto"/>
            </w:tcBorders>
            <w:shd w:val="clear" w:color="auto" w:fill="auto"/>
            <w:noWrap/>
            <w:vAlign w:val="center"/>
            <w:hideMark/>
          </w:tcPr>
          <w:p w14:paraId="6EF3ACED"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15,587</w:t>
            </w:r>
          </w:p>
        </w:tc>
        <w:tc>
          <w:tcPr>
            <w:tcW w:w="1040" w:type="dxa"/>
            <w:tcBorders>
              <w:top w:val="nil"/>
              <w:left w:val="nil"/>
              <w:bottom w:val="single" w:sz="8" w:space="0" w:color="auto"/>
              <w:right w:val="single" w:sz="8" w:space="0" w:color="auto"/>
            </w:tcBorders>
            <w:shd w:val="clear" w:color="auto" w:fill="auto"/>
            <w:noWrap/>
            <w:vAlign w:val="center"/>
            <w:hideMark/>
          </w:tcPr>
          <w:p w14:paraId="153DF6F0" w14:textId="77777777" w:rsidR="00C85CD9" w:rsidRPr="00C85CD9" w:rsidRDefault="00C85CD9" w:rsidP="00C85CD9">
            <w:pPr>
              <w:spacing w:after="0" w:line="240" w:lineRule="auto"/>
              <w:jc w:val="center"/>
              <w:rPr>
                <w:rFonts w:ascii="Calibri" w:eastAsia="Times New Roman" w:hAnsi="Calibri" w:cs="Times New Roman"/>
                <w:color w:val="000000"/>
                <w:lang w:eastAsia="en-GB"/>
              </w:rPr>
            </w:pPr>
            <w:r w:rsidRPr="00C85CD9">
              <w:rPr>
                <w:rFonts w:ascii="Calibri" w:eastAsia="Times New Roman" w:hAnsi="Calibri" w:cs="Times New Roman"/>
                <w:color w:val="000000"/>
                <w:lang w:val="en-US" w:eastAsia="en-GB"/>
              </w:rPr>
              <w:t>0.089</w:t>
            </w:r>
          </w:p>
        </w:tc>
      </w:tr>
    </w:tbl>
    <w:p w14:paraId="2BD2ADBE" w14:textId="77777777" w:rsidR="00E43A25" w:rsidRDefault="00E43A25" w:rsidP="00E43A25">
      <w:pPr>
        <w:spacing w:after="0" w:line="240" w:lineRule="auto"/>
        <w:rPr>
          <w:i/>
          <w:sz w:val="20"/>
          <w:szCs w:val="20"/>
        </w:rPr>
      </w:pPr>
      <w:r w:rsidRPr="00B9514E">
        <w:rPr>
          <w:i/>
          <w:sz w:val="20"/>
          <w:szCs w:val="20"/>
        </w:rPr>
        <w:t>Notes: ***</w:t>
      </w:r>
      <w:r>
        <w:rPr>
          <w:i/>
          <w:sz w:val="20"/>
          <w:szCs w:val="20"/>
        </w:rPr>
        <w:t xml:space="preserve"> </w:t>
      </w:r>
      <w:r w:rsidRPr="00B9514E">
        <w:rPr>
          <w:i/>
          <w:sz w:val="20"/>
          <w:szCs w:val="20"/>
        </w:rPr>
        <w:t>1% significance</w:t>
      </w:r>
      <w:r w:rsidR="0005656A">
        <w:rPr>
          <w:i/>
          <w:sz w:val="20"/>
          <w:szCs w:val="20"/>
        </w:rPr>
        <w:t>; ** 5% significance</w:t>
      </w:r>
      <w:r w:rsidRPr="00B9514E">
        <w:rPr>
          <w:i/>
          <w:sz w:val="20"/>
          <w:szCs w:val="20"/>
        </w:rPr>
        <w:t xml:space="preserve">. </w:t>
      </w:r>
      <w:r>
        <w:rPr>
          <w:i/>
          <w:sz w:val="20"/>
          <w:szCs w:val="20"/>
        </w:rPr>
        <w:t xml:space="preserve">Logit model. </w:t>
      </w:r>
      <w:r w:rsidR="008F43F6">
        <w:rPr>
          <w:rFonts w:cs="Arial"/>
          <w:i/>
          <w:sz w:val="20"/>
          <w:szCs w:val="18"/>
        </w:rPr>
        <w:t>S.E. = Standard errors</w:t>
      </w:r>
      <w:r w:rsidR="008F43F6" w:rsidRPr="00290537">
        <w:rPr>
          <w:rFonts w:cs="Arial"/>
          <w:i/>
          <w:sz w:val="20"/>
          <w:szCs w:val="18"/>
        </w:rPr>
        <w:t>. R-Squared = Psuedo R-Squared</w:t>
      </w:r>
      <w:r w:rsidR="008F43F6">
        <w:rPr>
          <w:i/>
          <w:sz w:val="20"/>
          <w:szCs w:val="24"/>
        </w:rPr>
        <w:t xml:space="preserve">. </w:t>
      </w:r>
      <w:r>
        <w:rPr>
          <w:i/>
          <w:sz w:val="20"/>
          <w:szCs w:val="24"/>
        </w:rPr>
        <w:t>Sport and culture variables are not included together due to</w:t>
      </w:r>
      <w:r w:rsidR="001B69DC">
        <w:rPr>
          <w:i/>
          <w:sz w:val="20"/>
          <w:szCs w:val="24"/>
        </w:rPr>
        <w:t xml:space="preserve"> problems of multicolinearity</w:t>
      </w:r>
      <w:r w:rsidR="00A30442">
        <w:rPr>
          <w:i/>
          <w:sz w:val="20"/>
          <w:szCs w:val="24"/>
        </w:rPr>
        <w:t>.</w:t>
      </w:r>
      <w:r w:rsidR="00C03F73" w:rsidRPr="00290537">
        <w:rPr>
          <w:rFonts w:cs="Arial"/>
          <w:i/>
          <w:sz w:val="20"/>
          <w:szCs w:val="18"/>
        </w:rPr>
        <w:t xml:space="preserve"> </w:t>
      </w:r>
      <w:r w:rsidR="001B69DC">
        <w:rPr>
          <w:i/>
          <w:sz w:val="20"/>
          <w:szCs w:val="24"/>
        </w:rPr>
        <w:t>We run 6 models in total: i</w:t>
      </w:r>
      <w:r>
        <w:rPr>
          <w:i/>
          <w:sz w:val="20"/>
          <w:szCs w:val="24"/>
        </w:rPr>
        <w:t xml:space="preserve">n addition to the control variables Model </w:t>
      </w:r>
      <w:r w:rsidRPr="00293A87">
        <w:rPr>
          <w:i/>
          <w:sz w:val="20"/>
          <w:szCs w:val="24"/>
        </w:rPr>
        <w:t>(1) i</w:t>
      </w:r>
      <w:r>
        <w:rPr>
          <w:i/>
          <w:sz w:val="20"/>
          <w:szCs w:val="24"/>
        </w:rPr>
        <w:t xml:space="preserve">ncludes all arts and all sports. Model </w:t>
      </w:r>
      <w:r w:rsidRPr="00293A87">
        <w:rPr>
          <w:i/>
          <w:sz w:val="20"/>
          <w:szCs w:val="24"/>
        </w:rPr>
        <w:t xml:space="preserve">(2) includes all </w:t>
      </w:r>
      <w:r>
        <w:rPr>
          <w:i/>
          <w:sz w:val="20"/>
          <w:szCs w:val="24"/>
        </w:rPr>
        <w:t>types of art</w:t>
      </w:r>
      <w:r w:rsidRPr="00293A87">
        <w:rPr>
          <w:i/>
          <w:sz w:val="20"/>
          <w:szCs w:val="24"/>
        </w:rPr>
        <w:t>, team sports, individual sports</w:t>
      </w:r>
      <w:r>
        <w:rPr>
          <w:i/>
          <w:sz w:val="20"/>
          <w:szCs w:val="24"/>
        </w:rPr>
        <w:t>. Model</w:t>
      </w:r>
      <w:r w:rsidRPr="00293A87">
        <w:rPr>
          <w:i/>
          <w:sz w:val="20"/>
          <w:szCs w:val="24"/>
        </w:rPr>
        <w:t xml:space="preserve"> (3) includes all sports, all </w:t>
      </w:r>
      <w:r>
        <w:rPr>
          <w:i/>
          <w:sz w:val="20"/>
          <w:szCs w:val="24"/>
        </w:rPr>
        <w:t xml:space="preserve">types of </w:t>
      </w:r>
      <w:r w:rsidRPr="00293A87">
        <w:rPr>
          <w:i/>
          <w:sz w:val="20"/>
          <w:szCs w:val="24"/>
        </w:rPr>
        <w:t xml:space="preserve">arts audience, all </w:t>
      </w:r>
      <w:r>
        <w:rPr>
          <w:i/>
          <w:sz w:val="20"/>
          <w:szCs w:val="24"/>
        </w:rPr>
        <w:t xml:space="preserve">types of </w:t>
      </w:r>
      <w:r w:rsidRPr="00293A87">
        <w:rPr>
          <w:i/>
          <w:sz w:val="20"/>
          <w:szCs w:val="24"/>
        </w:rPr>
        <w:t>arts participation</w:t>
      </w:r>
      <w:r>
        <w:rPr>
          <w:i/>
          <w:sz w:val="20"/>
          <w:szCs w:val="24"/>
        </w:rPr>
        <w:t>.</w:t>
      </w:r>
      <w:r w:rsidRPr="00293A87">
        <w:rPr>
          <w:i/>
          <w:sz w:val="20"/>
          <w:szCs w:val="24"/>
        </w:rPr>
        <w:t xml:space="preserve"> </w:t>
      </w:r>
      <w:r>
        <w:rPr>
          <w:i/>
          <w:sz w:val="20"/>
          <w:szCs w:val="24"/>
        </w:rPr>
        <w:t xml:space="preserve">Model </w:t>
      </w:r>
      <w:r w:rsidRPr="00293A87">
        <w:rPr>
          <w:i/>
          <w:sz w:val="20"/>
          <w:szCs w:val="24"/>
        </w:rPr>
        <w:t>(4) includes all sports and heritage</w:t>
      </w:r>
      <w:r>
        <w:rPr>
          <w:i/>
          <w:sz w:val="20"/>
          <w:szCs w:val="24"/>
        </w:rPr>
        <w:t xml:space="preserve"> visits. Model</w:t>
      </w:r>
      <w:r w:rsidRPr="00293A87">
        <w:rPr>
          <w:i/>
          <w:sz w:val="20"/>
          <w:szCs w:val="24"/>
        </w:rPr>
        <w:t xml:space="preserve"> (5) includes all sports and library</w:t>
      </w:r>
      <w:r>
        <w:rPr>
          <w:i/>
          <w:sz w:val="20"/>
          <w:szCs w:val="24"/>
        </w:rPr>
        <w:t xml:space="preserve"> visits. Model</w:t>
      </w:r>
      <w:r w:rsidRPr="00293A87">
        <w:rPr>
          <w:i/>
          <w:sz w:val="20"/>
          <w:szCs w:val="24"/>
        </w:rPr>
        <w:t xml:space="preserve"> (6) includes all sports and museum</w:t>
      </w:r>
      <w:r>
        <w:rPr>
          <w:i/>
          <w:sz w:val="20"/>
          <w:szCs w:val="24"/>
        </w:rPr>
        <w:t xml:space="preserve"> visits. </w:t>
      </w:r>
      <w:r w:rsidRPr="00B9514E">
        <w:rPr>
          <w:i/>
          <w:sz w:val="20"/>
          <w:szCs w:val="20"/>
        </w:rPr>
        <w:t xml:space="preserve">Coefficient shows impact on log-odds ratio. </w:t>
      </w:r>
      <w:r>
        <w:rPr>
          <w:i/>
          <w:sz w:val="20"/>
          <w:szCs w:val="20"/>
        </w:rPr>
        <w:t xml:space="preserve">Log-odds ratios have been converted to probability impacts in column 3 at the sample mean values for all other variables. </w:t>
      </w:r>
    </w:p>
    <w:p w14:paraId="4C600F8A" w14:textId="77777777" w:rsidR="00616698" w:rsidRPr="00293A87" w:rsidRDefault="00616698" w:rsidP="00E43A25">
      <w:pPr>
        <w:spacing w:after="0" w:line="240" w:lineRule="auto"/>
        <w:rPr>
          <w:i/>
          <w:sz w:val="20"/>
          <w:szCs w:val="24"/>
        </w:rPr>
      </w:pPr>
    </w:p>
    <w:p w14:paraId="1C40FFD8" w14:textId="77777777" w:rsidR="00B32BC6" w:rsidRDefault="00B32BC6" w:rsidP="00B32BC6">
      <w:pPr>
        <w:spacing w:after="0" w:line="240" w:lineRule="auto"/>
        <w:rPr>
          <w:rFonts w:cs="Arial"/>
          <w:sz w:val="24"/>
          <w:szCs w:val="24"/>
        </w:rPr>
      </w:pPr>
      <w:r>
        <w:rPr>
          <w:sz w:val="24"/>
          <w:szCs w:val="24"/>
        </w:rPr>
        <w:t>After controlling for a large range of determinants of depression, p</w:t>
      </w:r>
      <w:r w:rsidRPr="00BF1D2D">
        <w:rPr>
          <w:sz w:val="24"/>
        </w:rPr>
        <w:t>eople</w:t>
      </w:r>
      <w:r>
        <w:rPr>
          <w:sz w:val="24"/>
        </w:rPr>
        <w:t xml:space="preserve"> who play sport are less likely to have depression. </w:t>
      </w:r>
      <w:r>
        <w:rPr>
          <w:rFonts w:cs="Arial"/>
          <w:sz w:val="24"/>
          <w:szCs w:val="24"/>
        </w:rPr>
        <w:t xml:space="preserve">Similar to the results shown in </w:t>
      </w:r>
      <w:r w:rsidR="0015758C">
        <w:rPr>
          <w:rFonts w:cs="Arial"/>
          <w:sz w:val="24"/>
          <w:szCs w:val="24"/>
        </w:rPr>
        <w:t>Table 10</w:t>
      </w:r>
      <w:r w:rsidR="007A7451">
        <w:rPr>
          <w:rFonts w:cs="Arial"/>
          <w:sz w:val="24"/>
          <w:szCs w:val="24"/>
        </w:rPr>
        <w:t>,</w:t>
      </w:r>
      <w:r>
        <w:rPr>
          <w:rFonts w:cs="Arial"/>
          <w:sz w:val="24"/>
          <w:szCs w:val="24"/>
        </w:rPr>
        <w:t xml:space="preserve"> </w:t>
      </w:r>
      <w:r w:rsidRPr="0054326B">
        <w:rPr>
          <w:rFonts w:cs="Arial"/>
          <w:sz w:val="24"/>
          <w:szCs w:val="24"/>
        </w:rPr>
        <w:t>Goodwin (2003) also found a negative association between participation in sport and probability of suffering from depression.</w:t>
      </w:r>
      <w:r>
        <w:rPr>
          <w:rFonts w:cs="Arial"/>
          <w:sz w:val="24"/>
          <w:szCs w:val="24"/>
        </w:rPr>
        <w:t xml:space="preserve"> </w:t>
      </w:r>
      <w:r w:rsidRPr="0054326B">
        <w:rPr>
          <w:rFonts w:cs="Arial"/>
          <w:sz w:val="24"/>
          <w:szCs w:val="24"/>
        </w:rPr>
        <w:t>Her findings which are based on an adult US population suggest that amongst those who regularly participate in sports there is a decreased prevalence of major depression.</w:t>
      </w:r>
      <w:r>
        <w:rPr>
          <w:rFonts w:cs="Arial"/>
          <w:sz w:val="24"/>
          <w:szCs w:val="24"/>
        </w:rPr>
        <w:t xml:space="preserve"> We note that although cultural engagement was found to be positively associated with general health, we do not find any relationship for culture with clinical depression.</w:t>
      </w:r>
    </w:p>
    <w:p w14:paraId="04A3CBBA" w14:textId="77777777" w:rsidR="00B32BC6" w:rsidRDefault="00B32BC6" w:rsidP="00EA4B35">
      <w:pPr>
        <w:spacing w:after="0" w:line="240" w:lineRule="auto"/>
        <w:rPr>
          <w:b/>
          <w:sz w:val="24"/>
        </w:rPr>
      </w:pPr>
    </w:p>
    <w:p w14:paraId="6A421AB4" w14:textId="77777777" w:rsidR="004F7A97" w:rsidRDefault="004F7A97" w:rsidP="00EA4B35">
      <w:pPr>
        <w:spacing w:after="0" w:line="240" w:lineRule="auto"/>
        <w:rPr>
          <w:b/>
          <w:sz w:val="24"/>
        </w:rPr>
      </w:pPr>
    </w:p>
    <w:p w14:paraId="050766E0" w14:textId="77777777" w:rsidR="004F7A97" w:rsidRDefault="004F7A97" w:rsidP="00EA4B35">
      <w:pPr>
        <w:spacing w:after="0" w:line="240" w:lineRule="auto"/>
        <w:rPr>
          <w:b/>
          <w:sz w:val="24"/>
        </w:rPr>
      </w:pPr>
    </w:p>
    <w:p w14:paraId="0802600B" w14:textId="77777777" w:rsidR="004F7A97" w:rsidRDefault="004F7A97" w:rsidP="00EA4B35">
      <w:pPr>
        <w:spacing w:after="0" w:line="240" w:lineRule="auto"/>
        <w:rPr>
          <w:b/>
          <w:sz w:val="24"/>
        </w:rPr>
      </w:pPr>
    </w:p>
    <w:p w14:paraId="5E2B301B" w14:textId="77777777" w:rsidR="004F7A97" w:rsidRDefault="004F7A97" w:rsidP="00EA4B35">
      <w:pPr>
        <w:spacing w:after="0" w:line="240" w:lineRule="auto"/>
        <w:rPr>
          <w:b/>
          <w:sz w:val="24"/>
        </w:rPr>
      </w:pPr>
    </w:p>
    <w:p w14:paraId="1ACB5246" w14:textId="77777777" w:rsidR="006F2A57" w:rsidRDefault="006F2A57" w:rsidP="00EA4B35">
      <w:pPr>
        <w:spacing w:after="0" w:line="240" w:lineRule="auto"/>
        <w:rPr>
          <w:b/>
          <w:sz w:val="24"/>
        </w:rPr>
      </w:pPr>
      <w:r w:rsidRPr="00C12A2B">
        <w:rPr>
          <w:b/>
          <w:sz w:val="24"/>
        </w:rPr>
        <w:lastRenderedPageBreak/>
        <w:t>C.2.2. Valuing</w:t>
      </w:r>
      <w:r w:rsidR="00EF3F9E">
        <w:rPr>
          <w:b/>
          <w:sz w:val="24"/>
        </w:rPr>
        <w:t xml:space="preserve"> </w:t>
      </w:r>
      <w:r w:rsidR="00EF3F9E" w:rsidRPr="00EF3F9E">
        <w:rPr>
          <w:rFonts w:cs="Arial"/>
          <w:b/>
          <w:sz w:val="24"/>
          <w:szCs w:val="24"/>
        </w:rPr>
        <w:t>predicted</w:t>
      </w:r>
      <w:r w:rsidRPr="00C12A2B">
        <w:rPr>
          <w:b/>
          <w:sz w:val="24"/>
        </w:rPr>
        <w:t xml:space="preserve"> reductions in </w:t>
      </w:r>
      <w:r w:rsidR="00037C99">
        <w:rPr>
          <w:b/>
          <w:sz w:val="24"/>
        </w:rPr>
        <w:t xml:space="preserve">risk of </w:t>
      </w:r>
      <w:r w:rsidRPr="00C12A2B">
        <w:rPr>
          <w:b/>
          <w:sz w:val="24"/>
        </w:rPr>
        <w:t xml:space="preserve">depression </w:t>
      </w:r>
    </w:p>
    <w:p w14:paraId="052007A6" w14:textId="77777777" w:rsidR="00C85CD9" w:rsidRDefault="00C03F73" w:rsidP="00EA4B35">
      <w:pPr>
        <w:spacing w:after="0" w:line="240" w:lineRule="auto"/>
        <w:rPr>
          <w:b/>
          <w:sz w:val="24"/>
        </w:rPr>
      </w:pPr>
      <w:r>
        <w:rPr>
          <w:b/>
          <w:sz w:val="24"/>
        </w:rPr>
        <w:t xml:space="preserve"> </w:t>
      </w:r>
    </w:p>
    <w:p w14:paraId="38D211F8" w14:textId="77777777" w:rsidR="00A25D58" w:rsidRDefault="00A25D58" w:rsidP="00A25D58">
      <w:pPr>
        <w:spacing w:after="0" w:line="240" w:lineRule="auto"/>
        <w:rPr>
          <w:rFonts w:cs="Arial"/>
          <w:sz w:val="24"/>
          <w:szCs w:val="24"/>
        </w:rPr>
      </w:pPr>
      <w:r w:rsidRPr="00A25D58">
        <w:rPr>
          <w:rFonts w:cs="Arial"/>
          <w:sz w:val="24"/>
          <w:szCs w:val="24"/>
        </w:rPr>
        <w:t>W</w:t>
      </w:r>
      <w:r>
        <w:rPr>
          <w:rFonts w:cs="Arial"/>
          <w:sz w:val="24"/>
          <w:szCs w:val="24"/>
        </w:rPr>
        <w:t>e derive a monetary value for</w:t>
      </w:r>
      <w:r w:rsidR="00EF3F9E">
        <w:rPr>
          <w:rFonts w:cs="Arial"/>
          <w:sz w:val="24"/>
          <w:szCs w:val="24"/>
        </w:rPr>
        <w:t xml:space="preserve"> predicted</w:t>
      </w:r>
      <w:r>
        <w:rPr>
          <w:rFonts w:cs="Arial"/>
          <w:sz w:val="24"/>
          <w:szCs w:val="24"/>
        </w:rPr>
        <w:t xml:space="preserve"> reductions in</w:t>
      </w:r>
      <w:r w:rsidR="001D2973">
        <w:rPr>
          <w:rFonts w:cs="Arial"/>
          <w:sz w:val="24"/>
          <w:szCs w:val="24"/>
        </w:rPr>
        <w:t xml:space="preserve"> clinical </w:t>
      </w:r>
      <w:r>
        <w:rPr>
          <w:rFonts w:cs="Arial"/>
          <w:sz w:val="24"/>
          <w:szCs w:val="24"/>
        </w:rPr>
        <w:t xml:space="preserve">depression by using </w:t>
      </w:r>
      <w:r w:rsidRPr="00A25D58">
        <w:rPr>
          <w:rFonts w:cs="Arial"/>
          <w:sz w:val="24"/>
          <w:szCs w:val="24"/>
        </w:rPr>
        <w:t>QALY</w:t>
      </w:r>
      <w:r>
        <w:rPr>
          <w:rFonts w:cs="Arial"/>
          <w:sz w:val="24"/>
          <w:szCs w:val="24"/>
        </w:rPr>
        <w:t xml:space="preserve"> </w:t>
      </w:r>
      <w:r w:rsidRPr="00A25D58">
        <w:rPr>
          <w:rFonts w:cs="Arial"/>
          <w:sz w:val="24"/>
          <w:szCs w:val="24"/>
        </w:rPr>
        <w:t>score</w:t>
      </w:r>
      <w:r>
        <w:rPr>
          <w:rFonts w:cs="Arial"/>
          <w:sz w:val="24"/>
          <w:szCs w:val="24"/>
        </w:rPr>
        <w:t xml:space="preserve">s in an approach that replicates </w:t>
      </w:r>
      <w:r w:rsidRPr="00A25D58">
        <w:rPr>
          <w:rFonts w:cs="Arial"/>
          <w:sz w:val="24"/>
          <w:szCs w:val="24"/>
        </w:rPr>
        <w:t xml:space="preserve">the CASE </w:t>
      </w:r>
      <w:r w:rsidR="001D2973">
        <w:rPr>
          <w:rFonts w:cs="Arial"/>
          <w:sz w:val="24"/>
          <w:szCs w:val="24"/>
        </w:rPr>
        <w:t>(</w:t>
      </w:r>
      <w:r w:rsidR="0089230A">
        <w:rPr>
          <w:rFonts w:cs="Arial"/>
          <w:sz w:val="24"/>
          <w:szCs w:val="24"/>
        </w:rPr>
        <w:t xml:space="preserve">Matrix, </w:t>
      </w:r>
      <w:r w:rsidR="001D2973">
        <w:rPr>
          <w:rFonts w:cs="Arial"/>
          <w:sz w:val="24"/>
          <w:szCs w:val="24"/>
        </w:rPr>
        <w:t>2010</w:t>
      </w:r>
      <w:r>
        <w:rPr>
          <w:rFonts w:cs="Arial"/>
          <w:sz w:val="24"/>
          <w:szCs w:val="24"/>
        </w:rPr>
        <w:t xml:space="preserve">) </w:t>
      </w:r>
      <w:r w:rsidRPr="00A25D58">
        <w:rPr>
          <w:rFonts w:cs="Arial"/>
          <w:sz w:val="24"/>
          <w:szCs w:val="24"/>
        </w:rPr>
        <w:t>research that looked at impacts on QALY scores for physical health improvements due to sport.</w:t>
      </w:r>
    </w:p>
    <w:p w14:paraId="6E082671" w14:textId="77777777" w:rsidR="00BA55EF" w:rsidRDefault="00BA55EF" w:rsidP="00A25D58">
      <w:pPr>
        <w:spacing w:after="0" w:line="240" w:lineRule="auto"/>
        <w:rPr>
          <w:rFonts w:cs="Arial"/>
          <w:sz w:val="24"/>
          <w:szCs w:val="24"/>
        </w:rPr>
      </w:pPr>
    </w:p>
    <w:p w14:paraId="49B7A49A" w14:textId="77777777" w:rsidR="00BA55EF" w:rsidRPr="00BF70EF" w:rsidRDefault="00BA55EF" w:rsidP="00BA55EF">
      <w:pPr>
        <w:spacing w:after="0" w:line="240" w:lineRule="auto"/>
        <w:rPr>
          <w:rFonts w:eastAsia="Times New Roman" w:cs="Times New Roman"/>
          <w:color w:val="000000"/>
          <w:sz w:val="24"/>
          <w:szCs w:val="27"/>
          <w:lang w:eastAsia="en-GB"/>
        </w:rPr>
      </w:pPr>
      <w:r>
        <w:rPr>
          <w:rFonts w:eastAsia="Times New Roman" w:cs="Times New Roman"/>
          <w:color w:val="000000"/>
          <w:sz w:val="24"/>
          <w:szCs w:val="27"/>
          <w:lang w:eastAsia="en-GB"/>
        </w:rPr>
        <w:t>G</w:t>
      </w:r>
      <w:r w:rsidRPr="00BF70EF">
        <w:rPr>
          <w:rFonts w:eastAsia="Times New Roman" w:cs="Times New Roman"/>
          <w:color w:val="000000"/>
          <w:sz w:val="24"/>
          <w:szCs w:val="27"/>
          <w:lang w:eastAsia="en-GB"/>
        </w:rPr>
        <w:t xml:space="preserve">uidance </w:t>
      </w:r>
      <w:r>
        <w:rPr>
          <w:rFonts w:eastAsia="Times New Roman" w:cs="Times New Roman"/>
          <w:color w:val="000000"/>
          <w:sz w:val="24"/>
          <w:szCs w:val="27"/>
          <w:lang w:eastAsia="en-GB"/>
        </w:rPr>
        <w:t>from the National Institute for Health and Care Excellence (NICE)</w:t>
      </w:r>
      <w:r>
        <w:rPr>
          <w:rStyle w:val="FootnoteReference"/>
          <w:rFonts w:eastAsia="Times New Roman" w:cs="Times New Roman"/>
          <w:color w:val="000000"/>
          <w:sz w:val="24"/>
          <w:szCs w:val="27"/>
          <w:lang w:eastAsia="en-GB"/>
        </w:rPr>
        <w:footnoteReference w:id="13"/>
      </w:r>
      <w:r>
        <w:rPr>
          <w:rFonts w:eastAsia="Times New Roman" w:cs="Times New Roman"/>
          <w:color w:val="000000"/>
          <w:sz w:val="24"/>
          <w:szCs w:val="27"/>
          <w:lang w:eastAsia="en-GB"/>
        </w:rPr>
        <w:t xml:space="preserve"> </w:t>
      </w:r>
      <w:r w:rsidR="00C30515">
        <w:rPr>
          <w:rFonts w:eastAsia="Times New Roman" w:cs="Times New Roman"/>
          <w:color w:val="000000"/>
          <w:sz w:val="24"/>
          <w:szCs w:val="27"/>
          <w:lang w:eastAsia="en-GB"/>
        </w:rPr>
        <w:t>and from</w:t>
      </w:r>
      <w:r w:rsidRPr="00BF70EF">
        <w:rPr>
          <w:rFonts w:eastAsia="Times New Roman" w:cs="Times New Roman"/>
          <w:color w:val="000000"/>
          <w:sz w:val="24"/>
          <w:szCs w:val="27"/>
          <w:lang w:eastAsia="en-GB"/>
        </w:rPr>
        <w:t xml:space="preserve"> decision-analysis papers </w:t>
      </w:r>
      <w:r>
        <w:rPr>
          <w:rFonts w:eastAsia="Times New Roman" w:cs="Times New Roman"/>
          <w:color w:val="000000"/>
          <w:sz w:val="24"/>
          <w:szCs w:val="27"/>
          <w:lang w:eastAsia="en-GB"/>
        </w:rPr>
        <w:t xml:space="preserve">(eg, Simons et al. (2006)) on QALY scores for depression use the following QALY figures from Revicki and Wood </w:t>
      </w:r>
      <w:r w:rsidR="00971881">
        <w:rPr>
          <w:rFonts w:eastAsia="Times New Roman" w:cs="Times New Roman"/>
          <w:color w:val="000000"/>
          <w:sz w:val="24"/>
          <w:szCs w:val="27"/>
          <w:lang w:eastAsia="en-GB"/>
        </w:rPr>
        <w:fldChar w:fldCharType="begin"/>
      </w:r>
      <w:r w:rsidR="00971881">
        <w:rPr>
          <w:rFonts w:eastAsia="Times New Roman" w:cs="Times New Roman"/>
          <w:color w:val="000000"/>
          <w:sz w:val="24"/>
          <w:szCs w:val="27"/>
          <w:lang w:eastAsia="en-GB"/>
        </w:rPr>
        <w:instrText xml:space="preserve"> ADDIN EN.CITE &lt;EndNote&gt;&lt;Cite ExcludeAuth="1"&gt;&lt;Author&gt;Revicki&lt;/Author&gt;&lt;Year&gt;1998&lt;/Year&gt;&lt;RecNum&gt;646&lt;/RecNum&gt;&lt;DisplayText&gt;(1998)&lt;/DisplayText&gt;&lt;record&gt;&lt;rec-number&gt;646&lt;/rec-number&gt;&lt;foreign-keys&gt;&lt;key app="EN" db-id="9tvvrfwv22z0p8e29at5f2r8a9vxsa59spv0" timestamp="1403799741"&gt;646&lt;/key&gt;&lt;/foreign-keys&gt;&lt;ref-type name="Journal Article"&gt;17&lt;/ref-type&gt;&lt;contributors&gt;&lt;authors&gt;&lt;author&gt;Revicki, D. A.&lt;/author&gt;&lt;author&gt;Wood, M.&lt;/author&gt;&lt;/authors&gt;&lt;/contributors&gt;&lt;auth-address&gt;MEDTAP International, Bethesda, MD 20814, USA. Revicki@Medtap.com&lt;/auth-address&gt;&lt;titles&gt;&lt;title&gt;Patient-assigned health state utilities for depression-related outcomes: differences by depression severity and antidepressant medications&lt;/title&gt;&lt;secondary-title&gt;J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25-36&lt;/pages&gt;&lt;volume&gt;48&lt;/volume&gt;&lt;number&gt;1&lt;/number&gt;&lt;edition&gt;1998/03/12&lt;/edition&gt;&lt;keywords&gt;&lt;keyword&gt;Adolescent&lt;/keyword&gt;&lt;keyword&gt;Adult&lt;/keyword&gt;&lt;keyword&gt;Aged&lt;/keyword&gt;&lt;keyword&gt;Antidepressive Agents/*adverse effects&lt;/keyword&gt;&lt;keyword&gt;Depressive Disorder/diagnosis/*drug therapy&lt;/keyword&gt;&lt;keyword&gt;Female&lt;/keyword&gt;&lt;keyword&gt;*Health Status&lt;/keyword&gt;&lt;keyword&gt;Humans&lt;/keyword&gt;&lt;keyword&gt;Male&lt;/keyword&gt;&lt;keyword&gt;Middle Aged&lt;/keyword&gt;&lt;keyword&gt;*Patient Satisfaction&lt;/keyword&gt;&lt;keyword&gt;Psychiatric Status Rating Scales&lt;/keyword&gt;&lt;keyword&gt;Severity of Illness Index&lt;/keyword&gt;&lt;keyword&gt;Treatment Outcome&lt;/keyword&gt;&lt;/keywords&gt;&lt;dates&gt;&lt;year&gt;1998&lt;/year&gt;&lt;pub-dates&gt;&lt;date&gt;Feb&lt;/date&gt;&lt;/pub-dates&gt;&lt;/dates&gt;&lt;isbn&gt;0165-0327 (Print)&amp;#xD;0165-0327&lt;/isbn&gt;&lt;accession-num&gt;9495599&lt;/accession-num&gt;&lt;urls&gt;&lt;/urls&gt;&lt;remote-database-provider&gt;Nlm&lt;/remote-database-provider&gt;&lt;language&gt;eng&lt;/language&gt;&lt;/record&gt;&lt;/Cite&gt;&lt;/EndNote&gt;</w:instrText>
      </w:r>
      <w:r w:rsidR="00971881">
        <w:rPr>
          <w:rFonts w:eastAsia="Times New Roman" w:cs="Times New Roman"/>
          <w:color w:val="000000"/>
          <w:sz w:val="24"/>
          <w:szCs w:val="27"/>
          <w:lang w:eastAsia="en-GB"/>
        </w:rPr>
        <w:fldChar w:fldCharType="separate"/>
      </w:r>
      <w:r w:rsidR="00971881">
        <w:rPr>
          <w:rFonts w:eastAsia="Times New Roman" w:cs="Times New Roman"/>
          <w:noProof/>
          <w:color w:val="000000"/>
          <w:sz w:val="24"/>
          <w:szCs w:val="27"/>
          <w:lang w:eastAsia="en-GB"/>
        </w:rPr>
        <w:t>(</w:t>
      </w:r>
      <w:hyperlink w:anchor="_ENREF_5" w:tooltip="Revicki, 1998 #646" w:history="1">
        <w:r w:rsidR="00971881">
          <w:rPr>
            <w:rFonts w:eastAsia="Times New Roman" w:cs="Times New Roman"/>
            <w:noProof/>
            <w:color w:val="000000"/>
            <w:sz w:val="24"/>
            <w:szCs w:val="27"/>
            <w:lang w:eastAsia="en-GB"/>
          </w:rPr>
          <w:t>1998</w:t>
        </w:r>
      </w:hyperlink>
      <w:r w:rsidR="00971881">
        <w:rPr>
          <w:rFonts w:eastAsia="Times New Roman" w:cs="Times New Roman"/>
          <w:noProof/>
          <w:color w:val="000000"/>
          <w:sz w:val="24"/>
          <w:szCs w:val="27"/>
          <w:lang w:eastAsia="en-GB"/>
        </w:rPr>
        <w:t>)</w:t>
      </w:r>
      <w:r w:rsidR="00971881">
        <w:rPr>
          <w:rFonts w:eastAsia="Times New Roman" w:cs="Times New Roman"/>
          <w:color w:val="000000"/>
          <w:sz w:val="24"/>
          <w:szCs w:val="27"/>
          <w:lang w:eastAsia="en-GB"/>
        </w:rPr>
        <w:fldChar w:fldCharType="end"/>
      </w:r>
      <w:r w:rsidR="00971881">
        <w:rPr>
          <w:rFonts w:eastAsia="Times New Roman" w:cs="Times New Roman"/>
          <w:color w:val="000000"/>
          <w:sz w:val="24"/>
          <w:szCs w:val="27"/>
          <w:lang w:eastAsia="en-GB"/>
        </w:rPr>
        <w:t>:</w:t>
      </w:r>
    </w:p>
    <w:p w14:paraId="253282FC" w14:textId="77777777" w:rsidR="00BA55EF" w:rsidRPr="00BF70EF" w:rsidRDefault="00BA55EF" w:rsidP="00BA55EF">
      <w:pPr>
        <w:spacing w:after="0" w:line="240" w:lineRule="auto"/>
        <w:rPr>
          <w:rFonts w:eastAsia="Times New Roman" w:cs="Times New Roman"/>
          <w:color w:val="000000"/>
          <w:sz w:val="24"/>
          <w:szCs w:val="27"/>
          <w:lang w:eastAsia="en-GB"/>
        </w:rPr>
      </w:pPr>
    </w:p>
    <w:p w14:paraId="1DD7CBA0" w14:textId="77777777" w:rsidR="00BA55EF" w:rsidRPr="00C30515" w:rsidRDefault="00E45FA1" w:rsidP="00C30515">
      <w:pPr>
        <w:pStyle w:val="ListParagraph"/>
        <w:numPr>
          <w:ilvl w:val="0"/>
          <w:numId w:val="13"/>
        </w:numPr>
        <w:spacing w:after="0" w:line="240" w:lineRule="auto"/>
        <w:rPr>
          <w:rFonts w:eastAsia="Times New Roman" w:cs="Times New Roman"/>
          <w:color w:val="000000"/>
          <w:sz w:val="24"/>
          <w:szCs w:val="27"/>
          <w:lang w:eastAsia="en-GB"/>
        </w:rPr>
      </w:pPr>
      <w:r>
        <w:rPr>
          <w:rFonts w:eastAsia="Times New Roman" w:cs="Times New Roman"/>
          <w:color w:val="000000"/>
          <w:sz w:val="24"/>
          <w:szCs w:val="27"/>
          <w:lang w:eastAsia="en-GB"/>
        </w:rPr>
        <w:t>Severe depression:</w:t>
      </w:r>
      <w:r w:rsidR="00BA55EF" w:rsidRPr="00C30515">
        <w:rPr>
          <w:rFonts w:eastAsia="Times New Roman" w:cs="Times New Roman"/>
          <w:color w:val="000000"/>
          <w:sz w:val="24"/>
          <w:szCs w:val="27"/>
          <w:lang w:eastAsia="en-GB"/>
        </w:rPr>
        <w:t xml:space="preserve"> 0.30 </w:t>
      </w:r>
    </w:p>
    <w:p w14:paraId="7AAB76F0" w14:textId="77777777" w:rsidR="00BA55EF" w:rsidRPr="00C30515" w:rsidRDefault="00BA55EF" w:rsidP="00C30515">
      <w:pPr>
        <w:pStyle w:val="ListParagraph"/>
        <w:numPr>
          <w:ilvl w:val="0"/>
          <w:numId w:val="13"/>
        </w:numPr>
        <w:spacing w:after="0" w:line="240" w:lineRule="auto"/>
        <w:rPr>
          <w:rFonts w:eastAsia="Times New Roman" w:cs="Times New Roman"/>
          <w:color w:val="000000"/>
          <w:sz w:val="24"/>
          <w:szCs w:val="27"/>
          <w:lang w:eastAsia="en-GB"/>
        </w:rPr>
      </w:pPr>
      <w:r w:rsidRPr="00C30515">
        <w:rPr>
          <w:rFonts w:eastAsia="Times New Roman" w:cs="Times New Roman"/>
          <w:color w:val="000000"/>
          <w:sz w:val="24"/>
          <w:szCs w:val="27"/>
          <w:lang w:eastAsia="en-GB"/>
        </w:rPr>
        <w:t>Moderate depression</w:t>
      </w:r>
      <w:r w:rsidR="00E45FA1">
        <w:rPr>
          <w:rFonts w:eastAsia="Times New Roman" w:cs="Times New Roman"/>
          <w:color w:val="000000"/>
          <w:sz w:val="24"/>
          <w:szCs w:val="27"/>
          <w:lang w:eastAsia="en-GB"/>
        </w:rPr>
        <w:t>:</w:t>
      </w:r>
      <w:r w:rsidRPr="00C30515">
        <w:rPr>
          <w:rFonts w:eastAsia="Times New Roman" w:cs="Times New Roman"/>
          <w:color w:val="000000"/>
          <w:sz w:val="24"/>
          <w:szCs w:val="27"/>
          <w:lang w:eastAsia="en-GB"/>
        </w:rPr>
        <w:t xml:space="preserve"> 0.63 </w:t>
      </w:r>
    </w:p>
    <w:p w14:paraId="1EFECFC6" w14:textId="77777777" w:rsidR="00BA55EF" w:rsidRDefault="00BA55EF" w:rsidP="00A25D58">
      <w:pPr>
        <w:spacing w:after="0" w:line="240" w:lineRule="auto"/>
        <w:rPr>
          <w:rFonts w:cs="Arial"/>
          <w:sz w:val="24"/>
          <w:szCs w:val="24"/>
        </w:rPr>
      </w:pPr>
    </w:p>
    <w:p w14:paraId="307598B3" w14:textId="77777777" w:rsidR="00872055" w:rsidRDefault="00076627" w:rsidP="00EA4B35">
      <w:pPr>
        <w:spacing w:after="0" w:line="240" w:lineRule="auto"/>
        <w:rPr>
          <w:rFonts w:eastAsia="Times New Roman" w:cs="Times New Roman"/>
          <w:color w:val="000000"/>
          <w:sz w:val="24"/>
          <w:szCs w:val="24"/>
          <w:lang w:eastAsia="en-GB"/>
        </w:rPr>
      </w:pPr>
      <w:r>
        <w:rPr>
          <w:rFonts w:cs="Arial"/>
          <w:sz w:val="24"/>
          <w:szCs w:val="24"/>
        </w:rPr>
        <w:t xml:space="preserve">As a conservative estimate (note the discussion concerning the potential for over-stating estimates in section B.1.) we use </w:t>
      </w:r>
      <w:r w:rsidR="00C30515">
        <w:rPr>
          <w:rFonts w:cs="Arial"/>
          <w:sz w:val="24"/>
          <w:szCs w:val="24"/>
        </w:rPr>
        <w:t xml:space="preserve">the QALY score for </w:t>
      </w:r>
      <w:r>
        <w:rPr>
          <w:rFonts w:cs="Arial"/>
          <w:sz w:val="24"/>
          <w:szCs w:val="24"/>
        </w:rPr>
        <w:t xml:space="preserve">moderate </w:t>
      </w:r>
      <w:r w:rsidR="00C30515">
        <w:rPr>
          <w:rFonts w:cs="Arial"/>
          <w:sz w:val="24"/>
          <w:szCs w:val="24"/>
        </w:rPr>
        <w:t xml:space="preserve">depression </w:t>
      </w:r>
      <w:r>
        <w:rPr>
          <w:rFonts w:cs="Arial"/>
          <w:sz w:val="24"/>
          <w:szCs w:val="24"/>
        </w:rPr>
        <w:t>(0.63</w:t>
      </w:r>
      <w:r w:rsidR="00E45FA1">
        <w:rPr>
          <w:rFonts w:cs="Arial"/>
          <w:sz w:val="24"/>
          <w:szCs w:val="24"/>
        </w:rPr>
        <w:t xml:space="preserve">) </w:t>
      </w:r>
      <w:r w:rsidR="00C30515">
        <w:rPr>
          <w:rFonts w:cs="Arial"/>
          <w:sz w:val="24"/>
          <w:szCs w:val="24"/>
        </w:rPr>
        <w:t xml:space="preserve">from </w:t>
      </w:r>
      <w:r w:rsidR="00C30515">
        <w:rPr>
          <w:rFonts w:eastAsia="Times New Roman" w:cs="Times New Roman"/>
          <w:color w:val="000000"/>
          <w:sz w:val="24"/>
          <w:szCs w:val="27"/>
          <w:lang w:eastAsia="en-GB"/>
        </w:rPr>
        <w:t>Revicki and Wood (1998).</w:t>
      </w:r>
      <w:r w:rsidR="00E45FA1">
        <w:rPr>
          <w:rFonts w:eastAsia="Times New Roman" w:cs="Times New Roman"/>
          <w:color w:val="000000"/>
          <w:sz w:val="24"/>
          <w:szCs w:val="27"/>
          <w:lang w:eastAsia="en-GB"/>
        </w:rPr>
        <w:t xml:space="preserve"> </w:t>
      </w:r>
      <w:r w:rsidR="00086AB0">
        <w:rPr>
          <w:rFonts w:eastAsia="Times New Roman" w:cs="Times New Roman"/>
          <w:color w:val="000000"/>
          <w:sz w:val="24"/>
          <w:szCs w:val="27"/>
          <w:lang w:eastAsia="en-GB"/>
        </w:rPr>
        <w:t xml:space="preserve">Given that Understanding Society </w:t>
      </w:r>
      <w:r w:rsidR="004A60E8">
        <w:rPr>
          <w:rFonts w:eastAsia="Times New Roman" w:cs="Times New Roman"/>
          <w:color w:val="000000"/>
          <w:sz w:val="24"/>
          <w:szCs w:val="27"/>
          <w:lang w:eastAsia="en-GB"/>
        </w:rPr>
        <w:t xml:space="preserve">is an annual survey we assume that the impact estimates in </w:t>
      </w:r>
      <w:r w:rsidR="0015758C">
        <w:rPr>
          <w:rFonts w:eastAsia="Times New Roman" w:cs="Times New Roman"/>
          <w:color w:val="000000"/>
          <w:sz w:val="24"/>
          <w:szCs w:val="27"/>
          <w:lang w:eastAsia="en-GB"/>
        </w:rPr>
        <w:t>Table 10</w:t>
      </w:r>
      <w:r w:rsidR="004A60E8">
        <w:rPr>
          <w:rFonts w:eastAsia="Times New Roman" w:cs="Times New Roman"/>
          <w:color w:val="000000"/>
          <w:sz w:val="24"/>
          <w:szCs w:val="27"/>
          <w:lang w:eastAsia="en-GB"/>
        </w:rPr>
        <w:t xml:space="preserve"> represent the impact </w:t>
      </w:r>
      <w:r w:rsidR="00B93A0B">
        <w:rPr>
          <w:rFonts w:eastAsia="Times New Roman" w:cs="Times New Roman"/>
          <w:color w:val="000000"/>
          <w:sz w:val="24"/>
          <w:szCs w:val="27"/>
          <w:lang w:eastAsia="en-GB"/>
        </w:rPr>
        <w:t xml:space="preserve">of all sports and individual sports on the likelihood of having depression in that year. </w:t>
      </w:r>
      <w:r w:rsidR="006E01C2">
        <w:rPr>
          <w:rFonts w:eastAsia="Times New Roman" w:cs="Times New Roman"/>
          <w:color w:val="000000"/>
          <w:sz w:val="24"/>
          <w:szCs w:val="27"/>
          <w:lang w:eastAsia="en-GB"/>
        </w:rPr>
        <w:t xml:space="preserve">We assume </w:t>
      </w:r>
      <w:r w:rsidR="00B93A0B">
        <w:rPr>
          <w:rFonts w:eastAsia="Times New Roman" w:cs="Times New Roman"/>
          <w:color w:val="000000"/>
          <w:sz w:val="24"/>
          <w:szCs w:val="27"/>
          <w:lang w:eastAsia="en-GB"/>
        </w:rPr>
        <w:t>a QALY loss</w:t>
      </w:r>
      <w:r>
        <w:rPr>
          <w:rFonts w:eastAsia="Times New Roman" w:cs="Times New Roman"/>
          <w:color w:val="000000"/>
          <w:sz w:val="24"/>
          <w:szCs w:val="27"/>
          <w:lang w:eastAsia="en-GB"/>
        </w:rPr>
        <w:t xml:space="preserve"> for clinical depression of 0.37</w:t>
      </w:r>
      <w:r w:rsidR="00B93A0B">
        <w:rPr>
          <w:rFonts w:eastAsia="Times New Roman" w:cs="Times New Roman"/>
          <w:color w:val="000000"/>
          <w:sz w:val="24"/>
          <w:szCs w:val="27"/>
          <w:lang w:eastAsia="en-GB"/>
        </w:rPr>
        <w:t xml:space="preserve"> (estimated as </w:t>
      </w:r>
      <w:r w:rsidR="006E01C2">
        <w:rPr>
          <w:rFonts w:eastAsia="Times New Roman" w:cs="Times New Roman"/>
          <w:color w:val="000000"/>
          <w:sz w:val="24"/>
          <w:szCs w:val="27"/>
          <w:lang w:eastAsia="en-GB"/>
        </w:rPr>
        <w:t>a move from full health</w:t>
      </w:r>
      <w:r>
        <w:rPr>
          <w:rStyle w:val="FootnoteReference"/>
          <w:rFonts w:eastAsia="Times New Roman" w:cs="Times New Roman"/>
          <w:color w:val="000000"/>
          <w:sz w:val="24"/>
          <w:szCs w:val="27"/>
          <w:lang w:eastAsia="en-GB"/>
        </w:rPr>
        <w:footnoteReference w:id="14"/>
      </w:r>
      <w:r w:rsidR="006E01C2">
        <w:rPr>
          <w:rFonts w:eastAsia="Times New Roman" w:cs="Times New Roman"/>
          <w:color w:val="000000"/>
          <w:sz w:val="24"/>
          <w:szCs w:val="27"/>
          <w:lang w:eastAsia="en-GB"/>
        </w:rPr>
        <w:t xml:space="preserve"> </w:t>
      </w:r>
      <w:r w:rsidR="001D2973">
        <w:rPr>
          <w:rFonts w:eastAsia="Times New Roman" w:cs="Times New Roman"/>
          <w:color w:val="000000"/>
          <w:sz w:val="24"/>
          <w:szCs w:val="27"/>
          <w:lang w:eastAsia="en-GB"/>
        </w:rPr>
        <w:t xml:space="preserve">(1.0) </w:t>
      </w:r>
      <w:r w:rsidR="006E01C2">
        <w:rPr>
          <w:rFonts w:eastAsia="Times New Roman" w:cs="Times New Roman"/>
          <w:color w:val="000000"/>
          <w:sz w:val="24"/>
          <w:szCs w:val="27"/>
          <w:lang w:eastAsia="en-GB"/>
        </w:rPr>
        <w:t xml:space="preserve">to </w:t>
      </w:r>
      <w:r>
        <w:rPr>
          <w:rFonts w:eastAsia="Times New Roman" w:cs="Times New Roman"/>
          <w:color w:val="000000"/>
          <w:sz w:val="24"/>
          <w:szCs w:val="27"/>
          <w:lang w:eastAsia="en-GB"/>
        </w:rPr>
        <w:t xml:space="preserve">moderate </w:t>
      </w:r>
      <w:r w:rsidR="006E01C2">
        <w:rPr>
          <w:rFonts w:eastAsia="Times New Roman" w:cs="Times New Roman"/>
          <w:color w:val="000000"/>
          <w:sz w:val="24"/>
          <w:szCs w:val="27"/>
          <w:lang w:eastAsia="en-GB"/>
        </w:rPr>
        <w:t xml:space="preserve">depression </w:t>
      </w:r>
      <w:r>
        <w:rPr>
          <w:rFonts w:eastAsia="Times New Roman" w:cs="Times New Roman"/>
          <w:color w:val="000000"/>
          <w:sz w:val="24"/>
          <w:szCs w:val="27"/>
          <w:lang w:eastAsia="en-GB"/>
        </w:rPr>
        <w:t>(0.63</w:t>
      </w:r>
      <w:r w:rsidR="001D2973">
        <w:rPr>
          <w:rFonts w:eastAsia="Times New Roman" w:cs="Times New Roman"/>
          <w:color w:val="000000"/>
          <w:sz w:val="24"/>
          <w:szCs w:val="27"/>
          <w:lang w:eastAsia="en-GB"/>
        </w:rPr>
        <w:t>)</w:t>
      </w:r>
      <w:r w:rsidR="00B93A0B">
        <w:rPr>
          <w:rFonts w:eastAsia="Times New Roman" w:cs="Times New Roman"/>
          <w:color w:val="000000"/>
          <w:sz w:val="24"/>
          <w:szCs w:val="27"/>
          <w:lang w:eastAsia="en-GB"/>
        </w:rPr>
        <w:t>)</w:t>
      </w:r>
      <w:r w:rsidR="006E01C2">
        <w:rPr>
          <w:rFonts w:eastAsia="Times New Roman" w:cs="Times New Roman"/>
          <w:color w:val="000000"/>
          <w:sz w:val="24"/>
          <w:szCs w:val="27"/>
          <w:lang w:eastAsia="en-GB"/>
        </w:rPr>
        <w:t xml:space="preserve">. </w:t>
      </w:r>
      <w:r w:rsidR="001D2973">
        <w:rPr>
          <w:rFonts w:eastAsia="Times New Roman" w:cs="Times New Roman"/>
          <w:color w:val="000000"/>
          <w:sz w:val="24"/>
          <w:szCs w:val="27"/>
          <w:lang w:eastAsia="en-GB"/>
        </w:rPr>
        <w:t xml:space="preserve">Using the results from </w:t>
      </w:r>
      <w:r w:rsidR="0015758C">
        <w:rPr>
          <w:rFonts w:eastAsia="Times New Roman" w:cs="Times New Roman"/>
          <w:color w:val="000000"/>
          <w:sz w:val="24"/>
          <w:szCs w:val="27"/>
          <w:lang w:eastAsia="en-GB"/>
        </w:rPr>
        <w:t>Table 10</w:t>
      </w:r>
      <w:r w:rsidR="00A453E8" w:rsidRPr="001D2973">
        <w:rPr>
          <w:rFonts w:eastAsia="Times New Roman" w:cs="Times New Roman"/>
          <w:color w:val="000000"/>
          <w:sz w:val="24"/>
          <w:szCs w:val="27"/>
          <w:lang w:eastAsia="en-GB"/>
        </w:rPr>
        <w:t>, t</w:t>
      </w:r>
      <w:r w:rsidR="00E45FA1" w:rsidRPr="001D2973">
        <w:rPr>
          <w:rFonts w:eastAsia="Times New Roman" w:cs="Times New Roman"/>
          <w:color w:val="000000"/>
          <w:sz w:val="24"/>
          <w:szCs w:val="27"/>
          <w:lang w:eastAsia="en-GB"/>
        </w:rPr>
        <w:t xml:space="preserve">he expected </w:t>
      </w:r>
      <w:r w:rsidR="008838FD" w:rsidRPr="001D2973">
        <w:rPr>
          <w:rFonts w:eastAsia="Times New Roman" w:cs="Times New Roman"/>
          <w:color w:val="000000"/>
          <w:sz w:val="24"/>
          <w:szCs w:val="27"/>
          <w:lang w:eastAsia="en-GB"/>
        </w:rPr>
        <w:t xml:space="preserve">QALY </w:t>
      </w:r>
      <w:r w:rsidR="00B93A0B">
        <w:rPr>
          <w:rFonts w:eastAsia="Times New Roman" w:cs="Times New Roman"/>
          <w:color w:val="000000"/>
          <w:sz w:val="24"/>
          <w:szCs w:val="27"/>
          <w:lang w:eastAsia="en-GB"/>
        </w:rPr>
        <w:t>improvement over a year (due to reduction in likelihood of depression) is</w:t>
      </w:r>
      <w:r>
        <w:rPr>
          <w:rFonts w:eastAsia="Times New Roman" w:cs="Times New Roman"/>
          <w:color w:val="000000"/>
          <w:sz w:val="24"/>
          <w:szCs w:val="27"/>
          <w:lang w:eastAsia="en-GB"/>
        </w:rPr>
        <w:t xml:space="preserve"> 0.002</w:t>
      </w:r>
      <w:r w:rsidR="00B93A0B">
        <w:rPr>
          <w:rFonts w:eastAsia="Times New Roman" w:cs="Times New Roman"/>
          <w:color w:val="000000"/>
          <w:sz w:val="24"/>
          <w:szCs w:val="27"/>
          <w:lang w:eastAsia="en-GB"/>
        </w:rPr>
        <w:t xml:space="preserve"> </w:t>
      </w:r>
      <w:r w:rsidR="004D4D7E">
        <w:rPr>
          <w:rFonts w:eastAsia="Times New Roman" w:cs="Times New Roman"/>
          <w:color w:val="000000"/>
          <w:sz w:val="24"/>
          <w:szCs w:val="27"/>
          <w:lang w:eastAsia="en-GB"/>
        </w:rPr>
        <w:t>(</w:t>
      </w:r>
      <w:r>
        <w:rPr>
          <w:rFonts w:eastAsia="Times New Roman" w:cs="Times New Roman"/>
          <w:color w:val="000000"/>
          <w:sz w:val="24"/>
          <w:szCs w:val="27"/>
          <w:lang w:eastAsia="en-GB"/>
        </w:rPr>
        <w:t>0.37</w:t>
      </w:r>
      <w:r w:rsidR="00B93A0B">
        <w:rPr>
          <w:rFonts w:eastAsia="Times New Roman" w:cs="Times New Roman"/>
          <w:color w:val="000000"/>
          <w:sz w:val="24"/>
          <w:szCs w:val="27"/>
          <w:lang w:eastAsia="en-GB"/>
        </w:rPr>
        <w:t>*</w:t>
      </w:r>
      <w:r w:rsidR="004D4D7E">
        <w:rPr>
          <w:rFonts w:eastAsia="Times New Roman" w:cs="Times New Roman"/>
          <w:color w:val="000000"/>
          <w:sz w:val="24"/>
          <w:szCs w:val="27"/>
          <w:lang w:eastAsia="en-GB"/>
        </w:rPr>
        <w:t>0.0</w:t>
      </w:r>
      <w:r>
        <w:rPr>
          <w:rFonts w:eastAsia="Times New Roman" w:cs="Times New Roman"/>
          <w:color w:val="000000"/>
          <w:sz w:val="24"/>
          <w:szCs w:val="27"/>
          <w:lang w:eastAsia="en-GB"/>
        </w:rPr>
        <w:t>054) for all sports and 0.00</w:t>
      </w:r>
      <w:r w:rsidR="00361B83">
        <w:rPr>
          <w:rFonts w:eastAsia="Times New Roman" w:cs="Times New Roman"/>
          <w:color w:val="000000"/>
          <w:sz w:val="24"/>
          <w:szCs w:val="27"/>
          <w:lang w:eastAsia="en-GB"/>
        </w:rPr>
        <w:t>17</w:t>
      </w:r>
      <w:r>
        <w:rPr>
          <w:rFonts w:eastAsia="Times New Roman" w:cs="Times New Roman"/>
          <w:color w:val="000000"/>
          <w:sz w:val="24"/>
          <w:szCs w:val="27"/>
          <w:lang w:eastAsia="en-GB"/>
        </w:rPr>
        <w:t xml:space="preserve"> (0.37</w:t>
      </w:r>
      <w:r w:rsidR="004D4D7E">
        <w:rPr>
          <w:rFonts w:eastAsia="Times New Roman" w:cs="Times New Roman"/>
          <w:color w:val="000000"/>
          <w:sz w:val="24"/>
          <w:szCs w:val="27"/>
          <w:lang w:eastAsia="en-GB"/>
        </w:rPr>
        <w:t>*0.0046) for individual sports.</w:t>
      </w:r>
      <w:r w:rsidR="00C12A2B">
        <w:rPr>
          <w:rFonts w:eastAsia="Times New Roman" w:cs="Times New Roman"/>
          <w:color w:val="000000"/>
          <w:sz w:val="24"/>
          <w:szCs w:val="27"/>
          <w:lang w:eastAsia="en-GB"/>
        </w:rPr>
        <w:t xml:space="preserve"> </w:t>
      </w:r>
      <w:r w:rsidR="00872055">
        <w:rPr>
          <w:rFonts w:eastAsia="Times New Roman" w:cs="Times New Roman"/>
          <w:color w:val="000000"/>
          <w:sz w:val="24"/>
          <w:szCs w:val="24"/>
          <w:lang w:eastAsia="en-GB"/>
        </w:rPr>
        <w:t>As discussed above in line with c</w:t>
      </w:r>
      <w:r w:rsidR="00A25D58">
        <w:rPr>
          <w:rFonts w:eastAsia="Times New Roman" w:cs="Times New Roman"/>
          <w:color w:val="000000"/>
          <w:sz w:val="24"/>
          <w:szCs w:val="24"/>
          <w:lang w:eastAsia="en-GB"/>
        </w:rPr>
        <w:t>urrent NICE guidelines</w:t>
      </w:r>
      <w:r w:rsidR="00872055">
        <w:rPr>
          <w:rFonts w:eastAsia="Times New Roman" w:cs="Times New Roman"/>
          <w:color w:val="000000"/>
          <w:sz w:val="24"/>
          <w:szCs w:val="24"/>
          <w:lang w:eastAsia="en-GB"/>
        </w:rPr>
        <w:t xml:space="preserve"> we use a conservative QALY value of </w:t>
      </w:r>
      <w:r w:rsidR="00851437" w:rsidRPr="00A25D58">
        <w:rPr>
          <w:rFonts w:eastAsia="Times New Roman" w:cs="Times New Roman"/>
          <w:color w:val="000000"/>
          <w:sz w:val="24"/>
          <w:szCs w:val="24"/>
          <w:lang w:eastAsia="en-GB"/>
        </w:rPr>
        <w:t>£20,000</w:t>
      </w:r>
      <w:r w:rsidR="00872055">
        <w:rPr>
          <w:rFonts w:eastAsia="Times New Roman" w:cs="Times New Roman"/>
          <w:color w:val="000000"/>
          <w:sz w:val="24"/>
          <w:szCs w:val="24"/>
          <w:lang w:eastAsia="en-GB"/>
        </w:rPr>
        <w:t>.</w:t>
      </w:r>
      <w:r w:rsidR="004D4D7E">
        <w:rPr>
          <w:rFonts w:eastAsia="Times New Roman" w:cs="Times New Roman"/>
          <w:color w:val="000000"/>
          <w:sz w:val="24"/>
          <w:szCs w:val="24"/>
          <w:lang w:eastAsia="en-GB"/>
        </w:rPr>
        <w:t xml:space="preserve"> </w:t>
      </w:r>
    </w:p>
    <w:p w14:paraId="2A6FE697" w14:textId="77777777" w:rsidR="00FD5D18" w:rsidRDefault="00FD5D18" w:rsidP="00EA4B35">
      <w:pPr>
        <w:spacing w:after="0" w:line="240" w:lineRule="auto"/>
        <w:rPr>
          <w:rFonts w:eastAsia="Times New Roman" w:cs="Times New Roman"/>
          <w:color w:val="000000"/>
          <w:sz w:val="24"/>
          <w:szCs w:val="24"/>
          <w:lang w:eastAsia="en-GB"/>
        </w:rPr>
      </w:pPr>
    </w:p>
    <w:p w14:paraId="21EE0759" w14:textId="77777777" w:rsidR="00FD5D18" w:rsidRDefault="00FD5D18" w:rsidP="00EA4B35">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The total annual NHS cost savings are calculated as described previously for medical service usage, using ONS population estimates and 2012/2013 Taking Part information on the proportion of the adult population engaging in sport.</w:t>
      </w:r>
    </w:p>
    <w:p w14:paraId="439CA8AA" w14:textId="77777777" w:rsidR="00A24499" w:rsidRPr="00A24499" w:rsidRDefault="00A24499" w:rsidP="00EA4B35">
      <w:pPr>
        <w:spacing w:after="0" w:line="240" w:lineRule="auto"/>
        <w:rPr>
          <w:rFonts w:eastAsia="Times New Roman" w:cs="Times New Roman"/>
          <w:b/>
          <w:color w:val="000000"/>
          <w:sz w:val="24"/>
          <w:szCs w:val="24"/>
          <w:lang w:eastAsia="en-GB"/>
        </w:rPr>
      </w:pPr>
    </w:p>
    <w:p w14:paraId="6BFF5899" w14:textId="77777777" w:rsidR="00A24499" w:rsidRPr="00A24499" w:rsidRDefault="00A24499" w:rsidP="00EA4B35">
      <w:pPr>
        <w:spacing w:after="0" w:line="240" w:lineRule="auto"/>
        <w:rPr>
          <w:rFonts w:eastAsia="Times New Roman" w:cs="Times New Roman"/>
          <w:b/>
          <w:color w:val="000000"/>
          <w:sz w:val="24"/>
          <w:szCs w:val="24"/>
          <w:lang w:eastAsia="en-GB"/>
        </w:rPr>
      </w:pPr>
      <w:r w:rsidRPr="00A24499">
        <w:rPr>
          <w:rFonts w:eastAsia="Times New Roman" w:cs="Times New Roman"/>
          <w:b/>
          <w:color w:val="000000"/>
          <w:sz w:val="24"/>
          <w:szCs w:val="24"/>
          <w:lang w:eastAsia="en-GB"/>
        </w:rPr>
        <w:t xml:space="preserve">Table </w:t>
      </w:r>
      <w:r w:rsidR="004C28D1">
        <w:rPr>
          <w:rFonts w:eastAsia="Times New Roman" w:cs="Times New Roman"/>
          <w:b/>
          <w:color w:val="000000"/>
          <w:sz w:val="24"/>
          <w:szCs w:val="24"/>
          <w:lang w:eastAsia="en-GB"/>
        </w:rPr>
        <w:t>11</w:t>
      </w:r>
      <w:r w:rsidRPr="00A24499">
        <w:rPr>
          <w:rFonts w:eastAsia="Times New Roman" w:cs="Times New Roman"/>
          <w:b/>
          <w:color w:val="000000"/>
          <w:sz w:val="24"/>
          <w:szCs w:val="24"/>
          <w:lang w:eastAsia="en-GB"/>
        </w:rPr>
        <w:t>. Annual QALY value due to</w:t>
      </w:r>
      <w:r w:rsidR="00EF3F9E">
        <w:rPr>
          <w:rFonts w:eastAsia="Times New Roman" w:cs="Times New Roman"/>
          <w:b/>
          <w:color w:val="000000"/>
          <w:sz w:val="24"/>
          <w:szCs w:val="24"/>
          <w:lang w:eastAsia="en-GB"/>
        </w:rPr>
        <w:t xml:space="preserve"> </w:t>
      </w:r>
      <w:r w:rsidR="00EF3F9E" w:rsidRPr="00EF3F9E">
        <w:rPr>
          <w:rFonts w:cs="Arial"/>
          <w:b/>
          <w:sz w:val="24"/>
          <w:szCs w:val="24"/>
        </w:rPr>
        <w:t>predicted</w:t>
      </w:r>
      <w:r w:rsidRPr="00A24499">
        <w:rPr>
          <w:rFonts w:eastAsia="Times New Roman" w:cs="Times New Roman"/>
          <w:b/>
          <w:color w:val="000000"/>
          <w:sz w:val="24"/>
          <w:szCs w:val="24"/>
          <w:lang w:eastAsia="en-GB"/>
        </w:rPr>
        <w:t xml:space="preserve"> reduction in risk of depression</w:t>
      </w:r>
    </w:p>
    <w:tbl>
      <w:tblPr>
        <w:tblW w:w="8600" w:type="dxa"/>
        <w:tblInd w:w="93" w:type="dxa"/>
        <w:tblLook w:val="04A0" w:firstRow="1" w:lastRow="0" w:firstColumn="1" w:lastColumn="0" w:noHBand="0" w:noVBand="1"/>
      </w:tblPr>
      <w:tblGrid>
        <w:gridCol w:w="2060"/>
        <w:gridCol w:w="3080"/>
        <w:gridCol w:w="1500"/>
        <w:gridCol w:w="1960"/>
      </w:tblGrid>
      <w:tr w:rsidR="00995585" w:rsidRPr="00995585" w14:paraId="31A449CC" w14:textId="77777777" w:rsidTr="00995585">
        <w:trPr>
          <w:trHeight w:val="580"/>
        </w:trPr>
        <w:tc>
          <w:tcPr>
            <w:tcW w:w="2060" w:type="dxa"/>
            <w:tcBorders>
              <w:top w:val="single" w:sz="8" w:space="0" w:color="auto"/>
              <w:left w:val="single" w:sz="8" w:space="0" w:color="auto"/>
              <w:bottom w:val="double" w:sz="6" w:space="0" w:color="auto"/>
              <w:right w:val="nil"/>
            </w:tcBorders>
            <w:shd w:val="clear" w:color="000000" w:fill="0070C0"/>
            <w:noWrap/>
            <w:vAlign w:val="center"/>
            <w:hideMark/>
          </w:tcPr>
          <w:p w14:paraId="3DF6D36D"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Variables</w:t>
            </w:r>
          </w:p>
        </w:tc>
        <w:tc>
          <w:tcPr>
            <w:tcW w:w="3080"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4119E187"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QALY improvement</w:t>
            </w:r>
          </w:p>
        </w:tc>
        <w:tc>
          <w:tcPr>
            <w:tcW w:w="1500" w:type="dxa"/>
            <w:tcBorders>
              <w:top w:val="single" w:sz="8" w:space="0" w:color="auto"/>
              <w:left w:val="nil"/>
              <w:bottom w:val="double" w:sz="6" w:space="0" w:color="auto"/>
              <w:right w:val="single" w:sz="8" w:space="0" w:color="auto"/>
            </w:tcBorders>
            <w:shd w:val="clear" w:color="000000" w:fill="0070C0"/>
            <w:noWrap/>
            <w:vAlign w:val="center"/>
            <w:hideMark/>
          </w:tcPr>
          <w:p w14:paraId="18EDC539"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Value</w:t>
            </w:r>
          </w:p>
        </w:tc>
        <w:tc>
          <w:tcPr>
            <w:tcW w:w="1960" w:type="dxa"/>
            <w:tcBorders>
              <w:top w:val="single" w:sz="8" w:space="0" w:color="auto"/>
              <w:left w:val="nil"/>
              <w:bottom w:val="double" w:sz="6" w:space="0" w:color="auto"/>
              <w:right w:val="single" w:sz="8" w:space="0" w:color="auto"/>
            </w:tcBorders>
            <w:shd w:val="clear" w:color="000000" w:fill="0070C0"/>
            <w:vAlign w:val="center"/>
            <w:hideMark/>
          </w:tcPr>
          <w:p w14:paraId="74B3D2A0" w14:textId="77777777" w:rsidR="00995585" w:rsidRPr="00995585" w:rsidRDefault="003D2C4D" w:rsidP="00995585">
            <w:pPr>
              <w:spacing w:after="0" w:line="240" w:lineRule="auto"/>
              <w:jc w:val="center"/>
              <w:rPr>
                <w:rFonts w:ascii="Calibri" w:eastAsia="Times New Roman" w:hAnsi="Calibri" w:cs="Times New Roman"/>
                <w:b/>
                <w:bCs/>
                <w:color w:val="FFFFFF"/>
                <w:lang w:val="en-US"/>
              </w:rPr>
            </w:pPr>
            <w:r>
              <w:rPr>
                <w:rFonts w:ascii="Calibri" w:eastAsia="Times New Roman" w:hAnsi="Calibri" w:cs="Times New Roman"/>
                <w:b/>
                <w:bCs/>
                <w:color w:val="FFFFFF"/>
                <w:lang w:val="en-US"/>
              </w:rPr>
              <w:t>Total annual QALY value</w:t>
            </w:r>
          </w:p>
        </w:tc>
      </w:tr>
      <w:tr w:rsidR="00995585" w:rsidRPr="00995585" w14:paraId="5EDDFAF0" w14:textId="77777777" w:rsidTr="00995585">
        <w:trPr>
          <w:trHeight w:val="340"/>
        </w:trPr>
        <w:tc>
          <w:tcPr>
            <w:tcW w:w="2060" w:type="dxa"/>
            <w:tcBorders>
              <w:top w:val="nil"/>
              <w:left w:val="single" w:sz="8" w:space="0" w:color="auto"/>
              <w:bottom w:val="single" w:sz="8" w:space="0" w:color="auto"/>
              <w:right w:val="nil"/>
            </w:tcBorders>
            <w:shd w:val="clear" w:color="000000" w:fill="0070C0"/>
            <w:noWrap/>
            <w:vAlign w:val="center"/>
            <w:hideMark/>
          </w:tcPr>
          <w:p w14:paraId="06AFF2C0"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Sports</w:t>
            </w:r>
          </w:p>
        </w:tc>
        <w:tc>
          <w:tcPr>
            <w:tcW w:w="3080" w:type="dxa"/>
            <w:tcBorders>
              <w:top w:val="nil"/>
              <w:left w:val="single" w:sz="8" w:space="0" w:color="auto"/>
              <w:bottom w:val="nil"/>
              <w:right w:val="single" w:sz="8" w:space="0" w:color="auto"/>
            </w:tcBorders>
            <w:shd w:val="clear" w:color="000000" w:fill="0070C0"/>
            <w:noWrap/>
            <w:vAlign w:val="center"/>
            <w:hideMark/>
          </w:tcPr>
          <w:p w14:paraId="270068D9"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 </w:t>
            </w:r>
          </w:p>
        </w:tc>
        <w:tc>
          <w:tcPr>
            <w:tcW w:w="1500" w:type="dxa"/>
            <w:tcBorders>
              <w:top w:val="nil"/>
              <w:left w:val="nil"/>
              <w:bottom w:val="nil"/>
              <w:right w:val="single" w:sz="8" w:space="0" w:color="auto"/>
            </w:tcBorders>
            <w:shd w:val="clear" w:color="000000" w:fill="0070C0"/>
            <w:noWrap/>
            <w:vAlign w:val="center"/>
            <w:hideMark/>
          </w:tcPr>
          <w:p w14:paraId="55C3100B"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 </w:t>
            </w:r>
          </w:p>
        </w:tc>
        <w:tc>
          <w:tcPr>
            <w:tcW w:w="1960" w:type="dxa"/>
            <w:tcBorders>
              <w:top w:val="nil"/>
              <w:left w:val="nil"/>
              <w:bottom w:val="single" w:sz="8" w:space="0" w:color="auto"/>
              <w:right w:val="single" w:sz="8" w:space="0" w:color="auto"/>
            </w:tcBorders>
            <w:shd w:val="clear" w:color="000000" w:fill="0070C0"/>
            <w:noWrap/>
            <w:vAlign w:val="center"/>
            <w:hideMark/>
          </w:tcPr>
          <w:p w14:paraId="374B4D37" w14:textId="77777777" w:rsidR="00995585" w:rsidRPr="00995585" w:rsidRDefault="00995585" w:rsidP="00995585">
            <w:pPr>
              <w:spacing w:after="0" w:line="240" w:lineRule="auto"/>
              <w:jc w:val="center"/>
              <w:rPr>
                <w:rFonts w:ascii="Calibri" w:eastAsia="Times New Roman" w:hAnsi="Calibri" w:cs="Times New Roman"/>
                <w:b/>
                <w:bCs/>
                <w:color w:val="FFFFFF"/>
                <w:lang w:val="en-US"/>
              </w:rPr>
            </w:pPr>
            <w:r w:rsidRPr="00995585">
              <w:rPr>
                <w:rFonts w:ascii="Calibri" w:eastAsia="Times New Roman" w:hAnsi="Calibri" w:cs="Times New Roman"/>
                <w:b/>
                <w:bCs/>
                <w:color w:val="FFFFFF"/>
                <w:lang w:val="en-US"/>
              </w:rPr>
              <w:t> </w:t>
            </w:r>
          </w:p>
        </w:tc>
      </w:tr>
      <w:tr w:rsidR="00995585" w:rsidRPr="00995585" w14:paraId="71636EBC" w14:textId="77777777" w:rsidTr="00995585">
        <w:trPr>
          <w:trHeight w:val="300"/>
        </w:trPr>
        <w:tc>
          <w:tcPr>
            <w:tcW w:w="2060" w:type="dxa"/>
            <w:tcBorders>
              <w:top w:val="nil"/>
              <w:left w:val="single" w:sz="8" w:space="0" w:color="auto"/>
              <w:bottom w:val="nil"/>
              <w:right w:val="nil"/>
            </w:tcBorders>
            <w:shd w:val="clear" w:color="auto" w:fill="auto"/>
            <w:noWrap/>
            <w:vAlign w:val="center"/>
            <w:hideMark/>
          </w:tcPr>
          <w:p w14:paraId="04F0BFBA" w14:textId="77777777" w:rsidR="00995585" w:rsidRPr="00995585" w:rsidRDefault="00995585" w:rsidP="00995585">
            <w:pPr>
              <w:spacing w:after="0" w:line="240" w:lineRule="auto"/>
              <w:rPr>
                <w:rFonts w:ascii="Calibri" w:eastAsia="Times New Roman" w:hAnsi="Calibri" w:cs="Times New Roman"/>
                <w:color w:val="000000"/>
                <w:lang w:val="en-US"/>
              </w:rPr>
            </w:pPr>
            <w:r w:rsidRPr="00995585">
              <w:rPr>
                <w:rFonts w:ascii="Calibri" w:eastAsia="Times New Roman" w:hAnsi="Calibri" w:cs="Times New Roman"/>
                <w:color w:val="000000"/>
                <w:lang w:val="en-US"/>
              </w:rPr>
              <w:t>All sports</w:t>
            </w:r>
          </w:p>
        </w:tc>
        <w:tc>
          <w:tcPr>
            <w:tcW w:w="3080" w:type="dxa"/>
            <w:tcBorders>
              <w:top w:val="nil"/>
              <w:left w:val="single" w:sz="8" w:space="0" w:color="auto"/>
              <w:bottom w:val="nil"/>
              <w:right w:val="single" w:sz="8" w:space="0" w:color="auto"/>
            </w:tcBorders>
            <w:shd w:val="clear" w:color="auto" w:fill="auto"/>
            <w:noWrap/>
            <w:vAlign w:val="center"/>
            <w:hideMark/>
          </w:tcPr>
          <w:p w14:paraId="22F803AF" w14:textId="77777777" w:rsidR="00995585" w:rsidRPr="00995585" w:rsidRDefault="00995585" w:rsidP="00995585">
            <w:pPr>
              <w:spacing w:after="0" w:line="240" w:lineRule="auto"/>
              <w:jc w:val="center"/>
              <w:rPr>
                <w:rFonts w:ascii="Calibri" w:eastAsia="Times New Roman" w:hAnsi="Calibri" w:cs="Times New Roman"/>
                <w:color w:val="000000"/>
                <w:lang w:val="en-US"/>
              </w:rPr>
            </w:pPr>
            <w:r w:rsidRPr="00995585">
              <w:rPr>
                <w:rFonts w:ascii="Calibri" w:eastAsia="Times New Roman" w:hAnsi="Calibri" w:cs="Times New Roman"/>
                <w:color w:val="000000"/>
                <w:lang w:val="en-US"/>
              </w:rPr>
              <w:t>0.002</w:t>
            </w:r>
          </w:p>
        </w:tc>
        <w:tc>
          <w:tcPr>
            <w:tcW w:w="1500" w:type="dxa"/>
            <w:tcBorders>
              <w:top w:val="nil"/>
              <w:left w:val="nil"/>
              <w:bottom w:val="nil"/>
              <w:right w:val="single" w:sz="8" w:space="0" w:color="auto"/>
            </w:tcBorders>
            <w:shd w:val="clear" w:color="auto" w:fill="auto"/>
            <w:noWrap/>
            <w:vAlign w:val="center"/>
            <w:hideMark/>
          </w:tcPr>
          <w:p w14:paraId="1FB2247F" w14:textId="77777777" w:rsidR="00995585" w:rsidRPr="00995585" w:rsidRDefault="00995585" w:rsidP="00995585">
            <w:pPr>
              <w:spacing w:after="0" w:line="240" w:lineRule="auto"/>
              <w:jc w:val="center"/>
              <w:rPr>
                <w:rFonts w:ascii="Calibri" w:eastAsia="Times New Roman" w:hAnsi="Calibri" w:cs="Times New Roman"/>
                <w:color w:val="000000"/>
                <w:lang w:val="en-US"/>
              </w:rPr>
            </w:pPr>
            <w:r w:rsidRPr="00995585">
              <w:rPr>
                <w:rFonts w:ascii="Calibri" w:eastAsia="Times New Roman" w:hAnsi="Calibri" w:cs="Times New Roman"/>
                <w:color w:val="000000"/>
                <w:lang w:val="en-US"/>
              </w:rPr>
              <w:t>£39.96</w:t>
            </w:r>
          </w:p>
        </w:tc>
        <w:tc>
          <w:tcPr>
            <w:tcW w:w="1960" w:type="dxa"/>
            <w:tcBorders>
              <w:top w:val="nil"/>
              <w:left w:val="nil"/>
              <w:bottom w:val="nil"/>
              <w:right w:val="single" w:sz="8" w:space="0" w:color="auto"/>
            </w:tcBorders>
            <w:shd w:val="clear" w:color="auto" w:fill="auto"/>
            <w:noWrap/>
            <w:vAlign w:val="center"/>
            <w:hideMark/>
          </w:tcPr>
          <w:p w14:paraId="102EE066" w14:textId="77777777" w:rsidR="00995585" w:rsidRPr="00995585" w:rsidRDefault="00995585" w:rsidP="00995585">
            <w:pPr>
              <w:spacing w:after="0" w:line="240" w:lineRule="auto"/>
              <w:jc w:val="center"/>
              <w:rPr>
                <w:rFonts w:ascii="Calibri" w:eastAsia="Times New Roman" w:hAnsi="Calibri" w:cs="Times New Roman"/>
                <w:color w:val="000000"/>
                <w:lang w:val="en-US"/>
              </w:rPr>
            </w:pPr>
            <w:r w:rsidRPr="00995585">
              <w:rPr>
                <w:rFonts w:ascii="Calibri" w:eastAsia="Times New Roman" w:hAnsi="Calibri" w:cs="Times New Roman"/>
                <w:color w:val="000000"/>
                <w:lang w:val="en-US"/>
              </w:rPr>
              <w:t>£1,160,801,543</w:t>
            </w:r>
          </w:p>
        </w:tc>
      </w:tr>
      <w:tr w:rsidR="00995585" w:rsidRPr="00995585" w14:paraId="771A5173" w14:textId="77777777" w:rsidTr="00995585">
        <w:trPr>
          <w:trHeight w:val="320"/>
        </w:trPr>
        <w:tc>
          <w:tcPr>
            <w:tcW w:w="2060" w:type="dxa"/>
            <w:tcBorders>
              <w:top w:val="nil"/>
              <w:left w:val="single" w:sz="8" w:space="0" w:color="auto"/>
              <w:bottom w:val="single" w:sz="8" w:space="0" w:color="auto"/>
              <w:right w:val="nil"/>
            </w:tcBorders>
            <w:shd w:val="clear" w:color="auto" w:fill="auto"/>
            <w:noWrap/>
            <w:vAlign w:val="center"/>
            <w:hideMark/>
          </w:tcPr>
          <w:p w14:paraId="0E9C1FA8" w14:textId="77777777" w:rsidR="00995585" w:rsidRPr="00995585" w:rsidRDefault="00995585" w:rsidP="00995585">
            <w:pPr>
              <w:spacing w:after="0" w:line="240" w:lineRule="auto"/>
              <w:rPr>
                <w:rFonts w:ascii="Calibri" w:eastAsia="Times New Roman" w:hAnsi="Calibri" w:cs="Times New Roman"/>
                <w:color w:val="000000"/>
                <w:lang w:val="en-US"/>
              </w:rPr>
            </w:pPr>
            <w:r w:rsidRPr="00995585">
              <w:rPr>
                <w:rFonts w:ascii="Calibri" w:eastAsia="Times New Roman" w:hAnsi="Calibri" w:cs="Times New Roman"/>
                <w:color w:val="000000"/>
                <w:lang w:val="en-US"/>
              </w:rPr>
              <w:t>Individual sports</w:t>
            </w:r>
          </w:p>
        </w:tc>
        <w:tc>
          <w:tcPr>
            <w:tcW w:w="3080" w:type="dxa"/>
            <w:tcBorders>
              <w:top w:val="nil"/>
              <w:left w:val="single" w:sz="8" w:space="0" w:color="auto"/>
              <w:bottom w:val="single" w:sz="8" w:space="0" w:color="auto"/>
              <w:right w:val="single" w:sz="8" w:space="0" w:color="auto"/>
            </w:tcBorders>
            <w:shd w:val="clear" w:color="auto" w:fill="auto"/>
            <w:noWrap/>
            <w:vAlign w:val="center"/>
            <w:hideMark/>
          </w:tcPr>
          <w:p w14:paraId="16771F2A" w14:textId="77777777" w:rsidR="00995585" w:rsidRPr="00995585" w:rsidRDefault="00995585" w:rsidP="00995585">
            <w:pPr>
              <w:spacing w:after="0" w:line="240" w:lineRule="auto"/>
              <w:jc w:val="center"/>
              <w:rPr>
                <w:rFonts w:ascii="Calibri" w:eastAsia="Times New Roman" w:hAnsi="Calibri" w:cs="Times New Roman"/>
                <w:color w:val="000000"/>
                <w:lang w:val="en-US"/>
              </w:rPr>
            </w:pPr>
            <w:r w:rsidRPr="00995585">
              <w:rPr>
                <w:rFonts w:ascii="Calibri" w:eastAsia="Times New Roman" w:hAnsi="Calibri" w:cs="Times New Roman"/>
                <w:color w:val="000000"/>
                <w:lang w:val="en-US"/>
              </w:rPr>
              <w:t>0.0017</w:t>
            </w:r>
          </w:p>
        </w:tc>
        <w:tc>
          <w:tcPr>
            <w:tcW w:w="1500" w:type="dxa"/>
            <w:tcBorders>
              <w:top w:val="nil"/>
              <w:left w:val="nil"/>
              <w:bottom w:val="single" w:sz="8" w:space="0" w:color="auto"/>
              <w:right w:val="single" w:sz="8" w:space="0" w:color="auto"/>
            </w:tcBorders>
            <w:shd w:val="clear" w:color="auto" w:fill="auto"/>
            <w:noWrap/>
            <w:vAlign w:val="center"/>
            <w:hideMark/>
          </w:tcPr>
          <w:p w14:paraId="72F34B66" w14:textId="77777777" w:rsidR="00995585" w:rsidRPr="00995585" w:rsidRDefault="00995585" w:rsidP="00995585">
            <w:pPr>
              <w:spacing w:after="0" w:line="240" w:lineRule="auto"/>
              <w:jc w:val="center"/>
              <w:rPr>
                <w:rFonts w:ascii="Calibri" w:eastAsia="Times New Roman" w:hAnsi="Calibri" w:cs="Times New Roman"/>
                <w:color w:val="000000"/>
                <w:lang w:val="en-US"/>
              </w:rPr>
            </w:pPr>
            <w:r w:rsidRPr="00995585">
              <w:rPr>
                <w:rFonts w:ascii="Calibri" w:eastAsia="Times New Roman" w:hAnsi="Calibri" w:cs="Times New Roman"/>
                <w:color w:val="000000"/>
                <w:lang w:val="en-US"/>
              </w:rPr>
              <w:t>£34.04</w:t>
            </w:r>
          </w:p>
        </w:tc>
        <w:tc>
          <w:tcPr>
            <w:tcW w:w="1960" w:type="dxa"/>
            <w:tcBorders>
              <w:top w:val="nil"/>
              <w:left w:val="nil"/>
              <w:bottom w:val="single" w:sz="8" w:space="0" w:color="auto"/>
              <w:right w:val="single" w:sz="8" w:space="0" w:color="auto"/>
            </w:tcBorders>
            <w:shd w:val="clear" w:color="auto" w:fill="auto"/>
            <w:noWrap/>
            <w:vAlign w:val="center"/>
            <w:hideMark/>
          </w:tcPr>
          <w:p w14:paraId="7AA06A48" w14:textId="77777777" w:rsidR="00995585" w:rsidRPr="00995585" w:rsidRDefault="00995585" w:rsidP="00995585">
            <w:pPr>
              <w:spacing w:after="0" w:line="240" w:lineRule="auto"/>
              <w:jc w:val="center"/>
              <w:rPr>
                <w:rFonts w:ascii="Calibri" w:eastAsia="Times New Roman" w:hAnsi="Calibri" w:cs="Times New Roman"/>
                <w:color w:val="000000"/>
                <w:lang w:val="en-US"/>
              </w:rPr>
            </w:pPr>
            <w:r w:rsidRPr="00995585">
              <w:rPr>
                <w:rFonts w:ascii="Calibri" w:eastAsia="Times New Roman" w:hAnsi="Calibri" w:cs="Times New Roman"/>
                <w:color w:val="000000"/>
                <w:lang w:val="en-US"/>
              </w:rPr>
              <w:t>£974,713,280</w:t>
            </w:r>
          </w:p>
        </w:tc>
      </w:tr>
    </w:tbl>
    <w:p w14:paraId="47B3AE60" w14:textId="77777777" w:rsidR="00A24499" w:rsidRPr="003143AD" w:rsidRDefault="00A24499" w:rsidP="00EA4B35">
      <w:pPr>
        <w:spacing w:after="0" w:line="240" w:lineRule="auto"/>
        <w:rPr>
          <w:rFonts w:cs="Arial"/>
          <w:sz w:val="20"/>
          <w:szCs w:val="24"/>
        </w:rPr>
      </w:pPr>
      <w:r w:rsidRPr="00A24499">
        <w:rPr>
          <w:rFonts w:cs="Arial"/>
          <w:sz w:val="20"/>
          <w:szCs w:val="24"/>
        </w:rPr>
        <w:t>Notes: Estimated using QALY = £20,000.</w:t>
      </w:r>
    </w:p>
    <w:p w14:paraId="53356D9E" w14:textId="77777777" w:rsidR="00CA26D0" w:rsidRDefault="00CA26D0" w:rsidP="00EA4B35">
      <w:pPr>
        <w:spacing w:after="0" w:line="240" w:lineRule="auto"/>
        <w:rPr>
          <w:rFonts w:cs="Arial"/>
          <w:color w:val="FF0000"/>
          <w:sz w:val="24"/>
          <w:szCs w:val="24"/>
        </w:rPr>
      </w:pPr>
    </w:p>
    <w:p w14:paraId="43BB30F2" w14:textId="77777777" w:rsidR="00C12A2B" w:rsidRDefault="00C12A2B" w:rsidP="00C12A2B">
      <w:pPr>
        <w:spacing w:after="0" w:line="240" w:lineRule="auto"/>
        <w:rPr>
          <w:sz w:val="24"/>
        </w:rPr>
      </w:pPr>
      <w:r>
        <w:rPr>
          <w:sz w:val="24"/>
        </w:rPr>
        <w:t xml:space="preserve">These figures represent the </w:t>
      </w:r>
      <w:r w:rsidR="00EF3F9E">
        <w:rPr>
          <w:rFonts w:cs="Arial"/>
          <w:sz w:val="24"/>
          <w:szCs w:val="24"/>
        </w:rPr>
        <w:t>predicted</w:t>
      </w:r>
      <w:r w:rsidR="00EF3F9E">
        <w:rPr>
          <w:sz w:val="24"/>
        </w:rPr>
        <w:t xml:space="preserve"> </w:t>
      </w:r>
      <w:r>
        <w:rPr>
          <w:sz w:val="24"/>
        </w:rPr>
        <w:t>annual QALY value due to a reduction in risk of depression per person that partakes in the sporting activity.</w:t>
      </w:r>
      <w:r w:rsidRPr="001E34C0">
        <w:rPr>
          <w:sz w:val="24"/>
        </w:rPr>
        <w:t xml:space="preserve"> </w:t>
      </w:r>
      <w:r>
        <w:rPr>
          <w:sz w:val="24"/>
        </w:rPr>
        <w:t>For impacts over time they should be discounted using the HM Treasury discount rate.</w:t>
      </w:r>
    </w:p>
    <w:p w14:paraId="7F5198FD" w14:textId="77777777" w:rsidR="00C12A2B" w:rsidRDefault="00C12A2B" w:rsidP="00EA4B35">
      <w:pPr>
        <w:spacing w:after="0" w:line="240" w:lineRule="auto"/>
        <w:rPr>
          <w:rFonts w:cs="Arial"/>
          <w:color w:val="FF0000"/>
          <w:sz w:val="24"/>
          <w:szCs w:val="24"/>
        </w:rPr>
      </w:pPr>
    </w:p>
    <w:p w14:paraId="39E158CC" w14:textId="77777777" w:rsidR="004F7A97" w:rsidRDefault="004F7A97" w:rsidP="00EA4B35">
      <w:pPr>
        <w:spacing w:after="0" w:line="240" w:lineRule="auto"/>
        <w:rPr>
          <w:b/>
          <w:sz w:val="24"/>
        </w:rPr>
      </w:pPr>
    </w:p>
    <w:p w14:paraId="15184D8C" w14:textId="77777777" w:rsidR="004F7A97" w:rsidRDefault="004F7A97" w:rsidP="00EA4B35">
      <w:pPr>
        <w:spacing w:after="0" w:line="240" w:lineRule="auto"/>
        <w:rPr>
          <w:b/>
          <w:sz w:val="24"/>
        </w:rPr>
      </w:pPr>
    </w:p>
    <w:p w14:paraId="78672362" w14:textId="77777777" w:rsidR="00702457" w:rsidRDefault="00437AD5" w:rsidP="00EA4B35">
      <w:pPr>
        <w:spacing w:after="0" w:line="240" w:lineRule="auto"/>
        <w:rPr>
          <w:b/>
          <w:sz w:val="24"/>
        </w:rPr>
      </w:pPr>
      <w:r>
        <w:rPr>
          <w:b/>
          <w:sz w:val="24"/>
        </w:rPr>
        <w:lastRenderedPageBreak/>
        <w:t>C.3</w:t>
      </w:r>
      <w:r w:rsidR="00BE7A54" w:rsidRPr="00BE7A54">
        <w:rPr>
          <w:b/>
          <w:sz w:val="24"/>
        </w:rPr>
        <w:t>. Education</w:t>
      </w:r>
    </w:p>
    <w:p w14:paraId="27C56203" w14:textId="77777777" w:rsidR="00997801" w:rsidRDefault="00997801" w:rsidP="00620C70">
      <w:pPr>
        <w:spacing w:after="0" w:line="240" w:lineRule="auto"/>
        <w:rPr>
          <w:b/>
          <w:sz w:val="24"/>
        </w:rPr>
      </w:pPr>
    </w:p>
    <w:p w14:paraId="5A4DC6DC" w14:textId="77777777" w:rsidR="00997801" w:rsidRDefault="00437AD5" w:rsidP="00580D6E">
      <w:pPr>
        <w:spacing w:after="0" w:line="240" w:lineRule="auto"/>
        <w:rPr>
          <w:b/>
          <w:sz w:val="24"/>
        </w:rPr>
      </w:pPr>
      <w:r>
        <w:rPr>
          <w:b/>
          <w:sz w:val="24"/>
        </w:rPr>
        <w:t>C.3</w:t>
      </w:r>
      <w:r w:rsidR="00997801">
        <w:rPr>
          <w:b/>
          <w:sz w:val="24"/>
        </w:rPr>
        <w:t>.1.</w:t>
      </w:r>
      <w:r w:rsidR="00B72B38">
        <w:rPr>
          <w:b/>
          <w:sz w:val="24"/>
        </w:rPr>
        <w:t xml:space="preserve"> </w:t>
      </w:r>
      <w:r w:rsidR="00997801">
        <w:rPr>
          <w:b/>
          <w:sz w:val="24"/>
        </w:rPr>
        <w:t>Education</w:t>
      </w:r>
      <w:r w:rsidR="00997801" w:rsidRPr="00BB1003">
        <w:rPr>
          <w:b/>
          <w:sz w:val="24"/>
        </w:rPr>
        <w:t>, sport and culture</w:t>
      </w:r>
    </w:p>
    <w:p w14:paraId="74D2C17B" w14:textId="77777777" w:rsidR="00682416" w:rsidRDefault="00682416" w:rsidP="00580D6E">
      <w:pPr>
        <w:spacing w:after="0" w:line="240" w:lineRule="auto"/>
        <w:rPr>
          <w:b/>
          <w:sz w:val="24"/>
        </w:rPr>
      </w:pPr>
    </w:p>
    <w:p w14:paraId="54558A89" w14:textId="77777777" w:rsidR="00682416" w:rsidRDefault="00682416" w:rsidP="00580D6E">
      <w:pPr>
        <w:spacing w:after="0" w:line="240" w:lineRule="auto"/>
        <w:rPr>
          <w:rFonts w:cs="Arial"/>
          <w:sz w:val="24"/>
        </w:rPr>
      </w:pPr>
      <w:r w:rsidRPr="00682416">
        <w:rPr>
          <w:rFonts w:cs="Arial"/>
          <w:sz w:val="24"/>
        </w:rPr>
        <w:t>We look at the likelihood of 16-18 year olds stating that they will go on to further education (university or college-level)</w:t>
      </w:r>
      <w:r w:rsidR="00B001E0">
        <w:rPr>
          <w:rFonts w:cs="Arial"/>
          <w:sz w:val="24"/>
        </w:rPr>
        <w:t xml:space="preserve"> and this information is then used to predict actual attendance in higher education</w:t>
      </w:r>
      <w:r w:rsidRPr="00682416">
        <w:rPr>
          <w:rFonts w:cs="Arial"/>
          <w:sz w:val="24"/>
        </w:rPr>
        <w:t xml:space="preserve">. </w:t>
      </w:r>
      <w:r w:rsidR="00B001E0">
        <w:rPr>
          <w:rFonts w:cs="Arial"/>
          <w:sz w:val="24"/>
        </w:rPr>
        <w:t xml:space="preserve">Education likelihood </w:t>
      </w:r>
      <w:r w:rsidRPr="00682416">
        <w:rPr>
          <w:rFonts w:cs="Arial"/>
          <w:sz w:val="24"/>
        </w:rPr>
        <w:t xml:space="preserve">is reported on a five-point scale. We drop the response 'depends' (only 1% of the sample) and create a dummy variable for the likelihood of entering further education that = 1 if respondent says 'very likely' and 0 = otherwise. The model is run using a logit model and the marginal percentage effects are calculated at the sample mean value for the other covariates.  Based on the literature reviews </w:t>
      </w:r>
      <w:r w:rsidR="00CE2686">
        <w:rPr>
          <w:rFonts w:cs="Arial"/>
          <w:sz w:val="24"/>
        </w:rPr>
        <w:t>(</w:t>
      </w:r>
      <w:r w:rsidR="008923FD">
        <w:rPr>
          <w:rFonts w:cs="Arial"/>
          <w:sz w:val="24"/>
        </w:rPr>
        <w:t xml:space="preserve">discussed in </w:t>
      </w:r>
      <w:r w:rsidR="00CE2686">
        <w:rPr>
          <w:rFonts w:cs="Arial"/>
          <w:sz w:val="24"/>
        </w:rPr>
        <w:t>Fujiwara et al., 2014</w:t>
      </w:r>
      <w:r w:rsidR="00A201E2">
        <w:rPr>
          <w:rFonts w:cs="Arial"/>
          <w:sz w:val="24"/>
        </w:rPr>
        <w:t>a</w:t>
      </w:r>
      <w:r w:rsidR="00CE2686">
        <w:rPr>
          <w:rFonts w:cs="Arial"/>
          <w:sz w:val="24"/>
        </w:rPr>
        <w:t xml:space="preserve">) </w:t>
      </w:r>
      <w:r w:rsidRPr="00682416">
        <w:rPr>
          <w:rFonts w:cs="Arial"/>
          <w:sz w:val="24"/>
        </w:rPr>
        <w:t>we control for household income, previous education, gender, age and region.</w:t>
      </w:r>
    </w:p>
    <w:p w14:paraId="70B09789" w14:textId="77777777" w:rsidR="000C43B7" w:rsidRDefault="000C43B7" w:rsidP="00580D6E">
      <w:pPr>
        <w:spacing w:after="0" w:line="240" w:lineRule="auto"/>
        <w:rPr>
          <w:rFonts w:cs="Arial"/>
          <w:sz w:val="24"/>
        </w:rPr>
      </w:pPr>
    </w:p>
    <w:p w14:paraId="41B266F1" w14:textId="77777777" w:rsidR="0090414F" w:rsidRDefault="00CE2686" w:rsidP="00580D6E">
      <w:pPr>
        <w:spacing w:after="0" w:line="240" w:lineRule="auto"/>
        <w:rPr>
          <w:rFonts w:cs="Arial"/>
          <w:sz w:val="24"/>
          <w:szCs w:val="24"/>
        </w:rPr>
      </w:pPr>
      <w:r w:rsidRPr="00CE2686">
        <w:rPr>
          <w:rFonts w:cs="Arial"/>
          <w:sz w:val="24"/>
          <w:szCs w:val="24"/>
        </w:rPr>
        <w:t xml:space="preserve">Since we are only looking at a narrow age bracket in this analysis sample sizes fell to under 900, but this was still sufficient to detect some significant effects. </w:t>
      </w:r>
      <w:r w:rsidR="0090414F">
        <w:rPr>
          <w:sz w:val="24"/>
          <w:szCs w:val="24"/>
        </w:rPr>
        <w:t>Table 1</w:t>
      </w:r>
      <w:r w:rsidR="004C28D1">
        <w:rPr>
          <w:sz w:val="24"/>
          <w:szCs w:val="24"/>
        </w:rPr>
        <w:t>2</w:t>
      </w:r>
      <w:r w:rsidRPr="00CE2686">
        <w:rPr>
          <w:sz w:val="24"/>
          <w:szCs w:val="24"/>
        </w:rPr>
        <w:t xml:space="preserve"> </w:t>
      </w:r>
      <w:r w:rsidRPr="00CE2686">
        <w:rPr>
          <w:rFonts w:cs="Arial"/>
          <w:sz w:val="24"/>
          <w:szCs w:val="24"/>
        </w:rPr>
        <w:t>shows results for the culture and sports variables that are significant at the 5% level. We present the coefficient sizes, standard errors, sample sizes and R-Squared values for each model.</w:t>
      </w:r>
    </w:p>
    <w:p w14:paraId="74241546" w14:textId="77777777" w:rsidR="0090414F" w:rsidRDefault="0090414F" w:rsidP="00580D6E">
      <w:pPr>
        <w:spacing w:after="0" w:line="240" w:lineRule="auto"/>
        <w:rPr>
          <w:rFonts w:cs="Arial"/>
          <w:sz w:val="24"/>
          <w:szCs w:val="24"/>
        </w:rPr>
      </w:pPr>
    </w:p>
    <w:p w14:paraId="27510396" w14:textId="77777777" w:rsidR="00702457" w:rsidRDefault="0054326B" w:rsidP="00580D6E">
      <w:pPr>
        <w:spacing w:after="0" w:line="240" w:lineRule="auto"/>
        <w:rPr>
          <w:rFonts w:cs="Arial"/>
          <w:sz w:val="24"/>
          <w:szCs w:val="24"/>
        </w:rPr>
      </w:pPr>
      <w:r w:rsidRPr="0054326B">
        <w:rPr>
          <w:rFonts w:cs="Arial"/>
          <w:sz w:val="24"/>
          <w:szCs w:val="24"/>
        </w:rPr>
        <w:t>These results are supported by findings from Noble &amp; Davies (2009) which suggest that participation in cultural activities is positively associated with their self-reported intentions to participate in higher education.</w:t>
      </w:r>
    </w:p>
    <w:p w14:paraId="6A034D5C" w14:textId="77777777" w:rsidR="00E17852" w:rsidRDefault="00E17852" w:rsidP="00580D6E">
      <w:pPr>
        <w:spacing w:after="0" w:line="240" w:lineRule="auto"/>
        <w:rPr>
          <w:rFonts w:cs="Arial"/>
          <w:sz w:val="24"/>
          <w:szCs w:val="24"/>
        </w:rPr>
      </w:pPr>
    </w:p>
    <w:p w14:paraId="1BBBA149" w14:textId="77777777" w:rsidR="00620C70" w:rsidRPr="00BB0581" w:rsidRDefault="00B62370" w:rsidP="00580D6E">
      <w:pPr>
        <w:spacing w:after="0" w:line="240" w:lineRule="auto"/>
        <w:rPr>
          <w:b/>
          <w:sz w:val="24"/>
          <w:szCs w:val="24"/>
        </w:rPr>
      </w:pPr>
      <w:r>
        <w:rPr>
          <w:b/>
          <w:sz w:val="24"/>
          <w:szCs w:val="24"/>
        </w:rPr>
        <w:t xml:space="preserve">Table </w:t>
      </w:r>
      <w:r w:rsidR="004C28D1">
        <w:rPr>
          <w:b/>
          <w:sz w:val="24"/>
          <w:szCs w:val="24"/>
        </w:rPr>
        <w:t>12</w:t>
      </w:r>
      <w:r w:rsidR="00620C70" w:rsidRPr="00BB0581">
        <w:rPr>
          <w:b/>
          <w:sz w:val="24"/>
          <w:szCs w:val="24"/>
        </w:rPr>
        <w:t xml:space="preserve">: </w:t>
      </w:r>
      <w:r w:rsidR="004C2171" w:rsidRPr="004C2171">
        <w:rPr>
          <w:b/>
          <w:sz w:val="24"/>
          <w:szCs w:val="24"/>
        </w:rPr>
        <w:t>R</w:t>
      </w:r>
      <w:r w:rsidR="004C2171" w:rsidRPr="004C2171">
        <w:rPr>
          <w:rFonts w:cstheme="majorHAnsi"/>
          <w:b/>
          <w:sz w:val="24"/>
          <w:szCs w:val="24"/>
        </w:rPr>
        <w:t>elationship between</w:t>
      </w:r>
      <w:r w:rsidR="004C2171">
        <w:rPr>
          <w:rFonts w:cstheme="majorHAnsi"/>
          <w:sz w:val="24"/>
          <w:szCs w:val="24"/>
        </w:rPr>
        <w:t xml:space="preserve"> </w:t>
      </w:r>
      <w:r w:rsidR="0090414F">
        <w:rPr>
          <w:b/>
          <w:sz w:val="24"/>
          <w:szCs w:val="24"/>
        </w:rPr>
        <w:t xml:space="preserve">cultural engagement </w:t>
      </w:r>
      <w:r w:rsidR="004C2171">
        <w:rPr>
          <w:b/>
          <w:sz w:val="24"/>
          <w:szCs w:val="24"/>
        </w:rPr>
        <w:t>and</w:t>
      </w:r>
      <w:r w:rsidR="00620C70" w:rsidRPr="00BB0581">
        <w:rPr>
          <w:b/>
          <w:sz w:val="24"/>
          <w:szCs w:val="24"/>
        </w:rPr>
        <w:t xml:space="preserve"> </w:t>
      </w:r>
      <w:r w:rsidR="00620C70">
        <w:rPr>
          <w:b/>
          <w:sz w:val="24"/>
          <w:szCs w:val="24"/>
        </w:rPr>
        <w:t>education intention</w:t>
      </w:r>
    </w:p>
    <w:tbl>
      <w:tblPr>
        <w:tblW w:w="8866" w:type="dxa"/>
        <w:tblInd w:w="-10" w:type="dxa"/>
        <w:tblLook w:val="04A0" w:firstRow="1" w:lastRow="0" w:firstColumn="1" w:lastColumn="0" w:noHBand="0" w:noVBand="1"/>
      </w:tblPr>
      <w:tblGrid>
        <w:gridCol w:w="2000"/>
        <w:gridCol w:w="1206"/>
        <w:gridCol w:w="1780"/>
        <w:gridCol w:w="1680"/>
        <w:gridCol w:w="1160"/>
        <w:gridCol w:w="1040"/>
      </w:tblGrid>
      <w:tr w:rsidR="00960E4C" w:rsidRPr="00960E4C" w14:paraId="0729CDB3" w14:textId="77777777" w:rsidTr="00960E4C">
        <w:trPr>
          <w:trHeight w:val="300"/>
        </w:trPr>
        <w:tc>
          <w:tcPr>
            <w:tcW w:w="2000" w:type="dxa"/>
            <w:tcBorders>
              <w:top w:val="single" w:sz="8" w:space="0" w:color="auto"/>
              <w:left w:val="single" w:sz="8" w:space="0" w:color="auto"/>
              <w:bottom w:val="double" w:sz="6" w:space="0" w:color="auto"/>
              <w:right w:val="nil"/>
            </w:tcBorders>
            <w:shd w:val="clear" w:color="000000" w:fill="0070C0"/>
            <w:noWrap/>
            <w:vAlign w:val="center"/>
            <w:hideMark/>
          </w:tcPr>
          <w:p w14:paraId="08271F5A"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Variables</w:t>
            </w:r>
          </w:p>
        </w:tc>
        <w:tc>
          <w:tcPr>
            <w:tcW w:w="1206"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5FEA6B27"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Coefficient</w:t>
            </w:r>
          </w:p>
        </w:tc>
        <w:tc>
          <w:tcPr>
            <w:tcW w:w="1780" w:type="dxa"/>
            <w:tcBorders>
              <w:top w:val="single" w:sz="8" w:space="0" w:color="auto"/>
              <w:left w:val="nil"/>
              <w:bottom w:val="double" w:sz="6" w:space="0" w:color="auto"/>
              <w:right w:val="nil"/>
            </w:tcBorders>
            <w:shd w:val="clear" w:color="000000" w:fill="0070C0"/>
            <w:noWrap/>
            <w:vAlign w:val="center"/>
            <w:hideMark/>
          </w:tcPr>
          <w:p w14:paraId="3F1D9E7F"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Probability impact</w:t>
            </w:r>
          </w:p>
        </w:tc>
        <w:tc>
          <w:tcPr>
            <w:tcW w:w="1680"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6E56341E"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S.E. of coefficient</w:t>
            </w:r>
          </w:p>
        </w:tc>
        <w:tc>
          <w:tcPr>
            <w:tcW w:w="1160" w:type="dxa"/>
            <w:tcBorders>
              <w:top w:val="single" w:sz="8" w:space="0" w:color="auto"/>
              <w:left w:val="nil"/>
              <w:bottom w:val="double" w:sz="6" w:space="0" w:color="auto"/>
              <w:right w:val="single" w:sz="8" w:space="0" w:color="auto"/>
            </w:tcBorders>
            <w:shd w:val="clear" w:color="000000" w:fill="0070C0"/>
            <w:noWrap/>
            <w:vAlign w:val="center"/>
            <w:hideMark/>
          </w:tcPr>
          <w:p w14:paraId="7C1A55C3"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Sample size</w:t>
            </w:r>
          </w:p>
        </w:tc>
        <w:tc>
          <w:tcPr>
            <w:tcW w:w="1040" w:type="dxa"/>
            <w:tcBorders>
              <w:top w:val="single" w:sz="8" w:space="0" w:color="auto"/>
              <w:left w:val="nil"/>
              <w:bottom w:val="double" w:sz="6" w:space="0" w:color="auto"/>
              <w:right w:val="single" w:sz="8" w:space="0" w:color="auto"/>
            </w:tcBorders>
            <w:shd w:val="clear" w:color="000000" w:fill="0070C0"/>
            <w:noWrap/>
            <w:vAlign w:val="center"/>
            <w:hideMark/>
          </w:tcPr>
          <w:p w14:paraId="19590537"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R-Squared</w:t>
            </w:r>
          </w:p>
        </w:tc>
      </w:tr>
      <w:tr w:rsidR="00960E4C" w:rsidRPr="00960E4C" w14:paraId="460E8E8B" w14:textId="77777777" w:rsidTr="00960E4C">
        <w:trPr>
          <w:trHeight w:val="330"/>
        </w:trPr>
        <w:tc>
          <w:tcPr>
            <w:tcW w:w="2000" w:type="dxa"/>
            <w:tcBorders>
              <w:top w:val="nil"/>
              <w:left w:val="single" w:sz="8" w:space="0" w:color="auto"/>
              <w:bottom w:val="single" w:sz="8" w:space="0" w:color="auto"/>
              <w:right w:val="nil"/>
            </w:tcBorders>
            <w:shd w:val="clear" w:color="000000" w:fill="0070C0"/>
            <w:noWrap/>
            <w:vAlign w:val="center"/>
            <w:hideMark/>
          </w:tcPr>
          <w:p w14:paraId="69C500C6" w14:textId="77777777" w:rsidR="00960E4C" w:rsidRPr="00960E4C" w:rsidRDefault="00960E4C" w:rsidP="00960E4C">
            <w:pPr>
              <w:spacing w:after="0" w:line="240" w:lineRule="auto"/>
              <w:jc w:val="center"/>
              <w:rPr>
                <w:rFonts w:ascii="Calibri" w:eastAsia="Times New Roman" w:hAnsi="Calibri" w:cs="Times New Roman"/>
                <w:b/>
                <w:bCs/>
                <w:color w:val="FFFFFF"/>
                <w:lang w:eastAsia="en-GB"/>
              </w:rPr>
            </w:pPr>
            <w:r w:rsidRPr="00960E4C">
              <w:rPr>
                <w:rFonts w:ascii="Calibri" w:eastAsia="Times New Roman" w:hAnsi="Calibri" w:cs="Times New Roman"/>
                <w:b/>
                <w:bCs/>
                <w:color w:val="FFFFFF"/>
                <w:lang w:eastAsia="en-GB"/>
              </w:rPr>
              <w:t>Culture</w:t>
            </w:r>
          </w:p>
        </w:tc>
        <w:tc>
          <w:tcPr>
            <w:tcW w:w="1206" w:type="dxa"/>
            <w:tcBorders>
              <w:top w:val="nil"/>
              <w:left w:val="single" w:sz="8" w:space="0" w:color="auto"/>
              <w:bottom w:val="single" w:sz="8" w:space="0" w:color="auto"/>
              <w:right w:val="single" w:sz="8" w:space="0" w:color="auto"/>
            </w:tcBorders>
            <w:shd w:val="clear" w:color="000000" w:fill="0070C0"/>
            <w:noWrap/>
            <w:vAlign w:val="bottom"/>
            <w:hideMark/>
          </w:tcPr>
          <w:p w14:paraId="45BBA756" w14:textId="77777777" w:rsidR="00960E4C" w:rsidRPr="00960E4C" w:rsidRDefault="00960E4C" w:rsidP="00960E4C">
            <w:pPr>
              <w:spacing w:after="0" w:line="240" w:lineRule="auto"/>
              <w:rPr>
                <w:rFonts w:ascii="Arial" w:eastAsia="Times New Roman" w:hAnsi="Arial" w:cs="Arial"/>
                <w:color w:val="000000"/>
                <w:sz w:val="24"/>
                <w:szCs w:val="24"/>
                <w:lang w:eastAsia="en-GB"/>
              </w:rPr>
            </w:pPr>
            <w:r w:rsidRPr="00960E4C">
              <w:rPr>
                <w:rFonts w:ascii="Arial" w:eastAsia="Times New Roman" w:hAnsi="Arial" w:cs="Arial"/>
                <w:color w:val="000000"/>
                <w:sz w:val="24"/>
                <w:szCs w:val="24"/>
                <w:lang w:eastAsia="en-GB"/>
              </w:rPr>
              <w:t> </w:t>
            </w:r>
          </w:p>
        </w:tc>
        <w:tc>
          <w:tcPr>
            <w:tcW w:w="1780" w:type="dxa"/>
            <w:tcBorders>
              <w:top w:val="nil"/>
              <w:left w:val="nil"/>
              <w:bottom w:val="single" w:sz="8" w:space="0" w:color="auto"/>
              <w:right w:val="nil"/>
            </w:tcBorders>
            <w:shd w:val="clear" w:color="000000" w:fill="0070C0"/>
            <w:noWrap/>
            <w:vAlign w:val="center"/>
            <w:hideMark/>
          </w:tcPr>
          <w:p w14:paraId="4B0F6E4D" w14:textId="77777777" w:rsidR="00960E4C" w:rsidRPr="00960E4C" w:rsidRDefault="00960E4C" w:rsidP="00960E4C">
            <w:pPr>
              <w:spacing w:after="0" w:line="240" w:lineRule="auto"/>
              <w:jc w:val="center"/>
              <w:rPr>
                <w:rFonts w:ascii="Calibri" w:eastAsia="Times New Roman" w:hAnsi="Calibri" w:cs="Times New Roman"/>
                <w:color w:val="FFFFFF"/>
                <w:lang w:eastAsia="en-GB"/>
              </w:rPr>
            </w:pPr>
            <w:r w:rsidRPr="00960E4C">
              <w:rPr>
                <w:rFonts w:ascii="Calibri" w:eastAsia="Times New Roman" w:hAnsi="Calibri" w:cs="Times New Roman"/>
                <w:color w:val="FFFFFF"/>
                <w:lang w:eastAsia="en-GB"/>
              </w:rPr>
              <w:t> </w:t>
            </w:r>
          </w:p>
        </w:tc>
        <w:tc>
          <w:tcPr>
            <w:tcW w:w="1680" w:type="dxa"/>
            <w:tcBorders>
              <w:top w:val="nil"/>
              <w:left w:val="single" w:sz="8" w:space="0" w:color="auto"/>
              <w:bottom w:val="single" w:sz="8" w:space="0" w:color="auto"/>
              <w:right w:val="single" w:sz="8" w:space="0" w:color="auto"/>
            </w:tcBorders>
            <w:shd w:val="clear" w:color="000000" w:fill="0070C0"/>
            <w:noWrap/>
            <w:vAlign w:val="center"/>
            <w:hideMark/>
          </w:tcPr>
          <w:p w14:paraId="2A075492" w14:textId="77777777" w:rsidR="00960E4C" w:rsidRPr="00960E4C" w:rsidRDefault="00960E4C" w:rsidP="00960E4C">
            <w:pPr>
              <w:spacing w:after="0" w:line="240" w:lineRule="auto"/>
              <w:jc w:val="center"/>
              <w:rPr>
                <w:rFonts w:ascii="Calibri" w:eastAsia="Times New Roman" w:hAnsi="Calibri" w:cs="Times New Roman"/>
                <w:color w:val="FFFFFF"/>
                <w:lang w:eastAsia="en-GB"/>
              </w:rPr>
            </w:pPr>
            <w:r w:rsidRPr="00960E4C">
              <w:rPr>
                <w:rFonts w:ascii="Calibri" w:eastAsia="Times New Roman" w:hAnsi="Calibri" w:cs="Times New Roman"/>
                <w:color w:val="FFFFFF"/>
                <w:lang w:eastAsia="en-GB"/>
              </w:rPr>
              <w:t> </w:t>
            </w:r>
          </w:p>
        </w:tc>
        <w:tc>
          <w:tcPr>
            <w:tcW w:w="1160" w:type="dxa"/>
            <w:tcBorders>
              <w:top w:val="nil"/>
              <w:left w:val="nil"/>
              <w:bottom w:val="single" w:sz="8" w:space="0" w:color="auto"/>
              <w:right w:val="nil"/>
            </w:tcBorders>
            <w:shd w:val="clear" w:color="000000" w:fill="0070C0"/>
            <w:noWrap/>
            <w:vAlign w:val="center"/>
            <w:hideMark/>
          </w:tcPr>
          <w:p w14:paraId="76441B49" w14:textId="77777777" w:rsidR="00960E4C" w:rsidRPr="00960E4C" w:rsidRDefault="00960E4C" w:rsidP="00960E4C">
            <w:pPr>
              <w:spacing w:after="0" w:line="240" w:lineRule="auto"/>
              <w:jc w:val="center"/>
              <w:rPr>
                <w:rFonts w:ascii="Calibri" w:eastAsia="Times New Roman" w:hAnsi="Calibri" w:cs="Times New Roman"/>
                <w:color w:val="FFFFFF"/>
                <w:lang w:eastAsia="en-GB"/>
              </w:rPr>
            </w:pPr>
            <w:r w:rsidRPr="00960E4C">
              <w:rPr>
                <w:rFonts w:ascii="Calibri" w:eastAsia="Times New Roman" w:hAnsi="Calibri" w:cs="Times New Roman"/>
                <w:color w:val="FFFFFF"/>
                <w:lang w:eastAsia="en-GB"/>
              </w:rPr>
              <w:t> </w:t>
            </w:r>
          </w:p>
        </w:tc>
        <w:tc>
          <w:tcPr>
            <w:tcW w:w="1040" w:type="dxa"/>
            <w:tcBorders>
              <w:top w:val="nil"/>
              <w:left w:val="single" w:sz="8" w:space="0" w:color="auto"/>
              <w:bottom w:val="single" w:sz="8" w:space="0" w:color="auto"/>
              <w:right w:val="single" w:sz="8" w:space="0" w:color="auto"/>
            </w:tcBorders>
            <w:shd w:val="clear" w:color="000000" w:fill="0070C0"/>
            <w:noWrap/>
            <w:vAlign w:val="center"/>
            <w:hideMark/>
          </w:tcPr>
          <w:p w14:paraId="2DD7ACD7" w14:textId="77777777" w:rsidR="00960E4C" w:rsidRPr="00960E4C" w:rsidRDefault="00960E4C" w:rsidP="00960E4C">
            <w:pPr>
              <w:spacing w:after="0" w:line="240" w:lineRule="auto"/>
              <w:jc w:val="center"/>
              <w:rPr>
                <w:rFonts w:ascii="Calibri" w:eastAsia="Times New Roman" w:hAnsi="Calibri" w:cs="Times New Roman"/>
                <w:color w:val="FFFFFF"/>
                <w:lang w:eastAsia="en-GB"/>
              </w:rPr>
            </w:pPr>
            <w:r w:rsidRPr="00960E4C">
              <w:rPr>
                <w:rFonts w:ascii="Calibri" w:eastAsia="Times New Roman" w:hAnsi="Calibri" w:cs="Times New Roman"/>
                <w:color w:val="FFFFFF"/>
                <w:lang w:eastAsia="en-GB"/>
              </w:rPr>
              <w:t> </w:t>
            </w:r>
          </w:p>
        </w:tc>
      </w:tr>
      <w:tr w:rsidR="00960E4C" w:rsidRPr="00960E4C" w14:paraId="2A6CE7A5" w14:textId="77777777" w:rsidTr="00960E4C">
        <w:trPr>
          <w:trHeight w:val="290"/>
        </w:trPr>
        <w:tc>
          <w:tcPr>
            <w:tcW w:w="2000" w:type="dxa"/>
            <w:tcBorders>
              <w:top w:val="nil"/>
              <w:left w:val="single" w:sz="8" w:space="0" w:color="auto"/>
              <w:bottom w:val="nil"/>
              <w:right w:val="nil"/>
            </w:tcBorders>
            <w:shd w:val="clear" w:color="auto" w:fill="auto"/>
            <w:noWrap/>
            <w:vAlign w:val="center"/>
            <w:hideMark/>
          </w:tcPr>
          <w:p w14:paraId="377F4D8D" w14:textId="77777777" w:rsidR="00960E4C" w:rsidRPr="00872055" w:rsidRDefault="00960E4C" w:rsidP="00960E4C">
            <w:pPr>
              <w:spacing w:after="0" w:line="240" w:lineRule="auto"/>
              <w:rPr>
                <w:rFonts w:ascii="Calibri" w:eastAsia="Times New Roman" w:hAnsi="Calibri" w:cs="Times New Roman"/>
                <w:i/>
                <w:color w:val="000000"/>
                <w:lang w:eastAsia="en-GB"/>
              </w:rPr>
            </w:pPr>
            <w:r w:rsidRPr="00872055">
              <w:rPr>
                <w:rFonts w:ascii="Calibri" w:eastAsia="Times New Roman" w:hAnsi="Calibri" w:cs="Times New Roman"/>
                <w:i/>
                <w:color w:val="000000"/>
                <w:lang w:eastAsia="en-GB"/>
              </w:rPr>
              <w:t>Participation arts</w:t>
            </w:r>
          </w:p>
        </w:tc>
        <w:tc>
          <w:tcPr>
            <w:tcW w:w="1206" w:type="dxa"/>
            <w:tcBorders>
              <w:top w:val="nil"/>
              <w:left w:val="single" w:sz="8" w:space="0" w:color="auto"/>
              <w:bottom w:val="nil"/>
              <w:right w:val="single" w:sz="8" w:space="0" w:color="auto"/>
            </w:tcBorders>
            <w:shd w:val="clear" w:color="auto" w:fill="auto"/>
            <w:noWrap/>
            <w:vAlign w:val="center"/>
            <w:hideMark/>
          </w:tcPr>
          <w:p w14:paraId="29CEF902"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0.655***</w:t>
            </w:r>
          </w:p>
        </w:tc>
        <w:tc>
          <w:tcPr>
            <w:tcW w:w="1780" w:type="dxa"/>
            <w:tcBorders>
              <w:top w:val="nil"/>
              <w:left w:val="nil"/>
              <w:bottom w:val="nil"/>
              <w:right w:val="nil"/>
            </w:tcBorders>
            <w:shd w:val="clear" w:color="auto" w:fill="auto"/>
            <w:noWrap/>
            <w:vAlign w:val="center"/>
            <w:hideMark/>
          </w:tcPr>
          <w:p w14:paraId="043392F4"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14.10%</w:t>
            </w:r>
          </w:p>
        </w:tc>
        <w:tc>
          <w:tcPr>
            <w:tcW w:w="1680" w:type="dxa"/>
            <w:tcBorders>
              <w:top w:val="nil"/>
              <w:left w:val="single" w:sz="8" w:space="0" w:color="auto"/>
              <w:bottom w:val="nil"/>
              <w:right w:val="single" w:sz="8" w:space="0" w:color="auto"/>
            </w:tcBorders>
            <w:shd w:val="clear" w:color="auto" w:fill="auto"/>
            <w:noWrap/>
            <w:vAlign w:val="center"/>
            <w:hideMark/>
          </w:tcPr>
          <w:p w14:paraId="49994A38"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0.229</w:t>
            </w:r>
          </w:p>
        </w:tc>
        <w:tc>
          <w:tcPr>
            <w:tcW w:w="1160" w:type="dxa"/>
            <w:tcBorders>
              <w:top w:val="nil"/>
              <w:left w:val="nil"/>
              <w:bottom w:val="nil"/>
              <w:right w:val="nil"/>
            </w:tcBorders>
            <w:shd w:val="clear" w:color="auto" w:fill="auto"/>
            <w:noWrap/>
            <w:vAlign w:val="center"/>
            <w:hideMark/>
          </w:tcPr>
          <w:p w14:paraId="18C12D4C"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847</w:t>
            </w:r>
          </w:p>
        </w:tc>
        <w:tc>
          <w:tcPr>
            <w:tcW w:w="1040" w:type="dxa"/>
            <w:tcBorders>
              <w:top w:val="nil"/>
              <w:left w:val="single" w:sz="8" w:space="0" w:color="auto"/>
              <w:bottom w:val="nil"/>
              <w:right w:val="single" w:sz="8" w:space="0" w:color="auto"/>
            </w:tcBorders>
            <w:shd w:val="clear" w:color="auto" w:fill="auto"/>
            <w:noWrap/>
            <w:vAlign w:val="center"/>
            <w:hideMark/>
          </w:tcPr>
          <w:p w14:paraId="45F3861D"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0.025</w:t>
            </w:r>
          </w:p>
        </w:tc>
      </w:tr>
      <w:tr w:rsidR="00960E4C" w:rsidRPr="00960E4C" w14:paraId="6F0CBAD2" w14:textId="77777777" w:rsidTr="00960E4C">
        <w:trPr>
          <w:trHeight w:val="290"/>
        </w:trPr>
        <w:tc>
          <w:tcPr>
            <w:tcW w:w="2000" w:type="dxa"/>
            <w:tcBorders>
              <w:top w:val="nil"/>
              <w:left w:val="single" w:sz="8" w:space="0" w:color="auto"/>
              <w:bottom w:val="nil"/>
              <w:right w:val="nil"/>
            </w:tcBorders>
            <w:shd w:val="clear" w:color="auto" w:fill="auto"/>
            <w:noWrap/>
            <w:vAlign w:val="center"/>
            <w:hideMark/>
          </w:tcPr>
          <w:p w14:paraId="2EFF6801" w14:textId="77777777" w:rsidR="00960E4C" w:rsidRPr="00872055" w:rsidRDefault="00960E4C" w:rsidP="00960E4C">
            <w:pPr>
              <w:spacing w:after="0" w:line="240" w:lineRule="auto"/>
              <w:rPr>
                <w:rFonts w:ascii="Calibri" w:eastAsia="Times New Roman" w:hAnsi="Calibri" w:cs="Times New Roman"/>
                <w:i/>
                <w:color w:val="000000"/>
                <w:lang w:eastAsia="en-GB"/>
              </w:rPr>
            </w:pPr>
            <w:r w:rsidRPr="00872055">
              <w:rPr>
                <w:rFonts w:ascii="Calibri" w:eastAsia="Times New Roman" w:hAnsi="Calibri" w:cs="Times New Roman"/>
                <w:i/>
                <w:color w:val="000000"/>
                <w:lang w:eastAsia="en-GB"/>
              </w:rPr>
              <w:t>Heritage</w:t>
            </w:r>
          </w:p>
        </w:tc>
        <w:tc>
          <w:tcPr>
            <w:tcW w:w="1206" w:type="dxa"/>
            <w:tcBorders>
              <w:top w:val="nil"/>
              <w:left w:val="single" w:sz="8" w:space="0" w:color="auto"/>
              <w:bottom w:val="nil"/>
              <w:right w:val="single" w:sz="8" w:space="0" w:color="auto"/>
            </w:tcBorders>
            <w:shd w:val="clear" w:color="auto" w:fill="auto"/>
            <w:noWrap/>
            <w:vAlign w:val="center"/>
            <w:hideMark/>
          </w:tcPr>
          <w:p w14:paraId="1745B7A5"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0.704***</w:t>
            </w:r>
          </w:p>
        </w:tc>
        <w:tc>
          <w:tcPr>
            <w:tcW w:w="1780" w:type="dxa"/>
            <w:tcBorders>
              <w:top w:val="nil"/>
              <w:left w:val="nil"/>
              <w:bottom w:val="nil"/>
              <w:right w:val="nil"/>
            </w:tcBorders>
            <w:shd w:val="clear" w:color="auto" w:fill="auto"/>
            <w:noWrap/>
            <w:vAlign w:val="center"/>
            <w:hideMark/>
          </w:tcPr>
          <w:p w14:paraId="68A30124"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14.60%</w:t>
            </w:r>
          </w:p>
        </w:tc>
        <w:tc>
          <w:tcPr>
            <w:tcW w:w="1680" w:type="dxa"/>
            <w:tcBorders>
              <w:top w:val="nil"/>
              <w:left w:val="single" w:sz="8" w:space="0" w:color="auto"/>
              <w:bottom w:val="nil"/>
              <w:right w:val="single" w:sz="8" w:space="0" w:color="auto"/>
            </w:tcBorders>
            <w:shd w:val="clear" w:color="auto" w:fill="auto"/>
            <w:noWrap/>
            <w:vAlign w:val="center"/>
            <w:hideMark/>
          </w:tcPr>
          <w:p w14:paraId="506FB7DD"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0.02</w:t>
            </w:r>
          </w:p>
        </w:tc>
        <w:tc>
          <w:tcPr>
            <w:tcW w:w="1160" w:type="dxa"/>
            <w:tcBorders>
              <w:top w:val="nil"/>
              <w:left w:val="nil"/>
              <w:bottom w:val="nil"/>
              <w:right w:val="nil"/>
            </w:tcBorders>
            <w:shd w:val="clear" w:color="auto" w:fill="auto"/>
            <w:noWrap/>
            <w:vAlign w:val="center"/>
            <w:hideMark/>
          </w:tcPr>
          <w:p w14:paraId="68ED87CD"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2,581</w:t>
            </w:r>
          </w:p>
        </w:tc>
        <w:tc>
          <w:tcPr>
            <w:tcW w:w="1040" w:type="dxa"/>
            <w:tcBorders>
              <w:top w:val="nil"/>
              <w:left w:val="single" w:sz="8" w:space="0" w:color="auto"/>
              <w:bottom w:val="nil"/>
              <w:right w:val="single" w:sz="8" w:space="0" w:color="auto"/>
            </w:tcBorders>
            <w:shd w:val="clear" w:color="auto" w:fill="auto"/>
            <w:noWrap/>
            <w:vAlign w:val="center"/>
            <w:hideMark/>
          </w:tcPr>
          <w:p w14:paraId="7B7FC099"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0.106</w:t>
            </w:r>
          </w:p>
        </w:tc>
      </w:tr>
      <w:tr w:rsidR="00960E4C" w:rsidRPr="00960E4C" w14:paraId="3D3E0193" w14:textId="77777777" w:rsidTr="00960E4C">
        <w:trPr>
          <w:trHeight w:val="300"/>
        </w:trPr>
        <w:tc>
          <w:tcPr>
            <w:tcW w:w="2000" w:type="dxa"/>
            <w:tcBorders>
              <w:top w:val="nil"/>
              <w:left w:val="single" w:sz="8" w:space="0" w:color="auto"/>
              <w:bottom w:val="single" w:sz="8" w:space="0" w:color="auto"/>
              <w:right w:val="nil"/>
            </w:tcBorders>
            <w:shd w:val="clear" w:color="auto" w:fill="auto"/>
            <w:noWrap/>
            <w:vAlign w:val="center"/>
            <w:hideMark/>
          </w:tcPr>
          <w:p w14:paraId="5667F343" w14:textId="77777777" w:rsidR="00960E4C" w:rsidRPr="00872055" w:rsidRDefault="00960E4C" w:rsidP="00960E4C">
            <w:pPr>
              <w:spacing w:after="0" w:line="240" w:lineRule="auto"/>
              <w:rPr>
                <w:rFonts w:ascii="Calibri" w:eastAsia="Times New Roman" w:hAnsi="Calibri" w:cs="Times New Roman"/>
                <w:i/>
                <w:color w:val="000000"/>
                <w:lang w:eastAsia="en-GB"/>
              </w:rPr>
            </w:pPr>
            <w:r w:rsidRPr="00872055">
              <w:rPr>
                <w:rFonts w:ascii="Calibri" w:eastAsia="Times New Roman" w:hAnsi="Calibri" w:cs="Times New Roman"/>
                <w:i/>
                <w:color w:val="000000"/>
                <w:lang w:eastAsia="en-GB"/>
              </w:rPr>
              <w:t>Library</w:t>
            </w:r>
          </w:p>
        </w:tc>
        <w:tc>
          <w:tcPr>
            <w:tcW w:w="1206" w:type="dxa"/>
            <w:tcBorders>
              <w:top w:val="nil"/>
              <w:left w:val="single" w:sz="8" w:space="0" w:color="auto"/>
              <w:bottom w:val="single" w:sz="8" w:space="0" w:color="auto"/>
              <w:right w:val="single" w:sz="8" w:space="0" w:color="auto"/>
            </w:tcBorders>
            <w:shd w:val="clear" w:color="auto" w:fill="auto"/>
            <w:noWrap/>
            <w:vAlign w:val="center"/>
            <w:hideMark/>
          </w:tcPr>
          <w:p w14:paraId="6CEC3D9C"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0.427***</w:t>
            </w:r>
          </w:p>
        </w:tc>
        <w:tc>
          <w:tcPr>
            <w:tcW w:w="1780" w:type="dxa"/>
            <w:tcBorders>
              <w:top w:val="nil"/>
              <w:left w:val="nil"/>
              <w:bottom w:val="single" w:sz="8" w:space="0" w:color="auto"/>
              <w:right w:val="nil"/>
            </w:tcBorders>
            <w:shd w:val="clear" w:color="auto" w:fill="auto"/>
            <w:noWrap/>
            <w:vAlign w:val="center"/>
            <w:hideMark/>
          </w:tcPr>
          <w:p w14:paraId="3E047592"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9.40%</w:t>
            </w:r>
          </w:p>
        </w:tc>
        <w:tc>
          <w:tcPr>
            <w:tcW w:w="1680" w:type="dxa"/>
            <w:tcBorders>
              <w:top w:val="nil"/>
              <w:left w:val="single" w:sz="8" w:space="0" w:color="auto"/>
              <w:bottom w:val="single" w:sz="8" w:space="0" w:color="auto"/>
              <w:right w:val="single" w:sz="8" w:space="0" w:color="auto"/>
            </w:tcBorders>
            <w:shd w:val="clear" w:color="auto" w:fill="auto"/>
            <w:noWrap/>
            <w:vAlign w:val="center"/>
            <w:hideMark/>
          </w:tcPr>
          <w:p w14:paraId="4C1F2B18"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0.03</w:t>
            </w:r>
          </w:p>
        </w:tc>
        <w:tc>
          <w:tcPr>
            <w:tcW w:w="1160" w:type="dxa"/>
            <w:tcBorders>
              <w:top w:val="nil"/>
              <w:left w:val="nil"/>
              <w:bottom w:val="single" w:sz="8" w:space="0" w:color="auto"/>
              <w:right w:val="nil"/>
            </w:tcBorders>
            <w:shd w:val="clear" w:color="auto" w:fill="auto"/>
            <w:noWrap/>
            <w:vAlign w:val="center"/>
            <w:hideMark/>
          </w:tcPr>
          <w:p w14:paraId="62C51561"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2,582</w:t>
            </w: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14:paraId="3DD20607" w14:textId="77777777" w:rsidR="00960E4C" w:rsidRPr="00960E4C" w:rsidRDefault="00960E4C" w:rsidP="00960E4C">
            <w:pPr>
              <w:spacing w:after="0" w:line="240" w:lineRule="auto"/>
              <w:jc w:val="center"/>
              <w:rPr>
                <w:rFonts w:ascii="Calibri" w:eastAsia="Times New Roman" w:hAnsi="Calibri" w:cs="Times New Roman"/>
                <w:color w:val="000000"/>
                <w:lang w:eastAsia="en-GB"/>
              </w:rPr>
            </w:pPr>
            <w:r w:rsidRPr="00960E4C">
              <w:rPr>
                <w:rFonts w:ascii="Calibri" w:eastAsia="Times New Roman" w:hAnsi="Calibri" w:cs="Times New Roman"/>
                <w:color w:val="000000"/>
                <w:lang w:eastAsia="en-GB"/>
              </w:rPr>
              <w:t>0.091</w:t>
            </w:r>
          </w:p>
        </w:tc>
      </w:tr>
    </w:tbl>
    <w:p w14:paraId="0ECF45BD" w14:textId="77777777" w:rsidR="00960E4C" w:rsidRPr="00436672" w:rsidRDefault="00960E4C" w:rsidP="00960E4C">
      <w:pPr>
        <w:spacing w:after="0" w:line="240" w:lineRule="auto"/>
        <w:ind w:right="95"/>
        <w:rPr>
          <w:i/>
          <w:sz w:val="20"/>
          <w:szCs w:val="24"/>
        </w:rPr>
      </w:pPr>
      <w:r w:rsidRPr="00290537">
        <w:rPr>
          <w:rFonts w:cs="Arial"/>
          <w:i/>
          <w:sz w:val="20"/>
          <w:szCs w:val="18"/>
        </w:rPr>
        <w:t>Notes: Logit model.</w:t>
      </w:r>
      <w:r>
        <w:rPr>
          <w:rFonts w:cs="Arial"/>
          <w:i/>
          <w:sz w:val="20"/>
          <w:szCs w:val="18"/>
        </w:rPr>
        <w:t xml:space="preserve"> *** 1% significance level, ** </w:t>
      </w:r>
      <w:r w:rsidRPr="00290537">
        <w:rPr>
          <w:rFonts w:cs="Arial"/>
          <w:i/>
          <w:sz w:val="20"/>
          <w:szCs w:val="18"/>
        </w:rPr>
        <w:t>5</w:t>
      </w:r>
      <w:r>
        <w:rPr>
          <w:rFonts w:cs="Arial"/>
          <w:i/>
          <w:sz w:val="20"/>
          <w:szCs w:val="18"/>
        </w:rPr>
        <w:t>%</w:t>
      </w:r>
      <w:r w:rsidRPr="00290537">
        <w:rPr>
          <w:rFonts w:cs="Arial"/>
          <w:i/>
          <w:sz w:val="20"/>
          <w:szCs w:val="18"/>
        </w:rPr>
        <w:t xml:space="preserve"> significance</w:t>
      </w:r>
      <w:r>
        <w:rPr>
          <w:rFonts w:cs="Arial"/>
          <w:i/>
          <w:sz w:val="20"/>
          <w:szCs w:val="18"/>
        </w:rPr>
        <w:t xml:space="preserve"> level. S.E. = Standard errors</w:t>
      </w:r>
      <w:r w:rsidRPr="00290537">
        <w:rPr>
          <w:rFonts w:cs="Arial"/>
          <w:i/>
          <w:sz w:val="20"/>
          <w:szCs w:val="18"/>
        </w:rPr>
        <w:t xml:space="preserve">. R-Squared = Psuedo R-Squared. </w:t>
      </w:r>
      <w:r>
        <w:rPr>
          <w:i/>
          <w:sz w:val="20"/>
          <w:szCs w:val="24"/>
        </w:rPr>
        <w:t xml:space="preserve">We run 6 models in total: in addition to the control variables Model </w:t>
      </w:r>
      <w:r w:rsidRPr="00293A87">
        <w:rPr>
          <w:i/>
          <w:sz w:val="20"/>
          <w:szCs w:val="24"/>
        </w:rPr>
        <w:t>(1) i</w:t>
      </w:r>
      <w:r>
        <w:rPr>
          <w:i/>
          <w:sz w:val="20"/>
          <w:szCs w:val="24"/>
        </w:rPr>
        <w:t xml:space="preserve">ncludes all arts and all sports. Model </w:t>
      </w:r>
      <w:r w:rsidRPr="00293A87">
        <w:rPr>
          <w:i/>
          <w:sz w:val="20"/>
          <w:szCs w:val="24"/>
        </w:rPr>
        <w:t xml:space="preserve">(2) includes all </w:t>
      </w:r>
      <w:r>
        <w:rPr>
          <w:i/>
          <w:sz w:val="20"/>
          <w:szCs w:val="24"/>
        </w:rPr>
        <w:t>types of art</w:t>
      </w:r>
      <w:r w:rsidRPr="00293A87">
        <w:rPr>
          <w:i/>
          <w:sz w:val="20"/>
          <w:szCs w:val="24"/>
        </w:rPr>
        <w:t>, team sports, individual sports</w:t>
      </w:r>
      <w:r>
        <w:rPr>
          <w:i/>
          <w:sz w:val="20"/>
          <w:szCs w:val="24"/>
        </w:rPr>
        <w:t>. Model</w:t>
      </w:r>
      <w:r w:rsidRPr="00293A87">
        <w:rPr>
          <w:i/>
          <w:sz w:val="20"/>
          <w:szCs w:val="24"/>
        </w:rPr>
        <w:t xml:space="preserve"> (3) includes all sports, all </w:t>
      </w:r>
      <w:r>
        <w:rPr>
          <w:i/>
          <w:sz w:val="20"/>
          <w:szCs w:val="24"/>
        </w:rPr>
        <w:t xml:space="preserve">types of </w:t>
      </w:r>
      <w:r w:rsidRPr="00293A87">
        <w:rPr>
          <w:i/>
          <w:sz w:val="20"/>
          <w:szCs w:val="24"/>
        </w:rPr>
        <w:t xml:space="preserve">arts audience, all </w:t>
      </w:r>
      <w:r>
        <w:rPr>
          <w:i/>
          <w:sz w:val="20"/>
          <w:szCs w:val="24"/>
        </w:rPr>
        <w:t xml:space="preserve">types of </w:t>
      </w:r>
      <w:r w:rsidRPr="00293A87">
        <w:rPr>
          <w:i/>
          <w:sz w:val="20"/>
          <w:szCs w:val="24"/>
        </w:rPr>
        <w:t>arts participation</w:t>
      </w:r>
      <w:r>
        <w:rPr>
          <w:i/>
          <w:sz w:val="20"/>
          <w:szCs w:val="24"/>
        </w:rPr>
        <w:t>.</w:t>
      </w:r>
      <w:r w:rsidRPr="00293A87">
        <w:rPr>
          <w:i/>
          <w:sz w:val="20"/>
          <w:szCs w:val="24"/>
        </w:rPr>
        <w:t xml:space="preserve"> </w:t>
      </w:r>
      <w:r>
        <w:rPr>
          <w:i/>
          <w:sz w:val="20"/>
          <w:szCs w:val="24"/>
        </w:rPr>
        <w:t xml:space="preserve">Model </w:t>
      </w:r>
      <w:r w:rsidRPr="00293A87">
        <w:rPr>
          <w:i/>
          <w:sz w:val="20"/>
          <w:szCs w:val="24"/>
        </w:rPr>
        <w:t>(4) includes all sports and heritage</w:t>
      </w:r>
      <w:r>
        <w:rPr>
          <w:i/>
          <w:sz w:val="20"/>
          <w:szCs w:val="24"/>
        </w:rPr>
        <w:t xml:space="preserve"> visits. Model</w:t>
      </w:r>
      <w:r w:rsidRPr="00293A87">
        <w:rPr>
          <w:i/>
          <w:sz w:val="20"/>
          <w:szCs w:val="24"/>
        </w:rPr>
        <w:t xml:space="preserve"> (5) includes all sports and library</w:t>
      </w:r>
      <w:r>
        <w:rPr>
          <w:i/>
          <w:sz w:val="20"/>
          <w:szCs w:val="24"/>
        </w:rPr>
        <w:t xml:space="preserve"> visits. Model</w:t>
      </w:r>
      <w:r w:rsidRPr="00293A87">
        <w:rPr>
          <w:i/>
          <w:sz w:val="20"/>
          <w:szCs w:val="24"/>
        </w:rPr>
        <w:t xml:space="preserve"> (6) includes all sports and museum</w:t>
      </w:r>
      <w:r>
        <w:rPr>
          <w:i/>
          <w:sz w:val="20"/>
          <w:szCs w:val="24"/>
        </w:rPr>
        <w:t xml:space="preserve"> visits. </w:t>
      </w:r>
      <w:r w:rsidRPr="00B9514E">
        <w:rPr>
          <w:i/>
          <w:sz w:val="20"/>
          <w:szCs w:val="20"/>
        </w:rPr>
        <w:t xml:space="preserve">Coefficient shows impact on log-odds ratio. </w:t>
      </w:r>
      <w:r>
        <w:rPr>
          <w:i/>
          <w:sz w:val="20"/>
          <w:szCs w:val="20"/>
        </w:rPr>
        <w:t xml:space="preserve">Log-odds ratios have been converted to probability impacts in column 3 at the sample mean values for all other variables. </w:t>
      </w:r>
    </w:p>
    <w:p w14:paraId="40B31543" w14:textId="77777777" w:rsidR="0090414F" w:rsidRDefault="0090414F" w:rsidP="001B60D2">
      <w:pPr>
        <w:spacing w:after="0" w:line="240" w:lineRule="auto"/>
        <w:rPr>
          <w:sz w:val="24"/>
          <w:szCs w:val="24"/>
        </w:rPr>
      </w:pPr>
    </w:p>
    <w:p w14:paraId="31438E9F" w14:textId="77777777" w:rsidR="001B60D2" w:rsidRDefault="001B60D2" w:rsidP="001B60D2">
      <w:pPr>
        <w:spacing w:after="0" w:line="240" w:lineRule="auto"/>
        <w:rPr>
          <w:sz w:val="24"/>
          <w:szCs w:val="24"/>
        </w:rPr>
      </w:pPr>
      <w:r>
        <w:rPr>
          <w:sz w:val="24"/>
          <w:szCs w:val="24"/>
        </w:rPr>
        <w:t xml:space="preserve">After controlling for a range of determinants of education behaviour participating in arts generally and visiting heritage and libraries are found to be positively associated with reporting being likely to go onto further education. </w:t>
      </w:r>
      <w:r w:rsidR="000A6536">
        <w:rPr>
          <w:sz w:val="24"/>
          <w:szCs w:val="24"/>
        </w:rPr>
        <w:t xml:space="preserve">We have discussed issues regarding causality in this paper, but we </w:t>
      </w:r>
      <w:r w:rsidR="007E1FC1">
        <w:rPr>
          <w:sz w:val="24"/>
          <w:szCs w:val="24"/>
        </w:rPr>
        <w:t xml:space="preserve">should make a special mention here </w:t>
      </w:r>
      <w:r w:rsidR="000A6536">
        <w:rPr>
          <w:sz w:val="24"/>
          <w:szCs w:val="24"/>
        </w:rPr>
        <w:t xml:space="preserve">that the </w:t>
      </w:r>
      <w:r w:rsidR="00247842">
        <w:rPr>
          <w:sz w:val="24"/>
          <w:szCs w:val="24"/>
        </w:rPr>
        <w:t xml:space="preserve">issue </w:t>
      </w:r>
      <w:r w:rsidR="000A6536">
        <w:rPr>
          <w:sz w:val="24"/>
          <w:szCs w:val="24"/>
        </w:rPr>
        <w:t>of causal inference is likely to be</w:t>
      </w:r>
      <w:r w:rsidR="00247842">
        <w:rPr>
          <w:sz w:val="24"/>
          <w:szCs w:val="24"/>
        </w:rPr>
        <w:t xml:space="preserve"> especially problematic for libraries. </w:t>
      </w:r>
      <w:r w:rsidR="00090D60">
        <w:rPr>
          <w:sz w:val="24"/>
          <w:szCs w:val="24"/>
        </w:rPr>
        <w:t xml:space="preserve">The estimated relationship between libraries and FE/HE is likely to show to some extent at least an underlying motivation </w:t>
      </w:r>
      <w:r w:rsidR="007E1FC1">
        <w:rPr>
          <w:sz w:val="24"/>
          <w:szCs w:val="24"/>
        </w:rPr>
        <w:t>for educational attainment (which we cannot control for in the analysis) and so concerns regarding over-estimation are especially pertinent for the libraries estimate in Table 1</w:t>
      </w:r>
      <w:r w:rsidR="004C28D1">
        <w:rPr>
          <w:sz w:val="24"/>
          <w:szCs w:val="24"/>
        </w:rPr>
        <w:t>2</w:t>
      </w:r>
      <w:r w:rsidR="007E1FC1">
        <w:rPr>
          <w:sz w:val="24"/>
          <w:szCs w:val="24"/>
        </w:rPr>
        <w:t xml:space="preserve">. </w:t>
      </w:r>
    </w:p>
    <w:p w14:paraId="07C33717" w14:textId="77777777" w:rsidR="001B60D2" w:rsidRDefault="001B60D2" w:rsidP="001B60D2">
      <w:pPr>
        <w:spacing w:after="0" w:line="240" w:lineRule="auto"/>
        <w:rPr>
          <w:rFonts w:cstheme="minorHAnsi"/>
          <w:color w:val="FF0000"/>
          <w:sz w:val="24"/>
          <w:szCs w:val="24"/>
        </w:rPr>
      </w:pPr>
    </w:p>
    <w:p w14:paraId="67253236" w14:textId="77777777" w:rsidR="001C7E5E" w:rsidRDefault="00012D19" w:rsidP="00012D19">
      <w:pPr>
        <w:spacing w:after="0" w:line="240" w:lineRule="auto"/>
        <w:rPr>
          <w:rFonts w:cstheme="minorHAnsi"/>
          <w:sz w:val="24"/>
          <w:szCs w:val="24"/>
        </w:rPr>
      </w:pPr>
      <w:r w:rsidRPr="00C82EFF">
        <w:rPr>
          <w:rFonts w:cstheme="minorHAnsi"/>
          <w:sz w:val="24"/>
          <w:szCs w:val="24"/>
        </w:rPr>
        <w:lastRenderedPageBreak/>
        <w:t>In order to make a pr</w:t>
      </w:r>
      <w:r w:rsidR="00507347">
        <w:rPr>
          <w:rFonts w:cstheme="minorHAnsi"/>
          <w:sz w:val="24"/>
          <w:szCs w:val="24"/>
        </w:rPr>
        <w:t>ediction of this impact on life</w:t>
      </w:r>
      <w:r w:rsidRPr="00C82EFF">
        <w:rPr>
          <w:rFonts w:cstheme="minorHAnsi"/>
          <w:sz w:val="24"/>
          <w:szCs w:val="24"/>
        </w:rPr>
        <w:t xml:space="preserve">time earnings we assess the extent to which self-reported </w:t>
      </w:r>
      <w:r w:rsidRPr="00C82EFF">
        <w:rPr>
          <w:rFonts w:eastAsia="Times New Roman" w:cstheme="minorHAnsi"/>
          <w:sz w:val="24"/>
          <w:szCs w:val="24"/>
          <w:lang w:eastAsia="en-GB"/>
        </w:rPr>
        <w:t>likelihood of entering further education</w:t>
      </w:r>
      <w:r w:rsidRPr="00C82EFF">
        <w:rPr>
          <w:rFonts w:cstheme="minorHAnsi"/>
          <w:sz w:val="24"/>
          <w:szCs w:val="24"/>
        </w:rPr>
        <w:t xml:space="preserve"> predicts actual education attendance. </w:t>
      </w:r>
      <w:r w:rsidR="00B6425F">
        <w:rPr>
          <w:rFonts w:cstheme="minorHAnsi"/>
          <w:sz w:val="24"/>
          <w:szCs w:val="24"/>
        </w:rPr>
        <w:t xml:space="preserve">We do not base our value estimates on just the increase in intention since intention has been shown to be a poor predictor of behaviour in numerous contexts </w:t>
      </w:r>
      <w:r w:rsidR="00A201E2">
        <w:rPr>
          <w:rFonts w:cstheme="minorHAnsi"/>
          <w:sz w:val="24"/>
          <w:szCs w:val="24"/>
        </w:rPr>
        <w:t>(</w:t>
      </w:r>
      <w:r w:rsidR="00A201E2">
        <w:rPr>
          <w:rFonts w:ascii="Calibri" w:hAnsi="Calibri"/>
          <w:sz w:val="24"/>
        </w:rPr>
        <w:t xml:space="preserve">Webb and </w:t>
      </w:r>
      <w:r w:rsidR="00A201E2">
        <w:rPr>
          <w:rFonts w:cstheme="minorHAnsi"/>
          <w:sz w:val="24"/>
          <w:szCs w:val="24"/>
        </w:rPr>
        <w:t>Sheeran, 2006)</w:t>
      </w:r>
      <w:r w:rsidR="00B87D3C" w:rsidRPr="00B87D3C">
        <w:rPr>
          <w:sz w:val="24"/>
          <w:szCs w:val="24"/>
        </w:rPr>
        <w:t>.</w:t>
      </w:r>
      <w:r w:rsidR="00B87D3C">
        <w:rPr>
          <w:sz w:val="23"/>
          <w:szCs w:val="23"/>
        </w:rPr>
        <w:t xml:space="preserve"> </w:t>
      </w:r>
      <w:r w:rsidRPr="00872055">
        <w:rPr>
          <w:rFonts w:cstheme="minorHAnsi"/>
          <w:sz w:val="24"/>
          <w:szCs w:val="24"/>
        </w:rPr>
        <w:t>This is possible using the BHPS since we have longitudinal data</w:t>
      </w:r>
      <w:r w:rsidRPr="00C82EFF">
        <w:rPr>
          <w:rFonts w:cstheme="minorHAnsi"/>
          <w:sz w:val="24"/>
          <w:szCs w:val="24"/>
        </w:rPr>
        <w:t xml:space="preserve"> on individuals and we have the same variable </w:t>
      </w:r>
      <w:r w:rsidR="001C7E5E">
        <w:rPr>
          <w:rFonts w:cstheme="minorHAnsi"/>
          <w:sz w:val="24"/>
          <w:szCs w:val="24"/>
        </w:rPr>
        <w:t xml:space="preserve">for education intention </w:t>
      </w:r>
      <w:r w:rsidRPr="00C82EFF">
        <w:rPr>
          <w:rFonts w:cstheme="minorHAnsi"/>
          <w:sz w:val="24"/>
          <w:szCs w:val="24"/>
        </w:rPr>
        <w:t>(</w:t>
      </w:r>
      <w:r w:rsidR="00872055">
        <w:rPr>
          <w:rFonts w:cstheme="minorHAnsi"/>
          <w:sz w:val="24"/>
          <w:szCs w:val="24"/>
        </w:rPr>
        <w:t xml:space="preserve">the variable </w:t>
      </w:r>
      <w:r w:rsidRPr="0090414F">
        <w:rPr>
          <w:rFonts w:cstheme="minorHAnsi"/>
          <w:i/>
          <w:sz w:val="24"/>
          <w:szCs w:val="24"/>
        </w:rPr>
        <w:t>FEDLIK</w:t>
      </w:r>
      <w:r w:rsidRPr="00C82EFF">
        <w:rPr>
          <w:rFonts w:cstheme="minorHAnsi"/>
          <w:sz w:val="24"/>
          <w:szCs w:val="24"/>
        </w:rPr>
        <w:t>) and we can observe whether students who report being likely to go into further education actually do so in later years after controlling for other factors that determine participation in higher education. We</w:t>
      </w:r>
      <w:r w:rsidR="001C7E5E">
        <w:rPr>
          <w:rFonts w:cstheme="minorHAnsi"/>
          <w:sz w:val="24"/>
          <w:szCs w:val="24"/>
        </w:rPr>
        <w:t xml:space="preserve"> run this analysis on the last seven</w:t>
      </w:r>
      <w:r w:rsidRPr="00C82EFF">
        <w:rPr>
          <w:rFonts w:cstheme="minorHAnsi"/>
          <w:sz w:val="24"/>
          <w:szCs w:val="24"/>
        </w:rPr>
        <w:t xml:space="preserve"> years of </w:t>
      </w:r>
      <w:r>
        <w:rPr>
          <w:rFonts w:cstheme="minorHAnsi"/>
          <w:sz w:val="24"/>
          <w:szCs w:val="24"/>
        </w:rPr>
        <w:t xml:space="preserve">the </w:t>
      </w:r>
      <w:r w:rsidRPr="00C82EFF">
        <w:rPr>
          <w:rFonts w:cstheme="minorHAnsi"/>
          <w:sz w:val="24"/>
          <w:szCs w:val="24"/>
        </w:rPr>
        <w:t xml:space="preserve">BHPS data since the variable </w:t>
      </w:r>
      <w:r w:rsidRPr="0090414F">
        <w:rPr>
          <w:rFonts w:cstheme="minorHAnsi"/>
          <w:i/>
          <w:sz w:val="24"/>
          <w:szCs w:val="24"/>
        </w:rPr>
        <w:t>FEDLIK</w:t>
      </w:r>
      <w:r w:rsidRPr="00C82EFF">
        <w:rPr>
          <w:rFonts w:cstheme="minorHAnsi"/>
          <w:sz w:val="24"/>
          <w:szCs w:val="24"/>
        </w:rPr>
        <w:t xml:space="preserve"> is available in those waves. </w:t>
      </w:r>
      <w:r w:rsidR="001C7E5E">
        <w:rPr>
          <w:rFonts w:cstheme="minorHAnsi"/>
          <w:sz w:val="24"/>
          <w:szCs w:val="24"/>
        </w:rPr>
        <w:t xml:space="preserve">We assess whether reporting being ‘very likely’ to go onto further education in the previous </w:t>
      </w:r>
      <w:r w:rsidR="0095327A">
        <w:rPr>
          <w:rFonts w:cstheme="minorHAnsi"/>
          <w:sz w:val="24"/>
          <w:szCs w:val="24"/>
        </w:rPr>
        <w:t xml:space="preserve">year </w:t>
      </w:r>
      <w:r w:rsidR="001C7E5E">
        <w:rPr>
          <w:rFonts w:cstheme="minorHAnsi"/>
          <w:sz w:val="24"/>
          <w:szCs w:val="24"/>
        </w:rPr>
        <w:t>predicts being a current full time student</w:t>
      </w:r>
      <w:r w:rsidR="0095327A">
        <w:rPr>
          <w:rFonts w:cstheme="minorHAnsi"/>
          <w:sz w:val="24"/>
          <w:szCs w:val="24"/>
        </w:rPr>
        <w:t xml:space="preserve"> now</w:t>
      </w:r>
      <w:r w:rsidR="00872055">
        <w:rPr>
          <w:rFonts w:cstheme="minorHAnsi"/>
          <w:sz w:val="24"/>
          <w:szCs w:val="24"/>
        </w:rPr>
        <w:t>.</w:t>
      </w:r>
      <w:r w:rsidR="001C7E5E">
        <w:rPr>
          <w:rFonts w:cstheme="minorHAnsi"/>
          <w:sz w:val="24"/>
          <w:szCs w:val="24"/>
        </w:rPr>
        <w:t xml:space="preserve"> </w:t>
      </w:r>
    </w:p>
    <w:p w14:paraId="19043F0D" w14:textId="77777777" w:rsidR="00012D19" w:rsidRDefault="00012D19" w:rsidP="00012D19">
      <w:pPr>
        <w:spacing w:after="0" w:line="240" w:lineRule="auto"/>
        <w:rPr>
          <w:rFonts w:cstheme="minorHAnsi"/>
          <w:sz w:val="24"/>
          <w:szCs w:val="24"/>
        </w:rPr>
      </w:pPr>
    </w:p>
    <w:p w14:paraId="52F38BBF" w14:textId="77777777" w:rsidR="00012D19" w:rsidRPr="00BB0581" w:rsidRDefault="00012D19" w:rsidP="00012D19">
      <w:pPr>
        <w:spacing w:after="0" w:line="240" w:lineRule="auto"/>
        <w:rPr>
          <w:b/>
          <w:sz w:val="24"/>
          <w:szCs w:val="24"/>
        </w:rPr>
      </w:pPr>
      <w:r w:rsidRPr="00BB0581">
        <w:rPr>
          <w:b/>
          <w:sz w:val="24"/>
          <w:szCs w:val="24"/>
        </w:rPr>
        <w:t xml:space="preserve">Table </w:t>
      </w:r>
      <w:r w:rsidR="00B62370">
        <w:rPr>
          <w:b/>
          <w:sz w:val="24"/>
          <w:szCs w:val="24"/>
        </w:rPr>
        <w:t>1</w:t>
      </w:r>
      <w:r w:rsidR="004C28D1">
        <w:rPr>
          <w:b/>
          <w:sz w:val="24"/>
          <w:szCs w:val="24"/>
        </w:rPr>
        <w:t>3</w:t>
      </w:r>
      <w:r w:rsidRPr="00BB0581">
        <w:rPr>
          <w:b/>
          <w:sz w:val="24"/>
          <w:szCs w:val="24"/>
        </w:rPr>
        <w:t xml:space="preserve">: </w:t>
      </w:r>
      <w:r>
        <w:rPr>
          <w:b/>
          <w:sz w:val="24"/>
          <w:szCs w:val="24"/>
        </w:rPr>
        <w:t xml:space="preserve">Effect of reported intention on </w:t>
      </w:r>
      <w:r w:rsidRPr="00BB0581">
        <w:rPr>
          <w:b/>
          <w:sz w:val="24"/>
          <w:szCs w:val="24"/>
        </w:rPr>
        <w:t>probab</w:t>
      </w:r>
      <w:r>
        <w:rPr>
          <w:b/>
          <w:sz w:val="24"/>
          <w:szCs w:val="24"/>
        </w:rPr>
        <w:t>i</w:t>
      </w:r>
      <w:r w:rsidRPr="00BB0581">
        <w:rPr>
          <w:b/>
          <w:sz w:val="24"/>
          <w:szCs w:val="24"/>
        </w:rPr>
        <w:t>l</w:t>
      </w:r>
      <w:r>
        <w:rPr>
          <w:b/>
          <w:sz w:val="24"/>
          <w:szCs w:val="24"/>
        </w:rPr>
        <w:t>ity of being full time student</w:t>
      </w:r>
    </w:p>
    <w:tbl>
      <w:tblPr>
        <w:tblW w:w="7740" w:type="dxa"/>
        <w:tblInd w:w="-10" w:type="dxa"/>
        <w:tblLook w:val="04A0" w:firstRow="1" w:lastRow="0" w:firstColumn="1" w:lastColumn="0" w:noHBand="0" w:noVBand="1"/>
      </w:tblPr>
      <w:tblGrid>
        <w:gridCol w:w="5100"/>
        <w:gridCol w:w="1440"/>
        <w:gridCol w:w="1200"/>
      </w:tblGrid>
      <w:tr w:rsidR="00012D19" w:rsidRPr="000B26F9" w14:paraId="3E9770E1" w14:textId="77777777" w:rsidTr="00F31470">
        <w:trPr>
          <w:trHeight w:val="300"/>
        </w:trPr>
        <w:tc>
          <w:tcPr>
            <w:tcW w:w="5100" w:type="dxa"/>
            <w:tcBorders>
              <w:top w:val="single" w:sz="8" w:space="0" w:color="auto"/>
              <w:left w:val="single" w:sz="8" w:space="0" w:color="auto"/>
              <w:bottom w:val="nil"/>
              <w:right w:val="nil"/>
            </w:tcBorders>
            <w:shd w:val="clear" w:color="000000" w:fill="0070C0"/>
            <w:noWrap/>
            <w:vAlign w:val="bottom"/>
            <w:hideMark/>
          </w:tcPr>
          <w:p w14:paraId="6444F6CD" w14:textId="77777777" w:rsidR="00012D19" w:rsidRPr="000B26F9" w:rsidRDefault="00012D19" w:rsidP="00466429">
            <w:pPr>
              <w:spacing w:after="0" w:line="240" w:lineRule="auto"/>
              <w:rPr>
                <w:rFonts w:eastAsia="Times New Roman" w:cstheme="minorHAnsi"/>
                <w:b/>
                <w:bCs/>
                <w:color w:val="FFFFFF"/>
                <w:szCs w:val="20"/>
                <w:lang w:eastAsia="ja-JP"/>
              </w:rPr>
            </w:pPr>
            <w:r w:rsidRPr="000B26F9">
              <w:rPr>
                <w:rFonts w:eastAsia="Times New Roman" w:cstheme="minorHAnsi"/>
                <w:b/>
                <w:bCs/>
                <w:color w:val="FFFFFF"/>
                <w:szCs w:val="20"/>
                <w:lang w:eastAsia="ja-JP"/>
              </w:rPr>
              <w:t>Dependent Var</w:t>
            </w:r>
            <w:r>
              <w:rPr>
                <w:rFonts w:eastAsia="Times New Roman" w:cstheme="minorHAnsi"/>
                <w:b/>
                <w:bCs/>
                <w:color w:val="FFFFFF"/>
                <w:szCs w:val="20"/>
                <w:lang w:eastAsia="ja-JP"/>
              </w:rPr>
              <w:t>iable: Full time s</w:t>
            </w:r>
            <w:r w:rsidRPr="000B26F9">
              <w:rPr>
                <w:rFonts w:eastAsia="Times New Roman" w:cstheme="minorHAnsi"/>
                <w:b/>
                <w:bCs/>
                <w:color w:val="FFFFFF"/>
                <w:szCs w:val="20"/>
                <w:lang w:eastAsia="ja-JP"/>
              </w:rPr>
              <w:t>tudent</w:t>
            </w:r>
          </w:p>
        </w:tc>
        <w:tc>
          <w:tcPr>
            <w:tcW w:w="1440" w:type="dxa"/>
            <w:tcBorders>
              <w:top w:val="single" w:sz="8" w:space="0" w:color="auto"/>
              <w:left w:val="nil"/>
              <w:bottom w:val="nil"/>
              <w:right w:val="nil"/>
            </w:tcBorders>
            <w:shd w:val="clear" w:color="000000" w:fill="0070C0"/>
            <w:noWrap/>
            <w:vAlign w:val="bottom"/>
            <w:hideMark/>
          </w:tcPr>
          <w:p w14:paraId="44BCFD33" w14:textId="77777777" w:rsidR="00012D19" w:rsidRPr="000B26F9" w:rsidRDefault="00012D19" w:rsidP="00466429">
            <w:pPr>
              <w:spacing w:after="0" w:line="240" w:lineRule="auto"/>
              <w:rPr>
                <w:rFonts w:eastAsia="Times New Roman" w:cstheme="minorHAnsi"/>
                <w:b/>
                <w:bCs/>
                <w:color w:val="FFFFFF"/>
                <w:szCs w:val="20"/>
                <w:lang w:eastAsia="ja-JP"/>
              </w:rPr>
            </w:pPr>
            <w:r w:rsidRPr="000B26F9">
              <w:rPr>
                <w:rFonts w:eastAsia="Times New Roman" w:cstheme="minorHAnsi"/>
                <w:b/>
                <w:bCs/>
                <w:color w:val="FFFFFF"/>
                <w:szCs w:val="20"/>
                <w:lang w:eastAsia="ja-JP"/>
              </w:rPr>
              <w:t>Coefficients</w:t>
            </w:r>
          </w:p>
        </w:tc>
        <w:tc>
          <w:tcPr>
            <w:tcW w:w="1200" w:type="dxa"/>
            <w:tcBorders>
              <w:top w:val="single" w:sz="8" w:space="0" w:color="auto"/>
              <w:left w:val="nil"/>
              <w:bottom w:val="nil"/>
              <w:right w:val="single" w:sz="8" w:space="0" w:color="auto"/>
            </w:tcBorders>
            <w:shd w:val="clear" w:color="000000" w:fill="0070C0"/>
            <w:noWrap/>
            <w:vAlign w:val="bottom"/>
            <w:hideMark/>
          </w:tcPr>
          <w:p w14:paraId="214A687E" w14:textId="77777777" w:rsidR="00012D19" w:rsidRPr="000B26F9" w:rsidRDefault="00012D19" w:rsidP="00466429">
            <w:pPr>
              <w:spacing w:after="0" w:line="240" w:lineRule="auto"/>
              <w:rPr>
                <w:rFonts w:eastAsia="Times New Roman" w:cstheme="minorHAnsi"/>
                <w:b/>
                <w:bCs/>
                <w:color w:val="FFFFFF"/>
                <w:szCs w:val="20"/>
                <w:lang w:eastAsia="ja-JP"/>
              </w:rPr>
            </w:pPr>
            <w:r w:rsidRPr="000B26F9">
              <w:rPr>
                <w:rFonts w:eastAsia="Times New Roman" w:cstheme="minorHAnsi"/>
                <w:b/>
                <w:bCs/>
                <w:color w:val="FFFFFF"/>
                <w:szCs w:val="20"/>
                <w:lang w:eastAsia="ja-JP"/>
              </w:rPr>
              <w:t>St. Error</w:t>
            </w:r>
          </w:p>
        </w:tc>
      </w:tr>
      <w:tr w:rsidR="00012D19" w:rsidRPr="000B26F9" w14:paraId="31089AA0"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52D2500A" w14:textId="77777777" w:rsidR="00012D19" w:rsidRPr="000B26F9" w:rsidRDefault="00872055"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l</w:t>
            </w:r>
            <w:r w:rsidR="00012D19" w:rsidRPr="000B26F9">
              <w:rPr>
                <w:rFonts w:eastAsia="Times New Roman" w:cstheme="minorHAnsi"/>
                <w:color w:val="000000"/>
                <w:szCs w:val="20"/>
                <w:lang w:eastAsia="ja-JP"/>
              </w:rPr>
              <w:t>agged 'very likely' to go on to further education</w:t>
            </w:r>
          </w:p>
        </w:tc>
        <w:tc>
          <w:tcPr>
            <w:tcW w:w="1440" w:type="dxa"/>
            <w:tcBorders>
              <w:top w:val="nil"/>
              <w:left w:val="nil"/>
              <w:bottom w:val="nil"/>
              <w:right w:val="nil"/>
            </w:tcBorders>
            <w:shd w:val="clear" w:color="auto" w:fill="auto"/>
            <w:noWrap/>
            <w:vAlign w:val="bottom"/>
            <w:hideMark/>
          </w:tcPr>
          <w:p w14:paraId="6955637A"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0.464*</w:t>
            </w:r>
          </w:p>
        </w:tc>
        <w:tc>
          <w:tcPr>
            <w:tcW w:w="1200" w:type="dxa"/>
            <w:tcBorders>
              <w:top w:val="nil"/>
              <w:left w:val="nil"/>
              <w:bottom w:val="nil"/>
              <w:right w:val="single" w:sz="8" w:space="0" w:color="auto"/>
            </w:tcBorders>
            <w:shd w:val="clear" w:color="auto" w:fill="auto"/>
            <w:noWrap/>
            <w:vAlign w:val="bottom"/>
            <w:hideMark/>
          </w:tcPr>
          <w:p w14:paraId="0BD622FA"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0.281</w:t>
            </w:r>
          </w:p>
        </w:tc>
      </w:tr>
      <w:tr w:rsidR="00012D19" w:rsidRPr="000B26F9" w14:paraId="1C3D98B5"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3220C2BE" w14:textId="77777777" w:rsidR="00012D19" w:rsidRPr="000B26F9" w:rsidRDefault="00C274A6"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m</w:t>
            </w:r>
            <w:r w:rsidR="00012D19" w:rsidRPr="000B26F9">
              <w:rPr>
                <w:rFonts w:eastAsia="Times New Roman" w:cstheme="minorHAnsi"/>
                <w:color w:val="000000"/>
                <w:szCs w:val="20"/>
                <w:lang w:eastAsia="ja-JP"/>
              </w:rPr>
              <w:t>ale</w:t>
            </w:r>
          </w:p>
        </w:tc>
        <w:tc>
          <w:tcPr>
            <w:tcW w:w="1440" w:type="dxa"/>
            <w:tcBorders>
              <w:top w:val="nil"/>
              <w:left w:val="nil"/>
              <w:bottom w:val="nil"/>
              <w:right w:val="nil"/>
            </w:tcBorders>
            <w:shd w:val="clear" w:color="auto" w:fill="auto"/>
            <w:noWrap/>
            <w:vAlign w:val="bottom"/>
            <w:hideMark/>
          </w:tcPr>
          <w:p w14:paraId="2DDBCBF7"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0.281</w:t>
            </w:r>
          </w:p>
        </w:tc>
        <w:tc>
          <w:tcPr>
            <w:tcW w:w="1200" w:type="dxa"/>
            <w:tcBorders>
              <w:top w:val="nil"/>
              <w:left w:val="nil"/>
              <w:bottom w:val="nil"/>
              <w:right w:val="single" w:sz="8" w:space="0" w:color="auto"/>
            </w:tcBorders>
            <w:shd w:val="clear" w:color="auto" w:fill="auto"/>
            <w:noWrap/>
            <w:vAlign w:val="bottom"/>
            <w:hideMark/>
          </w:tcPr>
          <w:p w14:paraId="642C8D82"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0.273</w:t>
            </w:r>
          </w:p>
        </w:tc>
      </w:tr>
      <w:tr w:rsidR="00012D19" w:rsidRPr="000B26F9" w14:paraId="0295AF0E"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0218217D" w14:textId="77777777" w:rsidR="00012D19" w:rsidRPr="000B26F9" w:rsidRDefault="00C274A6"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a</w:t>
            </w:r>
            <w:r w:rsidR="00012D19" w:rsidRPr="000B26F9">
              <w:rPr>
                <w:rFonts w:eastAsia="Times New Roman" w:cstheme="minorHAnsi"/>
                <w:color w:val="000000"/>
                <w:szCs w:val="20"/>
                <w:lang w:eastAsia="ja-JP"/>
              </w:rPr>
              <w:t>ge</w:t>
            </w:r>
          </w:p>
        </w:tc>
        <w:tc>
          <w:tcPr>
            <w:tcW w:w="1440" w:type="dxa"/>
            <w:tcBorders>
              <w:top w:val="nil"/>
              <w:left w:val="nil"/>
              <w:bottom w:val="nil"/>
              <w:right w:val="nil"/>
            </w:tcBorders>
            <w:shd w:val="clear" w:color="auto" w:fill="auto"/>
            <w:noWrap/>
            <w:vAlign w:val="bottom"/>
            <w:hideMark/>
          </w:tcPr>
          <w:p w14:paraId="72C961B1"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-0.288</w:t>
            </w:r>
          </w:p>
        </w:tc>
        <w:tc>
          <w:tcPr>
            <w:tcW w:w="1200" w:type="dxa"/>
            <w:tcBorders>
              <w:top w:val="nil"/>
              <w:left w:val="nil"/>
              <w:bottom w:val="nil"/>
              <w:right w:val="single" w:sz="8" w:space="0" w:color="auto"/>
            </w:tcBorders>
            <w:shd w:val="clear" w:color="auto" w:fill="auto"/>
            <w:noWrap/>
            <w:vAlign w:val="bottom"/>
            <w:hideMark/>
          </w:tcPr>
          <w:p w14:paraId="32B5C6BA"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0.283</w:t>
            </w:r>
          </w:p>
        </w:tc>
      </w:tr>
      <w:tr w:rsidR="00012D19" w:rsidRPr="000B26F9" w14:paraId="1405825C"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43696BA0" w14:textId="77777777" w:rsidR="00012D19" w:rsidRPr="000B26F9" w:rsidRDefault="00C274A6"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g</w:t>
            </w:r>
            <w:r w:rsidR="00012D19" w:rsidRPr="000B26F9">
              <w:rPr>
                <w:rFonts w:eastAsia="Times New Roman" w:cstheme="minorHAnsi"/>
                <w:color w:val="000000"/>
                <w:szCs w:val="20"/>
                <w:lang w:eastAsia="ja-JP"/>
              </w:rPr>
              <w:t>ood GCSE grades</w:t>
            </w:r>
          </w:p>
        </w:tc>
        <w:tc>
          <w:tcPr>
            <w:tcW w:w="1440" w:type="dxa"/>
            <w:tcBorders>
              <w:top w:val="nil"/>
              <w:left w:val="nil"/>
              <w:bottom w:val="nil"/>
              <w:right w:val="nil"/>
            </w:tcBorders>
            <w:shd w:val="clear" w:color="auto" w:fill="auto"/>
            <w:noWrap/>
            <w:vAlign w:val="bottom"/>
            <w:hideMark/>
          </w:tcPr>
          <w:p w14:paraId="3E52B42A"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-0.05</w:t>
            </w:r>
          </w:p>
        </w:tc>
        <w:tc>
          <w:tcPr>
            <w:tcW w:w="1200" w:type="dxa"/>
            <w:tcBorders>
              <w:top w:val="nil"/>
              <w:left w:val="nil"/>
              <w:bottom w:val="nil"/>
              <w:right w:val="single" w:sz="8" w:space="0" w:color="auto"/>
            </w:tcBorders>
            <w:shd w:val="clear" w:color="auto" w:fill="auto"/>
            <w:noWrap/>
            <w:vAlign w:val="bottom"/>
            <w:hideMark/>
          </w:tcPr>
          <w:p w14:paraId="05D69457"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0.456</w:t>
            </w:r>
          </w:p>
        </w:tc>
      </w:tr>
      <w:tr w:rsidR="00012D19" w:rsidRPr="000B26F9" w14:paraId="4590711E"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3266B21A" w14:textId="77777777" w:rsidR="00012D19" w:rsidRPr="000B26F9" w:rsidRDefault="00C274A6"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lagged s</w:t>
            </w:r>
            <w:r w:rsidR="00012D19" w:rsidRPr="000B26F9">
              <w:rPr>
                <w:rFonts w:eastAsia="Times New Roman" w:cstheme="minorHAnsi"/>
                <w:color w:val="000000"/>
                <w:szCs w:val="20"/>
                <w:lang w:eastAsia="ja-JP"/>
              </w:rPr>
              <w:t>ocial Housing</w:t>
            </w:r>
          </w:p>
        </w:tc>
        <w:tc>
          <w:tcPr>
            <w:tcW w:w="1440" w:type="dxa"/>
            <w:tcBorders>
              <w:top w:val="nil"/>
              <w:left w:val="nil"/>
              <w:bottom w:val="nil"/>
              <w:right w:val="nil"/>
            </w:tcBorders>
            <w:shd w:val="clear" w:color="auto" w:fill="auto"/>
            <w:noWrap/>
            <w:vAlign w:val="bottom"/>
            <w:hideMark/>
          </w:tcPr>
          <w:p w14:paraId="28CB6F81"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-0.265</w:t>
            </w:r>
          </w:p>
        </w:tc>
        <w:tc>
          <w:tcPr>
            <w:tcW w:w="1200" w:type="dxa"/>
            <w:tcBorders>
              <w:top w:val="nil"/>
              <w:left w:val="nil"/>
              <w:bottom w:val="nil"/>
              <w:right w:val="single" w:sz="8" w:space="0" w:color="auto"/>
            </w:tcBorders>
            <w:shd w:val="clear" w:color="auto" w:fill="auto"/>
            <w:noWrap/>
            <w:vAlign w:val="bottom"/>
            <w:hideMark/>
          </w:tcPr>
          <w:p w14:paraId="1F817C76"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0.464</w:t>
            </w:r>
          </w:p>
        </w:tc>
      </w:tr>
      <w:tr w:rsidR="00012D19" w:rsidRPr="000B26F9" w14:paraId="33E2ED32"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515052DB" w14:textId="77777777" w:rsidR="00012D19" w:rsidRPr="000B26F9" w:rsidRDefault="00C274A6"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lagged l</w:t>
            </w:r>
            <w:r w:rsidR="00012D19" w:rsidRPr="000B26F9">
              <w:rPr>
                <w:rFonts w:eastAsia="Times New Roman" w:cstheme="minorHAnsi"/>
                <w:color w:val="000000"/>
                <w:szCs w:val="20"/>
                <w:lang w:eastAsia="ja-JP"/>
              </w:rPr>
              <w:t>ow confidence</w:t>
            </w:r>
          </w:p>
        </w:tc>
        <w:tc>
          <w:tcPr>
            <w:tcW w:w="1440" w:type="dxa"/>
            <w:tcBorders>
              <w:top w:val="nil"/>
              <w:left w:val="nil"/>
              <w:bottom w:val="nil"/>
              <w:right w:val="nil"/>
            </w:tcBorders>
            <w:shd w:val="clear" w:color="auto" w:fill="auto"/>
            <w:noWrap/>
            <w:vAlign w:val="bottom"/>
            <w:hideMark/>
          </w:tcPr>
          <w:p w14:paraId="118775ED"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0.103</w:t>
            </w:r>
          </w:p>
        </w:tc>
        <w:tc>
          <w:tcPr>
            <w:tcW w:w="1200" w:type="dxa"/>
            <w:tcBorders>
              <w:top w:val="nil"/>
              <w:left w:val="nil"/>
              <w:bottom w:val="nil"/>
              <w:right w:val="single" w:sz="8" w:space="0" w:color="auto"/>
            </w:tcBorders>
            <w:shd w:val="clear" w:color="auto" w:fill="auto"/>
            <w:noWrap/>
            <w:vAlign w:val="bottom"/>
            <w:hideMark/>
          </w:tcPr>
          <w:p w14:paraId="14C3BAD3"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0.48</w:t>
            </w:r>
          </w:p>
        </w:tc>
      </w:tr>
      <w:tr w:rsidR="00012D19" w:rsidRPr="000B26F9" w14:paraId="14FFA04A" w14:textId="77777777" w:rsidTr="00F31470">
        <w:trPr>
          <w:trHeight w:val="300"/>
        </w:trPr>
        <w:tc>
          <w:tcPr>
            <w:tcW w:w="5100" w:type="dxa"/>
            <w:tcBorders>
              <w:top w:val="nil"/>
              <w:left w:val="single" w:sz="8" w:space="0" w:color="auto"/>
              <w:bottom w:val="single" w:sz="4" w:space="0" w:color="auto"/>
              <w:right w:val="nil"/>
            </w:tcBorders>
            <w:shd w:val="clear" w:color="auto" w:fill="auto"/>
            <w:noWrap/>
            <w:vAlign w:val="bottom"/>
            <w:hideMark/>
          </w:tcPr>
          <w:p w14:paraId="23B26804" w14:textId="77777777" w:rsidR="00012D19" w:rsidRPr="000B26F9" w:rsidRDefault="00C274A6" w:rsidP="00466429">
            <w:pPr>
              <w:spacing w:after="0" w:line="240" w:lineRule="auto"/>
              <w:rPr>
                <w:rFonts w:eastAsia="Times New Roman" w:cstheme="minorHAnsi"/>
                <w:color w:val="000000"/>
                <w:szCs w:val="20"/>
                <w:lang w:eastAsia="ja-JP"/>
              </w:rPr>
            </w:pPr>
            <w:r>
              <w:rPr>
                <w:rFonts w:eastAsia="Times New Roman" w:cstheme="minorHAnsi"/>
                <w:color w:val="000000"/>
                <w:szCs w:val="20"/>
                <w:lang w:eastAsia="ja-JP"/>
              </w:rPr>
              <w:t>c</w:t>
            </w:r>
            <w:r w:rsidR="00012D19" w:rsidRPr="000B26F9">
              <w:rPr>
                <w:rFonts w:eastAsia="Times New Roman" w:cstheme="minorHAnsi"/>
                <w:color w:val="000000"/>
                <w:szCs w:val="20"/>
                <w:lang w:eastAsia="ja-JP"/>
              </w:rPr>
              <w:t>onstant</w:t>
            </w:r>
          </w:p>
        </w:tc>
        <w:tc>
          <w:tcPr>
            <w:tcW w:w="1440" w:type="dxa"/>
            <w:tcBorders>
              <w:top w:val="nil"/>
              <w:left w:val="nil"/>
              <w:bottom w:val="single" w:sz="4" w:space="0" w:color="auto"/>
              <w:right w:val="nil"/>
            </w:tcBorders>
            <w:shd w:val="clear" w:color="auto" w:fill="auto"/>
            <w:noWrap/>
            <w:vAlign w:val="bottom"/>
            <w:hideMark/>
          </w:tcPr>
          <w:p w14:paraId="0E4D148F"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6.134</w:t>
            </w:r>
          </w:p>
        </w:tc>
        <w:tc>
          <w:tcPr>
            <w:tcW w:w="1200" w:type="dxa"/>
            <w:tcBorders>
              <w:top w:val="nil"/>
              <w:left w:val="nil"/>
              <w:bottom w:val="single" w:sz="4" w:space="0" w:color="auto"/>
              <w:right w:val="single" w:sz="8" w:space="0" w:color="auto"/>
            </w:tcBorders>
            <w:shd w:val="clear" w:color="auto" w:fill="auto"/>
            <w:noWrap/>
            <w:vAlign w:val="bottom"/>
            <w:hideMark/>
          </w:tcPr>
          <w:p w14:paraId="3E1A60C8"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4.82</w:t>
            </w:r>
          </w:p>
        </w:tc>
      </w:tr>
      <w:tr w:rsidR="00012D19" w:rsidRPr="000B26F9" w14:paraId="5299B2B7" w14:textId="77777777" w:rsidTr="00F31470">
        <w:trPr>
          <w:trHeight w:val="300"/>
        </w:trPr>
        <w:tc>
          <w:tcPr>
            <w:tcW w:w="5100" w:type="dxa"/>
            <w:tcBorders>
              <w:top w:val="nil"/>
              <w:left w:val="single" w:sz="8" w:space="0" w:color="auto"/>
              <w:bottom w:val="nil"/>
              <w:right w:val="nil"/>
            </w:tcBorders>
            <w:shd w:val="clear" w:color="auto" w:fill="auto"/>
            <w:noWrap/>
            <w:vAlign w:val="bottom"/>
            <w:hideMark/>
          </w:tcPr>
          <w:p w14:paraId="2DB5033C" w14:textId="77777777" w:rsidR="00012D19" w:rsidRPr="000B26F9" w:rsidRDefault="00012D19" w:rsidP="00466429">
            <w:pPr>
              <w:spacing w:after="0" w:line="240" w:lineRule="auto"/>
              <w:rPr>
                <w:rFonts w:eastAsia="Times New Roman" w:cstheme="minorHAnsi"/>
                <w:color w:val="000000"/>
                <w:szCs w:val="20"/>
                <w:lang w:eastAsia="ja-JP"/>
              </w:rPr>
            </w:pPr>
            <w:r w:rsidRPr="000B26F9">
              <w:rPr>
                <w:rFonts w:eastAsia="Times New Roman" w:cstheme="minorHAnsi"/>
                <w:color w:val="000000"/>
                <w:szCs w:val="20"/>
                <w:lang w:eastAsia="ja-JP"/>
              </w:rPr>
              <w:t xml:space="preserve">N </w:t>
            </w:r>
          </w:p>
        </w:tc>
        <w:tc>
          <w:tcPr>
            <w:tcW w:w="1440" w:type="dxa"/>
            <w:tcBorders>
              <w:top w:val="nil"/>
              <w:left w:val="nil"/>
              <w:bottom w:val="nil"/>
              <w:right w:val="nil"/>
            </w:tcBorders>
            <w:shd w:val="clear" w:color="auto" w:fill="auto"/>
            <w:noWrap/>
            <w:vAlign w:val="bottom"/>
            <w:hideMark/>
          </w:tcPr>
          <w:p w14:paraId="1449F229"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438</w:t>
            </w:r>
          </w:p>
        </w:tc>
        <w:tc>
          <w:tcPr>
            <w:tcW w:w="1200" w:type="dxa"/>
            <w:tcBorders>
              <w:top w:val="nil"/>
              <w:left w:val="nil"/>
              <w:bottom w:val="nil"/>
              <w:right w:val="single" w:sz="8" w:space="0" w:color="auto"/>
            </w:tcBorders>
            <w:shd w:val="clear" w:color="auto" w:fill="auto"/>
            <w:noWrap/>
            <w:vAlign w:val="bottom"/>
            <w:hideMark/>
          </w:tcPr>
          <w:p w14:paraId="73DBCECE"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 </w:t>
            </w:r>
          </w:p>
        </w:tc>
      </w:tr>
      <w:tr w:rsidR="00012D19" w:rsidRPr="000B26F9" w14:paraId="3073CD2A" w14:textId="77777777" w:rsidTr="00F31470">
        <w:trPr>
          <w:trHeight w:val="315"/>
        </w:trPr>
        <w:tc>
          <w:tcPr>
            <w:tcW w:w="5100" w:type="dxa"/>
            <w:tcBorders>
              <w:top w:val="nil"/>
              <w:left w:val="single" w:sz="8" w:space="0" w:color="auto"/>
              <w:bottom w:val="single" w:sz="8" w:space="0" w:color="auto"/>
              <w:right w:val="nil"/>
            </w:tcBorders>
            <w:shd w:val="clear" w:color="auto" w:fill="auto"/>
            <w:noWrap/>
            <w:vAlign w:val="bottom"/>
            <w:hideMark/>
          </w:tcPr>
          <w:p w14:paraId="6D69F650" w14:textId="77777777" w:rsidR="00012D19" w:rsidRPr="000B26F9" w:rsidRDefault="00012D19" w:rsidP="00466429">
            <w:pPr>
              <w:spacing w:after="0" w:line="240" w:lineRule="auto"/>
              <w:rPr>
                <w:rFonts w:eastAsia="Times New Roman" w:cstheme="minorHAnsi"/>
                <w:color w:val="000000"/>
                <w:szCs w:val="20"/>
                <w:lang w:eastAsia="ja-JP"/>
              </w:rPr>
            </w:pPr>
            <w:r w:rsidRPr="000B26F9">
              <w:rPr>
                <w:rFonts w:eastAsia="Times New Roman" w:cstheme="minorHAnsi"/>
                <w:color w:val="000000"/>
                <w:szCs w:val="20"/>
                <w:lang w:eastAsia="ja-JP"/>
              </w:rPr>
              <w:t>R-Sq</w:t>
            </w:r>
          </w:p>
        </w:tc>
        <w:tc>
          <w:tcPr>
            <w:tcW w:w="1440" w:type="dxa"/>
            <w:tcBorders>
              <w:top w:val="nil"/>
              <w:left w:val="nil"/>
              <w:bottom w:val="single" w:sz="8" w:space="0" w:color="auto"/>
              <w:right w:val="nil"/>
            </w:tcBorders>
            <w:shd w:val="clear" w:color="auto" w:fill="auto"/>
            <w:noWrap/>
            <w:vAlign w:val="bottom"/>
            <w:hideMark/>
          </w:tcPr>
          <w:p w14:paraId="151B411E" w14:textId="77777777" w:rsidR="00012D19" w:rsidRPr="000B26F9" w:rsidRDefault="00012D19" w:rsidP="00466429">
            <w:pPr>
              <w:spacing w:after="0" w:line="240" w:lineRule="auto"/>
              <w:jc w:val="both"/>
              <w:rPr>
                <w:rFonts w:eastAsia="Times New Roman" w:cstheme="minorHAnsi"/>
                <w:color w:val="000000"/>
                <w:szCs w:val="20"/>
                <w:lang w:eastAsia="ja-JP"/>
              </w:rPr>
            </w:pPr>
            <w:r w:rsidRPr="000B26F9">
              <w:rPr>
                <w:rFonts w:eastAsia="Times New Roman" w:cstheme="minorHAnsi"/>
                <w:color w:val="000000"/>
                <w:szCs w:val="20"/>
                <w:lang w:eastAsia="ja-JP"/>
              </w:rPr>
              <w:t>0.013</w:t>
            </w:r>
          </w:p>
        </w:tc>
        <w:tc>
          <w:tcPr>
            <w:tcW w:w="1200" w:type="dxa"/>
            <w:tcBorders>
              <w:top w:val="nil"/>
              <w:left w:val="nil"/>
              <w:bottom w:val="single" w:sz="8" w:space="0" w:color="auto"/>
              <w:right w:val="single" w:sz="8" w:space="0" w:color="auto"/>
            </w:tcBorders>
            <w:shd w:val="clear" w:color="auto" w:fill="auto"/>
            <w:noWrap/>
            <w:vAlign w:val="bottom"/>
            <w:hideMark/>
          </w:tcPr>
          <w:p w14:paraId="519DDEA9" w14:textId="77777777" w:rsidR="00012D19" w:rsidRPr="000B26F9" w:rsidRDefault="00012D19" w:rsidP="00466429">
            <w:pPr>
              <w:spacing w:after="0" w:line="240" w:lineRule="auto"/>
              <w:jc w:val="center"/>
              <w:rPr>
                <w:rFonts w:eastAsia="Times New Roman" w:cstheme="minorHAnsi"/>
                <w:color w:val="000000"/>
                <w:szCs w:val="20"/>
                <w:lang w:eastAsia="ja-JP"/>
              </w:rPr>
            </w:pPr>
            <w:r w:rsidRPr="000B26F9">
              <w:rPr>
                <w:rFonts w:eastAsia="Times New Roman" w:cstheme="minorHAnsi"/>
                <w:color w:val="000000"/>
                <w:szCs w:val="20"/>
                <w:lang w:eastAsia="ja-JP"/>
              </w:rPr>
              <w:t> </w:t>
            </w:r>
          </w:p>
        </w:tc>
      </w:tr>
    </w:tbl>
    <w:p w14:paraId="6592A0F1" w14:textId="77777777" w:rsidR="00012D19" w:rsidRDefault="00012D19" w:rsidP="00F31470">
      <w:pPr>
        <w:spacing w:after="0" w:line="240" w:lineRule="auto"/>
        <w:ind w:right="1229"/>
        <w:rPr>
          <w:i/>
          <w:sz w:val="20"/>
          <w:szCs w:val="20"/>
        </w:rPr>
      </w:pPr>
      <w:r w:rsidRPr="00CA4218">
        <w:rPr>
          <w:i/>
          <w:sz w:val="20"/>
          <w:szCs w:val="20"/>
        </w:rPr>
        <w:t>Notes: *10% significance **5% significance ***1% significance. Logit model</w:t>
      </w:r>
      <w:r>
        <w:rPr>
          <w:i/>
          <w:sz w:val="20"/>
          <w:szCs w:val="20"/>
        </w:rPr>
        <w:t>.</w:t>
      </w:r>
      <w:r w:rsidR="00286987">
        <w:rPr>
          <w:i/>
          <w:sz w:val="20"/>
          <w:szCs w:val="20"/>
        </w:rPr>
        <w:t xml:space="preserve"> Sample = 17-18 year olds.</w:t>
      </w:r>
      <w:r>
        <w:rPr>
          <w:i/>
          <w:sz w:val="20"/>
          <w:szCs w:val="20"/>
        </w:rPr>
        <w:t xml:space="preserve"> </w:t>
      </w:r>
    </w:p>
    <w:p w14:paraId="453531D7" w14:textId="77777777" w:rsidR="00012D19" w:rsidRPr="00A823DB" w:rsidRDefault="00012D19" w:rsidP="00012D19">
      <w:pPr>
        <w:spacing w:after="0" w:line="240" w:lineRule="auto"/>
        <w:rPr>
          <w:b/>
          <w:sz w:val="24"/>
        </w:rPr>
      </w:pPr>
    </w:p>
    <w:p w14:paraId="24C5DB5A" w14:textId="77777777" w:rsidR="00012D19" w:rsidRDefault="00012D19" w:rsidP="00012D19">
      <w:pPr>
        <w:spacing w:after="0" w:line="240" w:lineRule="auto"/>
        <w:rPr>
          <w:sz w:val="24"/>
          <w:szCs w:val="24"/>
        </w:rPr>
      </w:pPr>
      <w:r w:rsidRPr="00B6425F">
        <w:rPr>
          <w:sz w:val="24"/>
          <w:szCs w:val="24"/>
        </w:rPr>
        <w:t>After controlling for a range of determinants of educational behaviour</w:t>
      </w:r>
      <w:r w:rsidR="0020363F" w:rsidRPr="00B6425F">
        <w:rPr>
          <w:sz w:val="24"/>
          <w:szCs w:val="24"/>
        </w:rPr>
        <w:t>,</w:t>
      </w:r>
      <w:r w:rsidRPr="00B6425F">
        <w:rPr>
          <w:sz w:val="24"/>
          <w:szCs w:val="24"/>
        </w:rPr>
        <w:t xml:space="preserve"> self-reported likelihood of going onto further education </w:t>
      </w:r>
      <w:r w:rsidR="00507347">
        <w:rPr>
          <w:sz w:val="24"/>
          <w:szCs w:val="24"/>
        </w:rPr>
        <w:t xml:space="preserve">(in the previous period) </w:t>
      </w:r>
      <w:r w:rsidRPr="00B6425F">
        <w:rPr>
          <w:sz w:val="24"/>
          <w:szCs w:val="24"/>
        </w:rPr>
        <w:t>is significantly</w:t>
      </w:r>
      <w:r w:rsidR="003D5D2B">
        <w:rPr>
          <w:sz w:val="24"/>
          <w:szCs w:val="24"/>
        </w:rPr>
        <w:t xml:space="preserve"> associated with a small</w:t>
      </w:r>
      <w:r w:rsidRPr="00B6425F">
        <w:rPr>
          <w:sz w:val="24"/>
          <w:szCs w:val="24"/>
        </w:rPr>
        <w:t xml:space="preserve"> </w:t>
      </w:r>
      <w:r w:rsidRPr="00B6425F">
        <w:rPr>
          <w:i/>
          <w:sz w:val="24"/>
          <w:szCs w:val="24"/>
        </w:rPr>
        <w:t>increased</w:t>
      </w:r>
      <w:r w:rsidRPr="00B6425F">
        <w:rPr>
          <w:sz w:val="24"/>
          <w:szCs w:val="24"/>
        </w:rPr>
        <w:t xml:space="preserve"> likelihood of </w:t>
      </w:r>
      <w:r w:rsidR="001C7E5E" w:rsidRPr="00B6425F">
        <w:rPr>
          <w:sz w:val="24"/>
          <w:szCs w:val="24"/>
        </w:rPr>
        <w:t>being a full time student but only at the 10% level of significance.</w:t>
      </w:r>
      <w:r w:rsidRPr="00B6425F">
        <w:rPr>
          <w:sz w:val="24"/>
          <w:szCs w:val="24"/>
        </w:rPr>
        <w:t xml:space="preserve"> In probability terms this</w:t>
      </w:r>
      <w:r w:rsidR="007963C5" w:rsidRPr="00B6425F">
        <w:rPr>
          <w:sz w:val="24"/>
          <w:szCs w:val="24"/>
        </w:rPr>
        <w:t xml:space="preserve"> is equivalent to a 7% increase</w:t>
      </w:r>
      <w:r w:rsidR="00B705DA">
        <w:rPr>
          <w:sz w:val="24"/>
          <w:szCs w:val="24"/>
        </w:rPr>
        <w:t xml:space="preserve"> - i</w:t>
      </w:r>
      <w:r w:rsidR="00B6425F" w:rsidRPr="00B6425F">
        <w:rPr>
          <w:sz w:val="24"/>
          <w:szCs w:val="24"/>
        </w:rPr>
        <w:t xml:space="preserve">t states that people who report being ‘very </w:t>
      </w:r>
      <w:r w:rsidR="00B6425F" w:rsidRPr="00B6425F">
        <w:rPr>
          <w:rFonts w:eastAsia="Times New Roman" w:cstheme="minorHAnsi"/>
          <w:color w:val="000000"/>
          <w:sz w:val="24"/>
          <w:szCs w:val="24"/>
          <w:lang w:eastAsia="ja-JP"/>
        </w:rPr>
        <w:t>likely' to go on to further/higher education</w:t>
      </w:r>
      <w:r w:rsidR="00B705DA">
        <w:rPr>
          <w:sz w:val="24"/>
          <w:szCs w:val="24"/>
        </w:rPr>
        <w:t xml:space="preserve"> are 7% more likely to be a</w:t>
      </w:r>
      <w:r w:rsidR="00B6425F" w:rsidRPr="00B6425F">
        <w:rPr>
          <w:sz w:val="24"/>
          <w:szCs w:val="24"/>
        </w:rPr>
        <w:t xml:space="preserve"> full time </w:t>
      </w:r>
      <w:r w:rsidR="00B705DA">
        <w:rPr>
          <w:sz w:val="24"/>
          <w:szCs w:val="24"/>
        </w:rPr>
        <w:t xml:space="preserve">student </w:t>
      </w:r>
      <w:r w:rsidR="00B6425F" w:rsidRPr="00B6425F">
        <w:rPr>
          <w:sz w:val="24"/>
          <w:szCs w:val="24"/>
        </w:rPr>
        <w:t>in the following year compare</w:t>
      </w:r>
      <w:r w:rsidR="00B705DA">
        <w:rPr>
          <w:sz w:val="24"/>
          <w:szCs w:val="24"/>
        </w:rPr>
        <w:t>d</w:t>
      </w:r>
      <w:r w:rsidR="00B6425F" w:rsidRPr="00B6425F">
        <w:rPr>
          <w:sz w:val="24"/>
          <w:szCs w:val="24"/>
        </w:rPr>
        <w:t xml:space="preserve"> to those that do not (report being ‘very </w:t>
      </w:r>
      <w:r w:rsidR="00B6425F" w:rsidRPr="00B6425F">
        <w:rPr>
          <w:rFonts w:eastAsia="Times New Roman" w:cstheme="minorHAnsi"/>
          <w:color w:val="000000"/>
          <w:sz w:val="24"/>
          <w:szCs w:val="24"/>
          <w:lang w:eastAsia="ja-JP"/>
        </w:rPr>
        <w:t>likely' to go on to further/higher education).</w:t>
      </w:r>
      <w:r w:rsidR="00B6425F">
        <w:rPr>
          <w:sz w:val="28"/>
          <w:szCs w:val="24"/>
        </w:rPr>
        <w:t xml:space="preserve"> </w:t>
      </w:r>
      <w:r w:rsidR="00B87D3C">
        <w:rPr>
          <w:sz w:val="24"/>
          <w:szCs w:val="24"/>
        </w:rPr>
        <w:t>This seems like a low association but</w:t>
      </w:r>
      <w:r w:rsidR="0018782E">
        <w:rPr>
          <w:sz w:val="24"/>
          <w:szCs w:val="24"/>
        </w:rPr>
        <w:t xml:space="preserve"> the result</w:t>
      </w:r>
      <w:r w:rsidR="00B87D3C">
        <w:rPr>
          <w:sz w:val="24"/>
          <w:szCs w:val="24"/>
        </w:rPr>
        <w:t xml:space="preserve"> is in line with </w:t>
      </w:r>
      <w:r w:rsidR="003D5D2B">
        <w:rPr>
          <w:sz w:val="24"/>
          <w:szCs w:val="24"/>
        </w:rPr>
        <w:t xml:space="preserve">previous </w:t>
      </w:r>
      <w:r w:rsidR="00B87D3C">
        <w:rPr>
          <w:sz w:val="24"/>
          <w:szCs w:val="24"/>
        </w:rPr>
        <w:t xml:space="preserve">studies that have looked at </w:t>
      </w:r>
      <w:r w:rsidR="0018782E">
        <w:rPr>
          <w:sz w:val="24"/>
          <w:szCs w:val="24"/>
        </w:rPr>
        <w:t xml:space="preserve">intentions and </w:t>
      </w:r>
      <w:r w:rsidR="003D5D2B">
        <w:rPr>
          <w:sz w:val="24"/>
          <w:szCs w:val="24"/>
        </w:rPr>
        <w:t xml:space="preserve">behaviour in other domains </w:t>
      </w:r>
      <w:r w:rsidR="003D5D2B" w:rsidRPr="003D5D2B">
        <w:rPr>
          <w:sz w:val="24"/>
          <w:szCs w:val="24"/>
        </w:rPr>
        <w:t>(</w:t>
      </w:r>
      <w:r w:rsidR="003D5D2B">
        <w:rPr>
          <w:rFonts w:ascii="Calibri" w:hAnsi="Calibri"/>
          <w:sz w:val="24"/>
          <w:szCs w:val="24"/>
        </w:rPr>
        <w:t>W</w:t>
      </w:r>
      <w:r w:rsidR="003D5D2B" w:rsidRPr="003D5D2B">
        <w:rPr>
          <w:rFonts w:ascii="Calibri" w:hAnsi="Calibri"/>
          <w:sz w:val="24"/>
          <w:szCs w:val="24"/>
        </w:rPr>
        <w:t xml:space="preserve">ebb and </w:t>
      </w:r>
      <w:r w:rsidR="003D5D2B">
        <w:rPr>
          <w:rFonts w:ascii="Calibri" w:hAnsi="Calibri"/>
          <w:sz w:val="24"/>
          <w:szCs w:val="24"/>
        </w:rPr>
        <w:t>S</w:t>
      </w:r>
      <w:r w:rsidR="003D5D2B" w:rsidRPr="003D5D2B">
        <w:rPr>
          <w:rFonts w:ascii="Calibri" w:hAnsi="Calibri"/>
          <w:sz w:val="24"/>
          <w:szCs w:val="24"/>
        </w:rPr>
        <w:t>heeran 2006</w:t>
      </w:r>
      <w:r w:rsidR="00B87D3C">
        <w:rPr>
          <w:sz w:val="24"/>
          <w:szCs w:val="24"/>
        </w:rPr>
        <w:t xml:space="preserve">). </w:t>
      </w:r>
      <w:r w:rsidR="001C7E5E" w:rsidRPr="00B6425F">
        <w:rPr>
          <w:sz w:val="28"/>
          <w:szCs w:val="24"/>
        </w:rPr>
        <w:t xml:space="preserve"> </w:t>
      </w:r>
      <w:r w:rsidR="001C7E5E">
        <w:rPr>
          <w:sz w:val="24"/>
          <w:szCs w:val="24"/>
        </w:rPr>
        <w:t>Due to the small sample size we accept this level of significance here.</w:t>
      </w:r>
    </w:p>
    <w:p w14:paraId="557CC1CB" w14:textId="77777777" w:rsidR="00C60DEE" w:rsidRDefault="00C60DEE" w:rsidP="00012D19">
      <w:pPr>
        <w:spacing w:after="0" w:line="240" w:lineRule="auto"/>
        <w:rPr>
          <w:sz w:val="24"/>
          <w:szCs w:val="24"/>
        </w:rPr>
      </w:pPr>
    </w:p>
    <w:p w14:paraId="2E236822" w14:textId="77777777" w:rsidR="001D5D14" w:rsidRDefault="008431B2" w:rsidP="001D5D14">
      <w:pPr>
        <w:spacing w:after="0" w:line="240" w:lineRule="auto"/>
        <w:rPr>
          <w:b/>
          <w:sz w:val="24"/>
        </w:rPr>
      </w:pPr>
      <w:r>
        <w:rPr>
          <w:b/>
          <w:sz w:val="24"/>
        </w:rPr>
        <w:t>C.3</w:t>
      </w:r>
      <w:r w:rsidR="00CA19EB">
        <w:rPr>
          <w:b/>
          <w:sz w:val="24"/>
        </w:rPr>
        <w:t>.2</w:t>
      </w:r>
      <w:r w:rsidR="001D5D14">
        <w:rPr>
          <w:b/>
          <w:sz w:val="24"/>
        </w:rPr>
        <w:t xml:space="preserve">. Valuing education </w:t>
      </w:r>
      <w:r w:rsidR="004C2171">
        <w:rPr>
          <w:b/>
          <w:sz w:val="24"/>
        </w:rPr>
        <w:t>impacts</w:t>
      </w:r>
    </w:p>
    <w:p w14:paraId="1F5E9C99" w14:textId="77777777" w:rsidR="00ED5821" w:rsidRDefault="00ED5821" w:rsidP="001D5D14">
      <w:pPr>
        <w:spacing w:after="0" w:line="240" w:lineRule="auto"/>
        <w:rPr>
          <w:b/>
          <w:sz w:val="24"/>
        </w:rPr>
      </w:pPr>
    </w:p>
    <w:p w14:paraId="0BAA4E8F" w14:textId="77777777" w:rsidR="00FC4716" w:rsidRPr="00F5347F" w:rsidRDefault="00F5347F" w:rsidP="001D5D14">
      <w:pPr>
        <w:spacing w:after="0" w:line="240" w:lineRule="auto"/>
        <w:rPr>
          <w:sz w:val="24"/>
        </w:rPr>
      </w:pPr>
      <w:r w:rsidRPr="00F5347F">
        <w:rPr>
          <w:sz w:val="24"/>
        </w:rPr>
        <w:t>The results from Tables 1</w:t>
      </w:r>
      <w:r w:rsidR="004C28D1">
        <w:rPr>
          <w:sz w:val="24"/>
        </w:rPr>
        <w:t>2</w:t>
      </w:r>
      <w:r w:rsidRPr="00F5347F">
        <w:rPr>
          <w:sz w:val="24"/>
        </w:rPr>
        <w:t xml:space="preserve"> and 1</w:t>
      </w:r>
      <w:r w:rsidR="004C28D1">
        <w:rPr>
          <w:sz w:val="24"/>
        </w:rPr>
        <w:t>3</w:t>
      </w:r>
      <w:r w:rsidRPr="00F5347F">
        <w:rPr>
          <w:sz w:val="24"/>
        </w:rPr>
        <w:t xml:space="preserve"> </w:t>
      </w:r>
      <w:r w:rsidR="00FA5EA3">
        <w:rPr>
          <w:sz w:val="24"/>
        </w:rPr>
        <w:t>can be used to project the effect of engagement in culture on higher education</w:t>
      </w:r>
      <w:r w:rsidR="00845BB0">
        <w:rPr>
          <w:sz w:val="24"/>
        </w:rPr>
        <w:t xml:space="preserve"> attendance</w:t>
      </w:r>
      <w:r w:rsidR="00FA5EA3">
        <w:rPr>
          <w:sz w:val="24"/>
        </w:rPr>
        <w:t>.</w:t>
      </w:r>
      <w:r w:rsidR="00845BB0">
        <w:rPr>
          <w:sz w:val="24"/>
        </w:rPr>
        <w:t xml:space="preserve"> This is estimated using the cross-products </w:t>
      </w:r>
      <w:r w:rsidR="00124309">
        <w:rPr>
          <w:sz w:val="24"/>
        </w:rPr>
        <w:t>of the probability estimates fro</w:t>
      </w:r>
      <w:r w:rsidR="00845BB0">
        <w:rPr>
          <w:sz w:val="24"/>
        </w:rPr>
        <w:t>m Tables 1</w:t>
      </w:r>
      <w:r w:rsidR="004C28D1">
        <w:rPr>
          <w:sz w:val="24"/>
        </w:rPr>
        <w:t>2</w:t>
      </w:r>
      <w:r w:rsidR="00845BB0">
        <w:rPr>
          <w:sz w:val="24"/>
        </w:rPr>
        <w:t xml:space="preserve"> and 1</w:t>
      </w:r>
      <w:r w:rsidR="004C28D1">
        <w:rPr>
          <w:sz w:val="24"/>
        </w:rPr>
        <w:t>3</w:t>
      </w:r>
      <w:r w:rsidR="00845BB0">
        <w:rPr>
          <w:sz w:val="24"/>
        </w:rPr>
        <w:t xml:space="preserve">. For example, participation in arts leads to a 14.1% higher likelihood of reporting being </w:t>
      </w:r>
      <w:r w:rsidR="00845BB0" w:rsidRPr="00B6425F">
        <w:rPr>
          <w:sz w:val="24"/>
          <w:szCs w:val="24"/>
        </w:rPr>
        <w:t xml:space="preserve">‘very </w:t>
      </w:r>
      <w:r w:rsidR="00845BB0" w:rsidRPr="00B6425F">
        <w:rPr>
          <w:rFonts w:eastAsia="Times New Roman" w:cstheme="minorHAnsi"/>
          <w:color w:val="000000"/>
          <w:sz w:val="24"/>
          <w:szCs w:val="24"/>
          <w:lang w:eastAsia="ja-JP"/>
        </w:rPr>
        <w:t>likely' to go on to further/higher education</w:t>
      </w:r>
      <w:r w:rsidR="00845BB0">
        <w:rPr>
          <w:rFonts w:eastAsia="Times New Roman" w:cstheme="minorHAnsi"/>
          <w:color w:val="000000"/>
          <w:sz w:val="24"/>
          <w:szCs w:val="24"/>
          <w:lang w:eastAsia="ja-JP"/>
        </w:rPr>
        <w:t xml:space="preserve"> and in turn, </w:t>
      </w:r>
      <w:r w:rsidR="00845BB0">
        <w:rPr>
          <w:sz w:val="24"/>
        </w:rPr>
        <w:t xml:space="preserve">reporting being </w:t>
      </w:r>
      <w:r w:rsidR="00845BB0" w:rsidRPr="00B6425F">
        <w:rPr>
          <w:sz w:val="24"/>
          <w:szCs w:val="24"/>
        </w:rPr>
        <w:t xml:space="preserve">‘very </w:t>
      </w:r>
      <w:r w:rsidR="00845BB0" w:rsidRPr="00B6425F">
        <w:rPr>
          <w:rFonts w:eastAsia="Times New Roman" w:cstheme="minorHAnsi"/>
          <w:color w:val="000000"/>
          <w:sz w:val="24"/>
          <w:szCs w:val="24"/>
          <w:lang w:eastAsia="ja-JP"/>
        </w:rPr>
        <w:t>likely' to go on to further/higher education</w:t>
      </w:r>
      <w:r w:rsidR="00845BB0">
        <w:rPr>
          <w:rFonts w:eastAsia="Times New Roman" w:cstheme="minorHAnsi"/>
          <w:color w:val="000000"/>
          <w:sz w:val="24"/>
          <w:szCs w:val="24"/>
          <w:lang w:eastAsia="ja-JP"/>
        </w:rPr>
        <w:t xml:space="preserve"> leads to a 7% increase in actual attendance </w:t>
      </w:r>
      <w:r w:rsidR="00124309">
        <w:rPr>
          <w:rFonts w:eastAsia="Times New Roman" w:cstheme="minorHAnsi"/>
          <w:color w:val="000000"/>
          <w:sz w:val="24"/>
          <w:szCs w:val="24"/>
          <w:lang w:eastAsia="ja-JP"/>
        </w:rPr>
        <w:t>likelihood</w:t>
      </w:r>
      <w:r w:rsidR="00845BB0">
        <w:rPr>
          <w:rFonts w:eastAsia="Times New Roman" w:cstheme="minorHAnsi"/>
          <w:color w:val="000000"/>
          <w:sz w:val="24"/>
          <w:szCs w:val="24"/>
          <w:lang w:eastAsia="ja-JP"/>
        </w:rPr>
        <w:t xml:space="preserve">. We can thus project that </w:t>
      </w:r>
      <w:r w:rsidR="00845BB0">
        <w:rPr>
          <w:sz w:val="24"/>
        </w:rPr>
        <w:t xml:space="preserve">participation in arts leads to a 0.99% (0.141*0.07) </w:t>
      </w:r>
      <w:r w:rsidR="00B51858">
        <w:rPr>
          <w:sz w:val="24"/>
        </w:rPr>
        <w:t xml:space="preserve">increase in the </w:t>
      </w:r>
      <w:r w:rsidR="00845BB0">
        <w:rPr>
          <w:sz w:val="24"/>
        </w:rPr>
        <w:t>likelihood of</w:t>
      </w:r>
      <w:r w:rsidR="00B51858">
        <w:rPr>
          <w:sz w:val="24"/>
        </w:rPr>
        <w:t xml:space="preserve"> </w:t>
      </w:r>
      <w:r w:rsidR="00B51858" w:rsidRPr="00B51858">
        <w:rPr>
          <w:i/>
          <w:sz w:val="24"/>
        </w:rPr>
        <w:t>attending</w:t>
      </w:r>
      <w:r w:rsidR="00B51858">
        <w:rPr>
          <w:sz w:val="24"/>
        </w:rPr>
        <w:t xml:space="preserve"> full time education.</w:t>
      </w:r>
    </w:p>
    <w:p w14:paraId="1F948789" w14:textId="77777777" w:rsidR="00F5347F" w:rsidRDefault="003316EF" w:rsidP="001D5D14">
      <w:pPr>
        <w:spacing w:after="0" w:line="240" w:lineRule="auto"/>
        <w:rPr>
          <w:b/>
          <w:sz w:val="24"/>
        </w:rPr>
      </w:pPr>
      <w:r>
        <w:rPr>
          <w:b/>
          <w:sz w:val="24"/>
        </w:rPr>
        <w:lastRenderedPageBreak/>
        <w:t xml:space="preserve"> </w:t>
      </w:r>
    </w:p>
    <w:p w14:paraId="20206677" w14:textId="77777777" w:rsidR="00FC4716" w:rsidRDefault="003B293F" w:rsidP="001D5D14">
      <w:pPr>
        <w:spacing w:after="0" w:line="240" w:lineRule="auto"/>
        <w:rPr>
          <w:b/>
          <w:sz w:val="24"/>
        </w:rPr>
      </w:pPr>
      <w:r>
        <w:rPr>
          <w:b/>
          <w:sz w:val="24"/>
        </w:rPr>
        <w:t>Table 1</w:t>
      </w:r>
      <w:r w:rsidR="00F473B0">
        <w:rPr>
          <w:b/>
          <w:sz w:val="24"/>
        </w:rPr>
        <w:t>4</w:t>
      </w:r>
      <w:r w:rsidR="00FC4716">
        <w:rPr>
          <w:b/>
          <w:sz w:val="24"/>
        </w:rPr>
        <w:t>.</w:t>
      </w:r>
      <w:r w:rsidR="002E7E4B">
        <w:rPr>
          <w:b/>
          <w:sz w:val="24"/>
        </w:rPr>
        <w:t xml:space="preserve"> </w:t>
      </w:r>
      <w:r w:rsidR="002E7E4B" w:rsidRPr="002E7E4B">
        <w:rPr>
          <w:b/>
          <w:sz w:val="24"/>
        </w:rPr>
        <w:t>R</w:t>
      </w:r>
      <w:r w:rsidR="002E7E4B" w:rsidRPr="002E7E4B">
        <w:rPr>
          <w:rFonts w:cstheme="majorHAnsi"/>
          <w:b/>
          <w:sz w:val="24"/>
          <w:szCs w:val="24"/>
        </w:rPr>
        <w:t>elationship between</w:t>
      </w:r>
      <w:r w:rsidR="00FC4716" w:rsidRPr="00BB0581">
        <w:rPr>
          <w:b/>
          <w:sz w:val="24"/>
          <w:szCs w:val="24"/>
        </w:rPr>
        <w:t xml:space="preserve"> </w:t>
      </w:r>
      <w:r w:rsidR="00FC4716">
        <w:rPr>
          <w:b/>
          <w:sz w:val="24"/>
          <w:szCs w:val="24"/>
        </w:rPr>
        <w:t xml:space="preserve">cultural engagement </w:t>
      </w:r>
      <w:r w:rsidR="002E7E4B">
        <w:rPr>
          <w:b/>
          <w:sz w:val="24"/>
          <w:szCs w:val="24"/>
        </w:rPr>
        <w:t xml:space="preserve">and </w:t>
      </w:r>
      <w:r w:rsidR="00FC4716">
        <w:rPr>
          <w:b/>
          <w:sz w:val="24"/>
          <w:szCs w:val="24"/>
        </w:rPr>
        <w:t>educational attendance</w:t>
      </w:r>
    </w:p>
    <w:tbl>
      <w:tblPr>
        <w:tblW w:w="8980" w:type="dxa"/>
        <w:tblLook w:val="04A0" w:firstRow="1" w:lastRow="0" w:firstColumn="1" w:lastColumn="0" w:noHBand="0" w:noVBand="1"/>
      </w:tblPr>
      <w:tblGrid>
        <w:gridCol w:w="4500"/>
        <w:gridCol w:w="2100"/>
        <w:gridCol w:w="2380"/>
      </w:tblGrid>
      <w:tr w:rsidR="00D74B1A" w:rsidRPr="00D74B1A" w14:paraId="487AC1CD" w14:textId="77777777" w:rsidTr="00D74B1A">
        <w:trPr>
          <w:trHeight w:val="580"/>
        </w:trPr>
        <w:tc>
          <w:tcPr>
            <w:tcW w:w="4500" w:type="dxa"/>
            <w:tcBorders>
              <w:top w:val="single" w:sz="8" w:space="0" w:color="auto"/>
              <w:left w:val="single" w:sz="8" w:space="0" w:color="auto"/>
              <w:bottom w:val="single" w:sz="4" w:space="0" w:color="auto"/>
              <w:right w:val="nil"/>
            </w:tcBorders>
            <w:shd w:val="clear" w:color="000000" w:fill="0070C0"/>
            <w:hideMark/>
          </w:tcPr>
          <w:p w14:paraId="1607B8F4" w14:textId="77777777" w:rsidR="00D74B1A" w:rsidRPr="00D74B1A" w:rsidRDefault="00D74B1A" w:rsidP="00D74B1A">
            <w:pPr>
              <w:spacing w:after="0" w:line="240" w:lineRule="auto"/>
              <w:jc w:val="center"/>
              <w:rPr>
                <w:rFonts w:ascii="Calibri" w:eastAsia="Times New Roman" w:hAnsi="Calibri" w:cs="Times New Roman"/>
                <w:b/>
                <w:bCs/>
                <w:color w:val="FFFFFF"/>
                <w:lang w:eastAsia="en-GB"/>
              </w:rPr>
            </w:pPr>
            <w:r w:rsidRPr="00D74B1A">
              <w:rPr>
                <w:rFonts w:ascii="Calibri" w:eastAsia="Times New Roman" w:hAnsi="Calibri" w:cs="Times New Roman"/>
                <w:b/>
                <w:bCs/>
                <w:color w:val="FFFFFF"/>
                <w:lang w:eastAsia="en-GB"/>
              </w:rPr>
              <w:t>Variables</w:t>
            </w:r>
          </w:p>
        </w:tc>
        <w:tc>
          <w:tcPr>
            <w:tcW w:w="2100" w:type="dxa"/>
            <w:tcBorders>
              <w:top w:val="single" w:sz="8" w:space="0" w:color="auto"/>
              <w:left w:val="nil"/>
              <w:bottom w:val="single" w:sz="4" w:space="0" w:color="auto"/>
              <w:right w:val="nil"/>
            </w:tcBorders>
            <w:shd w:val="clear" w:color="000000" w:fill="0070C0"/>
            <w:hideMark/>
          </w:tcPr>
          <w:p w14:paraId="414F1453" w14:textId="77777777" w:rsidR="00D74B1A" w:rsidRPr="00D74B1A" w:rsidRDefault="00D74B1A" w:rsidP="00D74B1A">
            <w:pPr>
              <w:spacing w:after="0" w:line="240" w:lineRule="auto"/>
              <w:jc w:val="center"/>
              <w:rPr>
                <w:rFonts w:ascii="Calibri" w:eastAsia="Times New Roman" w:hAnsi="Calibri" w:cs="Times New Roman"/>
                <w:b/>
                <w:bCs/>
                <w:color w:val="FFFFFF"/>
                <w:lang w:eastAsia="en-GB"/>
              </w:rPr>
            </w:pPr>
            <w:r w:rsidRPr="00D74B1A">
              <w:rPr>
                <w:rFonts w:ascii="Calibri" w:eastAsia="Times New Roman" w:hAnsi="Calibri" w:cs="Times New Roman"/>
                <w:b/>
                <w:bCs/>
                <w:color w:val="FFFFFF"/>
                <w:lang w:eastAsia="en-GB"/>
              </w:rPr>
              <w:t>Probability impact on education intention</w:t>
            </w:r>
          </w:p>
        </w:tc>
        <w:tc>
          <w:tcPr>
            <w:tcW w:w="2380" w:type="dxa"/>
            <w:tcBorders>
              <w:top w:val="single" w:sz="8" w:space="0" w:color="auto"/>
              <w:left w:val="nil"/>
              <w:bottom w:val="single" w:sz="4" w:space="0" w:color="auto"/>
              <w:right w:val="single" w:sz="8" w:space="0" w:color="auto"/>
            </w:tcBorders>
            <w:shd w:val="clear" w:color="000000" w:fill="0070C0"/>
            <w:hideMark/>
          </w:tcPr>
          <w:p w14:paraId="11CB8A06" w14:textId="77777777" w:rsidR="00D74B1A" w:rsidRPr="00D74B1A" w:rsidRDefault="00D74B1A" w:rsidP="00D74B1A">
            <w:pPr>
              <w:spacing w:after="0" w:line="240" w:lineRule="auto"/>
              <w:jc w:val="center"/>
              <w:rPr>
                <w:rFonts w:ascii="Calibri" w:eastAsia="Times New Roman" w:hAnsi="Calibri" w:cs="Times New Roman"/>
                <w:b/>
                <w:bCs/>
                <w:color w:val="FFFFFF"/>
                <w:lang w:eastAsia="en-GB"/>
              </w:rPr>
            </w:pPr>
            <w:r w:rsidRPr="00D74B1A">
              <w:rPr>
                <w:rFonts w:ascii="Calibri" w:eastAsia="Times New Roman" w:hAnsi="Calibri" w:cs="Times New Roman"/>
                <w:b/>
                <w:bCs/>
                <w:color w:val="FFFFFF"/>
                <w:lang w:eastAsia="en-GB"/>
              </w:rPr>
              <w:t>Probability impact on education behaviour</w:t>
            </w:r>
          </w:p>
        </w:tc>
      </w:tr>
      <w:tr w:rsidR="00D74B1A" w:rsidRPr="00D74B1A" w14:paraId="568D1743" w14:textId="77777777" w:rsidTr="00D74B1A">
        <w:trPr>
          <w:trHeight w:val="290"/>
        </w:trPr>
        <w:tc>
          <w:tcPr>
            <w:tcW w:w="4500" w:type="dxa"/>
            <w:tcBorders>
              <w:top w:val="nil"/>
              <w:left w:val="single" w:sz="8" w:space="0" w:color="auto"/>
              <w:bottom w:val="single" w:sz="4" w:space="0" w:color="auto"/>
              <w:right w:val="nil"/>
            </w:tcBorders>
            <w:shd w:val="clear" w:color="000000" w:fill="0070C0"/>
            <w:noWrap/>
            <w:vAlign w:val="center"/>
            <w:hideMark/>
          </w:tcPr>
          <w:p w14:paraId="2869A31A" w14:textId="77777777" w:rsidR="00D74B1A" w:rsidRPr="00D74B1A" w:rsidRDefault="00D74B1A" w:rsidP="00D74B1A">
            <w:pPr>
              <w:spacing w:after="0" w:line="240" w:lineRule="auto"/>
              <w:jc w:val="center"/>
              <w:rPr>
                <w:rFonts w:ascii="Calibri" w:eastAsia="Times New Roman" w:hAnsi="Calibri" w:cs="Times New Roman"/>
                <w:b/>
                <w:bCs/>
                <w:color w:val="FFFFFF"/>
                <w:lang w:eastAsia="en-GB"/>
              </w:rPr>
            </w:pPr>
            <w:r w:rsidRPr="00D74B1A">
              <w:rPr>
                <w:rFonts w:ascii="Calibri" w:eastAsia="Times New Roman" w:hAnsi="Calibri" w:cs="Times New Roman"/>
                <w:b/>
                <w:bCs/>
                <w:color w:val="FFFFFF"/>
                <w:lang w:eastAsia="en-GB"/>
              </w:rPr>
              <w:t>Culture</w:t>
            </w:r>
          </w:p>
        </w:tc>
        <w:tc>
          <w:tcPr>
            <w:tcW w:w="2100" w:type="dxa"/>
            <w:tcBorders>
              <w:top w:val="nil"/>
              <w:left w:val="nil"/>
              <w:bottom w:val="single" w:sz="4" w:space="0" w:color="auto"/>
              <w:right w:val="nil"/>
            </w:tcBorders>
            <w:shd w:val="clear" w:color="000000" w:fill="0070C0"/>
            <w:noWrap/>
            <w:vAlign w:val="center"/>
            <w:hideMark/>
          </w:tcPr>
          <w:p w14:paraId="77A2D6D0" w14:textId="77777777" w:rsidR="00D74B1A" w:rsidRPr="00D74B1A" w:rsidRDefault="00D74B1A" w:rsidP="00D74B1A">
            <w:pPr>
              <w:spacing w:after="0" w:line="240" w:lineRule="auto"/>
              <w:jc w:val="center"/>
              <w:rPr>
                <w:rFonts w:ascii="Calibri" w:eastAsia="Times New Roman" w:hAnsi="Calibri" w:cs="Times New Roman"/>
                <w:color w:val="FFFFFF"/>
                <w:lang w:eastAsia="en-GB"/>
              </w:rPr>
            </w:pPr>
            <w:r w:rsidRPr="00D74B1A">
              <w:rPr>
                <w:rFonts w:ascii="Calibri" w:eastAsia="Times New Roman" w:hAnsi="Calibri" w:cs="Times New Roman"/>
                <w:color w:val="FFFFFF"/>
                <w:lang w:eastAsia="en-GB"/>
              </w:rPr>
              <w:t> </w:t>
            </w:r>
          </w:p>
        </w:tc>
        <w:tc>
          <w:tcPr>
            <w:tcW w:w="2380" w:type="dxa"/>
            <w:tcBorders>
              <w:top w:val="nil"/>
              <w:left w:val="nil"/>
              <w:bottom w:val="single" w:sz="4" w:space="0" w:color="auto"/>
              <w:right w:val="single" w:sz="8" w:space="0" w:color="auto"/>
            </w:tcBorders>
            <w:shd w:val="clear" w:color="000000" w:fill="0070C0"/>
            <w:noWrap/>
            <w:vAlign w:val="center"/>
            <w:hideMark/>
          </w:tcPr>
          <w:p w14:paraId="3D17D682" w14:textId="77777777" w:rsidR="00D74B1A" w:rsidRPr="00D74B1A" w:rsidRDefault="00D74B1A" w:rsidP="00D74B1A">
            <w:pPr>
              <w:spacing w:after="0" w:line="240" w:lineRule="auto"/>
              <w:jc w:val="center"/>
              <w:rPr>
                <w:rFonts w:ascii="Calibri" w:eastAsia="Times New Roman" w:hAnsi="Calibri" w:cs="Times New Roman"/>
                <w:color w:val="FFFFFF"/>
                <w:lang w:eastAsia="en-GB"/>
              </w:rPr>
            </w:pPr>
            <w:r w:rsidRPr="00D74B1A">
              <w:rPr>
                <w:rFonts w:ascii="Calibri" w:eastAsia="Times New Roman" w:hAnsi="Calibri" w:cs="Times New Roman"/>
                <w:color w:val="FFFFFF"/>
                <w:lang w:eastAsia="en-GB"/>
              </w:rPr>
              <w:t> </w:t>
            </w:r>
          </w:p>
        </w:tc>
      </w:tr>
      <w:tr w:rsidR="00D74B1A" w:rsidRPr="00D74B1A" w14:paraId="01FEB31E" w14:textId="77777777" w:rsidTr="00D74B1A">
        <w:trPr>
          <w:trHeight w:val="290"/>
        </w:trPr>
        <w:tc>
          <w:tcPr>
            <w:tcW w:w="4500" w:type="dxa"/>
            <w:tcBorders>
              <w:top w:val="nil"/>
              <w:left w:val="single" w:sz="8" w:space="0" w:color="auto"/>
              <w:bottom w:val="nil"/>
              <w:right w:val="nil"/>
            </w:tcBorders>
            <w:shd w:val="clear" w:color="auto" w:fill="auto"/>
            <w:noWrap/>
            <w:vAlign w:val="center"/>
            <w:hideMark/>
          </w:tcPr>
          <w:p w14:paraId="7DC23D9A" w14:textId="77777777" w:rsidR="00D74B1A" w:rsidRPr="00D74B1A" w:rsidRDefault="00D74B1A" w:rsidP="00D74B1A">
            <w:pPr>
              <w:spacing w:after="0" w:line="240" w:lineRule="auto"/>
              <w:rPr>
                <w:rFonts w:ascii="Calibri" w:eastAsia="Times New Roman" w:hAnsi="Calibri" w:cs="Times New Roman"/>
                <w:i/>
                <w:iCs/>
                <w:color w:val="000000"/>
                <w:lang w:eastAsia="en-GB"/>
              </w:rPr>
            </w:pPr>
            <w:r w:rsidRPr="00D74B1A">
              <w:rPr>
                <w:rFonts w:ascii="Calibri" w:eastAsia="Times New Roman" w:hAnsi="Calibri" w:cs="Times New Roman"/>
                <w:i/>
                <w:iCs/>
                <w:color w:val="000000"/>
                <w:lang w:eastAsia="en-GB"/>
              </w:rPr>
              <w:t>Participation arts</w:t>
            </w:r>
          </w:p>
        </w:tc>
        <w:tc>
          <w:tcPr>
            <w:tcW w:w="2100" w:type="dxa"/>
            <w:tcBorders>
              <w:top w:val="nil"/>
              <w:left w:val="nil"/>
              <w:bottom w:val="nil"/>
              <w:right w:val="nil"/>
            </w:tcBorders>
            <w:shd w:val="clear" w:color="auto" w:fill="auto"/>
            <w:noWrap/>
            <w:vAlign w:val="center"/>
            <w:hideMark/>
          </w:tcPr>
          <w:p w14:paraId="1FC23C1A" w14:textId="77777777" w:rsidR="00D74B1A" w:rsidRPr="00D74B1A" w:rsidRDefault="00D74B1A" w:rsidP="00D74B1A">
            <w:pPr>
              <w:spacing w:after="0" w:line="240" w:lineRule="auto"/>
              <w:jc w:val="center"/>
              <w:rPr>
                <w:rFonts w:ascii="Calibri" w:eastAsia="Times New Roman" w:hAnsi="Calibri" w:cs="Times New Roman"/>
                <w:color w:val="000000"/>
                <w:lang w:eastAsia="en-GB"/>
              </w:rPr>
            </w:pPr>
            <w:r w:rsidRPr="00D74B1A">
              <w:rPr>
                <w:rFonts w:ascii="Calibri" w:eastAsia="Times New Roman" w:hAnsi="Calibri" w:cs="Times New Roman"/>
                <w:color w:val="000000"/>
                <w:lang w:eastAsia="en-GB"/>
              </w:rPr>
              <w:t>14.10%</w:t>
            </w:r>
          </w:p>
        </w:tc>
        <w:tc>
          <w:tcPr>
            <w:tcW w:w="2380" w:type="dxa"/>
            <w:tcBorders>
              <w:top w:val="nil"/>
              <w:left w:val="nil"/>
              <w:bottom w:val="nil"/>
              <w:right w:val="single" w:sz="8" w:space="0" w:color="auto"/>
            </w:tcBorders>
            <w:shd w:val="clear" w:color="auto" w:fill="auto"/>
            <w:noWrap/>
            <w:vAlign w:val="center"/>
            <w:hideMark/>
          </w:tcPr>
          <w:p w14:paraId="79886E5C" w14:textId="77777777" w:rsidR="00D74B1A" w:rsidRPr="00D74B1A" w:rsidRDefault="00D74B1A" w:rsidP="00D74B1A">
            <w:pPr>
              <w:spacing w:after="0" w:line="240" w:lineRule="auto"/>
              <w:jc w:val="center"/>
              <w:rPr>
                <w:rFonts w:ascii="Calibri" w:eastAsia="Times New Roman" w:hAnsi="Calibri" w:cs="Times New Roman"/>
                <w:color w:val="000000"/>
                <w:lang w:eastAsia="en-GB"/>
              </w:rPr>
            </w:pPr>
            <w:r w:rsidRPr="00D74B1A">
              <w:rPr>
                <w:rFonts w:ascii="Calibri" w:eastAsia="Times New Roman" w:hAnsi="Calibri" w:cs="Times New Roman"/>
                <w:color w:val="000000"/>
                <w:lang w:eastAsia="en-GB"/>
              </w:rPr>
              <w:t>0.99%</w:t>
            </w:r>
          </w:p>
        </w:tc>
      </w:tr>
      <w:tr w:rsidR="00D74B1A" w:rsidRPr="00D74B1A" w14:paraId="34EE1A00" w14:textId="77777777" w:rsidTr="00D74B1A">
        <w:trPr>
          <w:trHeight w:val="290"/>
        </w:trPr>
        <w:tc>
          <w:tcPr>
            <w:tcW w:w="4500" w:type="dxa"/>
            <w:tcBorders>
              <w:top w:val="nil"/>
              <w:left w:val="single" w:sz="8" w:space="0" w:color="auto"/>
              <w:bottom w:val="nil"/>
              <w:right w:val="nil"/>
            </w:tcBorders>
            <w:shd w:val="clear" w:color="auto" w:fill="auto"/>
            <w:noWrap/>
            <w:vAlign w:val="center"/>
            <w:hideMark/>
          </w:tcPr>
          <w:p w14:paraId="232A2465" w14:textId="77777777" w:rsidR="00D74B1A" w:rsidRPr="00D74B1A" w:rsidRDefault="00D74B1A" w:rsidP="00D74B1A">
            <w:pPr>
              <w:spacing w:after="0" w:line="240" w:lineRule="auto"/>
              <w:rPr>
                <w:rFonts w:ascii="Calibri" w:eastAsia="Times New Roman" w:hAnsi="Calibri" w:cs="Times New Roman"/>
                <w:i/>
                <w:iCs/>
                <w:color w:val="000000"/>
                <w:lang w:eastAsia="en-GB"/>
              </w:rPr>
            </w:pPr>
            <w:r w:rsidRPr="00D74B1A">
              <w:rPr>
                <w:rFonts w:ascii="Calibri" w:eastAsia="Times New Roman" w:hAnsi="Calibri" w:cs="Times New Roman"/>
                <w:i/>
                <w:iCs/>
                <w:color w:val="000000"/>
                <w:lang w:eastAsia="en-GB"/>
              </w:rPr>
              <w:t>Heritage</w:t>
            </w:r>
          </w:p>
        </w:tc>
        <w:tc>
          <w:tcPr>
            <w:tcW w:w="2100" w:type="dxa"/>
            <w:tcBorders>
              <w:top w:val="nil"/>
              <w:left w:val="nil"/>
              <w:bottom w:val="nil"/>
              <w:right w:val="nil"/>
            </w:tcBorders>
            <w:shd w:val="clear" w:color="auto" w:fill="auto"/>
            <w:noWrap/>
            <w:vAlign w:val="center"/>
            <w:hideMark/>
          </w:tcPr>
          <w:p w14:paraId="22C30DC3" w14:textId="77777777" w:rsidR="00D74B1A" w:rsidRPr="00D74B1A" w:rsidRDefault="00D74B1A" w:rsidP="00D74B1A">
            <w:pPr>
              <w:spacing w:after="0" w:line="240" w:lineRule="auto"/>
              <w:jc w:val="center"/>
              <w:rPr>
                <w:rFonts w:ascii="Calibri" w:eastAsia="Times New Roman" w:hAnsi="Calibri" w:cs="Times New Roman"/>
                <w:color w:val="000000"/>
                <w:lang w:eastAsia="en-GB"/>
              </w:rPr>
            </w:pPr>
            <w:r w:rsidRPr="00D74B1A">
              <w:rPr>
                <w:rFonts w:ascii="Calibri" w:eastAsia="Times New Roman" w:hAnsi="Calibri" w:cs="Times New Roman"/>
                <w:color w:val="000000"/>
                <w:lang w:eastAsia="en-GB"/>
              </w:rPr>
              <w:t>14.60%</w:t>
            </w:r>
          </w:p>
        </w:tc>
        <w:tc>
          <w:tcPr>
            <w:tcW w:w="2380" w:type="dxa"/>
            <w:tcBorders>
              <w:top w:val="nil"/>
              <w:left w:val="nil"/>
              <w:bottom w:val="nil"/>
              <w:right w:val="single" w:sz="8" w:space="0" w:color="auto"/>
            </w:tcBorders>
            <w:shd w:val="clear" w:color="auto" w:fill="auto"/>
            <w:noWrap/>
            <w:vAlign w:val="center"/>
            <w:hideMark/>
          </w:tcPr>
          <w:p w14:paraId="2FF3BEDE" w14:textId="77777777" w:rsidR="00D74B1A" w:rsidRPr="00D74B1A" w:rsidRDefault="00D74B1A" w:rsidP="00D74B1A">
            <w:pPr>
              <w:spacing w:after="0" w:line="240" w:lineRule="auto"/>
              <w:jc w:val="center"/>
              <w:rPr>
                <w:rFonts w:ascii="Calibri" w:eastAsia="Times New Roman" w:hAnsi="Calibri" w:cs="Times New Roman"/>
                <w:color w:val="000000"/>
                <w:lang w:eastAsia="en-GB"/>
              </w:rPr>
            </w:pPr>
            <w:r w:rsidRPr="00D74B1A">
              <w:rPr>
                <w:rFonts w:ascii="Calibri" w:eastAsia="Times New Roman" w:hAnsi="Calibri" w:cs="Times New Roman"/>
                <w:color w:val="000000"/>
                <w:lang w:eastAsia="en-GB"/>
              </w:rPr>
              <w:t>1.02%</w:t>
            </w:r>
          </w:p>
        </w:tc>
      </w:tr>
      <w:tr w:rsidR="00D74B1A" w:rsidRPr="00D74B1A" w14:paraId="0D989C18" w14:textId="77777777" w:rsidTr="00D74B1A">
        <w:trPr>
          <w:trHeight w:val="300"/>
        </w:trPr>
        <w:tc>
          <w:tcPr>
            <w:tcW w:w="4500" w:type="dxa"/>
            <w:tcBorders>
              <w:top w:val="nil"/>
              <w:left w:val="single" w:sz="8" w:space="0" w:color="auto"/>
              <w:bottom w:val="single" w:sz="8" w:space="0" w:color="auto"/>
              <w:right w:val="nil"/>
            </w:tcBorders>
            <w:shd w:val="clear" w:color="auto" w:fill="auto"/>
            <w:noWrap/>
            <w:vAlign w:val="center"/>
            <w:hideMark/>
          </w:tcPr>
          <w:p w14:paraId="2D683330" w14:textId="77777777" w:rsidR="00D74B1A" w:rsidRPr="00D74B1A" w:rsidRDefault="00D74B1A" w:rsidP="00D74B1A">
            <w:pPr>
              <w:spacing w:after="0" w:line="240" w:lineRule="auto"/>
              <w:rPr>
                <w:rFonts w:ascii="Calibri" w:eastAsia="Times New Roman" w:hAnsi="Calibri" w:cs="Times New Roman"/>
                <w:i/>
                <w:iCs/>
                <w:color w:val="000000"/>
                <w:lang w:eastAsia="en-GB"/>
              </w:rPr>
            </w:pPr>
            <w:r w:rsidRPr="00D74B1A">
              <w:rPr>
                <w:rFonts w:ascii="Calibri" w:eastAsia="Times New Roman" w:hAnsi="Calibri" w:cs="Times New Roman"/>
                <w:i/>
                <w:iCs/>
                <w:color w:val="000000"/>
                <w:lang w:eastAsia="en-GB"/>
              </w:rPr>
              <w:t>Library</w:t>
            </w:r>
          </w:p>
        </w:tc>
        <w:tc>
          <w:tcPr>
            <w:tcW w:w="2100" w:type="dxa"/>
            <w:tcBorders>
              <w:top w:val="nil"/>
              <w:left w:val="nil"/>
              <w:bottom w:val="single" w:sz="8" w:space="0" w:color="auto"/>
              <w:right w:val="nil"/>
            </w:tcBorders>
            <w:shd w:val="clear" w:color="auto" w:fill="auto"/>
            <w:noWrap/>
            <w:vAlign w:val="center"/>
            <w:hideMark/>
          </w:tcPr>
          <w:p w14:paraId="11809354" w14:textId="77777777" w:rsidR="00D74B1A" w:rsidRPr="00D74B1A" w:rsidRDefault="00D74B1A" w:rsidP="00D74B1A">
            <w:pPr>
              <w:spacing w:after="0" w:line="240" w:lineRule="auto"/>
              <w:jc w:val="center"/>
              <w:rPr>
                <w:rFonts w:ascii="Calibri" w:eastAsia="Times New Roman" w:hAnsi="Calibri" w:cs="Times New Roman"/>
                <w:color w:val="000000"/>
                <w:lang w:eastAsia="en-GB"/>
              </w:rPr>
            </w:pPr>
            <w:r w:rsidRPr="00D74B1A">
              <w:rPr>
                <w:rFonts w:ascii="Calibri" w:eastAsia="Times New Roman" w:hAnsi="Calibri" w:cs="Times New Roman"/>
                <w:color w:val="000000"/>
                <w:lang w:eastAsia="en-GB"/>
              </w:rPr>
              <w:t>9.40%</w:t>
            </w:r>
          </w:p>
        </w:tc>
        <w:tc>
          <w:tcPr>
            <w:tcW w:w="2380" w:type="dxa"/>
            <w:tcBorders>
              <w:top w:val="nil"/>
              <w:left w:val="nil"/>
              <w:bottom w:val="single" w:sz="8" w:space="0" w:color="auto"/>
              <w:right w:val="single" w:sz="8" w:space="0" w:color="auto"/>
            </w:tcBorders>
            <w:shd w:val="clear" w:color="auto" w:fill="auto"/>
            <w:noWrap/>
            <w:vAlign w:val="center"/>
            <w:hideMark/>
          </w:tcPr>
          <w:p w14:paraId="0CA0BDA8" w14:textId="77777777" w:rsidR="00D74B1A" w:rsidRPr="00D74B1A" w:rsidRDefault="00D74B1A" w:rsidP="00D74B1A">
            <w:pPr>
              <w:spacing w:after="0" w:line="240" w:lineRule="auto"/>
              <w:jc w:val="center"/>
              <w:rPr>
                <w:rFonts w:ascii="Calibri" w:eastAsia="Times New Roman" w:hAnsi="Calibri" w:cs="Times New Roman"/>
                <w:color w:val="000000"/>
                <w:lang w:eastAsia="en-GB"/>
              </w:rPr>
            </w:pPr>
            <w:r w:rsidRPr="00D74B1A">
              <w:rPr>
                <w:rFonts w:ascii="Calibri" w:eastAsia="Times New Roman" w:hAnsi="Calibri" w:cs="Times New Roman"/>
                <w:color w:val="000000"/>
                <w:lang w:eastAsia="en-GB"/>
              </w:rPr>
              <w:t>0.66%</w:t>
            </w:r>
          </w:p>
        </w:tc>
      </w:tr>
    </w:tbl>
    <w:p w14:paraId="32A8F1D4" w14:textId="77777777" w:rsidR="00A82C3E" w:rsidRDefault="00A82C3E" w:rsidP="00872055">
      <w:pPr>
        <w:spacing w:after="0" w:line="240" w:lineRule="auto"/>
        <w:rPr>
          <w:rFonts w:cstheme="minorHAnsi"/>
          <w:color w:val="FF0000"/>
          <w:sz w:val="24"/>
          <w:szCs w:val="24"/>
        </w:rPr>
      </w:pPr>
    </w:p>
    <w:p w14:paraId="165212D5" w14:textId="77777777" w:rsidR="00DD59A0" w:rsidRDefault="00476D05" w:rsidP="00DD59A0">
      <w:pPr>
        <w:spacing w:after="0" w:line="240" w:lineRule="auto"/>
        <w:rPr>
          <w:rFonts w:eastAsia="Times New Roman" w:cstheme="minorHAnsi"/>
          <w:sz w:val="24"/>
          <w:szCs w:val="27"/>
        </w:rPr>
      </w:pPr>
      <w:r>
        <w:rPr>
          <w:rFonts w:eastAsia="Times New Roman" w:cstheme="minorHAnsi"/>
          <w:sz w:val="24"/>
          <w:szCs w:val="27"/>
        </w:rPr>
        <w:t xml:space="preserve">For the purposes of valuation it is assumed that everyone that is currently enrolled as a full time student goes onto complete their education/course. </w:t>
      </w:r>
      <w:r w:rsidR="00DD59A0">
        <w:rPr>
          <w:rFonts w:eastAsia="Times New Roman" w:cstheme="minorHAnsi"/>
          <w:sz w:val="24"/>
          <w:szCs w:val="27"/>
        </w:rPr>
        <w:t xml:space="preserve">The estimated impacts on education are valued using the </w:t>
      </w:r>
      <w:r w:rsidR="007F0E8C">
        <w:rPr>
          <w:rFonts w:eastAsia="Times New Roman" w:cstheme="minorHAnsi"/>
          <w:sz w:val="24"/>
          <w:szCs w:val="27"/>
        </w:rPr>
        <w:t>OECD (2013</w:t>
      </w:r>
      <w:r w:rsidR="00DD59A0" w:rsidRPr="00A130BC">
        <w:rPr>
          <w:rFonts w:eastAsia="Times New Roman" w:cstheme="minorHAnsi"/>
          <w:sz w:val="24"/>
          <w:szCs w:val="27"/>
        </w:rPr>
        <w:t>) estimates for tertiary education</w:t>
      </w:r>
      <w:r w:rsidR="00DD59A0">
        <w:rPr>
          <w:rFonts w:eastAsia="Times New Roman" w:cstheme="minorHAnsi"/>
          <w:sz w:val="24"/>
          <w:szCs w:val="27"/>
        </w:rPr>
        <w:t>, which includes higher education as well as community colleges, training institutes, technical colleges and distance learning establishments</w:t>
      </w:r>
      <w:r w:rsidR="00DD59A0" w:rsidRPr="00A130BC">
        <w:rPr>
          <w:rFonts w:eastAsia="Times New Roman" w:cstheme="minorHAnsi"/>
          <w:sz w:val="24"/>
          <w:szCs w:val="27"/>
        </w:rPr>
        <w:t xml:space="preserve">. </w:t>
      </w:r>
      <w:r w:rsidR="00DD59A0">
        <w:rPr>
          <w:rFonts w:eastAsia="Times New Roman" w:cstheme="minorHAnsi"/>
          <w:sz w:val="24"/>
          <w:szCs w:val="27"/>
        </w:rPr>
        <w:t xml:space="preserve">This broader definition of education fits more closely with the variable definition for FE/HE used in the BHPS and Understanding Society than other </w:t>
      </w:r>
      <w:r w:rsidR="003E0D38">
        <w:rPr>
          <w:rFonts w:eastAsia="Times New Roman" w:cstheme="minorHAnsi"/>
          <w:sz w:val="24"/>
          <w:szCs w:val="27"/>
        </w:rPr>
        <w:t xml:space="preserve">UK </w:t>
      </w:r>
      <w:r w:rsidR="00DD59A0">
        <w:rPr>
          <w:rFonts w:eastAsia="Times New Roman" w:cstheme="minorHAnsi"/>
          <w:sz w:val="24"/>
          <w:szCs w:val="27"/>
        </w:rPr>
        <w:t>studies by the Department for Business Innovation and Skills (BIS)</w:t>
      </w:r>
      <w:r w:rsidR="00DD59A0">
        <w:rPr>
          <w:rStyle w:val="FootnoteReference"/>
          <w:rFonts w:eastAsia="Times New Roman" w:cstheme="minorHAnsi"/>
          <w:sz w:val="24"/>
          <w:szCs w:val="27"/>
        </w:rPr>
        <w:footnoteReference w:id="15"/>
      </w:r>
      <w:r w:rsidR="003E0D38">
        <w:rPr>
          <w:rFonts w:eastAsia="Times New Roman" w:cstheme="minorHAnsi"/>
          <w:sz w:val="24"/>
          <w:szCs w:val="27"/>
        </w:rPr>
        <w:t xml:space="preserve">, which focuses on university-level education. </w:t>
      </w:r>
    </w:p>
    <w:p w14:paraId="65A92D6C" w14:textId="77777777" w:rsidR="00A7568D" w:rsidRDefault="00A7568D" w:rsidP="00DD59A0">
      <w:pPr>
        <w:spacing w:after="0" w:line="240" w:lineRule="auto"/>
        <w:rPr>
          <w:rFonts w:eastAsia="Times New Roman" w:cstheme="minorHAnsi"/>
          <w:sz w:val="24"/>
          <w:szCs w:val="27"/>
        </w:rPr>
      </w:pPr>
    </w:p>
    <w:p w14:paraId="26408358" w14:textId="77777777" w:rsidR="003F31F7" w:rsidRDefault="007F0E8C" w:rsidP="00DD59A0">
      <w:pPr>
        <w:spacing w:after="0" w:line="240" w:lineRule="auto"/>
        <w:rPr>
          <w:rFonts w:eastAsia="Times New Roman" w:cstheme="minorHAnsi"/>
          <w:sz w:val="24"/>
          <w:szCs w:val="27"/>
        </w:rPr>
      </w:pPr>
      <w:r>
        <w:rPr>
          <w:rFonts w:eastAsia="Times New Roman" w:cstheme="minorHAnsi"/>
          <w:sz w:val="24"/>
          <w:szCs w:val="27"/>
        </w:rPr>
        <w:t>The OECD (2013</w:t>
      </w:r>
      <w:r w:rsidR="00A7568D">
        <w:rPr>
          <w:rFonts w:eastAsia="Times New Roman" w:cstheme="minorHAnsi"/>
          <w:sz w:val="24"/>
          <w:szCs w:val="27"/>
        </w:rPr>
        <w:t xml:space="preserve">) </w:t>
      </w:r>
      <w:r w:rsidR="00DD59A0" w:rsidRPr="00A130BC">
        <w:rPr>
          <w:rFonts w:eastAsia="Times New Roman" w:cstheme="minorHAnsi"/>
          <w:sz w:val="24"/>
          <w:szCs w:val="27"/>
        </w:rPr>
        <w:t xml:space="preserve">estimates </w:t>
      </w:r>
      <w:r w:rsidR="00A7568D">
        <w:rPr>
          <w:rFonts w:eastAsia="Times New Roman" w:cstheme="minorHAnsi"/>
          <w:sz w:val="24"/>
          <w:szCs w:val="27"/>
        </w:rPr>
        <w:t xml:space="preserve">the </w:t>
      </w:r>
      <w:r w:rsidR="00DD59A0" w:rsidRPr="00A130BC">
        <w:rPr>
          <w:rFonts w:eastAsia="Times New Roman" w:cstheme="minorHAnsi"/>
          <w:sz w:val="24"/>
          <w:szCs w:val="27"/>
        </w:rPr>
        <w:t>private and public benefits</w:t>
      </w:r>
      <w:r w:rsidR="00A7568D">
        <w:rPr>
          <w:rFonts w:eastAsia="Times New Roman" w:cstheme="minorHAnsi"/>
          <w:sz w:val="24"/>
          <w:szCs w:val="27"/>
        </w:rPr>
        <w:t xml:space="preserve"> of increased educational attainment</w:t>
      </w:r>
      <w:r w:rsidR="00476D05">
        <w:rPr>
          <w:rFonts w:eastAsia="Times New Roman" w:cstheme="minorHAnsi"/>
          <w:sz w:val="24"/>
          <w:szCs w:val="27"/>
        </w:rPr>
        <w:t xml:space="preserve"> at the tertiary level</w:t>
      </w:r>
      <w:r w:rsidR="00DD59A0" w:rsidRPr="00A130BC">
        <w:rPr>
          <w:rFonts w:eastAsia="Times New Roman" w:cstheme="minorHAnsi"/>
          <w:sz w:val="24"/>
          <w:szCs w:val="27"/>
        </w:rPr>
        <w:t xml:space="preserve">. The private </w:t>
      </w:r>
      <w:r w:rsidR="000A2615">
        <w:rPr>
          <w:rFonts w:eastAsia="Times New Roman" w:cstheme="minorHAnsi"/>
          <w:sz w:val="24"/>
          <w:szCs w:val="27"/>
        </w:rPr>
        <w:t xml:space="preserve">net </w:t>
      </w:r>
      <w:r w:rsidR="00DD59A0" w:rsidRPr="00A130BC">
        <w:rPr>
          <w:rFonts w:eastAsia="Times New Roman" w:cstheme="minorHAnsi"/>
          <w:sz w:val="24"/>
          <w:szCs w:val="27"/>
        </w:rPr>
        <w:t>gross</w:t>
      </w:r>
      <w:r w:rsidR="000A2615">
        <w:rPr>
          <w:rFonts w:eastAsia="Times New Roman" w:cstheme="minorHAnsi"/>
          <w:sz w:val="24"/>
          <w:szCs w:val="27"/>
        </w:rPr>
        <w:t xml:space="preserve"> lifetime</w:t>
      </w:r>
      <w:r w:rsidR="00DD59A0" w:rsidRPr="00A130BC">
        <w:rPr>
          <w:rFonts w:eastAsia="Times New Roman" w:cstheme="minorHAnsi"/>
          <w:sz w:val="24"/>
          <w:szCs w:val="27"/>
        </w:rPr>
        <w:t xml:space="preserve"> earnings benefits </w:t>
      </w:r>
      <w:r w:rsidR="00A7568D">
        <w:rPr>
          <w:rFonts w:eastAsia="Times New Roman" w:cstheme="minorHAnsi"/>
          <w:sz w:val="24"/>
          <w:szCs w:val="27"/>
        </w:rPr>
        <w:t>for UK men are estimated to be $398,</w:t>
      </w:r>
      <w:r w:rsidR="00DD59A0" w:rsidRPr="00A130BC">
        <w:rPr>
          <w:rFonts w:eastAsia="Times New Roman" w:cstheme="minorHAnsi"/>
          <w:sz w:val="24"/>
          <w:szCs w:val="27"/>
        </w:rPr>
        <w:t>5</w:t>
      </w:r>
      <w:r w:rsidR="00A7568D">
        <w:rPr>
          <w:rFonts w:eastAsia="Times New Roman" w:cstheme="minorHAnsi"/>
          <w:sz w:val="24"/>
          <w:szCs w:val="27"/>
        </w:rPr>
        <w:t>00</w:t>
      </w:r>
      <w:r w:rsidR="00DD59A0" w:rsidRPr="00A130BC">
        <w:rPr>
          <w:rFonts w:eastAsia="Times New Roman" w:cstheme="minorHAnsi"/>
          <w:sz w:val="24"/>
          <w:szCs w:val="27"/>
        </w:rPr>
        <w:t xml:space="preserve"> (</w:t>
      </w:r>
      <w:r w:rsidR="00A7568D">
        <w:rPr>
          <w:rFonts w:eastAsia="Times New Roman" w:cstheme="minorHAnsi"/>
          <w:sz w:val="24"/>
          <w:szCs w:val="27"/>
        </w:rPr>
        <w:t>£254,</w:t>
      </w:r>
      <w:r w:rsidR="00A7568D" w:rsidRPr="00A130BC">
        <w:rPr>
          <w:rFonts w:eastAsia="Times New Roman" w:cstheme="minorHAnsi"/>
          <w:sz w:val="24"/>
          <w:szCs w:val="27"/>
        </w:rPr>
        <w:t>9</w:t>
      </w:r>
      <w:r w:rsidR="00A7568D">
        <w:rPr>
          <w:rFonts w:eastAsia="Times New Roman" w:cstheme="minorHAnsi"/>
          <w:sz w:val="24"/>
          <w:szCs w:val="27"/>
        </w:rPr>
        <w:t>00</w:t>
      </w:r>
      <w:r w:rsidR="00DD59A0" w:rsidRPr="00A130BC">
        <w:rPr>
          <w:rFonts w:eastAsia="Times New Roman" w:cstheme="minorHAnsi"/>
          <w:sz w:val="24"/>
          <w:szCs w:val="27"/>
        </w:rPr>
        <w:t xml:space="preserve">) and </w:t>
      </w:r>
      <w:r w:rsidR="00A7568D">
        <w:rPr>
          <w:rFonts w:eastAsia="Times New Roman" w:cstheme="minorHAnsi"/>
          <w:sz w:val="24"/>
          <w:szCs w:val="27"/>
        </w:rPr>
        <w:t>for UK women to be $355,</w:t>
      </w:r>
      <w:r w:rsidR="00DD59A0" w:rsidRPr="00A130BC">
        <w:rPr>
          <w:rFonts w:eastAsia="Times New Roman" w:cstheme="minorHAnsi"/>
          <w:sz w:val="24"/>
          <w:szCs w:val="27"/>
        </w:rPr>
        <w:t>5</w:t>
      </w:r>
      <w:r w:rsidR="00A7568D">
        <w:rPr>
          <w:rFonts w:eastAsia="Times New Roman" w:cstheme="minorHAnsi"/>
          <w:sz w:val="24"/>
          <w:szCs w:val="27"/>
        </w:rPr>
        <w:t>00</w:t>
      </w:r>
      <w:r w:rsidR="00DD59A0" w:rsidRPr="00A130BC">
        <w:rPr>
          <w:rFonts w:eastAsia="Times New Roman" w:cstheme="minorHAnsi"/>
          <w:sz w:val="24"/>
          <w:szCs w:val="27"/>
        </w:rPr>
        <w:t xml:space="preserve"> (</w:t>
      </w:r>
      <w:r w:rsidR="002A20DB">
        <w:rPr>
          <w:rFonts w:eastAsia="Times New Roman" w:cstheme="minorHAnsi"/>
          <w:sz w:val="24"/>
          <w:szCs w:val="27"/>
        </w:rPr>
        <w:t>£227,400</w:t>
      </w:r>
      <w:r w:rsidR="00DD59A0" w:rsidRPr="00A130BC">
        <w:rPr>
          <w:rFonts w:eastAsia="Times New Roman" w:cstheme="minorHAnsi"/>
          <w:sz w:val="24"/>
          <w:szCs w:val="27"/>
        </w:rPr>
        <w:t>)</w:t>
      </w:r>
      <w:r w:rsidR="00A7568D">
        <w:rPr>
          <w:rStyle w:val="FootnoteReference"/>
          <w:rFonts w:eastAsia="Times New Roman" w:cstheme="minorHAnsi"/>
          <w:sz w:val="24"/>
          <w:szCs w:val="27"/>
        </w:rPr>
        <w:footnoteReference w:id="16"/>
      </w:r>
      <w:r w:rsidR="002A46A7">
        <w:rPr>
          <w:rFonts w:eastAsia="Times New Roman" w:cstheme="minorHAnsi"/>
          <w:sz w:val="24"/>
          <w:szCs w:val="27"/>
        </w:rPr>
        <w:t xml:space="preserve">. </w:t>
      </w:r>
      <w:r w:rsidR="00DD59A0" w:rsidRPr="00A130BC">
        <w:rPr>
          <w:rFonts w:eastAsia="Times New Roman" w:cstheme="minorHAnsi"/>
          <w:sz w:val="24"/>
          <w:szCs w:val="27"/>
        </w:rPr>
        <w:t xml:space="preserve">The public </w:t>
      </w:r>
      <w:r w:rsidR="000A2615">
        <w:rPr>
          <w:rFonts w:eastAsia="Times New Roman" w:cstheme="minorHAnsi"/>
          <w:sz w:val="24"/>
          <w:szCs w:val="27"/>
        </w:rPr>
        <w:t xml:space="preserve">net lifetime </w:t>
      </w:r>
      <w:r w:rsidR="00DD59A0" w:rsidRPr="00A130BC">
        <w:rPr>
          <w:rFonts w:eastAsia="Times New Roman" w:cstheme="minorHAnsi"/>
          <w:sz w:val="24"/>
          <w:szCs w:val="27"/>
        </w:rPr>
        <w:t>benefits are made up of</w:t>
      </w:r>
      <w:r w:rsidR="00A7568D">
        <w:rPr>
          <w:rFonts w:eastAsia="Times New Roman" w:cstheme="minorHAnsi"/>
          <w:sz w:val="24"/>
          <w:szCs w:val="27"/>
        </w:rPr>
        <w:t xml:space="preserve"> increased</w:t>
      </w:r>
      <w:r w:rsidR="00DD59A0" w:rsidRPr="00A130BC">
        <w:rPr>
          <w:rFonts w:eastAsia="Times New Roman" w:cstheme="minorHAnsi"/>
          <w:sz w:val="24"/>
          <w:szCs w:val="27"/>
        </w:rPr>
        <w:t xml:space="preserve"> income tax</w:t>
      </w:r>
      <w:r w:rsidR="00A7568D">
        <w:rPr>
          <w:rFonts w:eastAsia="Times New Roman" w:cstheme="minorHAnsi"/>
          <w:sz w:val="24"/>
          <w:szCs w:val="27"/>
        </w:rPr>
        <w:t xml:space="preserve"> receipts and</w:t>
      </w:r>
      <w:r w:rsidR="00DD59A0" w:rsidRPr="00A130BC">
        <w:rPr>
          <w:rFonts w:eastAsia="Times New Roman" w:cstheme="minorHAnsi"/>
          <w:sz w:val="24"/>
          <w:szCs w:val="27"/>
        </w:rPr>
        <w:t xml:space="preserve"> social contributions. These are £85</w:t>
      </w:r>
      <w:r w:rsidR="00A7568D">
        <w:rPr>
          <w:rFonts w:eastAsia="Times New Roman" w:cstheme="minorHAnsi"/>
          <w:sz w:val="24"/>
          <w:szCs w:val="27"/>
        </w:rPr>
        <w:t>,600</w:t>
      </w:r>
      <w:r w:rsidR="00DD59A0" w:rsidRPr="00A130BC">
        <w:rPr>
          <w:rFonts w:eastAsia="Times New Roman" w:cstheme="minorHAnsi"/>
          <w:sz w:val="24"/>
          <w:szCs w:val="27"/>
        </w:rPr>
        <w:t xml:space="preserve"> (UK male)</w:t>
      </w:r>
      <w:r w:rsidR="00A7568D">
        <w:rPr>
          <w:rFonts w:eastAsia="Times New Roman" w:cstheme="minorHAnsi"/>
          <w:sz w:val="24"/>
          <w:szCs w:val="27"/>
        </w:rPr>
        <w:t xml:space="preserve"> and £74,600</w:t>
      </w:r>
      <w:r w:rsidR="00DD59A0" w:rsidRPr="00A130BC">
        <w:rPr>
          <w:rFonts w:eastAsia="Times New Roman" w:cstheme="minorHAnsi"/>
          <w:sz w:val="24"/>
          <w:szCs w:val="27"/>
        </w:rPr>
        <w:t xml:space="preserve"> (UK female). </w:t>
      </w:r>
      <w:r w:rsidR="002A46A7">
        <w:rPr>
          <w:rFonts w:eastAsia="Times New Roman" w:cstheme="minorHAnsi"/>
          <w:sz w:val="24"/>
          <w:szCs w:val="27"/>
        </w:rPr>
        <w:t xml:space="preserve">These are </w:t>
      </w:r>
      <w:r w:rsidR="00DD59A0" w:rsidRPr="00A130BC">
        <w:rPr>
          <w:rFonts w:eastAsia="Times New Roman" w:cstheme="minorHAnsi"/>
          <w:sz w:val="24"/>
          <w:szCs w:val="27"/>
        </w:rPr>
        <w:t xml:space="preserve">net present value </w:t>
      </w:r>
      <w:r w:rsidR="002A46A7">
        <w:rPr>
          <w:rFonts w:eastAsia="Times New Roman" w:cstheme="minorHAnsi"/>
          <w:sz w:val="24"/>
          <w:szCs w:val="27"/>
        </w:rPr>
        <w:t xml:space="preserve">estimates </w:t>
      </w:r>
      <w:r w:rsidR="000A2615">
        <w:rPr>
          <w:rFonts w:eastAsia="Times New Roman" w:cstheme="minorHAnsi"/>
          <w:sz w:val="24"/>
          <w:szCs w:val="27"/>
        </w:rPr>
        <w:t>from which costs associated with education have been subtracted. P</w:t>
      </w:r>
      <w:r w:rsidR="00DD59A0" w:rsidRPr="00A130BC">
        <w:rPr>
          <w:rFonts w:eastAsia="Times New Roman" w:cstheme="minorHAnsi"/>
          <w:sz w:val="24"/>
          <w:szCs w:val="27"/>
        </w:rPr>
        <w:t>rivate costs include foregone earnings, cost of studying (minus any grants) and increased fut</w:t>
      </w:r>
      <w:r w:rsidR="00DD59A0">
        <w:rPr>
          <w:rFonts w:eastAsia="Times New Roman" w:cstheme="minorHAnsi"/>
          <w:sz w:val="24"/>
          <w:szCs w:val="27"/>
        </w:rPr>
        <w:t>ure taxes</w:t>
      </w:r>
      <w:r w:rsidR="000A2615">
        <w:rPr>
          <w:rStyle w:val="FootnoteReference"/>
          <w:rFonts w:eastAsia="Times New Roman" w:cstheme="minorHAnsi"/>
          <w:sz w:val="24"/>
          <w:szCs w:val="27"/>
        </w:rPr>
        <w:footnoteReference w:id="17"/>
      </w:r>
      <w:r w:rsidR="00DD59A0">
        <w:rPr>
          <w:rFonts w:eastAsia="Times New Roman" w:cstheme="minorHAnsi"/>
          <w:sz w:val="24"/>
          <w:szCs w:val="27"/>
        </w:rPr>
        <w:t xml:space="preserve">. </w:t>
      </w:r>
      <w:r w:rsidR="000A2615">
        <w:rPr>
          <w:rFonts w:eastAsia="Times New Roman" w:cstheme="minorHAnsi"/>
          <w:sz w:val="24"/>
          <w:szCs w:val="27"/>
        </w:rPr>
        <w:t>P</w:t>
      </w:r>
      <w:r w:rsidR="00DD59A0">
        <w:rPr>
          <w:rFonts w:eastAsia="Times New Roman" w:cstheme="minorHAnsi"/>
          <w:sz w:val="24"/>
          <w:szCs w:val="27"/>
        </w:rPr>
        <w:t xml:space="preserve">ublic costs are </w:t>
      </w:r>
      <w:r w:rsidR="00DD59A0" w:rsidRPr="00A130BC">
        <w:rPr>
          <w:rFonts w:eastAsia="Times New Roman" w:cstheme="minorHAnsi"/>
          <w:sz w:val="24"/>
          <w:szCs w:val="27"/>
        </w:rPr>
        <w:t xml:space="preserve">public expenditure on education </w:t>
      </w:r>
      <w:r w:rsidR="00DD59A0">
        <w:rPr>
          <w:rFonts w:eastAsia="Times New Roman" w:cstheme="minorHAnsi"/>
          <w:sz w:val="24"/>
          <w:szCs w:val="27"/>
        </w:rPr>
        <w:t>establishments,</w:t>
      </w:r>
      <w:r w:rsidR="00DD59A0" w:rsidRPr="00A130BC">
        <w:rPr>
          <w:rFonts w:eastAsia="Times New Roman" w:cstheme="minorHAnsi"/>
          <w:sz w:val="24"/>
          <w:szCs w:val="27"/>
        </w:rPr>
        <w:t xml:space="preserve"> grants allocated and lost tax receipts during the training period. The baseline </w:t>
      </w:r>
      <w:r w:rsidR="00C17DB1">
        <w:rPr>
          <w:rFonts w:eastAsia="Times New Roman" w:cstheme="minorHAnsi"/>
          <w:sz w:val="24"/>
          <w:szCs w:val="27"/>
        </w:rPr>
        <w:t xml:space="preserve">or reference level of education </w:t>
      </w:r>
      <w:r w:rsidR="00DD59A0" w:rsidRPr="00A130BC">
        <w:rPr>
          <w:rFonts w:eastAsia="Times New Roman" w:cstheme="minorHAnsi"/>
          <w:sz w:val="24"/>
          <w:szCs w:val="27"/>
        </w:rPr>
        <w:t>is upper secondary or post-secondary non-tertiary education. </w:t>
      </w:r>
      <w:r w:rsidR="003F31F7">
        <w:rPr>
          <w:rFonts w:eastAsia="Times New Roman" w:cstheme="minorHAnsi"/>
          <w:sz w:val="24"/>
          <w:szCs w:val="27"/>
        </w:rPr>
        <w:t>We take the average of the male and female private and public benefit estimates.</w:t>
      </w:r>
    </w:p>
    <w:p w14:paraId="13FB8B28" w14:textId="77777777" w:rsidR="003F31F7" w:rsidRDefault="003F31F7" w:rsidP="00DD59A0">
      <w:pPr>
        <w:spacing w:after="0" w:line="240" w:lineRule="auto"/>
        <w:rPr>
          <w:rFonts w:eastAsia="Times New Roman" w:cstheme="minorHAnsi"/>
          <w:sz w:val="24"/>
          <w:szCs w:val="27"/>
        </w:rPr>
      </w:pPr>
    </w:p>
    <w:p w14:paraId="34163C3F" w14:textId="77777777" w:rsidR="003F31F7" w:rsidRDefault="003F31F7" w:rsidP="003F31F7">
      <w:pPr>
        <w:spacing w:after="0" w:line="240" w:lineRule="auto"/>
        <w:rPr>
          <w:b/>
          <w:sz w:val="24"/>
        </w:rPr>
      </w:pPr>
      <w:r>
        <w:rPr>
          <w:b/>
          <w:sz w:val="24"/>
        </w:rPr>
        <w:t>Table 1</w:t>
      </w:r>
      <w:r w:rsidR="00F473B0">
        <w:rPr>
          <w:b/>
          <w:sz w:val="24"/>
        </w:rPr>
        <w:t>5</w:t>
      </w:r>
      <w:r>
        <w:rPr>
          <w:b/>
          <w:sz w:val="24"/>
        </w:rPr>
        <w:t xml:space="preserve">. Projected </w:t>
      </w:r>
      <w:r w:rsidR="00BB5CF2">
        <w:rPr>
          <w:b/>
          <w:sz w:val="24"/>
        </w:rPr>
        <w:t xml:space="preserve">private and public benefits of increased </w:t>
      </w:r>
      <w:r>
        <w:rPr>
          <w:b/>
          <w:sz w:val="24"/>
          <w:szCs w:val="24"/>
        </w:rPr>
        <w:t>educational attendance</w:t>
      </w:r>
    </w:p>
    <w:tbl>
      <w:tblPr>
        <w:tblW w:w="8020" w:type="dxa"/>
        <w:tblLook w:val="04A0" w:firstRow="1" w:lastRow="0" w:firstColumn="1" w:lastColumn="0" w:noHBand="0" w:noVBand="1"/>
      </w:tblPr>
      <w:tblGrid>
        <w:gridCol w:w="2000"/>
        <w:gridCol w:w="2240"/>
        <w:gridCol w:w="1940"/>
        <w:gridCol w:w="1840"/>
      </w:tblGrid>
      <w:tr w:rsidR="003F31F7" w:rsidRPr="003F31F7" w14:paraId="1F2BFFD3" w14:textId="77777777" w:rsidTr="003F31F7">
        <w:trPr>
          <w:trHeight w:val="290"/>
        </w:trPr>
        <w:tc>
          <w:tcPr>
            <w:tcW w:w="2000" w:type="dxa"/>
            <w:tcBorders>
              <w:top w:val="single" w:sz="8" w:space="0" w:color="auto"/>
              <w:left w:val="single" w:sz="8" w:space="0" w:color="auto"/>
              <w:bottom w:val="single" w:sz="4" w:space="0" w:color="auto"/>
              <w:right w:val="nil"/>
            </w:tcBorders>
            <w:shd w:val="clear" w:color="000000" w:fill="0070C0"/>
            <w:hideMark/>
          </w:tcPr>
          <w:p w14:paraId="54121800"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Variables</w:t>
            </w:r>
          </w:p>
        </w:tc>
        <w:tc>
          <w:tcPr>
            <w:tcW w:w="2240" w:type="dxa"/>
            <w:tcBorders>
              <w:top w:val="single" w:sz="8" w:space="0" w:color="auto"/>
              <w:left w:val="nil"/>
              <w:bottom w:val="single" w:sz="4" w:space="0" w:color="auto"/>
              <w:right w:val="nil"/>
            </w:tcBorders>
            <w:shd w:val="clear" w:color="000000" w:fill="0070C0"/>
            <w:noWrap/>
            <w:hideMark/>
          </w:tcPr>
          <w:p w14:paraId="552F8D0B"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Net private benefits</w:t>
            </w:r>
            <w:r w:rsidR="00864676">
              <w:rPr>
                <w:rFonts w:ascii="Calibri" w:eastAsia="Times New Roman" w:hAnsi="Calibri" w:cs="Times New Roman"/>
                <w:b/>
                <w:bCs/>
                <w:color w:val="FFFFFF"/>
                <w:lang w:eastAsia="en-GB"/>
              </w:rPr>
              <w:t xml:space="preserve"> per person</w:t>
            </w:r>
            <w:r w:rsidR="001E00D6">
              <w:rPr>
                <w:rFonts w:ascii="Calibri" w:eastAsia="Times New Roman" w:hAnsi="Calibri" w:cs="Times New Roman"/>
                <w:b/>
                <w:bCs/>
                <w:color w:val="FFFFFF"/>
                <w:lang w:eastAsia="en-GB"/>
              </w:rPr>
              <w:t xml:space="preserve"> </w:t>
            </w:r>
          </w:p>
        </w:tc>
        <w:tc>
          <w:tcPr>
            <w:tcW w:w="1940" w:type="dxa"/>
            <w:tcBorders>
              <w:top w:val="single" w:sz="8" w:space="0" w:color="auto"/>
              <w:left w:val="nil"/>
              <w:bottom w:val="single" w:sz="4" w:space="0" w:color="auto"/>
              <w:right w:val="nil"/>
            </w:tcBorders>
            <w:shd w:val="clear" w:color="000000" w:fill="0070C0"/>
            <w:noWrap/>
            <w:hideMark/>
          </w:tcPr>
          <w:p w14:paraId="1C42BF0F"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Net public benefits</w:t>
            </w:r>
            <w:r w:rsidR="00864676">
              <w:rPr>
                <w:rFonts w:ascii="Calibri" w:eastAsia="Times New Roman" w:hAnsi="Calibri" w:cs="Times New Roman"/>
                <w:b/>
                <w:bCs/>
                <w:color w:val="FFFFFF"/>
                <w:lang w:eastAsia="en-GB"/>
              </w:rPr>
              <w:t xml:space="preserve"> per person</w:t>
            </w:r>
          </w:p>
        </w:tc>
        <w:tc>
          <w:tcPr>
            <w:tcW w:w="1840" w:type="dxa"/>
            <w:tcBorders>
              <w:top w:val="single" w:sz="8" w:space="0" w:color="auto"/>
              <w:left w:val="nil"/>
              <w:bottom w:val="single" w:sz="4" w:space="0" w:color="auto"/>
              <w:right w:val="single" w:sz="8" w:space="0" w:color="auto"/>
            </w:tcBorders>
            <w:shd w:val="clear" w:color="000000" w:fill="0070C0"/>
            <w:noWrap/>
            <w:hideMark/>
          </w:tcPr>
          <w:p w14:paraId="47A850AE"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Total net benefits</w:t>
            </w:r>
            <w:r w:rsidR="00864676">
              <w:rPr>
                <w:rFonts w:ascii="Calibri" w:eastAsia="Times New Roman" w:hAnsi="Calibri" w:cs="Times New Roman"/>
                <w:b/>
                <w:bCs/>
                <w:color w:val="FFFFFF"/>
                <w:lang w:eastAsia="en-GB"/>
              </w:rPr>
              <w:t xml:space="preserve"> per person</w:t>
            </w:r>
          </w:p>
        </w:tc>
      </w:tr>
      <w:tr w:rsidR="003F31F7" w:rsidRPr="003F31F7" w14:paraId="26154583" w14:textId="77777777" w:rsidTr="003F31F7">
        <w:trPr>
          <w:trHeight w:val="290"/>
        </w:trPr>
        <w:tc>
          <w:tcPr>
            <w:tcW w:w="2000" w:type="dxa"/>
            <w:tcBorders>
              <w:top w:val="nil"/>
              <w:left w:val="single" w:sz="8" w:space="0" w:color="auto"/>
              <w:bottom w:val="single" w:sz="4" w:space="0" w:color="auto"/>
              <w:right w:val="nil"/>
            </w:tcBorders>
            <w:shd w:val="clear" w:color="000000" w:fill="0070C0"/>
            <w:noWrap/>
            <w:hideMark/>
          </w:tcPr>
          <w:p w14:paraId="7602089B"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Culture</w:t>
            </w:r>
          </w:p>
        </w:tc>
        <w:tc>
          <w:tcPr>
            <w:tcW w:w="2240" w:type="dxa"/>
            <w:tcBorders>
              <w:top w:val="nil"/>
              <w:left w:val="nil"/>
              <w:bottom w:val="single" w:sz="4" w:space="0" w:color="auto"/>
              <w:right w:val="nil"/>
            </w:tcBorders>
            <w:shd w:val="clear" w:color="000000" w:fill="0070C0"/>
            <w:noWrap/>
            <w:hideMark/>
          </w:tcPr>
          <w:p w14:paraId="47112309"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 </w:t>
            </w:r>
          </w:p>
        </w:tc>
        <w:tc>
          <w:tcPr>
            <w:tcW w:w="1940" w:type="dxa"/>
            <w:tcBorders>
              <w:top w:val="nil"/>
              <w:left w:val="nil"/>
              <w:bottom w:val="single" w:sz="4" w:space="0" w:color="auto"/>
              <w:right w:val="nil"/>
            </w:tcBorders>
            <w:shd w:val="clear" w:color="000000" w:fill="0070C0"/>
            <w:noWrap/>
            <w:hideMark/>
          </w:tcPr>
          <w:p w14:paraId="7779EC81"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 </w:t>
            </w:r>
          </w:p>
        </w:tc>
        <w:tc>
          <w:tcPr>
            <w:tcW w:w="1840" w:type="dxa"/>
            <w:tcBorders>
              <w:top w:val="nil"/>
              <w:left w:val="nil"/>
              <w:bottom w:val="single" w:sz="4" w:space="0" w:color="auto"/>
              <w:right w:val="single" w:sz="8" w:space="0" w:color="auto"/>
            </w:tcBorders>
            <w:shd w:val="clear" w:color="000000" w:fill="0070C0"/>
            <w:noWrap/>
            <w:hideMark/>
          </w:tcPr>
          <w:p w14:paraId="1B7301B5" w14:textId="77777777" w:rsidR="003F31F7" w:rsidRPr="003F31F7" w:rsidRDefault="003F31F7" w:rsidP="003F31F7">
            <w:pPr>
              <w:spacing w:after="0" w:line="240" w:lineRule="auto"/>
              <w:jc w:val="center"/>
              <w:rPr>
                <w:rFonts w:ascii="Calibri" w:eastAsia="Times New Roman" w:hAnsi="Calibri" w:cs="Times New Roman"/>
                <w:b/>
                <w:bCs/>
                <w:color w:val="FFFFFF"/>
                <w:lang w:eastAsia="en-GB"/>
              </w:rPr>
            </w:pPr>
            <w:r w:rsidRPr="003F31F7">
              <w:rPr>
                <w:rFonts w:ascii="Calibri" w:eastAsia="Times New Roman" w:hAnsi="Calibri" w:cs="Times New Roman"/>
                <w:b/>
                <w:bCs/>
                <w:color w:val="FFFFFF"/>
                <w:lang w:eastAsia="en-GB"/>
              </w:rPr>
              <w:t> </w:t>
            </w:r>
          </w:p>
        </w:tc>
      </w:tr>
      <w:tr w:rsidR="003F31F7" w:rsidRPr="003F31F7" w14:paraId="42F1290E" w14:textId="77777777" w:rsidTr="003F31F7">
        <w:trPr>
          <w:trHeight w:val="290"/>
        </w:trPr>
        <w:tc>
          <w:tcPr>
            <w:tcW w:w="2000" w:type="dxa"/>
            <w:tcBorders>
              <w:top w:val="nil"/>
              <w:left w:val="single" w:sz="8" w:space="0" w:color="auto"/>
              <w:bottom w:val="nil"/>
              <w:right w:val="nil"/>
            </w:tcBorders>
            <w:shd w:val="clear" w:color="auto" w:fill="auto"/>
            <w:noWrap/>
            <w:hideMark/>
          </w:tcPr>
          <w:p w14:paraId="19187461" w14:textId="77777777" w:rsidR="003F31F7" w:rsidRPr="003F31F7" w:rsidRDefault="003F31F7" w:rsidP="003F31F7">
            <w:pPr>
              <w:spacing w:after="0" w:line="240" w:lineRule="auto"/>
              <w:rPr>
                <w:rFonts w:ascii="Calibri" w:eastAsia="Times New Roman" w:hAnsi="Calibri" w:cs="Times New Roman"/>
                <w:i/>
                <w:iCs/>
                <w:color w:val="000000"/>
                <w:lang w:eastAsia="en-GB"/>
              </w:rPr>
            </w:pPr>
            <w:r w:rsidRPr="003F31F7">
              <w:rPr>
                <w:rFonts w:ascii="Calibri" w:eastAsia="Times New Roman" w:hAnsi="Calibri" w:cs="Times New Roman"/>
                <w:i/>
                <w:iCs/>
                <w:color w:val="000000"/>
                <w:lang w:eastAsia="en-GB"/>
              </w:rPr>
              <w:t>Participation arts</w:t>
            </w:r>
          </w:p>
        </w:tc>
        <w:tc>
          <w:tcPr>
            <w:tcW w:w="2240" w:type="dxa"/>
            <w:tcBorders>
              <w:top w:val="nil"/>
              <w:left w:val="nil"/>
              <w:bottom w:val="nil"/>
              <w:right w:val="nil"/>
            </w:tcBorders>
            <w:shd w:val="clear" w:color="auto" w:fill="auto"/>
            <w:noWrap/>
            <w:hideMark/>
          </w:tcPr>
          <w:p w14:paraId="5A357325"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£2,380.15</w:t>
            </w:r>
          </w:p>
        </w:tc>
        <w:tc>
          <w:tcPr>
            <w:tcW w:w="1940" w:type="dxa"/>
            <w:tcBorders>
              <w:top w:val="nil"/>
              <w:left w:val="nil"/>
              <w:bottom w:val="nil"/>
              <w:right w:val="nil"/>
            </w:tcBorders>
            <w:shd w:val="clear" w:color="auto" w:fill="auto"/>
            <w:noWrap/>
            <w:hideMark/>
          </w:tcPr>
          <w:p w14:paraId="4F8F3E56"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£790.59</w:t>
            </w:r>
          </w:p>
        </w:tc>
        <w:tc>
          <w:tcPr>
            <w:tcW w:w="1840" w:type="dxa"/>
            <w:tcBorders>
              <w:top w:val="nil"/>
              <w:left w:val="nil"/>
              <w:bottom w:val="nil"/>
              <w:right w:val="single" w:sz="8" w:space="0" w:color="auto"/>
            </w:tcBorders>
            <w:shd w:val="clear" w:color="auto" w:fill="auto"/>
            <w:noWrap/>
            <w:vAlign w:val="bottom"/>
            <w:hideMark/>
          </w:tcPr>
          <w:p w14:paraId="455758A9"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£3,170.74</w:t>
            </w:r>
          </w:p>
        </w:tc>
      </w:tr>
      <w:tr w:rsidR="003F31F7" w:rsidRPr="003F31F7" w14:paraId="651AD1C7" w14:textId="77777777" w:rsidTr="003F31F7">
        <w:trPr>
          <w:trHeight w:val="290"/>
        </w:trPr>
        <w:tc>
          <w:tcPr>
            <w:tcW w:w="2000" w:type="dxa"/>
            <w:tcBorders>
              <w:top w:val="nil"/>
              <w:left w:val="single" w:sz="8" w:space="0" w:color="auto"/>
              <w:bottom w:val="nil"/>
              <w:right w:val="nil"/>
            </w:tcBorders>
            <w:shd w:val="clear" w:color="auto" w:fill="auto"/>
            <w:noWrap/>
            <w:hideMark/>
          </w:tcPr>
          <w:p w14:paraId="38C0D9E0" w14:textId="77777777" w:rsidR="003F31F7" w:rsidRPr="003F31F7" w:rsidRDefault="003F31F7" w:rsidP="003F31F7">
            <w:pPr>
              <w:spacing w:after="0" w:line="240" w:lineRule="auto"/>
              <w:rPr>
                <w:rFonts w:ascii="Calibri" w:eastAsia="Times New Roman" w:hAnsi="Calibri" w:cs="Times New Roman"/>
                <w:i/>
                <w:iCs/>
                <w:color w:val="000000"/>
                <w:lang w:eastAsia="en-GB"/>
              </w:rPr>
            </w:pPr>
            <w:r w:rsidRPr="003F31F7">
              <w:rPr>
                <w:rFonts w:ascii="Calibri" w:eastAsia="Times New Roman" w:hAnsi="Calibri" w:cs="Times New Roman"/>
                <w:i/>
                <w:iCs/>
                <w:color w:val="000000"/>
                <w:lang w:eastAsia="en-GB"/>
              </w:rPr>
              <w:t>Heritage</w:t>
            </w:r>
          </w:p>
        </w:tc>
        <w:tc>
          <w:tcPr>
            <w:tcW w:w="2240" w:type="dxa"/>
            <w:tcBorders>
              <w:top w:val="nil"/>
              <w:left w:val="nil"/>
              <w:bottom w:val="nil"/>
              <w:right w:val="nil"/>
            </w:tcBorders>
            <w:shd w:val="clear" w:color="auto" w:fill="auto"/>
            <w:noWrap/>
            <w:hideMark/>
          </w:tcPr>
          <w:p w14:paraId="59732D68"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£2,464.55</w:t>
            </w:r>
          </w:p>
        </w:tc>
        <w:tc>
          <w:tcPr>
            <w:tcW w:w="1940" w:type="dxa"/>
            <w:tcBorders>
              <w:top w:val="nil"/>
              <w:left w:val="nil"/>
              <w:bottom w:val="nil"/>
              <w:right w:val="nil"/>
            </w:tcBorders>
            <w:shd w:val="clear" w:color="auto" w:fill="auto"/>
            <w:noWrap/>
            <w:hideMark/>
          </w:tcPr>
          <w:p w14:paraId="32A1D01D"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£818.62</w:t>
            </w:r>
          </w:p>
        </w:tc>
        <w:tc>
          <w:tcPr>
            <w:tcW w:w="1840" w:type="dxa"/>
            <w:tcBorders>
              <w:top w:val="nil"/>
              <w:left w:val="nil"/>
              <w:bottom w:val="nil"/>
              <w:right w:val="single" w:sz="8" w:space="0" w:color="auto"/>
            </w:tcBorders>
            <w:shd w:val="clear" w:color="auto" w:fill="auto"/>
            <w:noWrap/>
            <w:vAlign w:val="bottom"/>
            <w:hideMark/>
          </w:tcPr>
          <w:p w14:paraId="04B9C081"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£3,283.18</w:t>
            </w:r>
          </w:p>
        </w:tc>
      </w:tr>
      <w:tr w:rsidR="003F31F7" w:rsidRPr="003F31F7" w14:paraId="06C3FF81" w14:textId="77777777" w:rsidTr="003F31F7">
        <w:trPr>
          <w:trHeight w:val="300"/>
        </w:trPr>
        <w:tc>
          <w:tcPr>
            <w:tcW w:w="2000" w:type="dxa"/>
            <w:tcBorders>
              <w:top w:val="nil"/>
              <w:left w:val="single" w:sz="8" w:space="0" w:color="auto"/>
              <w:bottom w:val="single" w:sz="8" w:space="0" w:color="auto"/>
              <w:right w:val="nil"/>
            </w:tcBorders>
            <w:shd w:val="clear" w:color="auto" w:fill="auto"/>
            <w:noWrap/>
            <w:hideMark/>
          </w:tcPr>
          <w:p w14:paraId="50EEB2FB" w14:textId="77777777" w:rsidR="003F31F7" w:rsidRPr="003F31F7" w:rsidRDefault="003F31F7" w:rsidP="003F31F7">
            <w:pPr>
              <w:spacing w:after="0" w:line="240" w:lineRule="auto"/>
              <w:rPr>
                <w:rFonts w:ascii="Calibri" w:eastAsia="Times New Roman" w:hAnsi="Calibri" w:cs="Times New Roman"/>
                <w:i/>
                <w:iCs/>
                <w:color w:val="000000"/>
                <w:lang w:eastAsia="en-GB"/>
              </w:rPr>
            </w:pPr>
            <w:r w:rsidRPr="003F31F7">
              <w:rPr>
                <w:rFonts w:ascii="Calibri" w:eastAsia="Times New Roman" w:hAnsi="Calibri" w:cs="Times New Roman"/>
                <w:i/>
                <w:iCs/>
                <w:color w:val="000000"/>
                <w:lang w:eastAsia="en-GB"/>
              </w:rPr>
              <w:t>Library</w:t>
            </w:r>
          </w:p>
        </w:tc>
        <w:tc>
          <w:tcPr>
            <w:tcW w:w="2240" w:type="dxa"/>
            <w:tcBorders>
              <w:top w:val="nil"/>
              <w:left w:val="nil"/>
              <w:bottom w:val="single" w:sz="8" w:space="0" w:color="auto"/>
              <w:right w:val="nil"/>
            </w:tcBorders>
            <w:shd w:val="clear" w:color="auto" w:fill="auto"/>
            <w:noWrap/>
            <w:hideMark/>
          </w:tcPr>
          <w:p w14:paraId="70553267"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£1,586.77</w:t>
            </w:r>
          </w:p>
        </w:tc>
        <w:tc>
          <w:tcPr>
            <w:tcW w:w="1940" w:type="dxa"/>
            <w:tcBorders>
              <w:top w:val="nil"/>
              <w:left w:val="nil"/>
              <w:bottom w:val="single" w:sz="8" w:space="0" w:color="auto"/>
              <w:right w:val="nil"/>
            </w:tcBorders>
            <w:shd w:val="clear" w:color="auto" w:fill="auto"/>
            <w:noWrap/>
            <w:hideMark/>
          </w:tcPr>
          <w:p w14:paraId="0F7B96DA"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£527.06</w:t>
            </w:r>
          </w:p>
        </w:tc>
        <w:tc>
          <w:tcPr>
            <w:tcW w:w="1840" w:type="dxa"/>
            <w:tcBorders>
              <w:top w:val="nil"/>
              <w:left w:val="nil"/>
              <w:bottom w:val="single" w:sz="8" w:space="0" w:color="auto"/>
              <w:right w:val="single" w:sz="8" w:space="0" w:color="auto"/>
            </w:tcBorders>
            <w:shd w:val="clear" w:color="auto" w:fill="auto"/>
            <w:noWrap/>
            <w:vAlign w:val="bottom"/>
            <w:hideMark/>
          </w:tcPr>
          <w:p w14:paraId="1356DF5F" w14:textId="77777777" w:rsidR="003F31F7" w:rsidRPr="003F31F7" w:rsidRDefault="003F31F7" w:rsidP="003F31F7">
            <w:pPr>
              <w:spacing w:after="0" w:line="240" w:lineRule="auto"/>
              <w:jc w:val="center"/>
              <w:rPr>
                <w:rFonts w:ascii="Calibri" w:eastAsia="Times New Roman" w:hAnsi="Calibri" w:cs="Times New Roman"/>
                <w:color w:val="000000"/>
                <w:lang w:eastAsia="en-GB"/>
              </w:rPr>
            </w:pPr>
            <w:r w:rsidRPr="003F31F7">
              <w:rPr>
                <w:rFonts w:ascii="Calibri" w:eastAsia="Times New Roman" w:hAnsi="Calibri" w:cs="Times New Roman"/>
                <w:color w:val="000000"/>
                <w:lang w:eastAsia="en-GB"/>
              </w:rPr>
              <w:t>£2,113.83</w:t>
            </w:r>
          </w:p>
        </w:tc>
      </w:tr>
    </w:tbl>
    <w:p w14:paraId="282DAFFD" w14:textId="77777777" w:rsidR="003F31F7" w:rsidRPr="00A0162F" w:rsidRDefault="00A0162F" w:rsidP="001E00D6">
      <w:pPr>
        <w:spacing w:after="0" w:line="240" w:lineRule="auto"/>
        <w:ind w:left="-142" w:right="1088"/>
        <w:rPr>
          <w:rFonts w:eastAsia="Times New Roman" w:cstheme="minorHAnsi"/>
          <w:i/>
          <w:sz w:val="20"/>
          <w:szCs w:val="27"/>
        </w:rPr>
      </w:pPr>
      <w:r w:rsidRPr="00A0162F">
        <w:rPr>
          <w:rFonts w:eastAsia="Times New Roman" w:cstheme="minorHAnsi"/>
          <w:i/>
          <w:sz w:val="20"/>
          <w:szCs w:val="27"/>
        </w:rPr>
        <w:t>Notes: Benefit estimates are in 2009 prices and should</w:t>
      </w:r>
      <w:r>
        <w:rPr>
          <w:rFonts w:eastAsia="Times New Roman" w:cstheme="minorHAnsi"/>
          <w:i/>
          <w:sz w:val="20"/>
          <w:szCs w:val="27"/>
        </w:rPr>
        <w:t xml:space="preserve"> be uprated to year of interest.</w:t>
      </w:r>
      <w:r w:rsidR="001E00D6">
        <w:rPr>
          <w:rFonts w:eastAsia="Times New Roman" w:cstheme="minorHAnsi"/>
          <w:i/>
          <w:sz w:val="20"/>
          <w:szCs w:val="27"/>
        </w:rPr>
        <w:t xml:space="preserve"> Benefits are calculated per person.</w:t>
      </w:r>
    </w:p>
    <w:p w14:paraId="7BC53241" w14:textId="77777777" w:rsidR="00D74B1A" w:rsidRDefault="00D74B1A" w:rsidP="00872055">
      <w:pPr>
        <w:spacing w:after="0" w:line="240" w:lineRule="auto"/>
        <w:rPr>
          <w:rFonts w:cstheme="minorHAnsi"/>
          <w:color w:val="FF0000"/>
          <w:sz w:val="24"/>
          <w:szCs w:val="24"/>
        </w:rPr>
      </w:pPr>
    </w:p>
    <w:p w14:paraId="5725F467" w14:textId="77777777" w:rsidR="00ED5821" w:rsidRPr="009F0F7A" w:rsidRDefault="009F0F7A" w:rsidP="001D5D14">
      <w:pPr>
        <w:spacing w:after="0" w:line="240" w:lineRule="auto"/>
        <w:rPr>
          <w:sz w:val="24"/>
        </w:rPr>
      </w:pPr>
      <w:r w:rsidRPr="009F0F7A">
        <w:rPr>
          <w:sz w:val="24"/>
        </w:rPr>
        <w:t xml:space="preserve">Total net benefits represent the </w:t>
      </w:r>
      <w:r>
        <w:rPr>
          <w:sz w:val="24"/>
        </w:rPr>
        <w:t xml:space="preserve">projected per person net benefit for the individual and </w:t>
      </w:r>
      <w:r w:rsidR="007E1FC1">
        <w:rPr>
          <w:sz w:val="24"/>
        </w:rPr>
        <w:t xml:space="preserve">for </w:t>
      </w:r>
      <w:r>
        <w:rPr>
          <w:sz w:val="24"/>
        </w:rPr>
        <w:t>society of the increased likelihood of FE/HE attendance (due to the cultural activity). They represent the full lifetime impacts and are discounted to present value terms.</w:t>
      </w:r>
    </w:p>
    <w:p w14:paraId="661DF8F2" w14:textId="77777777" w:rsidR="00A728CB" w:rsidRDefault="00A728CB" w:rsidP="001D5D14">
      <w:pPr>
        <w:spacing w:after="0" w:line="240" w:lineRule="auto"/>
        <w:rPr>
          <w:b/>
          <w:sz w:val="36"/>
        </w:rPr>
      </w:pPr>
    </w:p>
    <w:p w14:paraId="26E43A7A" w14:textId="77777777" w:rsidR="00A728CB" w:rsidRDefault="00A728CB" w:rsidP="001D5D14">
      <w:pPr>
        <w:spacing w:after="0" w:line="240" w:lineRule="auto"/>
        <w:rPr>
          <w:b/>
          <w:sz w:val="36"/>
        </w:rPr>
      </w:pPr>
    </w:p>
    <w:p w14:paraId="1CA416A4" w14:textId="77777777" w:rsidR="00A728CB" w:rsidRDefault="00A728CB" w:rsidP="001D5D14">
      <w:pPr>
        <w:spacing w:after="0" w:line="240" w:lineRule="auto"/>
        <w:rPr>
          <w:b/>
          <w:sz w:val="36"/>
        </w:rPr>
      </w:pPr>
    </w:p>
    <w:p w14:paraId="5E054D85" w14:textId="77777777" w:rsidR="00A728CB" w:rsidRDefault="00A728CB" w:rsidP="001D5D14">
      <w:pPr>
        <w:spacing w:after="0" w:line="240" w:lineRule="auto"/>
        <w:rPr>
          <w:b/>
          <w:sz w:val="36"/>
        </w:rPr>
      </w:pPr>
    </w:p>
    <w:p w14:paraId="0C7BCD26" w14:textId="77777777" w:rsidR="00A728CB" w:rsidRDefault="00A728CB" w:rsidP="001D5D14">
      <w:pPr>
        <w:spacing w:after="0" w:line="240" w:lineRule="auto"/>
        <w:rPr>
          <w:b/>
          <w:sz w:val="36"/>
        </w:rPr>
      </w:pPr>
    </w:p>
    <w:p w14:paraId="0479D884" w14:textId="77777777" w:rsidR="00A728CB" w:rsidRDefault="00A728CB" w:rsidP="001D5D14">
      <w:pPr>
        <w:spacing w:after="0" w:line="240" w:lineRule="auto"/>
        <w:rPr>
          <w:b/>
          <w:sz w:val="36"/>
        </w:rPr>
      </w:pPr>
    </w:p>
    <w:p w14:paraId="5173EBC9" w14:textId="77777777" w:rsidR="00A728CB" w:rsidRDefault="00A728CB" w:rsidP="001D5D14">
      <w:pPr>
        <w:spacing w:after="0" w:line="240" w:lineRule="auto"/>
        <w:rPr>
          <w:b/>
          <w:sz w:val="36"/>
        </w:rPr>
      </w:pPr>
    </w:p>
    <w:p w14:paraId="672961D2" w14:textId="6063B99E" w:rsidR="004F7A97" w:rsidRDefault="004F7A97">
      <w:pPr>
        <w:rPr>
          <w:b/>
          <w:sz w:val="36"/>
        </w:rPr>
      </w:pPr>
      <w:r>
        <w:rPr>
          <w:b/>
          <w:sz w:val="36"/>
        </w:rPr>
        <w:br w:type="page"/>
      </w:r>
    </w:p>
    <w:p w14:paraId="767E7175" w14:textId="77777777" w:rsidR="00007DF9" w:rsidRPr="001E7442" w:rsidRDefault="00007DF9" w:rsidP="001E7442">
      <w:pPr>
        <w:pStyle w:val="Heading1"/>
        <w:rPr>
          <w:rFonts w:asciiTheme="minorHAnsi" w:hAnsiTheme="minorHAnsi"/>
          <w:sz w:val="36"/>
          <w:szCs w:val="36"/>
        </w:rPr>
      </w:pPr>
      <w:bookmarkStart w:id="8" w:name="_Toc409167389"/>
      <w:r w:rsidRPr="001E7442">
        <w:rPr>
          <w:rFonts w:asciiTheme="minorHAnsi" w:hAnsiTheme="minorHAnsi"/>
          <w:sz w:val="36"/>
          <w:szCs w:val="36"/>
        </w:rPr>
        <w:lastRenderedPageBreak/>
        <w:t>Annex D: Further research</w:t>
      </w:r>
      <w:bookmarkEnd w:id="8"/>
    </w:p>
    <w:p w14:paraId="6BD37E1A" w14:textId="77777777" w:rsidR="00ED5821" w:rsidRDefault="00ED5821" w:rsidP="001D5D14">
      <w:pPr>
        <w:spacing w:after="0" w:line="240" w:lineRule="auto"/>
        <w:rPr>
          <w:b/>
          <w:sz w:val="24"/>
        </w:rPr>
      </w:pPr>
    </w:p>
    <w:p w14:paraId="2B999B2A" w14:textId="77777777" w:rsidR="00007DF9" w:rsidRPr="001B49BF" w:rsidRDefault="00007DF9" w:rsidP="00007DF9">
      <w:pPr>
        <w:autoSpaceDE w:val="0"/>
        <w:autoSpaceDN w:val="0"/>
        <w:adjustRightInd w:val="0"/>
        <w:spacing w:after="0" w:line="240" w:lineRule="auto"/>
        <w:rPr>
          <w:rFonts w:cs="Arial"/>
          <w:color w:val="000000"/>
          <w:sz w:val="24"/>
          <w:szCs w:val="24"/>
        </w:rPr>
      </w:pPr>
      <w:r w:rsidRPr="001B49BF">
        <w:rPr>
          <w:rFonts w:cs="Arial"/>
          <w:bCs/>
          <w:color w:val="000000"/>
          <w:sz w:val="24"/>
          <w:szCs w:val="24"/>
        </w:rPr>
        <w:t xml:space="preserve">The statistical approach used </w:t>
      </w:r>
      <w:r w:rsidR="00D13826" w:rsidRPr="001B49BF">
        <w:rPr>
          <w:rFonts w:cs="Arial"/>
          <w:bCs/>
          <w:color w:val="000000"/>
          <w:sz w:val="24"/>
          <w:szCs w:val="24"/>
        </w:rPr>
        <w:t xml:space="preserve">in this study mirrors much of the research in health economics and uses some of the best possible methods for non-experimental data. </w:t>
      </w:r>
      <w:r w:rsidR="00B6511C">
        <w:rPr>
          <w:rFonts w:cs="Arial"/>
          <w:sz w:val="24"/>
          <w:szCs w:val="24"/>
        </w:rPr>
        <w:t>Our results are generally supported by the previous empirical literature in these fields a</w:t>
      </w:r>
      <w:r w:rsidR="00D13826" w:rsidRPr="001B49BF">
        <w:rPr>
          <w:rFonts w:cs="Arial"/>
          <w:bCs/>
          <w:color w:val="000000"/>
          <w:sz w:val="24"/>
          <w:szCs w:val="24"/>
        </w:rPr>
        <w:t xml:space="preserve">nd many of the findings in this paper are supported by the small but growing number of experimental studies in this area of the health literature. </w:t>
      </w:r>
      <w:r w:rsidRPr="00007DF9">
        <w:rPr>
          <w:rFonts w:cs="Arial"/>
          <w:bCs/>
          <w:color w:val="000000"/>
          <w:sz w:val="24"/>
          <w:szCs w:val="24"/>
        </w:rPr>
        <w:t xml:space="preserve">Going forward, research in this area should aim to more conclusively address the issue of causality. </w:t>
      </w:r>
      <w:r w:rsidRPr="00007DF9">
        <w:rPr>
          <w:rFonts w:cs="Arial"/>
          <w:color w:val="000000"/>
          <w:sz w:val="24"/>
          <w:szCs w:val="24"/>
        </w:rPr>
        <w:t xml:space="preserve">Longitudinal data (either from subsequent waves of Understanding Society or from the new element of the Taking Part survey) are useful as we can control for some unobservable factors (those factors that do not change over time) through use of fixed effects regression analysis. Longitudinal data should not be seen as a panacea for the question of causality, however, because they cannot solve for the effect of unobservable factors that are not constant over time (such as people’s preferences), which means that we still may not be able to attribute causality fully. </w:t>
      </w:r>
    </w:p>
    <w:p w14:paraId="3EE26D81" w14:textId="77777777" w:rsidR="00007DF9" w:rsidRPr="00007DF9" w:rsidRDefault="00007DF9" w:rsidP="00007DF9">
      <w:pPr>
        <w:autoSpaceDE w:val="0"/>
        <w:autoSpaceDN w:val="0"/>
        <w:adjustRightInd w:val="0"/>
        <w:spacing w:after="0" w:line="240" w:lineRule="auto"/>
        <w:rPr>
          <w:rFonts w:cs="Arial"/>
          <w:color w:val="000000"/>
          <w:sz w:val="24"/>
          <w:szCs w:val="24"/>
        </w:rPr>
      </w:pPr>
    </w:p>
    <w:p w14:paraId="0F8FC023" w14:textId="77777777" w:rsidR="00007DF9" w:rsidRPr="00007DF9" w:rsidRDefault="00007DF9" w:rsidP="00007DF9">
      <w:pPr>
        <w:autoSpaceDE w:val="0"/>
        <w:autoSpaceDN w:val="0"/>
        <w:adjustRightInd w:val="0"/>
        <w:spacing w:after="0" w:line="240" w:lineRule="auto"/>
        <w:rPr>
          <w:rFonts w:cs="Arial"/>
          <w:color w:val="000000"/>
          <w:sz w:val="24"/>
          <w:szCs w:val="24"/>
        </w:rPr>
      </w:pPr>
      <w:r w:rsidRPr="00007DF9">
        <w:rPr>
          <w:rFonts w:cs="Arial"/>
          <w:color w:val="000000"/>
          <w:sz w:val="24"/>
          <w:szCs w:val="24"/>
        </w:rPr>
        <w:t xml:space="preserve">In order to conclusively address </w:t>
      </w:r>
      <w:r w:rsidR="00D13826" w:rsidRPr="001B49BF">
        <w:rPr>
          <w:rFonts w:cs="Arial"/>
          <w:color w:val="000000"/>
          <w:sz w:val="24"/>
          <w:szCs w:val="24"/>
        </w:rPr>
        <w:t xml:space="preserve">the issue of </w:t>
      </w:r>
      <w:r w:rsidRPr="00007DF9">
        <w:rPr>
          <w:rFonts w:cs="Arial"/>
          <w:color w:val="000000"/>
          <w:sz w:val="24"/>
          <w:szCs w:val="24"/>
        </w:rPr>
        <w:t xml:space="preserve">causality, further work </w:t>
      </w:r>
      <w:r w:rsidR="00D13826" w:rsidRPr="001B49BF">
        <w:rPr>
          <w:rFonts w:cs="Arial"/>
          <w:color w:val="000000"/>
          <w:sz w:val="24"/>
          <w:szCs w:val="24"/>
        </w:rPr>
        <w:t>using e</w:t>
      </w:r>
      <w:r w:rsidR="00D13826" w:rsidRPr="001B49BF">
        <w:rPr>
          <w:rFonts w:cs="Arial"/>
          <w:bCs/>
          <w:color w:val="000000"/>
          <w:sz w:val="24"/>
          <w:szCs w:val="24"/>
        </w:rPr>
        <w:t xml:space="preserve">xperimental methods - </w:t>
      </w:r>
      <w:r w:rsidRPr="00007DF9">
        <w:rPr>
          <w:rFonts w:cs="Arial"/>
          <w:color w:val="000000"/>
          <w:sz w:val="24"/>
          <w:szCs w:val="24"/>
        </w:rPr>
        <w:t>whereby engagement in culture and sport is randomly assigned</w:t>
      </w:r>
      <w:r w:rsidR="00D13826" w:rsidRPr="001B49BF">
        <w:rPr>
          <w:rFonts w:cs="Arial"/>
          <w:color w:val="000000"/>
          <w:sz w:val="24"/>
          <w:szCs w:val="24"/>
        </w:rPr>
        <w:t xml:space="preserve"> or randomly encouraged – is recommended. </w:t>
      </w:r>
    </w:p>
    <w:p w14:paraId="18CAC321" w14:textId="77777777" w:rsidR="00ED5821" w:rsidRDefault="00ED5821" w:rsidP="001D5D14">
      <w:pPr>
        <w:spacing w:after="0" w:line="240" w:lineRule="auto"/>
        <w:rPr>
          <w:b/>
          <w:sz w:val="24"/>
        </w:rPr>
      </w:pPr>
    </w:p>
    <w:p w14:paraId="35AC763F" w14:textId="77777777" w:rsidR="00ED5821" w:rsidRDefault="00ED5821" w:rsidP="001D5D14">
      <w:pPr>
        <w:spacing w:after="0" w:line="240" w:lineRule="auto"/>
        <w:rPr>
          <w:b/>
          <w:sz w:val="24"/>
        </w:rPr>
      </w:pPr>
    </w:p>
    <w:p w14:paraId="34411DA3" w14:textId="77777777" w:rsidR="00EE6EF6" w:rsidRDefault="00EE6EF6" w:rsidP="00ED5821">
      <w:pPr>
        <w:spacing w:after="0" w:line="240" w:lineRule="auto"/>
        <w:contextualSpacing/>
        <w:jc w:val="both"/>
        <w:rPr>
          <w:b/>
          <w:sz w:val="36"/>
          <w:szCs w:val="24"/>
        </w:rPr>
      </w:pPr>
    </w:p>
    <w:p w14:paraId="411ACC62" w14:textId="77777777" w:rsidR="00EE6EF6" w:rsidRDefault="00EE6EF6" w:rsidP="00ED5821">
      <w:pPr>
        <w:spacing w:after="0" w:line="240" w:lineRule="auto"/>
        <w:contextualSpacing/>
        <w:jc w:val="both"/>
        <w:rPr>
          <w:b/>
          <w:sz w:val="36"/>
          <w:szCs w:val="24"/>
        </w:rPr>
      </w:pPr>
    </w:p>
    <w:p w14:paraId="3C1FA118" w14:textId="77777777" w:rsidR="00EE6EF6" w:rsidRDefault="00EE6EF6" w:rsidP="00ED5821">
      <w:pPr>
        <w:spacing w:after="0" w:line="240" w:lineRule="auto"/>
        <w:contextualSpacing/>
        <w:jc w:val="both"/>
        <w:rPr>
          <w:b/>
          <w:sz w:val="36"/>
          <w:szCs w:val="24"/>
        </w:rPr>
      </w:pPr>
    </w:p>
    <w:p w14:paraId="2473F93A" w14:textId="77777777" w:rsidR="00EE6EF6" w:rsidRDefault="00EE6EF6" w:rsidP="00ED5821">
      <w:pPr>
        <w:spacing w:after="0" w:line="240" w:lineRule="auto"/>
        <w:contextualSpacing/>
        <w:jc w:val="both"/>
        <w:rPr>
          <w:b/>
          <w:sz w:val="36"/>
          <w:szCs w:val="24"/>
        </w:rPr>
      </w:pPr>
    </w:p>
    <w:p w14:paraId="102CE1F1" w14:textId="77777777" w:rsidR="00EE6EF6" w:rsidRDefault="00EE6EF6" w:rsidP="00ED5821">
      <w:pPr>
        <w:spacing w:after="0" w:line="240" w:lineRule="auto"/>
        <w:contextualSpacing/>
        <w:jc w:val="both"/>
        <w:rPr>
          <w:b/>
          <w:sz w:val="36"/>
          <w:szCs w:val="24"/>
        </w:rPr>
      </w:pPr>
    </w:p>
    <w:p w14:paraId="24E4930C" w14:textId="77777777" w:rsidR="00EE6EF6" w:rsidRDefault="00EE6EF6" w:rsidP="00ED5821">
      <w:pPr>
        <w:spacing w:after="0" w:line="240" w:lineRule="auto"/>
        <w:contextualSpacing/>
        <w:jc w:val="both"/>
        <w:rPr>
          <w:b/>
          <w:sz w:val="36"/>
          <w:szCs w:val="24"/>
        </w:rPr>
      </w:pPr>
    </w:p>
    <w:p w14:paraId="6FEA0B8C" w14:textId="77777777" w:rsidR="00EE6EF6" w:rsidRDefault="00EE6EF6" w:rsidP="00ED5821">
      <w:pPr>
        <w:spacing w:after="0" w:line="240" w:lineRule="auto"/>
        <w:contextualSpacing/>
        <w:jc w:val="both"/>
        <w:rPr>
          <w:b/>
          <w:sz w:val="36"/>
          <w:szCs w:val="24"/>
        </w:rPr>
      </w:pPr>
    </w:p>
    <w:p w14:paraId="00C9F20C" w14:textId="77777777" w:rsidR="00EE6EF6" w:rsidRDefault="00EE6EF6" w:rsidP="00ED5821">
      <w:pPr>
        <w:spacing w:after="0" w:line="240" w:lineRule="auto"/>
        <w:contextualSpacing/>
        <w:jc w:val="both"/>
        <w:rPr>
          <w:b/>
          <w:sz w:val="36"/>
          <w:szCs w:val="24"/>
        </w:rPr>
      </w:pPr>
    </w:p>
    <w:p w14:paraId="5E577752" w14:textId="77777777" w:rsidR="00EE6EF6" w:rsidRDefault="00EE6EF6" w:rsidP="00ED5821">
      <w:pPr>
        <w:spacing w:after="0" w:line="240" w:lineRule="auto"/>
        <w:contextualSpacing/>
        <w:jc w:val="both"/>
        <w:rPr>
          <w:b/>
          <w:sz w:val="36"/>
          <w:szCs w:val="24"/>
        </w:rPr>
      </w:pPr>
    </w:p>
    <w:p w14:paraId="5C897123" w14:textId="77777777" w:rsidR="00EE6EF6" w:rsidRDefault="00EE6EF6" w:rsidP="00ED5821">
      <w:pPr>
        <w:spacing w:after="0" w:line="240" w:lineRule="auto"/>
        <w:contextualSpacing/>
        <w:jc w:val="both"/>
        <w:rPr>
          <w:b/>
          <w:sz w:val="36"/>
          <w:szCs w:val="24"/>
        </w:rPr>
      </w:pPr>
    </w:p>
    <w:p w14:paraId="1FC623AF" w14:textId="77777777" w:rsidR="00EE6EF6" w:rsidRDefault="00EE6EF6" w:rsidP="00ED5821">
      <w:pPr>
        <w:spacing w:after="0" w:line="240" w:lineRule="auto"/>
        <w:contextualSpacing/>
        <w:jc w:val="both"/>
        <w:rPr>
          <w:b/>
          <w:sz w:val="36"/>
          <w:szCs w:val="24"/>
        </w:rPr>
      </w:pPr>
    </w:p>
    <w:p w14:paraId="0F53AD7F" w14:textId="77777777" w:rsidR="00EE6EF6" w:rsidRDefault="00EE6EF6" w:rsidP="00ED5821">
      <w:pPr>
        <w:spacing w:after="0" w:line="240" w:lineRule="auto"/>
        <w:contextualSpacing/>
        <w:jc w:val="both"/>
        <w:rPr>
          <w:b/>
          <w:sz w:val="36"/>
          <w:szCs w:val="24"/>
        </w:rPr>
      </w:pPr>
    </w:p>
    <w:p w14:paraId="1833881A" w14:textId="77777777" w:rsidR="00EE6EF6" w:rsidRDefault="00EE6EF6" w:rsidP="00ED5821">
      <w:pPr>
        <w:spacing w:after="0" w:line="240" w:lineRule="auto"/>
        <w:contextualSpacing/>
        <w:jc w:val="both"/>
        <w:rPr>
          <w:b/>
          <w:sz w:val="36"/>
          <w:szCs w:val="24"/>
        </w:rPr>
      </w:pPr>
    </w:p>
    <w:p w14:paraId="0BF9124F" w14:textId="77777777" w:rsidR="00EE6EF6" w:rsidRDefault="00EE6EF6" w:rsidP="00ED5821">
      <w:pPr>
        <w:spacing w:after="0" w:line="240" w:lineRule="auto"/>
        <w:contextualSpacing/>
        <w:jc w:val="both"/>
        <w:rPr>
          <w:b/>
          <w:sz w:val="36"/>
          <w:szCs w:val="24"/>
        </w:rPr>
      </w:pPr>
    </w:p>
    <w:p w14:paraId="6D401166" w14:textId="77777777" w:rsidR="00EE6EF6" w:rsidRDefault="00EE6EF6" w:rsidP="00ED5821">
      <w:pPr>
        <w:spacing w:after="0" w:line="240" w:lineRule="auto"/>
        <w:contextualSpacing/>
        <w:jc w:val="both"/>
        <w:rPr>
          <w:b/>
          <w:sz w:val="36"/>
          <w:szCs w:val="24"/>
        </w:rPr>
      </w:pPr>
    </w:p>
    <w:p w14:paraId="4DE878CE" w14:textId="77777777" w:rsidR="00D510EE" w:rsidRDefault="00D510EE" w:rsidP="00ED5821">
      <w:pPr>
        <w:spacing w:after="0" w:line="240" w:lineRule="auto"/>
        <w:contextualSpacing/>
        <w:jc w:val="both"/>
        <w:rPr>
          <w:b/>
          <w:sz w:val="36"/>
          <w:szCs w:val="24"/>
        </w:rPr>
      </w:pPr>
    </w:p>
    <w:p w14:paraId="6A6F4F53" w14:textId="38E45AB8" w:rsidR="004F7A97" w:rsidRDefault="004F7A97">
      <w:pPr>
        <w:rPr>
          <w:b/>
          <w:sz w:val="36"/>
          <w:szCs w:val="24"/>
        </w:rPr>
      </w:pPr>
      <w:r>
        <w:rPr>
          <w:b/>
          <w:sz w:val="36"/>
          <w:szCs w:val="24"/>
        </w:rPr>
        <w:br w:type="page"/>
      </w:r>
    </w:p>
    <w:p w14:paraId="66EA2BAC" w14:textId="77777777" w:rsidR="00ED5821" w:rsidRPr="001E7442" w:rsidRDefault="00D13826" w:rsidP="001E7442">
      <w:pPr>
        <w:pStyle w:val="Heading1"/>
        <w:rPr>
          <w:rFonts w:asciiTheme="minorHAnsi" w:hAnsiTheme="minorHAnsi"/>
          <w:sz w:val="36"/>
          <w:szCs w:val="36"/>
        </w:rPr>
      </w:pPr>
      <w:bookmarkStart w:id="9" w:name="_Toc409167390"/>
      <w:r w:rsidRPr="001E7442">
        <w:rPr>
          <w:rFonts w:asciiTheme="minorHAnsi" w:hAnsiTheme="minorHAnsi"/>
          <w:sz w:val="36"/>
          <w:szCs w:val="36"/>
        </w:rPr>
        <w:lastRenderedPageBreak/>
        <w:t xml:space="preserve">Annex E: </w:t>
      </w:r>
      <w:r w:rsidR="00D5205B" w:rsidRPr="001E7442">
        <w:rPr>
          <w:rFonts w:asciiTheme="minorHAnsi" w:hAnsiTheme="minorHAnsi"/>
          <w:sz w:val="36"/>
          <w:szCs w:val="36"/>
        </w:rPr>
        <w:t>References</w:t>
      </w:r>
      <w:bookmarkEnd w:id="9"/>
    </w:p>
    <w:p w14:paraId="409A5354" w14:textId="77777777" w:rsidR="004120B5" w:rsidRPr="00EE6940" w:rsidRDefault="004120B5" w:rsidP="004120B5">
      <w:pPr>
        <w:spacing w:after="0" w:line="240" w:lineRule="auto"/>
        <w:rPr>
          <w:bCs/>
          <w:color w:val="FF0000"/>
          <w:sz w:val="24"/>
          <w:szCs w:val="24"/>
        </w:rPr>
      </w:pPr>
    </w:p>
    <w:p w14:paraId="7B7BA24A" w14:textId="77777777" w:rsidR="00796EBC" w:rsidRPr="00EE6940" w:rsidRDefault="00796EBC" w:rsidP="00315A0F">
      <w:pPr>
        <w:spacing w:after="0" w:line="240" w:lineRule="auto"/>
        <w:rPr>
          <w:rFonts w:cs="Arial"/>
          <w:sz w:val="24"/>
          <w:szCs w:val="24"/>
        </w:rPr>
      </w:pPr>
      <w:r w:rsidRPr="00EE6940">
        <w:rPr>
          <w:rFonts w:cs="Arial"/>
          <w:sz w:val="24"/>
          <w:szCs w:val="24"/>
        </w:rPr>
        <w:t xml:space="preserve">Aldridge D. (1993) </w:t>
      </w:r>
      <w:r w:rsidRPr="00EE6940">
        <w:rPr>
          <w:rFonts w:cs="Arial"/>
          <w:i/>
          <w:sz w:val="24"/>
          <w:szCs w:val="24"/>
        </w:rPr>
        <w:t>Music therapy research: a review of the medical research literature within a general context of music therapy research</w:t>
      </w:r>
      <w:r w:rsidRPr="00EE6940">
        <w:rPr>
          <w:rFonts w:cs="Arial"/>
          <w:sz w:val="24"/>
          <w:szCs w:val="24"/>
        </w:rPr>
        <w:t>. Arts Psychotherapy 1993;20(1):11–35.</w:t>
      </w:r>
    </w:p>
    <w:p w14:paraId="510DFCD9" w14:textId="77777777" w:rsidR="00315A0F" w:rsidRPr="00EE6940" w:rsidRDefault="00315A0F" w:rsidP="00315A0F">
      <w:pPr>
        <w:spacing w:after="0" w:line="240" w:lineRule="auto"/>
        <w:rPr>
          <w:rFonts w:cs="Arial"/>
          <w:sz w:val="24"/>
          <w:szCs w:val="24"/>
        </w:rPr>
      </w:pPr>
    </w:p>
    <w:p w14:paraId="20A9F65D" w14:textId="77777777" w:rsidR="00796EBC" w:rsidRPr="00EE6940" w:rsidRDefault="00796EBC" w:rsidP="00315A0F">
      <w:pPr>
        <w:spacing w:after="0" w:line="240" w:lineRule="auto"/>
        <w:rPr>
          <w:rFonts w:cs="Arial"/>
          <w:sz w:val="24"/>
          <w:szCs w:val="24"/>
        </w:rPr>
      </w:pPr>
      <w:r w:rsidRPr="00EE6940">
        <w:rPr>
          <w:rFonts w:cs="Arial"/>
          <w:sz w:val="24"/>
          <w:szCs w:val="24"/>
        </w:rPr>
        <w:t xml:space="preserve">Aldridge, D., &amp; Brandt, G. (1991). </w:t>
      </w:r>
      <w:r w:rsidRPr="00EE6940">
        <w:rPr>
          <w:rFonts w:cs="Arial"/>
          <w:i/>
          <w:sz w:val="24"/>
          <w:szCs w:val="24"/>
        </w:rPr>
        <w:t>Music therapy and Alzheimer's disease.</w:t>
      </w:r>
      <w:r w:rsidRPr="00EE6940">
        <w:rPr>
          <w:rFonts w:cs="Arial"/>
          <w:sz w:val="24"/>
          <w:szCs w:val="24"/>
        </w:rPr>
        <w:t xml:space="preserve"> </w:t>
      </w:r>
      <w:r w:rsidRPr="00EE6940">
        <w:rPr>
          <w:rFonts w:cs="Arial"/>
          <w:iCs/>
          <w:sz w:val="24"/>
          <w:szCs w:val="24"/>
        </w:rPr>
        <w:t>British Journal of Music Therapy, 5</w:t>
      </w:r>
      <w:r w:rsidRPr="00EE6940">
        <w:rPr>
          <w:rFonts w:cs="Arial"/>
          <w:sz w:val="24"/>
          <w:szCs w:val="24"/>
        </w:rPr>
        <w:t>(2), 28-37.</w:t>
      </w:r>
    </w:p>
    <w:p w14:paraId="335D05FC" w14:textId="77777777" w:rsidR="00315A0F" w:rsidRPr="00EE6940" w:rsidRDefault="00315A0F" w:rsidP="00315A0F">
      <w:pPr>
        <w:spacing w:after="0" w:line="240" w:lineRule="auto"/>
        <w:rPr>
          <w:rFonts w:cs="Arial"/>
          <w:sz w:val="24"/>
          <w:szCs w:val="24"/>
        </w:rPr>
      </w:pPr>
    </w:p>
    <w:p w14:paraId="12BB50DE" w14:textId="77777777" w:rsidR="00796EBC" w:rsidRPr="00EE6940" w:rsidRDefault="00796EBC" w:rsidP="00315A0F">
      <w:pPr>
        <w:spacing w:after="0" w:line="240" w:lineRule="auto"/>
        <w:rPr>
          <w:rFonts w:cs="Helvetica"/>
          <w:sz w:val="24"/>
          <w:szCs w:val="24"/>
        </w:rPr>
      </w:pPr>
      <w:r w:rsidRPr="00EE6940">
        <w:rPr>
          <w:rFonts w:cs="Helvetica"/>
          <w:sz w:val="24"/>
          <w:szCs w:val="24"/>
        </w:rPr>
        <w:t>Allender, S. The burden of smoking-related ill health in the UK. Tobacco Control, 2009; 18: 262-267.</w:t>
      </w:r>
    </w:p>
    <w:p w14:paraId="371A1098" w14:textId="77777777" w:rsidR="00796EBC" w:rsidRPr="00EE6940" w:rsidRDefault="00796EBC" w:rsidP="00315A0F">
      <w:pPr>
        <w:spacing w:after="0" w:line="240" w:lineRule="auto"/>
        <w:rPr>
          <w:sz w:val="24"/>
          <w:szCs w:val="24"/>
        </w:rPr>
      </w:pPr>
    </w:p>
    <w:p w14:paraId="7DFB56AE" w14:textId="77777777" w:rsidR="00796EBC" w:rsidRPr="00EE6940" w:rsidRDefault="00796EBC" w:rsidP="00315A0F">
      <w:pPr>
        <w:spacing w:after="0" w:line="240" w:lineRule="auto"/>
        <w:rPr>
          <w:sz w:val="24"/>
          <w:szCs w:val="24"/>
        </w:rPr>
      </w:pPr>
      <w:r w:rsidRPr="00EE6940">
        <w:rPr>
          <w:sz w:val="24"/>
          <w:szCs w:val="24"/>
        </w:rPr>
        <w:t>Almeida, 0., Osvaldo, P., Khan, K., Hankey, G., Yeap, B., Golledge, J. &amp; Flicker, L. (2014)</w:t>
      </w:r>
      <w:r w:rsidRPr="00EE6940">
        <w:rPr>
          <w:bCs/>
          <w:sz w:val="24"/>
          <w:szCs w:val="24"/>
        </w:rPr>
        <w:t xml:space="preserve"> </w:t>
      </w:r>
      <w:r w:rsidRPr="00EE6940">
        <w:rPr>
          <w:bCs/>
          <w:i/>
          <w:sz w:val="24"/>
          <w:szCs w:val="24"/>
        </w:rPr>
        <w:t xml:space="preserve">150 minutes of vigorous physical activity per week predicts survival and successful ageing: a population-based 11-year longitudinal study of 12 201 older Australian men </w:t>
      </w:r>
      <w:r w:rsidRPr="00EE6940">
        <w:rPr>
          <w:iCs/>
          <w:sz w:val="24"/>
          <w:szCs w:val="24"/>
        </w:rPr>
        <w:t>Br J Sports Med</w:t>
      </w:r>
      <w:r w:rsidRPr="00EE6940">
        <w:rPr>
          <w:i/>
          <w:iCs/>
          <w:sz w:val="24"/>
          <w:szCs w:val="24"/>
        </w:rPr>
        <w:t xml:space="preserve"> </w:t>
      </w:r>
      <w:r w:rsidRPr="00EE6940">
        <w:rPr>
          <w:sz w:val="24"/>
          <w:szCs w:val="24"/>
        </w:rPr>
        <w:t>2014;</w:t>
      </w:r>
      <w:r w:rsidRPr="00EE6940">
        <w:rPr>
          <w:bCs/>
          <w:sz w:val="24"/>
          <w:szCs w:val="24"/>
        </w:rPr>
        <w:t>48</w:t>
      </w:r>
      <w:r w:rsidRPr="00EE6940">
        <w:rPr>
          <w:sz w:val="24"/>
          <w:szCs w:val="24"/>
        </w:rPr>
        <w:t xml:space="preserve">:220-225 doi:10.1136/bjsports-2013-092814 </w:t>
      </w:r>
    </w:p>
    <w:p w14:paraId="2E394BA5" w14:textId="77777777" w:rsidR="0019239E" w:rsidRPr="00EE6940" w:rsidRDefault="0019239E" w:rsidP="00315A0F">
      <w:pPr>
        <w:spacing w:after="0" w:line="240" w:lineRule="auto"/>
        <w:rPr>
          <w:sz w:val="24"/>
          <w:szCs w:val="24"/>
        </w:rPr>
      </w:pPr>
    </w:p>
    <w:p w14:paraId="6717CB49" w14:textId="77777777" w:rsidR="00ED5821" w:rsidRPr="00EE6940" w:rsidRDefault="00ED5821" w:rsidP="00315A0F">
      <w:pPr>
        <w:spacing w:after="0" w:line="240" w:lineRule="auto"/>
        <w:rPr>
          <w:rFonts w:eastAsia="Times New Roman" w:cs="Times New Roman"/>
          <w:sz w:val="24"/>
          <w:szCs w:val="24"/>
        </w:rPr>
      </w:pPr>
      <w:r w:rsidRPr="00EE6940">
        <w:rPr>
          <w:rFonts w:eastAsia="Times New Roman" w:cs="Times New Roman"/>
          <w:sz w:val="24"/>
          <w:szCs w:val="24"/>
        </w:rPr>
        <w:t>Andersen, L.B., Schnohr, P., Schroll, M., Hein, H.O., 2000. All-cause mortality associated with physical activity during leisure time, work, sports, and cycling to work. Archives of internal medicine 160, 1621–1628.</w:t>
      </w:r>
    </w:p>
    <w:p w14:paraId="16DEA143" w14:textId="77777777" w:rsidR="0019239E" w:rsidRPr="00EE6940" w:rsidRDefault="0019239E" w:rsidP="00315A0F">
      <w:pPr>
        <w:spacing w:after="0" w:line="240" w:lineRule="auto"/>
        <w:rPr>
          <w:rFonts w:eastAsia="Times New Roman" w:cs="Times New Roman"/>
          <w:sz w:val="24"/>
          <w:szCs w:val="24"/>
        </w:rPr>
      </w:pPr>
    </w:p>
    <w:p w14:paraId="75DD56D6" w14:textId="77777777" w:rsidR="00796EBC" w:rsidRPr="00EE6940" w:rsidRDefault="00796EBC" w:rsidP="00315A0F">
      <w:pPr>
        <w:spacing w:after="0" w:line="240" w:lineRule="auto"/>
        <w:rPr>
          <w:rFonts w:cs="Arial"/>
          <w:sz w:val="24"/>
          <w:szCs w:val="24"/>
        </w:rPr>
      </w:pPr>
      <w:r w:rsidRPr="00EE6940">
        <w:rPr>
          <w:rFonts w:cs="Arial"/>
          <w:sz w:val="24"/>
          <w:szCs w:val="24"/>
        </w:rPr>
        <w:t xml:space="preserve">Arts Council England. (2004). </w:t>
      </w:r>
      <w:r w:rsidRPr="00EE6940">
        <w:rPr>
          <w:rFonts w:cs="Arial"/>
          <w:i/>
          <w:iCs/>
          <w:sz w:val="24"/>
          <w:szCs w:val="24"/>
        </w:rPr>
        <w:t>The impact of the arts: Some research evidence</w:t>
      </w:r>
      <w:r w:rsidRPr="00EE6940">
        <w:rPr>
          <w:rFonts w:cs="Arial"/>
          <w:sz w:val="24"/>
          <w:szCs w:val="24"/>
        </w:rPr>
        <w:t>. London: Arts Council</w:t>
      </w:r>
      <w:r w:rsidRPr="00EE6940">
        <w:rPr>
          <w:rFonts w:cs="Arial"/>
          <w:i/>
          <w:iCs/>
          <w:sz w:val="24"/>
          <w:szCs w:val="24"/>
        </w:rPr>
        <w:t xml:space="preserve"> </w:t>
      </w:r>
      <w:r w:rsidRPr="00EE6940">
        <w:rPr>
          <w:rFonts w:cs="Arial"/>
          <w:sz w:val="24"/>
          <w:szCs w:val="24"/>
        </w:rPr>
        <w:t xml:space="preserve">England. </w:t>
      </w:r>
      <w:hyperlink r:id="rId14" w:history="1">
        <w:r w:rsidRPr="00EE6940">
          <w:rPr>
            <w:rStyle w:val="Hyperlink"/>
            <w:rFonts w:cs="Arial"/>
            <w:color w:val="auto"/>
            <w:sz w:val="24"/>
            <w:szCs w:val="24"/>
            <w:u w:val="none"/>
          </w:rPr>
          <w:t>http://www.artsCouncil.org.uk/documents/</w:t>
        </w:r>
      </w:hyperlink>
      <w:r w:rsidRPr="00EE6940">
        <w:rPr>
          <w:rFonts w:cs="Arial"/>
          <w:i/>
          <w:iCs/>
          <w:sz w:val="24"/>
          <w:szCs w:val="24"/>
        </w:rPr>
        <w:t xml:space="preserve"> </w:t>
      </w:r>
      <w:r w:rsidRPr="00EE6940">
        <w:rPr>
          <w:rFonts w:cs="Arial"/>
          <w:sz w:val="24"/>
          <w:szCs w:val="24"/>
        </w:rPr>
        <w:t xml:space="preserve">publications/phpu4qyJQ.doc </w:t>
      </w:r>
    </w:p>
    <w:p w14:paraId="4759453B" w14:textId="77777777" w:rsidR="00315A0F" w:rsidRPr="00EE6940" w:rsidRDefault="00315A0F" w:rsidP="00315A0F">
      <w:pPr>
        <w:spacing w:after="0" w:line="240" w:lineRule="auto"/>
        <w:rPr>
          <w:rFonts w:cs="Arial"/>
          <w:sz w:val="24"/>
          <w:szCs w:val="24"/>
        </w:rPr>
      </w:pPr>
    </w:p>
    <w:p w14:paraId="46C1BB14" w14:textId="77777777" w:rsidR="000424B2" w:rsidRPr="00EE6940" w:rsidRDefault="000424B2" w:rsidP="00315A0F">
      <w:pPr>
        <w:spacing w:after="0" w:line="240" w:lineRule="auto"/>
        <w:rPr>
          <w:rFonts w:cs="Arial"/>
          <w:color w:val="000000"/>
          <w:sz w:val="24"/>
          <w:szCs w:val="24"/>
        </w:rPr>
      </w:pPr>
      <w:r w:rsidRPr="00EE6940">
        <w:rPr>
          <w:rFonts w:cs="Arial"/>
          <w:color w:val="000000"/>
          <w:sz w:val="24"/>
          <w:szCs w:val="24"/>
        </w:rPr>
        <w:t>ASH (Action on Smoking and Health) 2013 Smoking statistics, who smokes and how much. Published online October 2013. Available for download at: </w:t>
      </w:r>
      <w:hyperlink r:id="rId15" w:tgtFrame="_blank" w:history="1">
        <w:r w:rsidRPr="00EE6940">
          <w:rPr>
            <w:rStyle w:val="Hyperlink"/>
            <w:rFonts w:cs="Arial"/>
            <w:sz w:val="24"/>
            <w:szCs w:val="24"/>
          </w:rPr>
          <w:t>http://ash.org.uk/files/documents/ASH_106.pdf</w:t>
        </w:r>
      </w:hyperlink>
      <w:r w:rsidRPr="00EE6940">
        <w:rPr>
          <w:rFonts w:cs="Arial"/>
          <w:color w:val="000000"/>
          <w:sz w:val="24"/>
          <w:szCs w:val="24"/>
        </w:rPr>
        <w:t>​</w:t>
      </w:r>
    </w:p>
    <w:p w14:paraId="1132D585" w14:textId="77777777" w:rsidR="0019239E" w:rsidRPr="00EE6940" w:rsidRDefault="0019239E" w:rsidP="00315A0F">
      <w:pPr>
        <w:spacing w:after="0" w:line="240" w:lineRule="auto"/>
        <w:rPr>
          <w:rFonts w:eastAsia="Times New Roman" w:cs="Times New Roman"/>
          <w:sz w:val="24"/>
          <w:szCs w:val="24"/>
        </w:rPr>
      </w:pPr>
    </w:p>
    <w:p w14:paraId="66360E54" w14:textId="77777777" w:rsidR="00796EBC" w:rsidRPr="00EE6940" w:rsidRDefault="00796EBC" w:rsidP="00315A0F">
      <w:pPr>
        <w:spacing w:after="0" w:line="240" w:lineRule="auto"/>
        <w:rPr>
          <w:sz w:val="24"/>
          <w:szCs w:val="24"/>
        </w:rPr>
      </w:pPr>
      <w:r w:rsidRPr="00EE6940">
        <w:rPr>
          <w:sz w:val="24"/>
          <w:szCs w:val="24"/>
        </w:rPr>
        <w:t xml:space="preserve">Bamford, A. (2006). </w:t>
      </w:r>
      <w:r w:rsidRPr="00EE6940">
        <w:rPr>
          <w:i/>
          <w:sz w:val="24"/>
          <w:szCs w:val="24"/>
        </w:rPr>
        <w:t>The Wow Factor: Global Research Compendium on the Impact of the Arts in Education.</w:t>
      </w:r>
      <w:r w:rsidRPr="00EE6940">
        <w:rPr>
          <w:sz w:val="24"/>
          <w:szCs w:val="24"/>
        </w:rPr>
        <w:t xml:space="preserve"> Germany: Waxman.</w:t>
      </w:r>
    </w:p>
    <w:p w14:paraId="42D0A380" w14:textId="77777777" w:rsidR="00315A0F" w:rsidRPr="00EE6940" w:rsidRDefault="00315A0F" w:rsidP="00315A0F">
      <w:pPr>
        <w:spacing w:after="0" w:line="240" w:lineRule="auto"/>
        <w:rPr>
          <w:sz w:val="24"/>
          <w:szCs w:val="24"/>
        </w:rPr>
      </w:pPr>
    </w:p>
    <w:p w14:paraId="591D506C" w14:textId="77777777" w:rsidR="00796EBC" w:rsidRPr="00EE6940" w:rsidRDefault="00796EBC" w:rsidP="00315A0F">
      <w:pPr>
        <w:spacing w:after="0" w:line="240" w:lineRule="auto"/>
        <w:rPr>
          <w:sz w:val="24"/>
          <w:szCs w:val="24"/>
        </w:rPr>
      </w:pPr>
      <w:r w:rsidRPr="00EE6940">
        <w:rPr>
          <w:sz w:val="24"/>
          <w:szCs w:val="24"/>
        </w:rPr>
        <w:t xml:space="preserve">Barry, N., J. Taylor &amp; Walls K. (2002), </w:t>
      </w:r>
      <w:r w:rsidRPr="00EE6940">
        <w:rPr>
          <w:i/>
          <w:sz w:val="24"/>
          <w:szCs w:val="24"/>
        </w:rPr>
        <w:t xml:space="preserve">The Role of the Fine and Performing Arts in High School Dropout Prevention. </w:t>
      </w:r>
      <w:r w:rsidRPr="00EE6940">
        <w:rPr>
          <w:sz w:val="24"/>
          <w:szCs w:val="24"/>
        </w:rPr>
        <w:t>In R. Deasy (Ed.), Critical Links: Learning in the Arts and Student Achievement and Social Development, Washington, DC: AEP.</w:t>
      </w:r>
    </w:p>
    <w:p w14:paraId="54A320CA" w14:textId="77777777" w:rsidR="00315A0F" w:rsidRPr="00EE6940" w:rsidRDefault="00315A0F" w:rsidP="00315A0F">
      <w:pPr>
        <w:spacing w:after="0" w:line="240" w:lineRule="auto"/>
        <w:rPr>
          <w:rFonts w:eastAsia="Times New Roman" w:cs="Times New Roman"/>
          <w:sz w:val="24"/>
          <w:szCs w:val="24"/>
        </w:rPr>
      </w:pPr>
    </w:p>
    <w:p w14:paraId="112DD242" w14:textId="77777777" w:rsidR="00796EBC" w:rsidRPr="00EE6940" w:rsidRDefault="00796EBC" w:rsidP="00315A0F">
      <w:pPr>
        <w:spacing w:after="0" w:line="240" w:lineRule="auto"/>
        <w:rPr>
          <w:rFonts w:eastAsia="Times New Roman" w:cs="Times New Roman"/>
          <w:sz w:val="24"/>
          <w:szCs w:val="24"/>
        </w:rPr>
      </w:pPr>
      <w:r w:rsidRPr="00EE6940">
        <w:rPr>
          <w:rFonts w:eastAsia="Times New Roman" w:cs="Times New Roman"/>
          <w:sz w:val="24"/>
          <w:szCs w:val="24"/>
        </w:rPr>
        <w:t>Beaumont, J., 2011. Social Trends 41: Households and families. Newport: Office for National Statistics.</w:t>
      </w:r>
    </w:p>
    <w:p w14:paraId="25E7DE88" w14:textId="77777777" w:rsidR="00796EBC" w:rsidRPr="00EE6940" w:rsidRDefault="00796EBC" w:rsidP="00315A0F">
      <w:pPr>
        <w:spacing w:after="0" w:line="240" w:lineRule="auto"/>
        <w:rPr>
          <w:rFonts w:cs="Arial"/>
          <w:sz w:val="24"/>
          <w:szCs w:val="24"/>
        </w:rPr>
      </w:pPr>
    </w:p>
    <w:p w14:paraId="4B50D5DB" w14:textId="77777777" w:rsidR="00796EBC" w:rsidRPr="00EE6940" w:rsidRDefault="00796EBC" w:rsidP="00315A0F">
      <w:pPr>
        <w:spacing w:after="0" w:line="240" w:lineRule="auto"/>
        <w:rPr>
          <w:rFonts w:cs="Arial"/>
          <w:sz w:val="24"/>
          <w:szCs w:val="24"/>
        </w:rPr>
      </w:pPr>
      <w:r w:rsidRPr="00EE6940">
        <w:rPr>
          <w:rFonts w:cs="Arial"/>
          <w:sz w:val="24"/>
          <w:szCs w:val="24"/>
        </w:rPr>
        <w:t xml:space="preserve">Blumenthal J.A., Babyak M.A., Moore K.A., Craighead W.E., Herman S, Khatri P, et al. (1999) </w:t>
      </w:r>
      <w:r w:rsidRPr="00EE6940">
        <w:rPr>
          <w:rFonts w:cs="Arial"/>
          <w:i/>
          <w:sz w:val="24"/>
          <w:szCs w:val="24"/>
        </w:rPr>
        <w:t>Effects of exercise training on older patients with major depression.</w:t>
      </w:r>
      <w:r w:rsidRPr="00EE6940">
        <w:rPr>
          <w:rFonts w:cs="Arial"/>
          <w:sz w:val="24"/>
          <w:szCs w:val="24"/>
        </w:rPr>
        <w:t xml:space="preserve"> Archives of Internal Medicine. 1999;159:2349–2356. </w:t>
      </w:r>
    </w:p>
    <w:p w14:paraId="77291337" w14:textId="77777777" w:rsidR="00315A0F" w:rsidRPr="00EE6940" w:rsidRDefault="00315A0F" w:rsidP="00315A0F">
      <w:pPr>
        <w:spacing w:after="0" w:line="240" w:lineRule="auto"/>
        <w:rPr>
          <w:rFonts w:cs="Arial"/>
          <w:sz w:val="24"/>
          <w:szCs w:val="24"/>
        </w:rPr>
      </w:pPr>
    </w:p>
    <w:p w14:paraId="7DD30AF4" w14:textId="77777777" w:rsidR="00796EBC" w:rsidRPr="00EE6940" w:rsidRDefault="00796EBC" w:rsidP="00315A0F">
      <w:pPr>
        <w:spacing w:after="0" w:line="240" w:lineRule="auto"/>
        <w:rPr>
          <w:rFonts w:cs="Arial"/>
          <w:sz w:val="24"/>
          <w:szCs w:val="24"/>
        </w:rPr>
      </w:pPr>
      <w:r w:rsidRPr="00EE6940">
        <w:rPr>
          <w:rFonts w:cs="Arial"/>
          <w:bCs/>
          <w:sz w:val="24"/>
          <w:szCs w:val="24"/>
        </w:rPr>
        <w:t xml:space="preserve">Bungay, H. &amp; Clift, S. (2010) </w:t>
      </w:r>
      <w:r w:rsidRPr="00EE6940">
        <w:rPr>
          <w:rFonts w:cs="Arial"/>
          <w:bCs/>
          <w:i/>
          <w:sz w:val="24"/>
          <w:szCs w:val="24"/>
        </w:rPr>
        <w:t xml:space="preserve">Arts on Prescription: A review of practice in the UK </w:t>
      </w:r>
      <w:r w:rsidRPr="00EE6940">
        <w:rPr>
          <w:rFonts w:cs="Arial"/>
          <w:i/>
          <w:sz w:val="24"/>
          <w:szCs w:val="24"/>
        </w:rPr>
        <w:t>Perspectives in Public Health November</w:t>
      </w:r>
      <w:r w:rsidRPr="00EE6940">
        <w:rPr>
          <w:rFonts w:cs="Arial"/>
          <w:sz w:val="24"/>
          <w:szCs w:val="24"/>
        </w:rPr>
        <w:t xml:space="preserve"> 2010 130: 277-281</w:t>
      </w:r>
    </w:p>
    <w:p w14:paraId="24583B16" w14:textId="77777777" w:rsidR="00315A0F" w:rsidRPr="00EE6940" w:rsidRDefault="00315A0F" w:rsidP="00315A0F">
      <w:pPr>
        <w:spacing w:after="0" w:line="240" w:lineRule="auto"/>
        <w:rPr>
          <w:rFonts w:cs="Arial"/>
          <w:sz w:val="24"/>
          <w:szCs w:val="24"/>
        </w:rPr>
      </w:pPr>
    </w:p>
    <w:p w14:paraId="67DF8BFD" w14:textId="77777777" w:rsidR="00796EBC" w:rsidRPr="00EE6940" w:rsidRDefault="00796EBC" w:rsidP="00315A0F">
      <w:pPr>
        <w:spacing w:after="0" w:line="240" w:lineRule="auto"/>
        <w:rPr>
          <w:sz w:val="24"/>
          <w:szCs w:val="24"/>
        </w:rPr>
      </w:pPr>
      <w:r w:rsidRPr="00EE6940">
        <w:rPr>
          <w:sz w:val="24"/>
          <w:szCs w:val="24"/>
        </w:rPr>
        <w:t xml:space="preserve">Bygren et al (2009a) Attending cultural events and cancer mortality: A Swedish cohort study. Arts and Health, 1, 64-73 </w:t>
      </w:r>
    </w:p>
    <w:p w14:paraId="060A5051" w14:textId="77777777" w:rsidR="00796EBC" w:rsidRPr="00EE6940" w:rsidRDefault="00796EBC" w:rsidP="00315A0F">
      <w:pPr>
        <w:spacing w:after="0" w:line="240" w:lineRule="auto"/>
        <w:rPr>
          <w:sz w:val="24"/>
          <w:szCs w:val="24"/>
        </w:rPr>
      </w:pPr>
      <w:r w:rsidRPr="00EE6940">
        <w:rPr>
          <w:sz w:val="24"/>
          <w:szCs w:val="24"/>
        </w:rPr>
        <w:lastRenderedPageBreak/>
        <w:t xml:space="preserve">Bygren et al (2009b) Cultural participation and health: a randomized control trial among medical care staff. Psychosomatic Medicine, 71 (4) 469-473. </w:t>
      </w:r>
    </w:p>
    <w:p w14:paraId="54B7DA03" w14:textId="77777777" w:rsidR="00315A0F" w:rsidRPr="00EE6940" w:rsidRDefault="00315A0F" w:rsidP="00315A0F">
      <w:pPr>
        <w:spacing w:after="0" w:line="240" w:lineRule="auto"/>
        <w:rPr>
          <w:sz w:val="24"/>
          <w:szCs w:val="24"/>
        </w:rPr>
      </w:pPr>
    </w:p>
    <w:p w14:paraId="2C3393D6" w14:textId="77777777" w:rsidR="00ED5821" w:rsidRPr="00EE6940" w:rsidRDefault="00ED5821" w:rsidP="00315A0F">
      <w:pPr>
        <w:spacing w:after="0" w:line="240" w:lineRule="auto"/>
        <w:rPr>
          <w:rFonts w:eastAsia="Times New Roman" w:cs="Times New Roman"/>
          <w:sz w:val="24"/>
          <w:szCs w:val="24"/>
        </w:rPr>
      </w:pPr>
      <w:r w:rsidRPr="00EE6940">
        <w:rPr>
          <w:rFonts w:eastAsia="Times New Roman" w:cs="Times New Roman"/>
          <w:sz w:val="24"/>
          <w:szCs w:val="24"/>
        </w:rPr>
        <w:t>Bygren, Lars Olov, Konlaan, Boinkum Benson, Johansson, S.-E., 1996. Attendance at cultural events, reading books or periodicals, and making music or singing in a choir as determinants for survival: Swedish interview survey of living conditions. BMJ: British Medical Journal 313, 1577.</w:t>
      </w:r>
    </w:p>
    <w:p w14:paraId="51BB3E0D" w14:textId="77777777" w:rsidR="0019239E" w:rsidRPr="00EE6940" w:rsidRDefault="0019239E" w:rsidP="00315A0F">
      <w:pPr>
        <w:spacing w:after="0" w:line="240" w:lineRule="auto"/>
        <w:rPr>
          <w:rFonts w:eastAsia="Times New Roman" w:cs="Times New Roman"/>
          <w:sz w:val="24"/>
          <w:szCs w:val="24"/>
        </w:rPr>
      </w:pPr>
    </w:p>
    <w:p w14:paraId="1748533D" w14:textId="77777777" w:rsidR="00796EBC" w:rsidRPr="00EE6940" w:rsidRDefault="00796EBC" w:rsidP="00315A0F">
      <w:pPr>
        <w:spacing w:after="0" w:line="240" w:lineRule="auto"/>
        <w:rPr>
          <w:sz w:val="24"/>
          <w:szCs w:val="24"/>
        </w:rPr>
      </w:pPr>
      <w:r w:rsidRPr="00EE6940">
        <w:rPr>
          <w:sz w:val="24"/>
          <w:szCs w:val="24"/>
        </w:rPr>
        <w:t xml:space="preserve">Callaghan, P. (2004). Exercise: a neglected intervention in mental health care?. </w:t>
      </w:r>
      <w:r w:rsidRPr="00EE6940">
        <w:rPr>
          <w:i/>
          <w:iCs/>
          <w:sz w:val="24"/>
          <w:szCs w:val="24"/>
        </w:rPr>
        <w:t>Journal of psychiatric and mental health nursing</w:t>
      </w:r>
      <w:r w:rsidRPr="00EE6940">
        <w:rPr>
          <w:sz w:val="24"/>
          <w:szCs w:val="24"/>
        </w:rPr>
        <w:t xml:space="preserve">, </w:t>
      </w:r>
      <w:r w:rsidRPr="00EE6940">
        <w:rPr>
          <w:i/>
          <w:iCs/>
          <w:sz w:val="24"/>
          <w:szCs w:val="24"/>
        </w:rPr>
        <w:t>11</w:t>
      </w:r>
      <w:r w:rsidRPr="00EE6940">
        <w:rPr>
          <w:sz w:val="24"/>
          <w:szCs w:val="24"/>
        </w:rPr>
        <w:t>(4), 476-483.</w:t>
      </w:r>
    </w:p>
    <w:p w14:paraId="4CAE0ED2" w14:textId="77777777" w:rsidR="00315A0F" w:rsidRPr="00EE6940" w:rsidRDefault="00315A0F" w:rsidP="00315A0F">
      <w:pPr>
        <w:spacing w:after="0" w:line="240" w:lineRule="auto"/>
        <w:rPr>
          <w:sz w:val="24"/>
          <w:szCs w:val="24"/>
        </w:rPr>
      </w:pPr>
    </w:p>
    <w:p w14:paraId="4C7B68F4" w14:textId="77777777" w:rsidR="00796EBC" w:rsidRPr="00EE6940" w:rsidRDefault="00796EBC" w:rsidP="00315A0F">
      <w:pPr>
        <w:spacing w:after="0" w:line="240" w:lineRule="auto"/>
        <w:rPr>
          <w:rFonts w:cs="Helvetica"/>
          <w:sz w:val="24"/>
          <w:szCs w:val="24"/>
        </w:rPr>
      </w:pPr>
      <w:r w:rsidRPr="00EE6940">
        <w:rPr>
          <w:rFonts w:cs="Helvetica"/>
          <w:sz w:val="24"/>
          <w:szCs w:val="24"/>
        </w:rPr>
        <w:t>Callum C, Boyle S, Sandford A.</w:t>
      </w:r>
      <w:r w:rsidR="00BC7745" w:rsidRPr="00EE6940">
        <w:rPr>
          <w:rFonts w:cs="Helvetica"/>
          <w:sz w:val="24"/>
          <w:szCs w:val="24"/>
        </w:rPr>
        <w:t xml:space="preserve"> (2010),</w:t>
      </w:r>
      <w:r w:rsidRPr="00EE6940">
        <w:rPr>
          <w:rFonts w:cs="Helvetica"/>
          <w:sz w:val="24"/>
          <w:szCs w:val="24"/>
        </w:rPr>
        <w:t xml:space="preserve"> Estimating the cost of smoking to the NHS in England and the impact of declining prevalence. Health Economics Policy &amp; Law</w:t>
      </w:r>
      <w:r w:rsidR="00BC7745" w:rsidRPr="00EE6940">
        <w:rPr>
          <w:rFonts w:cs="Helvetica"/>
          <w:sz w:val="24"/>
          <w:szCs w:val="24"/>
        </w:rPr>
        <w:t>.</w:t>
      </w:r>
    </w:p>
    <w:p w14:paraId="35762A3D" w14:textId="77777777" w:rsidR="00796EBC" w:rsidRPr="00EE6940" w:rsidRDefault="00796EBC" w:rsidP="00315A0F">
      <w:pPr>
        <w:spacing w:after="0" w:line="240" w:lineRule="auto"/>
        <w:rPr>
          <w:sz w:val="24"/>
          <w:szCs w:val="24"/>
        </w:rPr>
      </w:pPr>
    </w:p>
    <w:p w14:paraId="113F3896" w14:textId="77777777" w:rsidR="00796EBC" w:rsidRPr="00EE6940" w:rsidRDefault="00796EBC" w:rsidP="00315A0F">
      <w:pPr>
        <w:spacing w:after="0" w:line="240" w:lineRule="auto"/>
        <w:rPr>
          <w:iCs/>
          <w:sz w:val="24"/>
          <w:szCs w:val="24"/>
        </w:rPr>
      </w:pPr>
      <w:r w:rsidRPr="00EE6940">
        <w:rPr>
          <w:iCs/>
          <w:sz w:val="24"/>
          <w:szCs w:val="24"/>
        </w:rPr>
        <w:t>Camacho T.C., Roberts R.E., Lazarus N.B, et al. (1991)</w:t>
      </w:r>
      <w:r w:rsidRPr="00EE6940">
        <w:rPr>
          <w:i/>
          <w:iCs/>
          <w:sz w:val="24"/>
          <w:szCs w:val="24"/>
        </w:rPr>
        <w:t xml:space="preserve"> Physical activity and depression: evidence from the Alameda County Study. </w:t>
      </w:r>
      <w:r w:rsidRPr="00EE6940">
        <w:rPr>
          <w:iCs/>
          <w:sz w:val="24"/>
          <w:szCs w:val="24"/>
        </w:rPr>
        <w:t>Am J Epidemiol 1991;134:220–31.</w:t>
      </w:r>
    </w:p>
    <w:p w14:paraId="416A7E7A" w14:textId="77777777" w:rsidR="00315A0F" w:rsidRPr="00EE6940" w:rsidRDefault="00315A0F" w:rsidP="00315A0F">
      <w:pPr>
        <w:spacing w:after="0" w:line="240" w:lineRule="auto"/>
        <w:rPr>
          <w:iCs/>
          <w:sz w:val="24"/>
          <w:szCs w:val="24"/>
        </w:rPr>
      </w:pPr>
    </w:p>
    <w:p w14:paraId="2D82D9B3" w14:textId="77777777" w:rsidR="00796EBC" w:rsidRPr="00EE6940" w:rsidRDefault="00796EBC" w:rsidP="00315A0F">
      <w:pPr>
        <w:autoSpaceDE w:val="0"/>
        <w:autoSpaceDN w:val="0"/>
        <w:adjustRightInd w:val="0"/>
        <w:spacing w:after="0" w:line="240" w:lineRule="auto"/>
        <w:rPr>
          <w:sz w:val="24"/>
          <w:szCs w:val="24"/>
        </w:rPr>
      </w:pPr>
      <w:r w:rsidRPr="00EE6940">
        <w:rPr>
          <w:rFonts w:cs="Times New Roman"/>
          <w:bCs/>
          <w:sz w:val="24"/>
          <w:szCs w:val="24"/>
        </w:rPr>
        <w:t xml:space="preserve">Carey, G. </w:t>
      </w:r>
      <w:r w:rsidRPr="00EE6940">
        <w:rPr>
          <w:rFonts w:cs="Times New Roman"/>
          <w:sz w:val="24"/>
          <w:szCs w:val="24"/>
        </w:rPr>
        <w:t>(1998). Regression &amp; Path Analysis. (</w:t>
      </w:r>
      <w:r w:rsidRPr="00EE6940">
        <w:rPr>
          <w:rFonts w:cs="Times New Roman"/>
          <w:i/>
          <w:iCs/>
          <w:sz w:val="24"/>
          <w:szCs w:val="24"/>
        </w:rPr>
        <w:t>http://www.google.com.ng/search?hl=en&amp;source=hp&amp;q=path+analysis+carey+1998&amp;meta.htm</w:t>
      </w:r>
      <w:r w:rsidRPr="00EE6940">
        <w:rPr>
          <w:rFonts w:cs="Times New Roman"/>
          <w:sz w:val="24"/>
          <w:szCs w:val="24"/>
        </w:rPr>
        <w:t>.)</w:t>
      </w:r>
    </w:p>
    <w:p w14:paraId="0FE67788" w14:textId="77777777" w:rsidR="00796EBC" w:rsidRPr="00EE6940" w:rsidRDefault="00796EBC" w:rsidP="00315A0F">
      <w:pPr>
        <w:spacing w:after="0" w:line="240" w:lineRule="auto"/>
        <w:rPr>
          <w:sz w:val="24"/>
          <w:szCs w:val="24"/>
        </w:rPr>
      </w:pPr>
    </w:p>
    <w:p w14:paraId="1784452C" w14:textId="77777777" w:rsidR="00796EBC" w:rsidRPr="00EE6940" w:rsidRDefault="00796EBC" w:rsidP="00315A0F">
      <w:pPr>
        <w:spacing w:after="0" w:line="240" w:lineRule="auto"/>
        <w:rPr>
          <w:sz w:val="24"/>
          <w:szCs w:val="24"/>
        </w:rPr>
      </w:pPr>
      <w:r w:rsidRPr="00EE6940">
        <w:rPr>
          <w:sz w:val="24"/>
          <w:szCs w:val="24"/>
        </w:rPr>
        <w:t xml:space="preserve">Carnic, P. &amp; Chatterjee, H. (2013) Museums and art galleries as partners for public health interventions. Perspectives in Public Health, Vol.133, No.1. </w:t>
      </w:r>
    </w:p>
    <w:p w14:paraId="485E5544" w14:textId="77777777" w:rsidR="00315A0F" w:rsidRPr="00EE6940" w:rsidRDefault="00315A0F" w:rsidP="00315A0F">
      <w:pPr>
        <w:spacing w:after="0" w:line="240" w:lineRule="auto"/>
        <w:rPr>
          <w:sz w:val="24"/>
          <w:szCs w:val="24"/>
        </w:rPr>
      </w:pPr>
    </w:p>
    <w:p w14:paraId="65F9F8F4" w14:textId="77777777" w:rsidR="00796EBC" w:rsidRPr="00EE6940" w:rsidRDefault="00796EBC" w:rsidP="00315A0F">
      <w:pPr>
        <w:spacing w:after="0" w:line="240" w:lineRule="auto"/>
        <w:rPr>
          <w:sz w:val="24"/>
          <w:szCs w:val="24"/>
        </w:rPr>
      </w:pPr>
      <w:r w:rsidRPr="00EE6940">
        <w:rPr>
          <w:sz w:val="24"/>
          <w:szCs w:val="24"/>
        </w:rPr>
        <w:t xml:space="preserve">Castelli, D. M., Hillman, C. H., Buck, S. M. &amp; Erwin, H E. (2007) </w:t>
      </w:r>
      <w:r w:rsidRPr="00EE6940">
        <w:rPr>
          <w:i/>
          <w:sz w:val="24"/>
          <w:szCs w:val="24"/>
        </w:rPr>
        <w:t>Physical Fitness and Academic Achievement in Third- and Fifth-Grade Students.</w:t>
      </w:r>
      <w:r w:rsidRPr="00EE6940">
        <w:rPr>
          <w:sz w:val="24"/>
          <w:szCs w:val="24"/>
        </w:rPr>
        <w:t xml:space="preserve"> </w:t>
      </w:r>
      <w:r w:rsidRPr="00EE6940">
        <w:rPr>
          <w:rStyle w:val="apple-converted-space"/>
          <w:sz w:val="24"/>
          <w:szCs w:val="24"/>
        </w:rPr>
        <w:t> </w:t>
      </w:r>
      <w:r w:rsidRPr="00EE6940">
        <w:rPr>
          <w:sz w:val="24"/>
          <w:szCs w:val="24"/>
        </w:rPr>
        <w:t>Journal of Sport &amp; Exercise Psychology . Apr2007, Vol. 29 Issue 2, p239-252. 14p. 5</w:t>
      </w:r>
    </w:p>
    <w:p w14:paraId="41D08E05" w14:textId="77777777" w:rsidR="00315A0F" w:rsidRPr="00EE6940" w:rsidRDefault="00315A0F" w:rsidP="00315A0F">
      <w:pPr>
        <w:spacing w:after="0" w:line="240" w:lineRule="auto"/>
        <w:rPr>
          <w:sz w:val="24"/>
          <w:szCs w:val="24"/>
        </w:rPr>
      </w:pPr>
    </w:p>
    <w:p w14:paraId="78E52670" w14:textId="77777777" w:rsidR="00796EBC" w:rsidRPr="00EE6940" w:rsidRDefault="00796EBC" w:rsidP="00315A0F">
      <w:pPr>
        <w:spacing w:after="0" w:line="240" w:lineRule="auto"/>
        <w:rPr>
          <w:sz w:val="24"/>
          <w:szCs w:val="24"/>
        </w:rPr>
      </w:pPr>
      <w:r w:rsidRPr="00EE6940">
        <w:rPr>
          <w:sz w:val="24"/>
          <w:szCs w:val="24"/>
        </w:rPr>
        <w:t>Catterall J.S., Chapleau, J. &amp; Iwanaga, J. (1999) In Fiske, E. (Ed.), Champions of Change, The Impact of the Arts on Learning, Arts Education Partnership, Washington.</w:t>
      </w:r>
    </w:p>
    <w:p w14:paraId="0A00819D" w14:textId="77777777" w:rsidR="00315A0F" w:rsidRPr="00EE6940" w:rsidRDefault="00315A0F" w:rsidP="00315A0F">
      <w:pPr>
        <w:spacing w:after="0" w:line="240" w:lineRule="auto"/>
        <w:rPr>
          <w:sz w:val="24"/>
          <w:szCs w:val="24"/>
        </w:rPr>
      </w:pPr>
    </w:p>
    <w:p w14:paraId="50791F4E" w14:textId="77777777" w:rsidR="00796EBC" w:rsidRPr="00EE6940" w:rsidRDefault="00796EBC" w:rsidP="00315A0F">
      <w:pPr>
        <w:spacing w:after="0" w:line="240" w:lineRule="auto"/>
        <w:rPr>
          <w:sz w:val="24"/>
          <w:szCs w:val="24"/>
        </w:rPr>
      </w:pPr>
      <w:r w:rsidRPr="00EE6940">
        <w:rPr>
          <w:sz w:val="24"/>
          <w:szCs w:val="24"/>
        </w:rPr>
        <w:t>Catterall, James S. (2002), I</w:t>
      </w:r>
      <w:r w:rsidRPr="00EE6940">
        <w:rPr>
          <w:i/>
          <w:sz w:val="24"/>
          <w:szCs w:val="24"/>
        </w:rPr>
        <w:t>nvolvement in the Arts and Success in Secondary School</w:t>
      </w:r>
      <w:r w:rsidRPr="00EE6940">
        <w:rPr>
          <w:sz w:val="24"/>
          <w:szCs w:val="24"/>
        </w:rPr>
        <w:t>. In R. Deasy (Ed.), Critical Links: Learning in the Arts and Student Achievement and Social Development, Washington, DC: AEP.</w:t>
      </w:r>
    </w:p>
    <w:p w14:paraId="51B2C0D0" w14:textId="77777777" w:rsidR="00315A0F" w:rsidRPr="00EE6940" w:rsidRDefault="00315A0F" w:rsidP="00315A0F">
      <w:pPr>
        <w:spacing w:after="0" w:line="240" w:lineRule="auto"/>
        <w:rPr>
          <w:sz w:val="24"/>
          <w:szCs w:val="24"/>
        </w:rPr>
      </w:pPr>
    </w:p>
    <w:p w14:paraId="519BBE5C" w14:textId="77777777" w:rsidR="00796EBC" w:rsidRPr="00EE6940" w:rsidRDefault="00796EBC" w:rsidP="00315A0F">
      <w:pPr>
        <w:spacing w:after="0" w:line="240" w:lineRule="auto"/>
        <w:rPr>
          <w:sz w:val="24"/>
          <w:szCs w:val="24"/>
        </w:rPr>
      </w:pPr>
      <w:r w:rsidRPr="00EE6940">
        <w:rPr>
          <w:sz w:val="24"/>
          <w:szCs w:val="24"/>
        </w:rPr>
        <w:t xml:space="preserve">Catterall, James S. (2002), </w:t>
      </w:r>
      <w:r w:rsidRPr="00EE6940">
        <w:rPr>
          <w:i/>
          <w:sz w:val="24"/>
          <w:szCs w:val="24"/>
        </w:rPr>
        <w:t xml:space="preserve">The Arts and the Transfer of Learning. </w:t>
      </w:r>
      <w:r w:rsidRPr="00EE6940">
        <w:rPr>
          <w:sz w:val="24"/>
          <w:szCs w:val="24"/>
        </w:rPr>
        <w:t>In Deasy R. (Ed.), Critical Links: Learning in the Arts and Student Achievement and Social Development, Washington, DC: AEP</w:t>
      </w:r>
    </w:p>
    <w:p w14:paraId="5EE29E3F" w14:textId="77777777" w:rsidR="00BC7745" w:rsidRPr="00EE6940" w:rsidRDefault="00BC7745" w:rsidP="00315A0F">
      <w:pPr>
        <w:spacing w:after="0" w:line="240" w:lineRule="auto"/>
        <w:rPr>
          <w:sz w:val="24"/>
          <w:szCs w:val="24"/>
        </w:rPr>
      </w:pPr>
    </w:p>
    <w:p w14:paraId="36DDB406" w14:textId="77777777" w:rsidR="00BC7745" w:rsidRPr="00EE6940" w:rsidRDefault="00BC7745" w:rsidP="00315A0F">
      <w:pPr>
        <w:spacing w:after="0" w:line="240" w:lineRule="auto"/>
        <w:rPr>
          <w:sz w:val="24"/>
          <w:szCs w:val="24"/>
        </w:rPr>
      </w:pPr>
      <w:r w:rsidRPr="00EE6940">
        <w:rPr>
          <w:sz w:val="24"/>
          <w:szCs w:val="24"/>
        </w:rPr>
        <w:t>Childs, S., Ross, F., &amp; Mueller R. (2012), Assessing the Importance of</w:t>
      </w:r>
      <w:r w:rsidRPr="00EE6940">
        <w:rPr>
          <w:i/>
          <w:sz w:val="24"/>
          <w:szCs w:val="24"/>
        </w:rPr>
        <w:t xml:space="preserve"> </w:t>
      </w:r>
      <w:r w:rsidRPr="00EE6940">
        <w:rPr>
          <w:sz w:val="24"/>
          <w:szCs w:val="24"/>
        </w:rPr>
        <w:t xml:space="preserve">Cultural Capital on PSE Attendance in Canada. </w:t>
      </w:r>
      <w:r w:rsidRPr="00EE6940">
        <w:rPr>
          <w:rFonts w:eastAsia="Times New Roman" w:cs="Times New Roman"/>
          <w:sz w:val="24"/>
          <w:szCs w:val="24"/>
        </w:rPr>
        <w:t>Ottawa: Education Policy Research Initiative.</w:t>
      </w:r>
    </w:p>
    <w:p w14:paraId="72501B8D" w14:textId="77777777" w:rsidR="00315A0F" w:rsidRPr="00EE6940" w:rsidRDefault="00315A0F" w:rsidP="00315A0F">
      <w:pPr>
        <w:spacing w:after="0" w:line="240" w:lineRule="auto"/>
        <w:rPr>
          <w:sz w:val="24"/>
          <w:szCs w:val="24"/>
        </w:rPr>
      </w:pPr>
    </w:p>
    <w:p w14:paraId="063DD41B" w14:textId="77777777" w:rsidR="00796EBC" w:rsidRPr="00EE6940" w:rsidRDefault="00796EBC" w:rsidP="00315A0F">
      <w:pPr>
        <w:spacing w:after="0" w:line="240" w:lineRule="auto"/>
        <w:rPr>
          <w:rFonts w:cs="Arial"/>
          <w:sz w:val="24"/>
          <w:szCs w:val="24"/>
        </w:rPr>
      </w:pPr>
      <w:r w:rsidRPr="00EE6940">
        <w:rPr>
          <w:rFonts w:cs="Arial"/>
          <w:sz w:val="24"/>
          <w:szCs w:val="24"/>
        </w:rPr>
        <w:t xml:space="preserve">Clair, A. A. (2000). The Importance of Singing with Elderly Patients. In D. Aldridge (Ed.), </w:t>
      </w:r>
      <w:r w:rsidRPr="00EE6940">
        <w:rPr>
          <w:rFonts w:cs="Arial"/>
          <w:i/>
          <w:iCs/>
          <w:sz w:val="24"/>
          <w:szCs w:val="24"/>
        </w:rPr>
        <w:t xml:space="preserve">Music Therapy in Dementia Care </w:t>
      </w:r>
      <w:r w:rsidRPr="00EE6940">
        <w:rPr>
          <w:rFonts w:cs="Arial"/>
          <w:sz w:val="24"/>
          <w:szCs w:val="24"/>
        </w:rPr>
        <w:t>(pp. 81-101). London: Jessica Kingsley.</w:t>
      </w:r>
    </w:p>
    <w:p w14:paraId="0CFEC83C" w14:textId="77777777" w:rsidR="00315A0F" w:rsidRPr="00EE6940" w:rsidRDefault="00315A0F" w:rsidP="00315A0F">
      <w:pPr>
        <w:spacing w:after="0" w:line="240" w:lineRule="auto"/>
        <w:rPr>
          <w:rFonts w:cs="Arial"/>
          <w:sz w:val="24"/>
          <w:szCs w:val="24"/>
        </w:rPr>
      </w:pPr>
    </w:p>
    <w:p w14:paraId="255450A8" w14:textId="77777777" w:rsidR="00796EBC" w:rsidRPr="00EE6940" w:rsidRDefault="00796EBC" w:rsidP="00315A0F">
      <w:pPr>
        <w:spacing w:after="0" w:line="240" w:lineRule="auto"/>
        <w:rPr>
          <w:rFonts w:cs="Arial"/>
          <w:bCs/>
          <w:sz w:val="24"/>
          <w:szCs w:val="24"/>
        </w:rPr>
      </w:pPr>
      <w:r w:rsidRPr="00EE6940">
        <w:rPr>
          <w:rFonts w:cs="Arial"/>
          <w:bCs/>
          <w:sz w:val="24"/>
          <w:szCs w:val="24"/>
        </w:rPr>
        <w:lastRenderedPageBreak/>
        <w:t xml:space="preserve">Clow, A. &amp; Fredhoi,C. (2006) </w:t>
      </w:r>
      <w:r w:rsidRPr="00EE6940">
        <w:rPr>
          <w:rFonts w:cs="Arial"/>
          <w:bCs/>
          <w:i/>
          <w:sz w:val="24"/>
          <w:szCs w:val="24"/>
        </w:rPr>
        <w:t xml:space="preserve">Normalisation of salivary cortisol levels and self-report stress by a brief lunchtime visit to an art gallery by London city workers. </w:t>
      </w:r>
      <w:r w:rsidRPr="00EE6940">
        <w:rPr>
          <w:rFonts w:cs="Arial"/>
          <w:bCs/>
          <w:sz w:val="24"/>
          <w:szCs w:val="24"/>
        </w:rPr>
        <w:t>Journal of Holistic Healthcare, 3(2), 29-32</w:t>
      </w:r>
    </w:p>
    <w:p w14:paraId="2EA712FA" w14:textId="77777777" w:rsidR="00315A0F" w:rsidRPr="00EE6940" w:rsidRDefault="00315A0F" w:rsidP="00315A0F">
      <w:pPr>
        <w:spacing w:after="0" w:line="240" w:lineRule="auto"/>
        <w:rPr>
          <w:i/>
          <w:sz w:val="24"/>
          <w:szCs w:val="24"/>
        </w:rPr>
      </w:pPr>
    </w:p>
    <w:p w14:paraId="5A8FC168" w14:textId="77777777" w:rsidR="00796EBC" w:rsidRPr="00EE6940" w:rsidRDefault="00796EBC" w:rsidP="00315A0F">
      <w:pPr>
        <w:spacing w:after="0" w:line="240" w:lineRule="auto"/>
        <w:rPr>
          <w:sz w:val="24"/>
          <w:szCs w:val="24"/>
        </w:rPr>
      </w:pPr>
      <w:r w:rsidRPr="00EE6940">
        <w:rPr>
          <w:sz w:val="24"/>
          <w:szCs w:val="24"/>
        </w:rPr>
        <w:t xml:space="preserve">Coe, D. P., Pivarnik, J. M., Womack, C. J., Reeves, M. J., &amp; Malina, R. M. (2006). </w:t>
      </w:r>
      <w:r w:rsidRPr="00EE6940">
        <w:rPr>
          <w:i/>
          <w:sz w:val="24"/>
          <w:szCs w:val="24"/>
        </w:rPr>
        <w:t xml:space="preserve">Effect of physical education and activity levels on academic achievement in children. </w:t>
      </w:r>
      <w:r w:rsidRPr="00EE6940">
        <w:rPr>
          <w:sz w:val="24"/>
          <w:szCs w:val="24"/>
        </w:rPr>
        <w:t>Medicine and Science in Sports and Exercise, 38, 1515–1519</w:t>
      </w:r>
    </w:p>
    <w:p w14:paraId="57FBA2A6" w14:textId="77777777" w:rsidR="00315A0F" w:rsidRPr="00EE6940" w:rsidRDefault="00315A0F" w:rsidP="00315A0F">
      <w:pPr>
        <w:spacing w:after="0" w:line="240" w:lineRule="auto"/>
        <w:rPr>
          <w:rFonts w:cs="Arial"/>
          <w:sz w:val="24"/>
          <w:szCs w:val="24"/>
        </w:rPr>
      </w:pPr>
    </w:p>
    <w:p w14:paraId="6B9B9B69" w14:textId="77777777" w:rsidR="00796EBC" w:rsidRPr="00EE6940" w:rsidRDefault="00796EBC" w:rsidP="00315A0F">
      <w:pPr>
        <w:spacing w:after="0" w:line="240" w:lineRule="auto"/>
        <w:rPr>
          <w:rFonts w:cs="Arial"/>
          <w:sz w:val="24"/>
          <w:szCs w:val="24"/>
        </w:rPr>
      </w:pPr>
      <w:r w:rsidRPr="00EE6940">
        <w:rPr>
          <w:rFonts w:cs="Arial"/>
          <w:sz w:val="24"/>
          <w:szCs w:val="24"/>
        </w:rPr>
        <w:t xml:space="preserve">Cohen GD , Perlstein, S., Chapline, J. ,Kelly, J. Firth, K.M, &amp; Simmens, S. (2006) </w:t>
      </w:r>
      <w:r w:rsidRPr="00EE6940">
        <w:rPr>
          <w:rFonts w:cs="Arial"/>
          <w:i/>
          <w:sz w:val="24"/>
          <w:szCs w:val="24"/>
        </w:rPr>
        <w:t>The impact of professionally conducted cultural programs on the physical health, mental health and social functioning of older  adults</w:t>
      </w:r>
      <w:r w:rsidRPr="00EE6940">
        <w:rPr>
          <w:rFonts w:cs="Arial"/>
          <w:sz w:val="24"/>
          <w:szCs w:val="24"/>
        </w:rPr>
        <w:t xml:space="preserve">. The Gerontologist 46 (6) 726-734 </w:t>
      </w:r>
    </w:p>
    <w:p w14:paraId="4BA5F491" w14:textId="77777777" w:rsidR="00315A0F" w:rsidRPr="00EE6940" w:rsidRDefault="00315A0F" w:rsidP="00315A0F">
      <w:pPr>
        <w:spacing w:after="0" w:line="240" w:lineRule="auto"/>
        <w:rPr>
          <w:sz w:val="24"/>
          <w:szCs w:val="24"/>
        </w:rPr>
      </w:pPr>
    </w:p>
    <w:p w14:paraId="38A44E65" w14:textId="77777777" w:rsidR="00796EBC" w:rsidRPr="00EE6940" w:rsidRDefault="00796EBC" w:rsidP="00315A0F">
      <w:pPr>
        <w:spacing w:after="0" w:line="240" w:lineRule="auto"/>
        <w:rPr>
          <w:sz w:val="24"/>
          <w:szCs w:val="24"/>
        </w:rPr>
      </w:pPr>
      <w:r w:rsidRPr="00EE6940">
        <w:rPr>
          <w:sz w:val="24"/>
          <w:szCs w:val="24"/>
        </w:rPr>
        <w:t xml:space="preserve">Colcombe, S. J., &amp; Kramer, A. F. (2003). </w:t>
      </w:r>
      <w:r w:rsidRPr="00EE6940">
        <w:rPr>
          <w:i/>
          <w:sz w:val="24"/>
          <w:szCs w:val="24"/>
        </w:rPr>
        <w:t xml:space="preserve">Fitness effects on the cognitive function of older adults: A meta-analytic study </w:t>
      </w:r>
      <w:r w:rsidRPr="00EE6940">
        <w:rPr>
          <w:sz w:val="24"/>
          <w:szCs w:val="24"/>
        </w:rPr>
        <w:t>Psychological Science, 14, 125–130.</w:t>
      </w:r>
    </w:p>
    <w:p w14:paraId="12604BDD" w14:textId="77777777" w:rsidR="00315A0F" w:rsidRPr="00EE6940" w:rsidRDefault="00315A0F" w:rsidP="00315A0F">
      <w:pPr>
        <w:spacing w:after="0" w:line="240" w:lineRule="auto"/>
        <w:rPr>
          <w:rFonts w:cs="Arial"/>
          <w:sz w:val="24"/>
          <w:szCs w:val="24"/>
        </w:rPr>
      </w:pPr>
    </w:p>
    <w:p w14:paraId="134B2897" w14:textId="77777777" w:rsidR="00796EBC" w:rsidRPr="00EE6940" w:rsidRDefault="00796EBC" w:rsidP="00315A0F">
      <w:pPr>
        <w:spacing w:after="0" w:line="240" w:lineRule="auto"/>
        <w:rPr>
          <w:rFonts w:cs="Arial"/>
          <w:sz w:val="24"/>
          <w:szCs w:val="24"/>
        </w:rPr>
      </w:pPr>
      <w:r w:rsidRPr="00EE6940">
        <w:rPr>
          <w:rFonts w:cs="Arial"/>
          <w:sz w:val="24"/>
          <w:szCs w:val="24"/>
        </w:rPr>
        <w:t xml:space="preserve">Collins K., Furman R. &amp; Langer C.(2006) </w:t>
      </w:r>
      <w:r w:rsidRPr="00EE6940">
        <w:rPr>
          <w:rFonts w:cs="Arial"/>
          <w:i/>
          <w:sz w:val="24"/>
          <w:szCs w:val="24"/>
        </w:rPr>
        <w:t>Poetry therapy as a tool of cognitively based practice.</w:t>
      </w:r>
      <w:r w:rsidRPr="00EE6940">
        <w:rPr>
          <w:rFonts w:cs="Arial"/>
          <w:sz w:val="24"/>
          <w:szCs w:val="24"/>
        </w:rPr>
        <w:t xml:space="preserve"> Arts Psychother 2006;33(3):180–187.</w:t>
      </w:r>
    </w:p>
    <w:p w14:paraId="4560F163" w14:textId="77777777" w:rsidR="00315A0F" w:rsidRPr="00EE6940" w:rsidRDefault="00315A0F" w:rsidP="00315A0F">
      <w:pPr>
        <w:spacing w:after="0" w:line="240" w:lineRule="auto"/>
        <w:rPr>
          <w:rFonts w:eastAsia="Times New Roman" w:cs="Times New Roman"/>
          <w:sz w:val="24"/>
          <w:szCs w:val="24"/>
        </w:rPr>
      </w:pPr>
    </w:p>
    <w:p w14:paraId="33193636" w14:textId="77777777" w:rsidR="00796EBC" w:rsidRPr="00EE6940" w:rsidRDefault="00796EBC" w:rsidP="00315A0F">
      <w:pPr>
        <w:spacing w:after="0" w:line="240" w:lineRule="auto"/>
        <w:rPr>
          <w:rFonts w:eastAsia="Times New Roman" w:cs="Times New Roman"/>
          <w:sz w:val="24"/>
          <w:szCs w:val="24"/>
        </w:rPr>
      </w:pPr>
      <w:r w:rsidRPr="00EE6940">
        <w:rPr>
          <w:rFonts w:eastAsia="Times New Roman" w:cs="Times New Roman"/>
          <w:sz w:val="24"/>
          <w:szCs w:val="24"/>
        </w:rPr>
        <w:t>Collingwood, T.R., Sunderlin, J., Reynolds, R., Kohl, H.W., 2000. Physical training as a substance abuse prevention intervention for youth. Journal of drug education 30, 435–452.</w:t>
      </w:r>
    </w:p>
    <w:p w14:paraId="694187E3" w14:textId="77777777" w:rsidR="00796EBC" w:rsidRPr="00EE6940" w:rsidRDefault="00796EBC" w:rsidP="00315A0F">
      <w:pPr>
        <w:spacing w:after="0" w:line="240" w:lineRule="auto"/>
        <w:rPr>
          <w:rFonts w:cs="Arial"/>
          <w:sz w:val="24"/>
          <w:szCs w:val="24"/>
        </w:rPr>
      </w:pPr>
    </w:p>
    <w:p w14:paraId="1206FA3E" w14:textId="77777777" w:rsidR="00796EBC" w:rsidRPr="00EE6940" w:rsidRDefault="00796EBC" w:rsidP="00315A0F">
      <w:pPr>
        <w:spacing w:after="0" w:line="240" w:lineRule="auto"/>
        <w:rPr>
          <w:sz w:val="24"/>
          <w:szCs w:val="24"/>
          <w:lang w:val="en-US"/>
        </w:rPr>
      </w:pPr>
      <w:r w:rsidRPr="00EE6940">
        <w:rPr>
          <w:sz w:val="24"/>
          <w:szCs w:val="24"/>
          <w:lang w:val="en-US"/>
        </w:rPr>
        <w:t xml:space="preserve">Cully, Jeffrey A., et al. "Use of psychotherapy by rural and urban veterans." </w:t>
      </w:r>
      <w:r w:rsidRPr="00EE6940">
        <w:rPr>
          <w:i/>
          <w:iCs/>
          <w:sz w:val="24"/>
          <w:szCs w:val="24"/>
          <w:lang w:val="en-US"/>
        </w:rPr>
        <w:t>The Journal of Rural Health</w:t>
      </w:r>
      <w:r w:rsidRPr="00EE6940">
        <w:rPr>
          <w:sz w:val="24"/>
          <w:szCs w:val="24"/>
          <w:lang w:val="en-US"/>
        </w:rPr>
        <w:t xml:space="preserve"> 26.3 (2010): 225-233.</w:t>
      </w:r>
    </w:p>
    <w:p w14:paraId="30BAC9C8" w14:textId="77777777" w:rsidR="00315A0F" w:rsidRPr="00EE6940" w:rsidRDefault="00315A0F" w:rsidP="00315A0F">
      <w:pPr>
        <w:spacing w:after="0" w:line="240" w:lineRule="auto"/>
        <w:rPr>
          <w:sz w:val="24"/>
          <w:szCs w:val="24"/>
          <w:lang w:val="en-US"/>
        </w:rPr>
      </w:pPr>
    </w:p>
    <w:p w14:paraId="08DBCC69" w14:textId="77777777" w:rsidR="00796EBC" w:rsidRPr="00EE6940" w:rsidRDefault="00796EBC" w:rsidP="00315A0F">
      <w:pPr>
        <w:spacing w:after="0" w:line="240" w:lineRule="auto"/>
        <w:rPr>
          <w:sz w:val="24"/>
          <w:szCs w:val="24"/>
        </w:rPr>
      </w:pPr>
      <w:r w:rsidRPr="00EE6940">
        <w:rPr>
          <w:sz w:val="24"/>
          <w:szCs w:val="24"/>
        </w:rPr>
        <w:t xml:space="preserve">Cuypers, K. et al. (2011). </w:t>
      </w:r>
      <w:r w:rsidRPr="00EE6940">
        <w:rPr>
          <w:i/>
          <w:sz w:val="24"/>
          <w:szCs w:val="24"/>
        </w:rPr>
        <w:t xml:space="preserve">Patterns of receptive and creative cultural activities and their association with perceived health, anxiety, depression and satisfaction with life among adults: the HUNT study, Norway </w:t>
      </w:r>
      <w:r w:rsidRPr="00EE6940">
        <w:rPr>
          <w:i/>
          <w:iCs/>
          <w:sz w:val="24"/>
          <w:szCs w:val="24"/>
        </w:rPr>
        <w:t xml:space="preserve">J </w:t>
      </w:r>
      <w:r w:rsidRPr="00EE6940">
        <w:rPr>
          <w:iCs/>
          <w:sz w:val="24"/>
          <w:szCs w:val="24"/>
        </w:rPr>
        <w:t xml:space="preserve">Epidemiol Community Health </w:t>
      </w:r>
      <w:r w:rsidRPr="00EE6940">
        <w:rPr>
          <w:sz w:val="24"/>
          <w:szCs w:val="24"/>
        </w:rPr>
        <w:t>doi:10.1136/jech.2010.113571</w:t>
      </w:r>
    </w:p>
    <w:p w14:paraId="733D87F2" w14:textId="77777777" w:rsidR="00796EBC" w:rsidRPr="00EE6940" w:rsidRDefault="00796EBC" w:rsidP="00315A0F">
      <w:pPr>
        <w:spacing w:after="0" w:line="240" w:lineRule="auto"/>
        <w:rPr>
          <w:rFonts w:eastAsia="Times New Roman" w:cs="Times New Roman"/>
          <w:sz w:val="24"/>
          <w:szCs w:val="24"/>
        </w:rPr>
      </w:pPr>
    </w:p>
    <w:p w14:paraId="1A954AC6" w14:textId="77777777" w:rsidR="00796EBC" w:rsidRPr="00EE6940" w:rsidRDefault="00796EBC" w:rsidP="00315A0F">
      <w:pPr>
        <w:spacing w:after="0" w:line="240" w:lineRule="auto"/>
        <w:rPr>
          <w:sz w:val="24"/>
          <w:szCs w:val="24"/>
        </w:rPr>
      </w:pPr>
      <w:r w:rsidRPr="00EE6940">
        <w:rPr>
          <w:sz w:val="24"/>
          <w:szCs w:val="24"/>
        </w:rPr>
        <w:t>Daykin, N., Orme, J., Evans, D., Salmon, D., McEachran, M. &amp; Brain, S. (2008)</w:t>
      </w:r>
      <w:r w:rsidRPr="00EE6940">
        <w:rPr>
          <w:i/>
          <w:sz w:val="24"/>
          <w:szCs w:val="24"/>
        </w:rPr>
        <w:t xml:space="preserve"> 'The Impact of Participation in Performing Arts on Adolescent Health and Behaviour', </w:t>
      </w:r>
      <w:r w:rsidRPr="00EE6940">
        <w:rPr>
          <w:iCs/>
          <w:sz w:val="24"/>
          <w:szCs w:val="24"/>
        </w:rPr>
        <w:t>Journal of Health Psychology</w:t>
      </w:r>
      <w:r w:rsidRPr="00EE6940">
        <w:rPr>
          <w:sz w:val="24"/>
          <w:szCs w:val="24"/>
        </w:rPr>
        <w:t>, vol. 13, no. 2, pp. 251-264.</w:t>
      </w:r>
    </w:p>
    <w:p w14:paraId="6C624B25" w14:textId="77777777" w:rsidR="00315A0F" w:rsidRPr="00EE6940" w:rsidRDefault="00315A0F" w:rsidP="00315A0F">
      <w:pPr>
        <w:spacing w:after="0" w:line="240" w:lineRule="auto"/>
        <w:rPr>
          <w:i/>
          <w:sz w:val="24"/>
          <w:szCs w:val="24"/>
        </w:rPr>
      </w:pPr>
    </w:p>
    <w:p w14:paraId="11E9B3A5" w14:textId="77777777" w:rsidR="00796EBC" w:rsidRPr="00EE6940" w:rsidRDefault="00796EBC" w:rsidP="00315A0F">
      <w:pPr>
        <w:spacing w:after="0" w:line="240" w:lineRule="auto"/>
        <w:rPr>
          <w:sz w:val="24"/>
          <w:szCs w:val="24"/>
        </w:rPr>
      </w:pPr>
      <w:r w:rsidRPr="00EE6940">
        <w:rPr>
          <w:sz w:val="24"/>
          <w:szCs w:val="24"/>
        </w:rPr>
        <w:t xml:space="preserve">Deasy, R. (2002). Critical Links: </w:t>
      </w:r>
      <w:r w:rsidRPr="00EE6940">
        <w:rPr>
          <w:i/>
          <w:sz w:val="24"/>
          <w:szCs w:val="24"/>
        </w:rPr>
        <w:t xml:space="preserve">Learning in the Arts and Student Academic and Social Development. </w:t>
      </w:r>
      <w:r w:rsidRPr="00EE6940">
        <w:rPr>
          <w:sz w:val="24"/>
          <w:szCs w:val="24"/>
        </w:rPr>
        <w:t xml:space="preserve">Washington D.C.: Arts Education Partnership. </w:t>
      </w:r>
    </w:p>
    <w:p w14:paraId="4D9D7551" w14:textId="77777777" w:rsidR="00315A0F" w:rsidRPr="00EE6940" w:rsidRDefault="00315A0F" w:rsidP="00315A0F">
      <w:pPr>
        <w:spacing w:after="0" w:line="240" w:lineRule="auto"/>
        <w:rPr>
          <w:sz w:val="24"/>
          <w:szCs w:val="24"/>
        </w:rPr>
      </w:pPr>
    </w:p>
    <w:p w14:paraId="2CAA7CFE" w14:textId="77777777" w:rsidR="00796EBC" w:rsidRPr="00EE6940" w:rsidRDefault="00796EBC" w:rsidP="00315A0F">
      <w:pPr>
        <w:spacing w:after="0" w:line="240" w:lineRule="auto"/>
        <w:rPr>
          <w:rFonts w:eastAsia="Times New Roman" w:cs="Times New Roman"/>
          <w:sz w:val="24"/>
          <w:szCs w:val="24"/>
          <w:lang w:val="en-US"/>
        </w:rPr>
      </w:pPr>
      <w:r w:rsidRPr="00EE6940">
        <w:rPr>
          <w:rFonts w:eastAsia="Times New Roman" w:cs="Times New Roman"/>
          <w:sz w:val="24"/>
          <w:szCs w:val="24"/>
          <w:lang w:val="en-US"/>
        </w:rPr>
        <w:t xml:space="preserve">Devlin, N., Tsuchiya, A., Buckingham, K. and Tilling, C. (2011) A uniform time trade off method for states better and worse than dead: Feasibility study of the ‘lead time’ approach. </w:t>
      </w:r>
      <w:r w:rsidRPr="00EE6940">
        <w:rPr>
          <w:rFonts w:eastAsia="Times New Roman" w:cs="Times New Roman"/>
          <w:i/>
          <w:iCs/>
          <w:sz w:val="24"/>
          <w:szCs w:val="24"/>
          <w:lang w:val="en-US"/>
        </w:rPr>
        <w:t>Health Economics.</w:t>
      </w:r>
      <w:r w:rsidRPr="00EE6940">
        <w:rPr>
          <w:rFonts w:eastAsia="Times New Roman" w:cs="Times New Roman"/>
          <w:sz w:val="24"/>
          <w:szCs w:val="24"/>
          <w:lang w:val="en-US"/>
        </w:rPr>
        <w:t xml:space="preserve"> 20(3), 348-361.</w:t>
      </w:r>
    </w:p>
    <w:p w14:paraId="2389EA93" w14:textId="77777777" w:rsidR="00796EBC" w:rsidRPr="00EE6940" w:rsidRDefault="00796EBC" w:rsidP="00315A0F">
      <w:pPr>
        <w:spacing w:after="0" w:line="240" w:lineRule="auto"/>
        <w:rPr>
          <w:sz w:val="24"/>
          <w:szCs w:val="24"/>
        </w:rPr>
      </w:pPr>
    </w:p>
    <w:p w14:paraId="7CF8DC1F" w14:textId="77777777" w:rsidR="00796EBC" w:rsidRPr="00EE6940" w:rsidRDefault="00796EBC" w:rsidP="00315A0F">
      <w:pPr>
        <w:spacing w:after="0" w:line="240" w:lineRule="auto"/>
        <w:rPr>
          <w:i/>
          <w:sz w:val="24"/>
          <w:szCs w:val="24"/>
        </w:rPr>
      </w:pPr>
      <w:r w:rsidRPr="00EE6940">
        <w:rPr>
          <w:sz w:val="24"/>
          <w:szCs w:val="24"/>
        </w:rPr>
        <w:t>Dohle, S. &amp; Wansink B. (2013)</w:t>
      </w:r>
      <w:r w:rsidRPr="00EE6940">
        <w:rPr>
          <w:i/>
          <w:sz w:val="24"/>
          <w:szCs w:val="24"/>
        </w:rPr>
        <w:t xml:space="preserve"> “Fit in 50 Years: Participation in High School Sports Best Predicts One’s Physical Activity After Age 70,” </w:t>
      </w:r>
      <w:r w:rsidRPr="00EE6940">
        <w:rPr>
          <w:iCs/>
          <w:sz w:val="24"/>
          <w:szCs w:val="24"/>
        </w:rPr>
        <w:t>BCM Public Health</w:t>
      </w:r>
      <w:r w:rsidRPr="00EE6940">
        <w:rPr>
          <w:sz w:val="24"/>
          <w:szCs w:val="24"/>
        </w:rPr>
        <w:t>, (2013), 13, 1100.</w:t>
      </w:r>
      <w:r w:rsidRPr="00EE6940">
        <w:rPr>
          <w:i/>
          <w:sz w:val="24"/>
          <w:szCs w:val="24"/>
        </w:rPr>
        <w:t xml:space="preserve"> </w:t>
      </w:r>
    </w:p>
    <w:p w14:paraId="72217F7A" w14:textId="77777777" w:rsidR="00315A0F" w:rsidRPr="00EE6940" w:rsidRDefault="00315A0F" w:rsidP="00315A0F">
      <w:pPr>
        <w:spacing w:after="0" w:line="240" w:lineRule="auto"/>
        <w:rPr>
          <w:i/>
          <w:sz w:val="24"/>
          <w:szCs w:val="24"/>
        </w:rPr>
      </w:pPr>
    </w:p>
    <w:p w14:paraId="0A247305" w14:textId="77777777" w:rsidR="00796EBC" w:rsidRPr="00EE6940" w:rsidRDefault="00796EBC" w:rsidP="00315A0F">
      <w:pPr>
        <w:spacing w:after="0" w:line="240" w:lineRule="auto"/>
        <w:rPr>
          <w:sz w:val="24"/>
          <w:szCs w:val="24"/>
        </w:rPr>
      </w:pPr>
      <w:r w:rsidRPr="00EE6940">
        <w:rPr>
          <w:sz w:val="24"/>
          <w:szCs w:val="24"/>
        </w:rPr>
        <w:t xml:space="preserve">Dreezen, C., Aprill, A. &amp; Deasy, R. (1999). </w:t>
      </w:r>
      <w:r w:rsidRPr="00EE6940">
        <w:rPr>
          <w:i/>
          <w:sz w:val="24"/>
          <w:szCs w:val="24"/>
        </w:rPr>
        <w:t>Learning Partnerships: Improving Learning in Schools with Arts Partners in the Community.</w:t>
      </w:r>
      <w:r w:rsidRPr="00EE6940">
        <w:rPr>
          <w:sz w:val="24"/>
          <w:szCs w:val="24"/>
        </w:rPr>
        <w:t xml:space="preserve"> Washington D.C. Arts Education Partnerships.</w:t>
      </w:r>
    </w:p>
    <w:p w14:paraId="335D387F" w14:textId="77777777" w:rsidR="00315A0F" w:rsidRPr="00EE6940" w:rsidRDefault="00315A0F" w:rsidP="00315A0F">
      <w:pPr>
        <w:spacing w:after="0" w:line="240" w:lineRule="auto"/>
        <w:rPr>
          <w:sz w:val="24"/>
          <w:szCs w:val="24"/>
        </w:rPr>
      </w:pPr>
    </w:p>
    <w:p w14:paraId="1A4D2406" w14:textId="77777777" w:rsidR="00796EBC" w:rsidRPr="00EE6940" w:rsidRDefault="00796EBC" w:rsidP="00315A0F">
      <w:pPr>
        <w:spacing w:after="0" w:line="240" w:lineRule="auto"/>
        <w:rPr>
          <w:rFonts w:eastAsia="Arial Unicode MS" w:cs="Arial Unicode MS"/>
          <w:sz w:val="24"/>
          <w:szCs w:val="24"/>
        </w:rPr>
      </w:pPr>
      <w:r w:rsidRPr="00EE6940">
        <w:rPr>
          <w:rFonts w:eastAsia="Arial Unicode MS" w:cs="Arial Unicode MS"/>
          <w:sz w:val="24"/>
          <w:szCs w:val="24"/>
        </w:rPr>
        <w:lastRenderedPageBreak/>
        <w:t xml:space="preserve">Dyer G., Hunter E. (2009) </w:t>
      </w:r>
      <w:r w:rsidRPr="00EE6940">
        <w:rPr>
          <w:rFonts w:eastAsia="Arial Unicode MS" w:cs="Arial Unicode MS"/>
          <w:bCs/>
          <w:i/>
          <w:sz w:val="24"/>
          <w:szCs w:val="24"/>
        </w:rPr>
        <w:t>Creative recovery: art for mental health's sake</w:t>
      </w:r>
      <w:r w:rsidRPr="00EE6940">
        <w:rPr>
          <w:rFonts w:eastAsia="Arial Unicode MS" w:cs="Arial Unicode MS"/>
          <w:b/>
          <w:bCs/>
          <w:sz w:val="24"/>
          <w:szCs w:val="24"/>
        </w:rPr>
        <w:t xml:space="preserve"> </w:t>
      </w:r>
      <w:r w:rsidRPr="00EE6940">
        <w:rPr>
          <w:rFonts w:eastAsia="Arial Unicode MS" w:cs="Arial Unicode MS"/>
          <w:sz w:val="24"/>
          <w:szCs w:val="24"/>
        </w:rPr>
        <w:t>Australas Psychiatry, 17 (Suppl 1) pp. S146–S150</w:t>
      </w:r>
    </w:p>
    <w:p w14:paraId="1C6BC363" w14:textId="77777777" w:rsidR="00315A0F" w:rsidRPr="00EE6940" w:rsidRDefault="00315A0F" w:rsidP="00315A0F">
      <w:pPr>
        <w:spacing w:after="0" w:line="240" w:lineRule="auto"/>
        <w:rPr>
          <w:i/>
          <w:sz w:val="24"/>
          <w:szCs w:val="24"/>
        </w:rPr>
      </w:pPr>
    </w:p>
    <w:p w14:paraId="6D337232" w14:textId="77777777" w:rsidR="00796EBC" w:rsidRPr="00EE6940" w:rsidRDefault="00796EBC" w:rsidP="00315A0F">
      <w:pPr>
        <w:spacing w:after="0" w:line="240" w:lineRule="auto"/>
        <w:rPr>
          <w:sz w:val="24"/>
          <w:szCs w:val="24"/>
        </w:rPr>
      </w:pPr>
      <w:r w:rsidRPr="00EE6940">
        <w:rPr>
          <w:sz w:val="24"/>
          <w:szCs w:val="24"/>
        </w:rPr>
        <w:t xml:space="preserve">Elder, C., Leaver-Dunn, D., Wang, M., Nagy, S., &amp; Green, L. (2000). </w:t>
      </w:r>
      <w:r w:rsidRPr="00EE6940">
        <w:rPr>
          <w:i/>
          <w:sz w:val="24"/>
          <w:szCs w:val="24"/>
        </w:rPr>
        <w:t xml:space="preserve">Organized group activity as a protective factor against adolescent substance use. </w:t>
      </w:r>
      <w:r w:rsidRPr="00EE6940">
        <w:rPr>
          <w:iCs/>
          <w:sz w:val="24"/>
          <w:szCs w:val="24"/>
        </w:rPr>
        <w:t>American Journal of Health Behavior</w:t>
      </w:r>
      <w:r w:rsidRPr="00EE6940">
        <w:rPr>
          <w:sz w:val="24"/>
          <w:szCs w:val="24"/>
        </w:rPr>
        <w:t xml:space="preserve">, </w:t>
      </w:r>
      <w:r w:rsidRPr="00EE6940">
        <w:rPr>
          <w:iCs/>
          <w:sz w:val="24"/>
          <w:szCs w:val="24"/>
        </w:rPr>
        <w:t>24</w:t>
      </w:r>
      <w:r w:rsidRPr="00EE6940">
        <w:rPr>
          <w:sz w:val="24"/>
          <w:szCs w:val="24"/>
        </w:rPr>
        <w:t>(2), 108–113</w:t>
      </w:r>
    </w:p>
    <w:p w14:paraId="69B0E212" w14:textId="77777777" w:rsidR="00315A0F" w:rsidRPr="00EE6940" w:rsidRDefault="00315A0F" w:rsidP="00315A0F">
      <w:pPr>
        <w:spacing w:after="0" w:line="240" w:lineRule="auto"/>
        <w:rPr>
          <w:i/>
          <w:sz w:val="24"/>
          <w:szCs w:val="24"/>
        </w:rPr>
      </w:pPr>
    </w:p>
    <w:p w14:paraId="41DDBAC2" w14:textId="77777777" w:rsidR="00190CD6" w:rsidRPr="00EE6940" w:rsidRDefault="00C23D54" w:rsidP="00315A0F">
      <w:pPr>
        <w:pStyle w:val="EndNoteBibliography"/>
        <w:spacing w:after="0"/>
        <w:ind w:left="720" w:hanging="720"/>
        <w:rPr>
          <w:rFonts w:asciiTheme="minorHAnsi" w:hAnsiTheme="minorHAnsi"/>
          <w:sz w:val="24"/>
          <w:szCs w:val="24"/>
        </w:rPr>
      </w:pPr>
      <w:r w:rsidRPr="00EE6940">
        <w:rPr>
          <w:rFonts w:asciiTheme="minorHAnsi" w:hAnsiTheme="minorHAnsi"/>
          <w:sz w:val="24"/>
          <w:szCs w:val="24"/>
        </w:rPr>
        <w:t>Fujiwara, D., Kudrna, L. &amp; Dolan, P. 2014a.</w:t>
      </w:r>
      <w:bookmarkStart w:id="10" w:name="_ENREF_1"/>
      <w:r w:rsidR="00190CD6" w:rsidRPr="00EE6940">
        <w:rPr>
          <w:rFonts w:asciiTheme="minorHAnsi" w:hAnsiTheme="minorHAnsi"/>
          <w:sz w:val="24"/>
          <w:szCs w:val="24"/>
        </w:rPr>
        <w:t xml:space="preserve">Quantifying the Social Impacts of Sport and </w:t>
      </w:r>
    </w:p>
    <w:p w14:paraId="725285BB" w14:textId="77777777" w:rsidR="00190CD6" w:rsidRPr="00EE6940" w:rsidRDefault="00190CD6" w:rsidP="00315A0F">
      <w:pPr>
        <w:pStyle w:val="EndNoteBibliography"/>
        <w:spacing w:after="0"/>
        <w:ind w:left="720" w:hanging="720"/>
        <w:rPr>
          <w:rFonts w:asciiTheme="minorHAnsi" w:hAnsiTheme="minorHAnsi"/>
          <w:sz w:val="24"/>
          <w:szCs w:val="24"/>
        </w:rPr>
      </w:pPr>
      <w:r w:rsidRPr="00EE6940">
        <w:rPr>
          <w:rFonts w:asciiTheme="minorHAnsi" w:hAnsiTheme="minorHAnsi"/>
          <w:sz w:val="24"/>
          <w:szCs w:val="24"/>
        </w:rPr>
        <w:t>Culture. Department for Culture Media and Sport Research Paper.</w:t>
      </w:r>
      <w:bookmarkEnd w:id="10"/>
    </w:p>
    <w:p w14:paraId="62E14E4B" w14:textId="77777777" w:rsidR="00C23D54" w:rsidRPr="00EE6940" w:rsidRDefault="00C23D54" w:rsidP="00315A0F">
      <w:pPr>
        <w:pStyle w:val="EndNoteBibliography"/>
        <w:spacing w:after="0"/>
        <w:ind w:left="720" w:hanging="720"/>
        <w:rPr>
          <w:rFonts w:asciiTheme="minorHAnsi" w:hAnsiTheme="minorHAnsi"/>
          <w:sz w:val="24"/>
          <w:szCs w:val="24"/>
        </w:rPr>
      </w:pPr>
    </w:p>
    <w:p w14:paraId="78857AB8" w14:textId="77777777" w:rsidR="00315A0F" w:rsidRPr="00EE6940" w:rsidRDefault="00C23D54" w:rsidP="00315A0F">
      <w:pPr>
        <w:pStyle w:val="EndNoteBibliography"/>
        <w:spacing w:after="0"/>
        <w:ind w:left="720" w:hanging="720"/>
        <w:rPr>
          <w:rFonts w:asciiTheme="minorHAnsi" w:hAnsiTheme="minorHAnsi"/>
          <w:sz w:val="24"/>
          <w:szCs w:val="24"/>
        </w:rPr>
      </w:pPr>
      <w:r w:rsidRPr="00EE6940">
        <w:rPr>
          <w:rFonts w:asciiTheme="minorHAnsi" w:hAnsiTheme="minorHAnsi"/>
          <w:sz w:val="24"/>
          <w:szCs w:val="24"/>
        </w:rPr>
        <w:t xml:space="preserve">Fujiwara, D., Kudrna, L. &amp; Dolan, P. 2014b. Quantifying and Valuing the Wellbeing </w:t>
      </w:r>
    </w:p>
    <w:p w14:paraId="33C1DF21" w14:textId="77777777" w:rsidR="00C23D54" w:rsidRPr="00EE6940" w:rsidRDefault="00C23D54" w:rsidP="00315A0F">
      <w:pPr>
        <w:pStyle w:val="EndNoteBibliography"/>
        <w:spacing w:after="0"/>
        <w:ind w:left="720" w:hanging="720"/>
        <w:rPr>
          <w:rFonts w:asciiTheme="minorHAnsi" w:hAnsiTheme="minorHAnsi"/>
          <w:sz w:val="24"/>
          <w:szCs w:val="24"/>
        </w:rPr>
      </w:pPr>
      <w:r w:rsidRPr="00EE6940">
        <w:rPr>
          <w:rFonts w:asciiTheme="minorHAnsi" w:hAnsiTheme="minorHAnsi"/>
          <w:sz w:val="24"/>
          <w:szCs w:val="24"/>
        </w:rPr>
        <w:t xml:space="preserve">Impacts of Culture and Sport. </w:t>
      </w:r>
      <w:r w:rsidRPr="00EE6940">
        <w:rPr>
          <w:rFonts w:asciiTheme="minorHAnsi" w:hAnsiTheme="minorHAnsi"/>
          <w:i/>
          <w:sz w:val="24"/>
          <w:szCs w:val="24"/>
        </w:rPr>
        <w:t>Department for Culture Media and Sport Research Paper</w:t>
      </w:r>
      <w:r w:rsidRPr="00EE6940">
        <w:rPr>
          <w:rFonts w:asciiTheme="minorHAnsi" w:hAnsiTheme="minorHAnsi"/>
          <w:sz w:val="24"/>
          <w:szCs w:val="24"/>
        </w:rPr>
        <w:t>.</w:t>
      </w:r>
    </w:p>
    <w:p w14:paraId="2F99B940" w14:textId="77777777" w:rsidR="00796EBC" w:rsidRPr="00EE6940" w:rsidRDefault="00796EBC" w:rsidP="00315A0F">
      <w:pPr>
        <w:pStyle w:val="EndNoteBibliography"/>
        <w:spacing w:after="0"/>
        <w:ind w:left="720" w:hanging="720"/>
        <w:rPr>
          <w:rFonts w:asciiTheme="minorHAnsi" w:hAnsiTheme="minorHAnsi"/>
          <w:sz w:val="24"/>
          <w:szCs w:val="24"/>
        </w:rPr>
      </w:pPr>
    </w:p>
    <w:p w14:paraId="376491EF" w14:textId="77777777" w:rsidR="00796EBC" w:rsidRPr="00EE6940" w:rsidRDefault="00796EBC" w:rsidP="00315A0F">
      <w:pPr>
        <w:spacing w:after="0" w:line="240" w:lineRule="auto"/>
        <w:rPr>
          <w:i/>
          <w:sz w:val="24"/>
          <w:szCs w:val="24"/>
        </w:rPr>
      </w:pPr>
      <w:r w:rsidRPr="00EE6940">
        <w:rPr>
          <w:sz w:val="24"/>
          <w:szCs w:val="24"/>
        </w:rPr>
        <w:t>Galper, D.I., Trivedi, M.H., Barlow C.E., Dunn, A.L.&amp; Kampert J.B.</w:t>
      </w:r>
      <w:r w:rsidRPr="00EE6940">
        <w:rPr>
          <w:i/>
          <w:sz w:val="24"/>
          <w:szCs w:val="24"/>
        </w:rPr>
        <w:t xml:space="preserve"> (2006) Inverse association between physical inactivity and mental health in men and women Med. Sci. Sports Exerc., 39, pp. 173–178</w:t>
      </w:r>
    </w:p>
    <w:p w14:paraId="283F54D1" w14:textId="77777777" w:rsidR="00315A0F" w:rsidRPr="00EE6940" w:rsidRDefault="00315A0F" w:rsidP="00315A0F">
      <w:pPr>
        <w:spacing w:after="0" w:line="240" w:lineRule="auto"/>
        <w:rPr>
          <w:i/>
          <w:sz w:val="24"/>
          <w:szCs w:val="24"/>
        </w:rPr>
      </w:pPr>
    </w:p>
    <w:p w14:paraId="20A5AB59" w14:textId="77777777" w:rsidR="00796EBC" w:rsidRPr="00EE6940" w:rsidRDefault="00796EBC" w:rsidP="00315A0F">
      <w:pPr>
        <w:spacing w:after="0" w:line="240" w:lineRule="auto"/>
        <w:rPr>
          <w:sz w:val="24"/>
          <w:szCs w:val="24"/>
        </w:rPr>
      </w:pPr>
      <w:r w:rsidRPr="00EE6940">
        <w:rPr>
          <w:sz w:val="24"/>
          <w:szCs w:val="24"/>
        </w:rPr>
        <w:t>Guetzkow J. (2002)</w:t>
      </w:r>
      <w:r w:rsidRPr="00EE6940">
        <w:rPr>
          <w:bCs/>
          <w:sz w:val="24"/>
          <w:szCs w:val="24"/>
        </w:rPr>
        <w:t xml:space="preserve"> How the Arts Impact Communities: </w:t>
      </w:r>
      <w:r w:rsidRPr="00EE6940">
        <w:rPr>
          <w:sz w:val="24"/>
          <w:szCs w:val="24"/>
        </w:rPr>
        <w:t>An introduction to the literature on arts impact studies Princeton university, Working Paper #20, Summer 2002</w:t>
      </w:r>
    </w:p>
    <w:p w14:paraId="0EAB2B82" w14:textId="77777777" w:rsidR="00315A0F" w:rsidRPr="00EE6940" w:rsidRDefault="00315A0F" w:rsidP="00315A0F">
      <w:pPr>
        <w:spacing w:after="0" w:line="240" w:lineRule="auto"/>
        <w:rPr>
          <w:sz w:val="24"/>
          <w:szCs w:val="24"/>
        </w:rPr>
      </w:pPr>
    </w:p>
    <w:p w14:paraId="57B0DA37" w14:textId="77777777" w:rsidR="00796EBC" w:rsidRPr="00EE6940" w:rsidRDefault="00796EBC" w:rsidP="00315A0F">
      <w:pPr>
        <w:spacing w:after="0" w:line="240" w:lineRule="auto"/>
        <w:rPr>
          <w:sz w:val="24"/>
          <w:szCs w:val="24"/>
        </w:rPr>
      </w:pPr>
      <w:r w:rsidRPr="00EE6940">
        <w:rPr>
          <w:sz w:val="24"/>
          <w:szCs w:val="24"/>
        </w:rPr>
        <w:t xml:space="preserve">Hacking, S., Secker, J., Spandler, H., Kent, L. &amp; Shenton, J. (2008) </w:t>
      </w:r>
      <w:r w:rsidRPr="00EE6940">
        <w:rPr>
          <w:i/>
          <w:sz w:val="24"/>
          <w:szCs w:val="24"/>
        </w:rPr>
        <w:t>'Evaluating the impact of participatory art projects for people with mental health needs',</w:t>
      </w:r>
      <w:r w:rsidRPr="00EE6940">
        <w:rPr>
          <w:sz w:val="24"/>
          <w:szCs w:val="24"/>
        </w:rPr>
        <w:t xml:space="preserve"> </w:t>
      </w:r>
      <w:r w:rsidRPr="00EE6940">
        <w:rPr>
          <w:i/>
          <w:iCs/>
          <w:sz w:val="24"/>
          <w:szCs w:val="24"/>
        </w:rPr>
        <w:t>Health &amp; Social Care in the Community</w:t>
      </w:r>
      <w:r w:rsidRPr="00EE6940">
        <w:rPr>
          <w:sz w:val="24"/>
          <w:szCs w:val="24"/>
        </w:rPr>
        <w:t>, vol. 16, no. 6, pp. 638-648.</w:t>
      </w:r>
    </w:p>
    <w:p w14:paraId="36B04E77" w14:textId="77777777" w:rsidR="00315A0F" w:rsidRPr="00EE6940" w:rsidRDefault="00315A0F" w:rsidP="00315A0F">
      <w:pPr>
        <w:spacing w:after="0" w:line="240" w:lineRule="auto"/>
        <w:rPr>
          <w:sz w:val="24"/>
          <w:szCs w:val="24"/>
        </w:rPr>
      </w:pPr>
    </w:p>
    <w:p w14:paraId="24BF06F2" w14:textId="77777777" w:rsidR="00796EBC" w:rsidRPr="00EE6940" w:rsidRDefault="00796EBC" w:rsidP="00315A0F">
      <w:pPr>
        <w:spacing w:after="0" w:line="240" w:lineRule="auto"/>
        <w:rPr>
          <w:sz w:val="24"/>
          <w:szCs w:val="24"/>
        </w:rPr>
      </w:pPr>
      <w:r w:rsidRPr="00EE6940">
        <w:rPr>
          <w:sz w:val="24"/>
          <w:szCs w:val="24"/>
        </w:rPr>
        <w:t xml:space="preserve">Haenle M.M., Brockmann S.O., Kron M et al. </w:t>
      </w:r>
      <w:r w:rsidRPr="00EE6940">
        <w:rPr>
          <w:i/>
          <w:sz w:val="24"/>
          <w:szCs w:val="24"/>
        </w:rPr>
        <w:t>Overweight, physical activity, tobacco and alcohol consumption in a cross-sectional random sample of German adults</w:t>
      </w:r>
      <w:r w:rsidRPr="00EE6940">
        <w:rPr>
          <w:sz w:val="24"/>
          <w:szCs w:val="24"/>
        </w:rPr>
        <w:t>. BMC Public Health 2006;6:233.</w:t>
      </w:r>
    </w:p>
    <w:p w14:paraId="4F7A31FA" w14:textId="77777777" w:rsidR="00315A0F" w:rsidRPr="00EE6940" w:rsidRDefault="00315A0F" w:rsidP="00315A0F">
      <w:pPr>
        <w:spacing w:after="0" w:line="240" w:lineRule="auto"/>
        <w:rPr>
          <w:sz w:val="24"/>
          <w:szCs w:val="24"/>
        </w:rPr>
      </w:pPr>
    </w:p>
    <w:p w14:paraId="1DDC2947" w14:textId="77777777" w:rsidR="00796EBC" w:rsidRPr="00EE6940" w:rsidRDefault="00796EBC" w:rsidP="00315A0F">
      <w:pPr>
        <w:spacing w:after="0" w:line="240" w:lineRule="auto"/>
        <w:rPr>
          <w:sz w:val="24"/>
          <w:szCs w:val="24"/>
        </w:rPr>
      </w:pPr>
      <w:r w:rsidRPr="00EE6940">
        <w:rPr>
          <w:sz w:val="24"/>
          <w:szCs w:val="24"/>
        </w:rPr>
        <w:t xml:space="preserve">Harris, A.H.S., Crokite, R. &amp; Moos, R. (2006), </w:t>
      </w:r>
      <w:r w:rsidRPr="00EE6940">
        <w:rPr>
          <w:i/>
          <w:sz w:val="24"/>
          <w:szCs w:val="24"/>
        </w:rPr>
        <w:t>Physical activity, exercise coping, and depression in a 10-year cohort study of depressed patients.</w:t>
      </w:r>
      <w:r w:rsidRPr="00EE6940">
        <w:rPr>
          <w:sz w:val="24"/>
          <w:szCs w:val="24"/>
        </w:rPr>
        <w:t xml:space="preserve"> Journal of Affective Disorders 93 (2006) 79–85</w:t>
      </w:r>
    </w:p>
    <w:p w14:paraId="22283A06" w14:textId="77777777" w:rsidR="00315A0F" w:rsidRPr="00EE6940" w:rsidRDefault="00315A0F" w:rsidP="00315A0F">
      <w:pPr>
        <w:spacing w:after="0" w:line="240" w:lineRule="auto"/>
        <w:rPr>
          <w:sz w:val="24"/>
          <w:szCs w:val="24"/>
        </w:rPr>
      </w:pPr>
    </w:p>
    <w:p w14:paraId="7C46B89D" w14:textId="77777777" w:rsidR="00796EBC" w:rsidRPr="00EE6940" w:rsidRDefault="00796EBC" w:rsidP="00315A0F">
      <w:pPr>
        <w:spacing w:after="0" w:line="240" w:lineRule="auto"/>
        <w:rPr>
          <w:rFonts w:cs="Arial"/>
          <w:bCs/>
          <w:sz w:val="24"/>
          <w:szCs w:val="24"/>
        </w:rPr>
      </w:pPr>
      <w:r w:rsidRPr="00EE6940">
        <w:rPr>
          <w:rFonts w:cs="Arial"/>
          <w:sz w:val="24"/>
          <w:szCs w:val="24"/>
        </w:rPr>
        <w:t>Harrison</w:t>
      </w:r>
      <w:r w:rsidRPr="00EE6940">
        <w:rPr>
          <w:rFonts w:cs="Arial"/>
          <w:sz w:val="24"/>
          <w:szCs w:val="24"/>
          <w:vertAlign w:val="superscript"/>
        </w:rPr>
        <w:t xml:space="preserve">, </w:t>
      </w:r>
      <w:r w:rsidRPr="00EE6940">
        <w:rPr>
          <w:rFonts w:cs="Arial"/>
          <w:bCs/>
          <w:sz w:val="24"/>
          <w:szCs w:val="24"/>
        </w:rPr>
        <w:t xml:space="preserve">P.A. &amp; </w:t>
      </w:r>
      <w:r w:rsidRPr="00EE6940">
        <w:rPr>
          <w:rFonts w:cs="Arial"/>
          <w:sz w:val="24"/>
          <w:szCs w:val="24"/>
        </w:rPr>
        <w:t xml:space="preserve">Narayan, </w:t>
      </w:r>
      <w:r w:rsidRPr="00EE6940">
        <w:rPr>
          <w:rFonts w:cs="Arial"/>
          <w:bCs/>
          <w:sz w:val="24"/>
          <w:szCs w:val="24"/>
        </w:rPr>
        <w:t xml:space="preserve">G. (2009) </w:t>
      </w:r>
      <w:r w:rsidRPr="00EE6940">
        <w:rPr>
          <w:rFonts w:cs="Arial"/>
          <w:bCs/>
          <w:i/>
          <w:sz w:val="24"/>
          <w:szCs w:val="24"/>
        </w:rPr>
        <w:t>Differences in Behavior, Psychological Factors, and Environmental Factors Associated with Participation in School Sports and Other Activities in Adolescence</w:t>
      </w:r>
      <w:r w:rsidRPr="00EE6940">
        <w:rPr>
          <w:sz w:val="24"/>
          <w:szCs w:val="24"/>
        </w:rPr>
        <w:t xml:space="preserve"> </w:t>
      </w:r>
      <w:hyperlink r:id="rId16" w:history="1">
        <w:r w:rsidRPr="00EE6940">
          <w:rPr>
            <w:rStyle w:val="Hyperlink"/>
            <w:rFonts w:cs="Arial"/>
            <w:bCs/>
            <w:color w:val="auto"/>
            <w:sz w:val="24"/>
            <w:szCs w:val="24"/>
            <w:u w:val="none"/>
          </w:rPr>
          <w:t>Journal of School Health</w:t>
        </w:r>
      </w:hyperlink>
      <w:r w:rsidRPr="00EE6940">
        <w:rPr>
          <w:rFonts w:cs="Arial"/>
          <w:bCs/>
          <w:sz w:val="24"/>
          <w:szCs w:val="24"/>
        </w:rPr>
        <w:t xml:space="preserve">, </w:t>
      </w:r>
      <w:hyperlink r:id="rId17" w:history="1">
        <w:r w:rsidRPr="00EE6940">
          <w:rPr>
            <w:rStyle w:val="Hyperlink"/>
            <w:rFonts w:cs="Arial"/>
            <w:bCs/>
            <w:color w:val="auto"/>
            <w:sz w:val="24"/>
            <w:szCs w:val="24"/>
            <w:u w:val="none"/>
          </w:rPr>
          <w:t>Volume 73, Issue 3</w:t>
        </w:r>
      </w:hyperlink>
      <w:r w:rsidRPr="00EE6940">
        <w:rPr>
          <w:rFonts w:cs="Arial"/>
          <w:bCs/>
          <w:sz w:val="24"/>
          <w:szCs w:val="24"/>
        </w:rPr>
        <w:t>, 9 October 2009</w:t>
      </w:r>
    </w:p>
    <w:p w14:paraId="40256754" w14:textId="77777777" w:rsidR="00315A0F" w:rsidRPr="00EE6940" w:rsidRDefault="00315A0F" w:rsidP="00315A0F">
      <w:pPr>
        <w:spacing w:after="0" w:line="240" w:lineRule="auto"/>
        <w:rPr>
          <w:sz w:val="24"/>
          <w:szCs w:val="24"/>
          <w:lang w:val="en-US"/>
        </w:rPr>
      </w:pPr>
    </w:p>
    <w:p w14:paraId="75F9EAF0" w14:textId="77777777" w:rsidR="00796EBC" w:rsidRPr="00EE6940" w:rsidRDefault="00796EBC" w:rsidP="00315A0F">
      <w:pPr>
        <w:spacing w:after="0" w:line="240" w:lineRule="auto"/>
        <w:rPr>
          <w:sz w:val="24"/>
          <w:szCs w:val="24"/>
          <w:lang w:val="en-US"/>
        </w:rPr>
      </w:pPr>
      <w:r w:rsidRPr="00EE6940">
        <w:rPr>
          <w:sz w:val="24"/>
          <w:szCs w:val="24"/>
          <w:lang w:val="en-US"/>
        </w:rPr>
        <w:t xml:space="preserve">Helbig, Sylvia, and Jürgen Hoyer. "What do patients do before it starts? Coping with mental health problems on a CBT waiting list." </w:t>
      </w:r>
      <w:r w:rsidRPr="00EE6940">
        <w:rPr>
          <w:i/>
          <w:iCs/>
          <w:sz w:val="24"/>
          <w:szCs w:val="24"/>
          <w:lang w:val="en-US"/>
        </w:rPr>
        <w:t>The Cognitive Behaviour Therapist</w:t>
      </w:r>
      <w:r w:rsidRPr="00EE6940">
        <w:rPr>
          <w:sz w:val="24"/>
          <w:szCs w:val="24"/>
          <w:lang w:val="en-US"/>
        </w:rPr>
        <w:t xml:space="preserve"> 1.01 (2008): 45-54.</w:t>
      </w:r>
    </w:p>
    <w:p w14:paraId="0FB6E8D5" w14:textId="77777777" w:rsidR="00315A0F" w:rsidRPr="00EE6940" w:rsidRDefault="00315A0F" w:rsidP="00315A0F">
      <w:pPr>
        <w:spacing w:after="0" w:line="240" w:lineRule="auto"/>
        <w:rPr>
          <w:sz w:val="24"/>
          <w:szCs w:val="24"/>
          <w:lang w:val="en-US"/>
        </w:rPr>
      </w:pPr>
    </w:p>
    <w:p w14:paraId="770EFFBA" w14:textId="77777777" w:rsidR="00796EBC" w:rsidRPr="00EE6940" w:rsidRDefault="00796EBC" w:rsidP="00315A0F">
      <w:pPr>
        <w:spacing w:after="0" w:line="240" w:lineRule="auto"/>
        <w:rPr>
          <w:rFonts w:cs="Arial"/>
          <w:bCs/>
          <w:sz w:val="24"/>
          <w:szCs w:val="24"/>
        </w:rPr>
      </w:pPr>
      <w:r w:rsidRPr="00EE6940">
        <w:rPr>
          <w:rFonts w:cs="Arial"/>
          <w:bCs/>
          <w:sz w:val="24"/>
          <w:szCs w:val="24"/>
        </w:rPr>
        <w:t>Hopkins et al. (2012</w:t>
      </w:r>
      <w:r w:rsidRPr="00EE6940">
        <w:rPr>
          <w:rFonts w:cs="Arial"/>
          <w:bCs/>
          <w:i/>
          <w:sz w:val="24"/>
          <w:szCs w:val="24"/>
        </w:rPr>
        <w:t xml:space="preserve">) Differential effects of acute and regualr physical exercise on cogition and affect </w:t>
      </w:r>
      <w:r w:rsidRPr="00EE6940">
        <w:rPr>
          <w:rFonts w:cs="Arial"/>
          <w:bCs/>
          <w:sz w:val="24"/>
          <w:szCs w:val="24"/>
        </w:rPr>
        <w:t>Neuroscience</w:t>
      </w:r>
      <w:r w:rsidRPr="00EE6940">
        <w:rPr>
          <w:rFonts w:cs="Arial"/>
          <w:bCs/>
          <w:i/>
          <w:sz w:val="24"/>
          <w:szCs w:val="24"/>
        </w:rPr>
        <w:t xml:space="preserve"> </w:t>
      </w:r>
      <w:r w:rsidRPr="00EE6940">
        <w:rPr>
          <w:rFonts w:cs="Arial"/>
          <w:bCs/>
          <w:sz w:val="24"/>
          <w:szCs w:val="24"/>
        </w:rPr>
        <w:t>215:59-68</w:t>
      </w:r>
    </w:p>
    <w:p w14:paraId="1575864C" w14:textId="77777777" w:rsidR="00315A0F" w:rsidRPr="00EE6940" w:rsidRDefault="00315A0F" w:rsidP="00315A0F">
      <w:pPr>
        <w:spacing w:after="0" w:line="240" w:lineRule="auto"/>
        <w:rPr>
          <w:rFonts w:cs="Arial"/>
          <w:bCs/>
          <w:sz w:val="24"/>
          <w:szCs w:val="24"/>
        </w:rPr>
      </w:pPr>
    </w:p>
    <w:p w14:paraId="58ADD1AC" w14:textId="77777777" w:rsidR="00796EBC" w:rsidRPr="00EE6940" w:rsidRDefault="00796EBC" w:rsidP="00315A0F">
      <w:pPr>
        <w:spacing w:after="0" w:line="240" w:lineRule="auto"/>
        <w:rPr>
          <w:sz w:val="24"/>
          <w:szCs w:val="24"/>
        </w:rPr>
      </w:pPr>
      <w:r w:rsidRPr="00EE6940">
        <w:rPr>
          <w:sz w:val="24"/>
          <w:szCs w:val="24"/>
        </w:rPr>
        <w:t>Hunter, M. (2005). Education and the Arts Research Overview. Summary Report prepared the Australia Council for the Arts. Strawberry Hills: Australia Council for the Arts.</w:t>
      </w:r>
    </w:p>
    <w:p w14:paraId="1F5198F1" w14:textId="77777777" w:rsidR="00315A0F" w:rsidRPr="00EE6940" w:rsidRDefault="00315A0F" w:rsidP="00315A0F">
      <w:pPr>
        <w:spacing w:after="0" w:line="240" w:lineRule="auto"/>
        <w:rPr>
          <w:sz w:val="24"/>
          <w:szCs w:val="24"/>
        </w:rPr>
      </w:pPr>
    </w:p>
    <w:p w14:paraId="186506C8" w14:textId="77777777" w:rsidR="00796EBC" w:rsidRPr="00EE6940" w:rsidRDefault="00796EBC" w:rsidP="00315A0F">
      <w:pPr>
        <w:spacing w:after="0" w:line="240" w:lineRule="auto"/>
        <w:rPr>
          <w:rFonts w:cs="Arial"/>
          <w:bCs/>
          <w:sz w:val="24"/>
          <w:szCs w:val="24"/>
        </w:rPr>
      </w:pPr>
      <w:r w:rsidRPr="00EE6940">
        <w:rPr>
          <w:rFonts w:cs="Arial"/>
          <w:bCs/>
          <w:sz w:val="24"/>
          <w:szCs w:val="24"/>
        </w:rPr>
        <w:t>Jacobs J.M., Hammerman-Rozenberg R., Cohen A &amp; Stessman J. (2008)</w:t>
      </w:r>
    </w:p>
    <w:p w14:paraId="76C1E717" w14:textId="77777777" w:rsidR="00796EBC" w:rsidRPr="00EE6940" w:rsidRDefault="00796EBC" w:rsidP="00315A0F">
      <w:pPr>
        <w:shd w:val="clear" w:color="auto" w:fill="FFFFFF"/>
        <w:spacing w:after="0" w:line="240" w:lineRule="auto"/>
        <w:rPr>
          <w:sz w:val="24"/>
          <w:szCs w:val="24"/>
        </w:rPr>
      </w:pPr>
      <w:r w:rsidRPr="00EE6940">
        <w:rPr>
          <w:rStyle w:val="bluehead1"/>
          <w:b w:val="0"/>
          <w:sz w:val="24"/>
          <w:szCs w:val="24"/>
        </w:rPr>
        <w:lastRenderedPageBreak/>
        <w:t>Kline, R., 1998. Principles and Practice of Structural Equation Modeling</w:t>
      </w:r>
      <w:r w:rsidRPr="00EE6940">
        <w:rPr>
          <w:sz w:val="24"/>
          <w:szCs w:val="24"/>
        </w:rPr>
        <w:t xml:space="preserve"> (</w:t>
      </w:r>
      <w:r w:rsidRPr="00EE6940">
        <w:rPr>
          <w:bCs/>
          <w:sz w:val="24"/>
          <w:szCs w:val="24"/>
        </w:rPr>
        <w:t>Third Edition). Guildford Press.</w:t>
      </w:r>
      <w:r w:rsidRPr="00EE6940">
        <w:rPr>
          <w:sz w:val="24"/>
          <w:szCs w:val="24"/>
        </w:rPr>
        <w:t xml:space="preserve"> </w:t>
      </w:r>
    </w:p>
    <w:p w14:paraId="07CB65A7" w14:textId="77777777" w:rsidR="00315A0F" w:rsidRPr="00EE6940" w:rsidRDefault="00315A0F" w:rsidP="00315A0F">
      <w:pPr>
        <w:shd w:val="clear" w:color="auto" w:fill="FFFFFF"/>
        <w:spacing w:after="0" w:line="240" w:lineRule="auto"/>
        <w:rPr>
          <w:sz w:val="24"/>
          <w:szCs w:val="24"/>
        </w:rPr>
      </w:pPr>
    </w:p>
    <w:p w14:paraId="21077ABB" w14:textId="77777777" w:rsidR="00796EBC" w:rsidRPr="00EE6940" w:rsidRDefault="00796EBC" w:rsidP="00315A0F">
      <w:pPr>
        <w:spacing w:after="0" w:line="240" w:lineRule="auto"/>
        <w:rPr>
          <w:rFonts w:eastAsia="Times New Roman" w:cs="Times New Roman"/>
          <w:sz w:val="24"/>
          <w:szCs w:val="24"/>
        </w:rPr>
      </w:pPr>
      <w:r w:rsidRPr="00EE6940">
        <w:rPr>
          <w:rFonts w:eastAsia="Times New Roman" w:cs="Times New Roman"/>
          <w:sz w:val="24"/>
          <w:szCs w:val="24"/>
        </w:rPr>
        <w:t>Konlaan, Boinkum B., Bygren, Lars O., Johansson, S.-E., 2000. Visiting the cinema, concerts, museums or art exhibitions as determinant of survival: a Swedish fourteen-year cohort follow-up. Scandinavian Journal of Public Health 28, 174–178.</w:t>
      </w:r>
    </w:p>
    <w:p w14:paraId="36FC2137" w14:textId="77777777" w:rsidR="00796EBC" w:rsidRPr="00EE6940" w:rsidRDefault="00796EBC" w:rsidP="00315A0F">
      <w:pPr>
        <w:spacing w:after="0" w:line="240" w:lineRule="auto"/>
        <w:rPr>
          <w:rFonts w:eastAsia="Times New Roman" w:cs="Times New Roman"/>
          <w:sz w:val="24"/>
          <w:szCs w:val="24"/>
        </w:rPr>
      </w:pPr>
    </w:p>
    <w:p w14:paraId="00876581" w14:textId="77777777" w:rsidR="00796EBC" w:rsidRPr="00EE6940" w:rsidRDefault="00796EBC" w:rsidP="00315A0F">
      <w:pPr>
        <w:spacing w:after="0" w:line="240" w:lineRule="auto"/>
        <w:rPr>
          <w:rFonts w:eastAsia="Times New Roman" w:cs="Times New Roman"/>
          <w:sz w:val="24"/>
          <w:szCs w:val="24"/>
        </w:rPr>
      </w:pPr>
      <w:r w:rsidRPr="00EE6940">
        <w:rPr>
          <w:rFonts w:eastAsia="Times New Roman" w:cs="Times New Roman"/>
          <w:sz w:val="24"/>
          <w:szCs w:val="24"/>
        </w:rPr>
        <w:t>Krustrup, P., Aagaard, P., Nybo, L., Petersen, J., Mohr, M., Bangsbo, J., 2010. Recreational football as a health promoting activity: a topical review. Scandinavian journal of medicine &amp; science in sports 20, 1–13.</w:t>
      </w:r>
    </w:p>
    <w:p w14:paraId="654DA7A8" w14:textId="77777777" w:rsidR="00796EBC" w:rsidRPr="00EE6940" w:rsidRDefault="00796EBC" w:rsidP="00315A0F">
      <w:pPr>
        <w:shd w:val="clear" w:color="auto" w:fill="FFFFFF"/>
        <w:spacing w:after="0" w:line="240" w:lineRule="auto"/>
        <w:rPr>
          <w:sz w:val="24"/>
          <w:szCs w:val="24"/>
        </w:rPr>
      </w:pPr>
    </w:p>
    <w:p w14:paraId="6F25BA4B" w14:textId="77777777" w:rsidR="00796EBC" w:rsidRPr="00EE6940" w:rsidRDefault="00796EBC" w:rsidP="00315A0F">
      <w:pPr>
        <w:spacing w:after="0" w:line="240" w:lineRule="auto"/>
        <w:rPr>
          <w:rFonts w:cs="Arial"/>
          <w:bCs/>
          <w:sz w:val="24"/>
          <w:szCs w:val="24"/>
        </w:rPr>
      </w:pPr>
      <w:r w:rsidRPr="00EE6940">
        <w:rPr>
          <w:rFonts w:cs="Arial"/>
          <w:bCs/>
          <w:sz w:val="24"/>
          <w:szCs w:val="24"/>
        </w:rPr>
        <w:t xml:space="preserve">Leadbetter, C. &amp; O’Connor, N. (2013). </w:t>
      </w:r>
      <w:r w:rsidRPr="00EE6940">
        <w:rPr>
          <w:rFonts w:cs="Arial"/>
          <w:bCs/>
          <w:i/>
          <w:iCs/>
          <w:sz w:val="24"/>
          <w:szCs w:val="24"/>
        </w:rPr>
        <w:t>Healthy Attendance? The impact of cultural engagement and sports participation on health and satisfaction with life in Scotland</w:t>
      </w:r>
      <w:r w:rsidRPr="00EE6940">
        <w:rPr>
          <w:rFonts w:cs="Arial"/>
          <w:bCs/>
          <w:sz w:val="24"/>
          <w:szCs w:val="24"/>
        </w:rPr>
        <w:t xml:space="preserve">. [Online]. Scottish Government Social Research. Available from: http://www.scotland.gov.uk/Resource/0043/00430649.pdf. [Cited 25 March 2014].  </w:t>
      </w:r>
    </w:p>
    <w:p w14:paraId="1568D42C" w14:textId="77777777" w:rsidR="00315A0F" w:rsidRPr="00EE6940" w:rsidRDefault="00315A0F" w:rsidP="00315A0F">
      <w:pPr>
        <w:spacing w:after="0" w:line="240" w:lineRule="auto"/>
        <w:rPr>
          <w:rFonts w:cs="Arial"/>
          <w:bCs/>
          <w:sz w:val="24"/>
          <w:szCs w:val="24"/>
        </w:rPr>
      </w:pPr>
    </w:p>
    <w:p w14:paraId="71A05873" w14:textId="77777777" w:rsidR="00796EBC" w:rsidRPr="00EE6940" w:rsidRDefault="00796EBC" w:rsidP="00315A0F">
      <w:pPr>
        <w:spacing w:after="0" w:line="240" w:lineRule="auto"/>
        <w:rPr>
          <w:rFonts w:cs="Arial"/>
          <w:bCs/>
          <w:sz w:val="24"/>
          <w:szCs w:val="24"/>
        </w:rPr>
      </w:pPr>
      <w:r w:rsidRPr="00EE6940">
        <w:rPr>
          <w:rFonts w:cs="Arial"/>
          <w:bCs/>
          <w:sz w:val="24"/>
          <w:szCs w:val="24"/>
        </w:rPr>
        <w:t>Lisha, N.E. &amp; Sussman, S.(2010)</w:t>
      </w:r>
      <w:r w:rsidRPr="00EE6940">
        <w:rPr>
          <w:rFonts w:cs="Arial"/>
          <w:bCs/>
          <w:i/>
          <w:sz w:val="24"/>
          <w:szCs w:val="24"/>
        </w:rPr>
        <w:t xml:space="preserve">Relationship of high school and college sports participation with alcohol, tobacco, and illicit drug use: A review </w:t>
      </w:r>
      <w:r w:rsidRPr="00EE6940">
        <w:rPr>
          <w:rFonts w:cs="Arial"/>
          <w:bCs/>
          <w:sz w:val="24"/>
          <w:szCs w:val="24"/>
        </w:rPr>
        <w:t>Addictive behaviors 35 (5), 399-407.</w:t>
      </w:r>
    </w:p>
    <w:p w14:paraId="2F6E2405" w14:textId="77777777" w:rsidR="00315A0F" w:rsidRPr="00EE6940" w:rsidRDefault="00315A0F" w:rsidP="00315A0F">
      <w:pPr>
        <w:spacing w:after="0" w:line="240" w:lineRule="auto"/>
        <w:rPr>
          <w:rFonts w:cs="Arial"/>
          <w:bCs/>
          <w:sz w:val="24"/>
          <w:szCs w:val="24"/>
        </w:rPr>
      </w:pPr>
    </w:p>
    <w:p w14:paraId="2F68B18E" w14:textId="77777777" w:rsidR="00796EBC" w:rsidRPr="00EE6940" w:rsidRDefault="00796EBC" w:rsidP="00315A0F">
      <w:pPr>
        <w:autoSpaceDE w:val="0"/>
        <w:autoSpaceDN w:val="0"/>
        <w:adjustRightInd w:val="0"/>
        <w:spacing w:after="0" w:line="240" w:lineRule="auto"/>
        <w:rPr>
          <w:rFonts w:eastAsia="Times New Roman" w:cs="Times New Roman"/>
          <w:sz w:val="24"/>
          <w:szCs w:val="24"/>
        </w:rPr>
      </w:pPr>
      <w:r w:rsidRPr="00EE6940">
        <w:rPr>
          <w:rFonts w:cs="AdvPSBEM"/>
          <w:sz w:val="24"/>
          <w:szCs w:val="24"/>
        </w:rPr>
        <w:t xml:space="preserve">MacKinnon, D. P., Lockwood, C. M., Hoffman, J. M., West, S. G., &amp; Sheets, V. (2002). A comparison of methods to test mediation and other intervening variable effects. </w:t>
      </w:r>
      <w:r w:rsidRPr="00EE6940">
        <w:rPr>
          <w:rFonts w:cs="AdvPSBEMI"/>
          <w:sz w:val="24"/>
          <w:szCs w:val="24"/>
        </w:rPr>
        <w:t>Psychological Methods</w:t>
      </w:r>
      <w:r w:rsidRPr="00EE6940">
        <w:rPr>
          <w:rFonts w:cs="AdvPSBEM"/>
          <w:sz w:val="24"/>
          <w:szCs w:val="24"/>
        </w:rPr>
        <w:t xml:space="preserve">, </w:t>
      </w:r>
      <w:r w:rsidRPr="00EE6940">
        <w:rPr>
          <w:rFonts w:cs="AdvPSBEMB"/>
          <w:sz w:val="24"/>
          <w:szCs w:val="24"/>
        </w:rPr>
        <w:t>7</w:t>
      </w:r>
      <w:r w:rsidRPr="00EE6940">
        <w:rPr>
          <w:rFonts w:cs="AdvPSBEM"/>
          <w:sz w:val="24"/>
          <w:szCs w:val="24"/>
        </w:rPr>
        <w:t>, 83–104.</w:t>
      </w:r>
    </w:p>
    <w:p w14:paraId="5E7050FA" w14:textId="77777777" w:rsidR="00796EBC" w:rsidRPr="00EE6940" w:rsidRDefault="00796EBC" w:rsidP="00315A0F">
      <w:pPr>
        <w:spacing w:after="0" w:line="240" w:lineRule="auto"/>
        <w:rPr>
          <w:b/>
          <w:sz w:val="24"/>
          <w:szCs w:val="24"/>
        </w:rPr>
      </w:pPr>
    </w:p>
    <w:p w14:paraId="15DF7019" w14:textId="77777777" w:rsidR="00796EBC" w:rsidRPr="00EE6940" w:rsidRDefault="00796EBC" w:rsidP="00315A0F">
      <w:pPr>
        <w:pStyle w:val="EndNoteBibliography"/>
        <w:spacing w:after="0"/>
        <w:ind w:left="720" w:hanging="720"/>
        <w:rPr>
          <w:rFonts w:asciiTheme="minorHAnsi" w:hAnsiTheme="minorHAnsi"/>
          <w:sz w:val="24"/>
          <w:szCs w:val="24"/>
        </w:rPr>
      </w:pPr>
      <w:bookmarkStart w:id="11" w:name="_ENREF_3"/>
      <w:r w:rsidRPr="00EE6940">
        <w:rPr>
          <w:rFonts w:asciiTheme="minorHAnsi" w:hAnsiTheme="minorHAnsi"/>
          <w:sz w:val="24"/>
          <w:szCs w:val="24"/>
        </w:rPr>
        <w:t xml:space="preserve">Matrix, 2010. Understanding the drivers, impact and value of engagement in culture and </w:t>
      </w:r>
    </w:p>
    <w:p w14:paraId="37DC2A6D" w14:textId="77777777" w:rsidR="00796EBC" w:rsidRPr="00EE6940" w:rsidRDefault="00796EBC" w:rsidP="00315A0F">
      <w:pPr>
        <w:pStyle w:val="EndNoteBibliography"/>
        <w:spacing w:after="0"/>
        <w:ind w:left="720" w:hanging="720"/>
        <w:rPr>
          <w:rFonts w:asciiTheme="minorHAnsi" w:hAnsiTheme="minorHAnsi"/>
          <w:sz w:val="24"/>
          <w:szCs w:val="24"/>
        </w:rPr>
      </w:pPr>
      <w:r w:rsidRPr="00EE6940">
        <w:rPr>
          <w:rFonts w:asciiTheme="minorHAnsi" w:hAnsiTheme="minorHAnsi"/>
          <w:sz w:val="24"/>
          <w:szCs w:val="24"/>
        </w:rPr>
        <w:t xml:space="preserve">sport. </w:t>
      </w:r>
      <w:r w:rsidRPr="00EE6940">
        <w:rPr>
          <w:rFonts w:asciiTheme="minorHAnsi" w:hAnsiTheme="minorHAnsi"/>
          <w:i/>
          <w:sz w:val="24"/>
          <w:szCs w:val="24"/>
        </w:rPr>
        <w:t>Culture and Sport Evidence (CASE) Paper</w:t>
      </w:r>
      <w:r w:rsidRPr="00EE6940">
        <w:rPr>
          <w:rFonts w:asciiTheme="minorHAnsi" w:hAnsiTheme="minorHAnsi"/>
          <w:sz w:val="24"/>
          <w:szCs w:val="24"/>
        </w:rPr>
        <w:t>.</w:t>
      </w:r>
      <w:bookmarkEnd w:id="11"/>
    </w:p>
    <w:p w14:paraId="14546C0B" w14:textId="77777777" w:rsidR="00796EBC" w:rsidRPr="00EE6940" w:rsidRDefault="00796EBC" w:rsidP="00315A0F">
      <w:pPr>
        <w:spacing w:after="0" w:line="240" w:lineRule="auto"/>
        <w:rPr>
          <w:rFonts w:cs="Arial"/>
          <w:bCs/>
          <w:i/>
          <w:sz w:val="24"/>
          <w:szCs w:val="24"/>
        </w:rPr>
      </w:pPr>
    </w:p>
    <w:p w14:paraId="05C1B0AD" w14:textId="77777777" w:rsidR="00796EBC" w:rsidRPr="00EE6940" w:rsidRDefault="00796EBC" w:rsidP="00315A0F">
      <w:pPr>
        <w:spacing w:after="0" w:line="240" w:lineRule="auto"/>
        <w:rPr>
          <w:bCs/>
          <w:sz w:val="24"/>
          <w:szCs w:val="24"/>
        </w:rPr>
      </w:pPr>
      <w:r w:rsidRPr="00EE6940">
        <w:rPr>
          <w:bCs/>
          <w:sz w:val="24"/>
          <w:szCs w:val="24"/>
        </w:rPr>
        <w:t xml:space="preserve">Mays, D, DePadilla, M.S., Thompson, N., Kushner, H. &amp; Windle, M. (2010) </w:t>
      </w:r>
      <w:r w:rsidRPr="00EE6940">
        <w:rPr>
          <w:bCs/>
          <w:i/>
          <w:sz w:val="24"/>
          <w:szCs w:val="24"/>
        </w:rPr>
        <w:t xml:space="preserve">Sports Participation and Problem Alcohol Use: A Multi-Wave National Sample of Adolescents </w:t>
      </w:r>
      <w:hyperlink r:id="rId18" w:tooltip="Go to American Journal of Preventive Medicine on ScienceDirect" w:history="1">
        <w:r w:rsidRPr="00EE6940">
          <w:rPr>
            <w:rStyle w:val="Hyperlink"/>
            <w:color w:val="auto"/>
            <w:sz w:val="24"/>
            <w:szCs w:val="24"/>
            <w:u w:val="none"/>
          </w:rPr>
          <w:t>American Journal of Preventive Medicine</w:t>
        </w:r>
      </w:hyperlink>
      <w:r w:rsidRPr="00EE6940">
        <w:rPr>
          <w:bCs/>
          <w:sz w:val="24"/>
          <w:szCs w:val="24"/>
        </w:rPr>
        <w:t xml:space="preserve"> </w:t>
      </w:r>
      <w:hyperlink r:id="rId19" w:tooltip="Go to table of contents for this volume/issue" w:history="1">
        <w:r w:rsidRPr="00EE6940">
          <w:rPr>
            <w:rStyle w:val="Hyperlink"/>
            <w:color w:val="auto"/>
            <w:sz w:val="24"/>
            <w:szCs w:val="24"/>
            <w:u w:val="none"/>
          </w:rPr>
          <w:t>Volume 38, Issue 5</w:t>
        </w:r>
      </w:hyperlink>
      <w:r w:rsidRPr="00EE6940">
        <w:rPr>
          <w:sz w:val="24"/>
          <w:szCs w:val="24"/>
        </w:rPr>
        <w:t>, May 2010, Pages 491–498</w:t>
      </w:r>
    </w:p>
    <w:p w14:paraId="72A385AE" w14:textId="77777777" w:rsidR="00315A0F" w:rsidRPr="00EE6940" w:rsidRDefault="00315A0F" w:rsidP="00315A0F">
      <w:pPr>
        <w:spacing w:after="0" w:line="240" w:lineRule="auto"/>
        <w:rPr>
          <w:rFonts w:cs="Arial"/>
          <w:sz w:val="24"/>
          <w:szCs w:val="24"/>
        </w:rPr>
      </w:pPr>
    </w:p>
    <w:p w14:paraId="064C6431" w14:textId="77777777" w:rsidR="00796EBC" w:rsidRPr="00EE6940" w:rsidRDefault="00796EBC" w:rsidP="00315A0F">
      <w:pPr>
        <w:spacing w:after="0" w:line="240" w:lineRule="auto"/>
        <w:rPr>
          <w:bCs/>
          <w:sz w:val="24"/>
          <w:szCs w:val="24"/>
        </w:rPr>
      </w:pPr>
      <w:r w:rsidRPr="00EE6940">
        <w:rPr>
          <w:rFonts w:cs="Arial"/>
          <w:sz w:val="24"/>
          <w:szCs w:val="24"/>
        </w:rPr>
        <w:t xml:space="preserve">McArdle S, Byrt R. (2001) </w:t>
      </w:r>
      <w:r w:rsidRPr="00EE6940">
        <w:rPr>
          <w:rFonts w:cs="Arial"/>
          <w:i/>
          <w:sz w:val="24"/>
          <w:szCs w:val="24"/>
        </w:rPr>
        <w:t>Fiction, poetry and mental health: expressive and therapeutic uses of literature.</w:t>
      </w:r>
      <w:r w:rsidRPr="00EE6940">
        <w:rPr>
          <w:rFonts w:cs="Arial"/>
          <w:sz w:val="24"/>
          <w:szCs w:val="24"/>
        </w:rPr>
        <w:t xml:space="preserve"> J Psychiatr Ment Health Nurs 2001;8(6):517–524. </w:t>
      </w:r>
    </w:p>
    <w:p w14:paraId="3BAC6891" w14:textId="77777777" w:rsidR="00315A0F" w:rsidRPr="00EE6940" w:rsidRDefault="00315A0F" w:rsidP="00315A0F">
      <w:pPr>
        <w:spacing w:after="0" w:line="240" w:lineRule="auto"/>
        <w:rPr>
          <w:rFonts w:cs="Arial"/>
          <w:bCs/>
          <w:sz w:val="24"/>
          <w:szCs w:val="24"/>
        </w:rPr>
      </w:pPr>
    </w:p>
    <w:p w14:paraId="6034686D" w14:textId="77777777" w:rsidR="00796EBC" w:rsidRPr="00EE6940" w:rsidRDefault="00796EBC" w:rsidP="00315A0F">
      <w:pPr>
        <w:spacing w:after="0" w:line="240" w:lineRule="auto"/>
        <w:rPr>
          <w:rFonts w:cs="Arial"/>
          <w:bCs/>
          <w:i/>
          <w:sz w:val="24"/>
          <w:szCs w:val="24"/>
        </w:rPr>
      </w:pPr>
      <w:r w:rsidRPr="00EE6940">
        <w:rPr>
          <w:rFonts w:cs="Arial"/>
          <w:bCs/>
          <w:sz w:val="24"/>
          <w:szCs w:val="24"/>
        </w:rPr>
        <w:t xml:space="preserve">Metzger A., Dawes, N., Mermelstein, .R, Wakschlag, L.(2011) </w:t>
      </w:r>
      <w:r w:rsidRPr="00EE6940">
        <w:rPr>
          <w:rFonts w:cs="Arial"/>
          <w:bCs/>
          <w:i/>
          <w:sz w:val="24"/>
          <w:szCs w:val="24"/>
        </w:rPr>
        <w:t>Longi</w:t>
      </w:r>
      <w:r w:rsidRPr="00EE6940">
        <w:rPr>
          <w:rFonts w:cs="Arial"/>
          <w:bCs/>
          <w:i/>
          <w:sz w:val="24"/>
          <w:szCs w:val="24"/>
        </w:rPr>
        <w:softHyphen/>
        <w:t xml:space="preserve">tudinal modelling of adolescents’ activity involvement, problem peer associations, and youth smoking. </w:t>
      </w:r>
      <w:r w:rsidRPr="00EE6940">
        <w:rPr>
          <w:rFonts w:cs="Arial"/>
          <w:bCs/>
          <w:iCs/>
          <w:sz w:val="24"/>
          <w:szCs w:val="24"/>
        </w:rPr>
        <w:t xml:space="preserve">Journal of Applied Developmental Psychology </w:t>
      </w:r>
      <w:r w:rsidRPr="00EE6940">
        <w:rPr>
          <w:rFonts w:cs="Arial"/>
          <w:bCs/>
          <w:sz w:val="24"/>
          <w:szCs w:val="24"/>
        </w:rPr>
        <w:t>2011;32(1):1–9.</w:t>
      </w:r>
    </w:p>
    <w:p w14:paraId="55971110" w14:textId="77777777" w:rsidR="00315A0F" w:rsidRPr="00EE6940" w:rsidRDefault="00315A0F" w:rsidP="00315A0F">
      <w:pPr>
        <w:spacing w:after="0" w:line="240" w:lineRule="auto"/>
        <w:rPr>
          <w:sz w:val="24"/>
          <w:szCs w:val="24"/>
        </w:rPr>
      </w:pPr>
    </w:p>
    <w:p w14:paraId="1F766922" w14:textId="77777777" w:rsidR="00796EBC" w:rsidRPr="00EE6940" w:rsidRDefault="00796EBC" w:rsidP="00315A0F">
      <w:pPr>
        <w:spacing w:after="0" w:line="240" w:lineRule="auto"/>
        <w:rPr>
          <w:sz w:val="24"/>
          <w:szCs w:val="24"/>
        </w:rPr>
      </w:pPr>
      <w:r w:rsidRPr="00EE6940">
        <w:rPr>
          <w:sz w:val="24"/>
          <w:szCs w:val="24"/>
        </w:rPr>
        <w:t xml:space="preserve">Minton, Sandra (2002), </w:t>
      </w:r>
      <w:r w:rsidRPr="00EE6940">
        <w:rPr>
          <w:i/>
          <w:sz w:val="24"/>
          <w:szCs w:val="24"/>
        </w:rPr>
        <w:t>Assessment of High School Students’ Creative Thinking Skills: A Comparison of the Effects of Dance and Non-dance Classes.</w:t>
      </w:r>
      <w:r w:rsidRPr="00EE6940">
        <w:rPr>
          <w:sz w:val="24"/>
          <w:szCs w:val="24"/>
        </w:rPr>
        <w:t xml:space="preserve"> In R. Deasy (Ed.) Critical Links: Learning in the Arts and Student Achievement and Social Development Washington, DC: AEP.</w:t>
      </w:r>
    </w:p>
    <w:p w14:paraId="1CABFA6C" w14:textId="77777777" w:rsidR="00C23D54" w:rsidRPr="00EE6940" w:rsidRDefault="00C23D54" w:rsidP="00315A0F">
      <w:pPr>
        <w:pStyle w:val="EndNoteBibliography"/>
        <w:spacing w:after="0"/>
        <w:ind w:left="720" w:hanging="720"/>
        <w:rPr>
          <w:rFonts w:asciiTheme="minorHAnsi" w:hAnsiTheme="minorHAnsi"/>
          <w:sz w:val="24"/>
          <w:szCs w:val="24"/>
        </w:rPr>
      </w:pPr>
      <w:bookmarkStart w:id="12" w:name="_ENREF_4"/>
    </w:p>
    <w:bookmarkEnd w:id="12"/>
    <w:p w14:paraId="0CB2B623" w14:textId="77777777" w:rsidR="00ED5821" w:rsidRPr="00EE6940" w:rsidRDefault="00ED5821" w:rsidP="00315A0F">
      <w:pPr>
        <w:spacing w:after="0" w:line="240" w:lineRule="auto"/>
        <w:rPr>
          <w:rFonts w:eastAsia="Times New Roman" w:cs="Times New Roman"/>
          <w:sz w:val="24"/>
          <w:szCs w:val="24"/>
        </w:rPr>
      </w:pPr>
      <w:r w:rsidRPr="00EE6940">
        <w:rPr>
          <w:rFonts w:eastAsia="Times New Roman" w:cs="Times New Roman"/>
          <w:sz w:val="24"/>
          <w:szCs w:val="24"/>
        </w:rPr>
        <w:t>Murphy, S.M., Edwards, R.T., Williams, N., Raisanen, L., Moore, G., Linck, P., Hounsome, N., Din, N.U., Moore, L., 2012. An evaluation of the effectiveness and cost effectiveness of the National Exercise Referral Scheme in Wales, UK: a randomised controlled trial of a public health policy initiative. Journal of epidemiology and community health 66, 745–753.</w:t>
      </w:r>
    </w:p>
    <w:p w14:paraId="3F021955" w14:textId="77777777" w:rsidR="0019239E" w:rsidRPr="00EE6940" w:rsidRDefault="0019239E" w:rsidP="00315A0F">
      <w:pPr>
        <w:spacing w:after="0" w:line="240" w:lineRule="auto"/>
        <w:rPr>
          <w:rFonts w:cs="Helvetica"/>
          <w:sz w:val="24"/>
          <w:szCs w:val="24"/>
        </w:rPr>
      </w:pPr>
    </w:p>
    <w:p w14:paraId="4E92A9B2" w14:textId="77777777" w:rsidR="000424B2" w:rsidRPr="00EE6940" w:rsidRDefault="003D5D2B" w:rsidP="00315A0F">
      <w:pPr>
        <w:spacing w:after="0" w:line="240" w:lineRule="auto"/>
        <w:rPr>
          <w:rFonts w:cs="Helvetica"/>
          <w:sz w:val="24"/>
          <w:szCs w:val="24"/>
        </w:rPr>
      </w:pPr>
      <w:r w:rsidRPr="00EE6940">
        <w:rPr>
          <w:rFonts w:cs="Helvetica"/>
          <w:sz w:val="24"/>
          <w:szCs w:val="24"/>
        </w:rPr>
        <w:lastRenderedPageBreak/>
        <w:t>Nash, R.,</w:t>
      </w:r>
      <w:r w:rsidR="000424B2" w:rsidRPr="00EE6940">
        <w:rPr>
          <w:rFonts w:cs="Helvetica"/>
          <w:sz w:val="24"/>
          <w:szCs w:val="24"/>
        </w:rPr>
        <w:t xml:space="preserve"> Featherstone H.</w:t>
      </w:r>
      <w:r w:rsidRPr="00EE6940">
        <w:rPr>
          <w:rFonts w:cs="Helvetica"/>
          <w:sz w:val="24"/>
          <w:szCs w:val="24"/>
        </w:rPr>
        <w:t xml:space="preserve"> 2010.</w:t>
      </w:r>
      <w:r w:rsidR="000424B2" w:rsidRPr="00EE6940">
        <w:rPr>
          <w:rFonts w:cs="Helvetica"/>
          <w:sz w:val="24"/>
          <w:szCs w:val="24"/>
        </w:rPr>
        <w:t xml:space="preserve"> Cough Up: Balancing tobacco income and costs </w:t>
      </w:r>
      <w:r w:rsidRPr="00EE6940">
        <w:rPr>
          <w:rFonts w:cs="Helvetica"/>
          <w:sz w:val="24"/>
          <w:szCs w:val="24"/>
        </w:rPr>
        <w:t>in society. Policy Exchange</w:t>
      </w:r>
      <w:r w:rsidR="000424B2" w:rsidRPr="00EE6940">
        <w:rPr>
          <w:rFonts w:cs="Helvetica"/>
          <w:sz w:val="24"/>
          <w:szCs w:val="24"/>
        </w:rPr>
        <w:t>.</w:t>
      </w:r>
    </w:p>
    <w:p w14:paraId="6B84E701" w14:textId="77777777" w:rsidR="002F4883" w:rsidRPr="00EE6940" w:rsidRDefault="002F4883" w:rsidP="00315A0F">
      <w:pPr>
        <w:spacing w:after="0" w:line="240" w:lineRule="auto"/>
        <w:rPr>
          <w:rFonts w:cs="Helvetica"/>
          <w:sz w:val="24"/>
          <w:szCs w:val="24"/>
        </w:rPr>
      </w:pPr>
    </w:p>
    <w:p w14:paraId="649F0D4B" w14:textId="77777777" w:rsidR="002F4883" w:rsidRPr="00EE6940" w:rsidRDefault="002F4883" w:rsidP="00315A0F">
      <w:pPr>
        <w:spacing w:after="0" w:line="240" w:lineRule="auto"/>
        <w:rPr>
          <w:rStyle w:val="HTMLCite"/>
          <w:rFonts w:eastAsia="Times New Roman" w:cs="Times New Roman"/>
          <w:sz w:val="24"/>
          <w:szCs w:val="24"/>
        </w:rPr>
      </w:pPr>
      <w:r w:rsidRPr="00EE6940">
        <w:rPr>
          <w:rFonts w:cs="Helvetica"/>
          <w:sz w:val="24"/>
          <w:szCs w:val="24"/>
        </w:rPr>
        <w:t xml:space="preserve">NICE (2009). Depression in adults: the treatment and management of depression in adults. National Institute for Health and Clinical Excellent, October 2009, retrieved from: </w:t>
      </w:r>
      <w:hyperlink r:id="rId20" w:history="1">
        <w:r w:rsidR="00796EBC" w:rsidRPr="00EE6940">
          <w:rPr>
            <w:rStyle w:val="Hyperlink"/>
            <w:rFonts w:eastAsia="Times New Roman" w:cs="Times New Roman"/>
            <w:sz w:val="24"/>
            <w:szCs w:val="24"/>
          </w:rPr>
          <w:t>www.nice.org.uk/guidance/CG90</w:t>
        </w:r>
      </w:hyperlink>
    </w:p>
    <w:p w14:paraId="44CDE0DE" w14:textId="77777777" w:rsidR="00796EBC" w:rsidRPr="00EE6940" w:rsidRDefault="00796EBC" w:rsidP="00315A0F">
      <w:pPr>
        <w:spacing w:after="0" w:line="240" w:lineRule="auto"/>
        <w:rPr>
          <w:rStyle w:val="HTMLCite"/>
          <w:rFonts w:eastAsia="Times New Roman" w:cs="Times New Roman"/>
          <w:sz w:val="24"/>
          <w:szCs w:val="24"/>
        </w:rPr>
      </w:pPr>
    </w:p>
    <w:p w14:paraId="293890B2" w14:textId="77777777" w:rsidR="00796EBC" w:rsidRPr="00EE6940" w:rsidRDefault="00796EBC" w:rsidP="00315A0F">
      <w:pPr>
        <w:pStyle w:val="EndNoteBibliography"/>
        <w:spacing w:after="0"/>
        <w:ind w:left="720" w:hanging="720"/>
        <w:rPr>
          <w:rFonts w:asciiTheme="minorHAnsi" w:hAnsiTheme="minorHAnsi"/>
          <w:sz w:val="24"/>
          <w:szCs w:val="24"/>
        </w:rPr>
      </w:pPr>
      <w:r w:rsidRPr="00EE6940">
        <w:rPr>
          <w:rFonts w:asciiTheme="minorHAnsi" w:hAnsiTheme="minorHAnsi"/>
          <w:sz w:val="24"/>
          <w:szCs w:val="24"/>
        </w:rPr>
        <w:t xml:space="preserve">OECD, 2013. </w:t>
      </w:r>
      <w:r w:rsidRPr="00EE6940">
        <w:rPr>
          <w:rFonts w:asciiTheme="minorHAnsi" w:hAnsiTheme="minorHAnsi"/>
          <w:i/>
          <w:sz w:val="24"/>
          <w:szCs w:val="24"/>
        </w:rPr>
        <w:t>Indicator A7 What are the incentives to invest in education ?</w:t>
      </w:r>
      <w:r w:rsidRPr="00EE6940">
        <w:rPr>
          <w:rFonts w:asciiTheme="minorHAnsi" w:hAnsiTheme="minorHAnsi"/>
          <w:sz w:val="24"/>
          <w:szCs w:val="24"/>
        </w:rPr>
        <w:t>, OECD Publishing.</w:t>
      </w:r>
    </w:p>
    <w:p w14:paraId="7A13D3A7" w14:textId="77777777" w:rsidR="00796EBC" w:rsidRPr="00EE6940" w:rsidRDefault="00796EBC" w:rsidP="00315A0F">
      <w:pPr>
        <w:spacing w:after="0" w:line="240" w:lineRule="auto"/>
        <w:rPr>
          <w:rStyle w:val="HTMLCite"/>
          <w:rFonts w:eastAsia="Times New Roman" w:cs="Times New Roman"/>
          <w:sz w:val="24"/>
          <w:szCs w:val="24"/>
        </w:rPr>
      </w:pPr>
    </w:p>
    <w:p w14:paraId="65ABA973" w14:textId="77777777" w:rsidR="00796EBC" w:rsidRPr="00EE6940" w:rsidRDefault="00796EBC" w:rsidP="00315A0F">
      <w:pPr>
        <w:spacing w:after="0" w:line="240" w:lineRule="auto"/>
        <w:rPr>
          <w:bCs/>
          <w:sz w:val="24"/>
          <w:szCs w:val="24"/>
        </w:rPr>
      </w:pPr>
      <w:r w:rsidRPr="00EE6940">
        <w:rPr>
          <w:rFonts w:cs="Arial"/>
          <w:sz w:val="24"/>
          <w:szCs w:val="24"/>
        </w:rPr>
        <w:t xml:space="preserve">O’Neill, M. (2010) </w:t>
      </w:r>
      <w:r w:rsidRPr="00EE6940">
        <w:rPr>
          <w:rFonts w:cs="Arial"/>
          <w:i/>
          <w:sz w:val="24"/>
          <w:szCs w:val="24"/>
        </w:rPr>
        <w:t>Cultural attendance and public mental health – from research to practice.</w:t>
      </w:r>
      <w:r w:rsidRPr="00EE6940">
        <w:rPr>
          <w:rFonts w:cs="Arial"/>
          <w:sz w:val="24"/>
          <w:szCs w:val="24"/>
        </w:rPr>
        <w:t xml:space="preserve"> Journal of Public Mental Health, Vol.9, Iss.4, p22-29.</w:t>
      </w:r>
    </w:p>
    <w:p w14:paraId="05907D51" w14:textId="77777777" w:rsidR="00315A0F" w:rsidRPr="00EE6940" w:rsidRDefault="00315A0F" w:rsidP="00315A0F">
      <w:pPr>
        <w:spacing w:after="0" w:line="240" w:lineRule="auto"/>
        <w:rPr>
          <w:sz w:val="24"/>
          <w:szCs w:val="24"/>
        </w:rPr>
      </w:pPr>
    </w:p>
    <w:p w14:paraId="13244C6B" w14:textId="77777777" w:rsidR="00796EBC" w:rsidRPr="00EE6940" w:rsidRDefault="00796EBC" w:rsidP="00315A0F">
      <w:pPr>
        <w:spacing w:after="0" w:line="240" w:lineRule="auto"/>
        <w:rPr>
          <w:sz w:val="24"/>
          <w:szCs w:val="24"/>
        </w:rPr>
      </w:pPr>
      <w:r w:rsidRPr="00EE6940">
        <w:rPr>
          <w:sz w:val="24"/>
          <w:szCs w:val="24"/>
        </w:rPr>
        <w:t xml:space="preserve">Oreck, B., Baum, S. &amp; McCartney (1999). In Fiske (Ed). </w:t>
      </w:r>
      <w:r w:rsidRPr="00EE6940">
        <w:rPr>
          <w:i/>
          <w:sz w:val="24"/>
          <w:szCs w:val="24"/>
        </w:rPr>
        <w:t>Champions of Change: The Impact of the Arts on Learning.</w:t>
      </w:r>
      <w:r w:rsidRPr="00EE6940">
        <w:rPr>
          <w:sz w:val="24"/>
          <w:szCs w:val="24"/>
        </w:rPr>
        <w:t xml:space="preserve"> Washington D.C.: President’s Committee on the Arts and Humanities, Washington D.C.; Arts Education Partnership.</w:t>
      </w:r>
    </w:p>
    <w:p w14:paraId="72945CFD" w14:textId="77777777" w:rsidR="00315A0F" w:rsidRPr="00EE6940" w:rsidRDefault="00315A0F" w:rsidP="00315A0F">
      <w:pPr>
        <w:spacing w:after="0" w:line="240" w:lineRule="auto"/>
        <w:rPr>
          <w:sz w:val="24"/>
          <w:szCs w:val="24"/>
        </w:rPr>
      </w:pPr>
    </w:p>
    <w:p w14:paraId="40C057FC" w14:textId="77777777" w:rsidR="00796EBC" w:rsidRPr="00EE6940" w:rsidRDefault="00796EBC" w:rsidP="00315A0F">
      <w:pPr>
        <w:spacing w:after="0" w:line="240" w:lineRule="auto"/>
        <w:rPr>
          <w:bCs/>
          <w:sz w:val="24"/>
          <w:szCs w:val="24"/>
        </w:rPr>
      </w:pPr>
      <w:r w:rsidRPr="00EE6940">
        <w:rPr>
          <w:sz w:val="24"/>
          <w:szCs w:val="24"/>
        </w:rPr>
        <w:t xml:space="preserve">Paffenbarger R.S., Hyde R.T., Wing A.L., Lee I.M., Jung D.L. &amp;Kampert J.B. (1993) </w:t>
      </w:r>
      <w:r w:rsidRPr="00EE6940">
        <w:rPr>
          <w:bCs/>
          <w:i/>
          <w:sz w:val="24"/>
          <w:szCs w:val="24"/>
        </w:rPr>
        <w:t>The association of changes in physical-activity level and other lifestyle characteristics with mortality among men.</w:t>
      </w:r>
      <w:r w:rsidRPr="00EE6940">
        <w:rPr>
          <w:b/>
          <w:bCs/>
          <w:sz w:val="24"/>
          <w:szCs w:val="24"/>
        </w:rPr>
        <w:t xml:space="preserve"> </w:t>
      </w:r>
      <w:r w:rsidRPr="00EE6940">
        <w:rPr>
          <w:i/>
          <w:iCs/>
          <w:sz w:val="24"/>
          <w:szCs w:val="24"/>
        </w:rPr>
        <w:t>N Engl J Med</w:t>
      </w:r>
      <w:r w:rsidRPr="00EE6940">
        <w:rPr>
          <w:sz w:val="24"/>
          <w:szCs w:val="24"/>
        </w:rPr>
        <w:t>. 1993;328:538–545</w:t>
      </w:r>
    </w:p>
    <w:p w14:paraId="2DFC44FA" w14:textId="77777777" w:rsidR="00315A0F" w:rsidRPr="00EE6940" w:rsidRDefault="00315A0F" w:rsidP="00315A0F">
      <w:pPr>
        <w:spacing w:after="0" w:line="240" w:lineRule="auto"/>
        <w:rPr>
          <w:rFonts w:cs="Arial"/>
          <w:sz w:val="24"/>
          <w:szCs w:val="24"/>
        </w:rPr>
      </w:pPr>
    </w:p>
    <w:p w14:paraId="41EEE9E9" w14:textId="77777777" w:rsidR="00796EBC" w:rsidRPr="00EE6940" w:rsidRDefault="00796EBC" w:rsidP="00315A0F">
      <w:pPr>
        <w:spacing w:after="0" w:line="240" w:lineRule="auto"/>
        <w:rPr>
          <w:bCs/>
          <w:sz w:val="24"/>
          <w:szCs w:val="24"/>
        </w:rPr>
      </w:pPr>
      <w:r w:rsidRPr="00EE6940">
        <w:rPr>
          <w:rFonts w:cs="Arial"/>
          <w:sz w:val="24"/>
          <w:szCs w:val="24"/>
        </w:rPr>
        <w:t xml:space="preserve">Page R.M., Hammermeister J., Scanlan A. &amp; Gilbert L. </w:t>
      </w:r>
      <w:r w:rsidRPr="00EE6940">
        <w:rPr>
          <w:rFonts w:cs="Arial"/>
          <w:i/>
          <w:sz w:val="24"/>
          <w:szCs w:val="24"/>
        </w:rPr>
        <w:t>Is school sports participation a protive factor against adolescent health risk behaviors?</w:t>
      </w:r>
      <w:r w:rsidRPr="00EE6940">
        <w:rPr>
          <w:rFonts w:cs="Arial"/>
          <w:sz w:val="24"/>
          <w:szCs w:val="24"/>
        </w:rPr>
        <w:t> Journal of Health Education. 1998;29:186–192.</w:t>
      </w:r>
    </w:p>
    <w:p w14:paraId="0590673D" w14:textId="77777777" w:rsidR="00315A0F" w:rsidRPr="00EE6940" w:rsidRDefault="00315A0F" w:rsidP="00315A0F">
      <w:pPr>
        <w:spacing w:after="0" w:line="240" w:lineRule="auto"/>
        <w:rPr>
          <w:sz w:val="24"/>
          <w:szCs w:val="24"/>
        </w:rPr>
      </w:pPr>
    </w:p>
    <w:p w14:paraId="0FD54F9A" w14:textId="77777777" w:rsidR="00796EBC" w:rsidRPr="00EE6940" w:rsidRDefault="00796EBC" w:rsidP="00315A0F">
      <w:pPr>
        <w:spacing w:after="0" w:line="240" w:lineRule="auto"/>
        <w:rPr>
          <w:sz w:val="24"/>
          <w:szCs w:val="24"/>
        </w:rPr>
      </w:pPr>
      <w:r w:rsidRPr="00EE6940">
        <w:rPr>
          <w:sz w:val="24"/>
          <w:szCs w:val="24"/>
        </w:rPr>
        <w:t xml:space="preserve">Pate, R., Trost S., Levin S., &amp; Dowda M. (2000) </w:t>
      </w:r>
      <w:r w:rsidRPr="00EE6940">
        <w:rPr>
          <w:bCs/>
          <w:i/>
          <w:sz w:val="24"/>
          <w:szCs w:val="24"/>
        </w:rPr>
        <w:t xml:space="preserve">Sports Participation and Health-Related Behaviors Among US Youth </w:t>
      </w:r>
      <w:r w:rsidRPr="00EE6940">
        <w:rPr>
          <w:iCs/>
          <w:sz w:val="24"/>
          <w:szCs w:val="24"/>
        </w:rPr>
        <w:t>Arch Pediatr Adolesc Med</w:t>
      </w:r>
      <w:r w:rsidRPr="00EE6940">
        <w:rPr>
          <w:i/>
          <w:iCs/>
          <w:sz w:val="24"/>
          <w:szCs w:val="24"/>
        </w:rPr>
        <w:t xml:space="preserve">. </w:t>
      </w:r>
      <w:r w:rsidRPr="00EE6940">
        <w:rPr>
          <w:sz w:val="24"/>
          <w:szCs w:val="24"/>
        </w:rPr>
        <w:t xml:space="preserve">2000;154(9):904-911. doi:10.1001/archpedi.154.9.904. </w:t>
      </w:r>
    </w:p>
    <w:p w14:paraId="055B8284" w14:textId="77777777" w:rsidR="00BB699E" w:rsidRPr="00EE6940" w:rsidRDefault="00BB699E" w:rsidP="00315A0F">
      <w:pPr>
        <w:spacing w:after="0" w:line="240" w:lineRule="auto"/>
        <w:rPr>
          <w:sz w:val="24"/>
          <w:szCs w:val="24"/>
        </w:rPr>
      </w:pPr>
    </w:p>
    <w:p w14:paraId="22AAC4F1" w14:textId="77777777" w:rsidR="00BB699E" w:rsidRPr="00EE6940" w:rsidRDefault="00BB699E" w:rsidP="00315A0F">
      <w:pPr>
        <w:spacing w:after="0" w:line="240" w:lineRule="auto"/>
        <w:rPr>
          <w:rFonts w:eastAsia="Times New Roman" w:cs="Times New Roman"/>
          <w:sz w:val="24"/>
          <w:szCs w:val="24"/>
          <w:lang w:val="en-US"/>
        </w:rPr>
      </w:pPr>
      <w:r w:rsidRPr="00EE6940">
        <w:rPr>
          <w:rFonts w:eastAsia="Times New Roman" w:cs="Times New Roman"/>
          <w:sz w:val="24"/>
          <w:szCs w:val="24"/>
          <w:lang w:val="en-US"/>
        </w:rPr>
        <w:t xml:space="preserve">Peck, S. C., Roeser, R. W., Zarrett, N., &amp; Eccles, J. S. (2008). </w:t>
      </w:r>
      <w:r w:rsidRPr="00EE6940">
        <w:rPr>
          <w:rFonts w:eastAsia="Times New Roman" w:cs="Times New Roman"/>
          <w:i/>
          <w:sz w:val="24"/>
          <w:szCs w:val="24"/>
          <w:lang w:val="en-US"/>
        </w:rPr>
        <w:t>Exploring the Roles of Extracurricular Activity Quantity and Quality in the Educational Resilience of Vulnerable Adolescents: Variable</w:t>
      </w:r>
      <w:r w:rsidRPr="00EE6940">
        <w:rPr>
          <w:rFonts w:eastAsia="Times New Roman" w:cs="American Typewriter"/>
          <w:i/>
          <w:sz w:val="24"/>
          <w:szCs w:val="24"/>
          <w:lang w:val="en-US"/>
        </w:rPr>
        <w:t>‐</w:t>
      </w:r>
      <w:r w:rsidRPr="00EE6940">
        <w:rPr>
          <w:rFonts w:eastAsia="Times New Roman" w:cs="Times New Roman"/>
          <w:i/>
          <w:sz w:val="24"/>
          <w:szCs w:val="24"/>
          <w:lang w:val="en-US"/>
        </w:rPr>
        <w:t>and Pattern</w:t>
      </w:r>
      <w:r w:rsidRPr="00EE6940">
        <w:rPr>
          <w:rFonts w:eastAsia="Times New Roman" w:cs="American Typewriter"/>
          <w:i/>
          <w:sz w:val="24"/>
          <w:szCs w:val="24"/>
          <w:lang w:val="en-US"/>
        </w:rPr>
        <w:t>‐</w:t>
      </w:r>
      <w:r w:rsidRPr="00EE6940">
        <w:rPr>
          <w:rFonts w:eastAsia="Times New Roman" w:cs="Times New Roman"/>
          <w:i/>
          <w:sz w:val="24"/>
          <w:szCs w:val="24"/>
          <w:lang w:val="en-US"/>
        </w:rPr>
        <w:t>Centered Approaches</w:t>
      </w:r>
      <w:r w:rsidRPr="00EE6940">
        <w:rPr>
          <w:rFonts w:eastAsia="Times New Roman" w:cs="Times New Roman"/>
          <w:sz w:val="24"/>
          <w:szCs w:val="24"/>
          <w:lang w:val="en-US"/>
        </w:rPr>
        <w:t xml:space="preserve">. </w:t>
      </w:r>
      <w:r w:rsidRPr="00EE6940">
        <w:rPr>
          <w:rFonts w:eastAsia="Times New Roman" w:cs="Times New Roman"/>
          <w:iCs/>
          <w:sz w:val="24"/>
          <w:szCs w:val="24"/>
          <w:lang w:val="en-US"/>
        </w:rPr>
        <w:t>Journal of Social Issues</w:t>
      </w:r>
      <w:r w:rsidRPr="00EE6940">
        <w:rPr>
          <w:rFonts w:eastAsia="Times New Roman" w:cs="Times New Roman"/>
          <w:sz w:val="24"/>
          <w:szCs w:val="24"/>
          <w:lang w:val="en-US"/>
        </w:rPr>
        <w:t xml:space="preserve">, </w:t>
      </w:r>
      <w:r w:rsidRPr="00EE6940">
        <w:rPr>
          <w:rFonts w:eastAsia="Times New Roman" w:cs="Times New Roman"/>
          <w:iCs/>
          <w:sz w:val="24"/>
          <w:szCs w:val="24"/>
          <w:lang w:val="en-US"/>
        </w:rPr>
        <w:t>64</w:t>
      </w:r>
      <w:r w:rsidRPr="00EE6940">
        <w:rPr>
          <w:rFonts w:eastAsia="Times New Roman" w:cs="Times New Roman"/>
          <w:sz w:val="24"/>
          <w:szCs w:val="24"/>
          <w:lang w:val="en-US"/>
        </w:rPr>
        <w:t>(1), 135-156.</w:t>
      </w:r>
    </w:p>
    <w:p w14:paraId="0C5213DE" w14:textId="77777777" w:rsidR="00315A0F" w:rsidRPr="00EE6940" w:rsidRDefault="00315A0F" w:rsidP="00315A0F">
      <w:pPr>
        <w:spacing w:after="0" w:line="240" w:lineRule="auto"/>
        <w:rPr>
          <w:sz w:val="24"/>
          <w:szCs w:val="24"/>
        </w:rPr>
      </w:pPr>
    </w:p>
    <w:p w14:paraId="43D0D59C" w14:textId="77777777" w:rsidR="00796EBC" w:rsidRPr="00EE6940" w:rsidRDefault="00796EBC" w:rsidP="00315A0F">
      <w:pPr>
        <w:spacing w:after="0" w:line="240" w:lineRule="auto"/>
        <w:rPr>
          <w:rFonts w:cs="Arial"/>
          <w:bCs/>
          <w:sz w:val="24"/>
          <w:szCs w:val="24"/>
        </w:rPr>
      </w:pPr>
      <w:r w:rsidRPr="00EE6940">
        <w:rPr>
          <w:sz w:val="24"/>
          <w:szCs w:val="24"/>
        </w:rPr>
        <w:t xml:space="preserve">Pennebaker, J. W. (2012). </w:t>
      </w:r>
      <w:r w:rsidRPr="00EE6940">
        <w:rPr>
          <w:i/>
          <w:iCs/>
          <w:sz w:val="24"/>
          <w:szCs w:val="24"/>
        </w:rPr>
        <w:t>Opening up: The healing power of expressing emotions</w:t>
      </w:r>
      <w:r w:rsidRPr="00EE6940">
        <w:rPr>
          <w:sz w:val="24"/>
          <w:szCs w:val="24"/>
        </w:rPr>
        <w:t>. Guilford Press.</w:t>
      </w:r>
      <w:r w:rsidR="00315A0F" w:rsidRPr="00EE6940">
        <w:rPr>
          <w:sz w:val="24"/>
          <w:szCs w:val="24"/>
        </w:rPr>
        <w:t xml:space="preserve"> </w:t>
      </w:r>
      <w:r w:rsidRPr="00EE6940">
        <w:rPr>
          <w:rFonts w:cs="Arial"/>
          <w:bCs/>
          <w:iCs/>
          <w:sz w:val="24"/>
          <w:szCs w:val="24"/>
        </w:rPr>
        <w:t xml:space="preserve">Psychological Sciences and Social Sciences </w:t>
      </w:r>
      <w:r w:rsidRPr="00EE6940">
        <w:rPr>
          <w:rFonts w:cs="Arial"/>
          <w:bCs/>
          <w:sz w:val="24"/>
          <w:szCs w:val="24"/>
        </w:rPr>
        <w:t>63 (2) S73–S80.</w:t>
      </w:r>
    </w:p>
    <w:p w14:paraId="3D9F90B9" w14:textId="77777777" w:rsidR="00315A0F" w:rsidRPr="00EE6940" w:rsidRDefault="00315A0F" w:rsidP="00315A0F">
      <w:pPr>
        <w:spacing w:after="0" w:line="240" w:lineRule="auto"/>
        <w:rPr>
          <w:sz w:val="24"/>
          <w:szCs w:val="24"/>
        </w:rPr>
      </w:pPr>
    </w:p>
    <w:p w14:paraId="2D7FD4E3" w14:textId="77777777" w:rsidR="00BE7B92" w:rsidRPr="00EE6940" w:rsidRDefault="00BE7B92" w:rsidP="00315A0F">
      <w:pPr>
        <w:spacing w:after="0" w:line="240" w:lineRule="auto"/>
        <w:rPr>
          <w:iCs/>
          <w:sz w:val="24"/>
          <w:szCs w:val="24"/>
        </w:rPr>
      </w:pPr>
      <w:r w:rsidRPr="00EE6940">
        <w:rPr>
          <w:sz w:val="24"/>
          <w:szCs w:val="24"/>
        </w:rPr>
        <w:t xml:space="preserve">Rainey, </w:t>
      </w:r>
      <w:r w:rsidRPr="00EE6940">
        <w:rPr>
          <w:iCs/>
          <w:sz w:val="24"/>
          <w:szCs w:val="24"/>
        </w:rPr>
        <w:t xml:space="preserve"> C.J., McKeown R.E., Sargent R.G. &amp; Valois R.F. (1996) Patterns of tobacco and alcohol use among sedentary, exercising, nonathletic, and athletic youth, J Sch Health 1996;66:27-32.</w:t>
      </w:r>
    </w:p>
    <w:p w14:paraId="1C16CD7A" w14:textId="77777777" w:rsidR="003C0578" w:rsidRPr="00EE6940" w:rsidRDefault="003C0578" w:rsidP="00315A0F">
      <w:pPr>
        <w:spacing w:after="0" w:line="240" w:lineRule="auto"/>
        <w:rPr>
          <w:iCs/>
          <w:sz w:val="24"/>
          <w:szCs w:val="24"/>
        </w:rPr>
      </w:pPr>
    </w:p>
    <w:p w14:paraId="31D57FF6" w14:textId="77777777" w:rsidR="003C0578" w:rsidRPr="00EE6940" w:rsidRDefault="003C0578" w:rsidP="00315A0F">
      <w:pPr>
        <w:spacing w:after="0" w:line="240" w:lineRule="auto"/>
        <w:rPr>
          <w:iCs/>
          <w:sz w:val="24"/>
          <w:szCs w:val="24"/>
        </w:rPr>
      </w:pPr>
      <w:r w:rsidRPr="00EE6940">
        <w:rPr>
          <w:rFonts w:eastAsia="Times New Roman" w:cs="Times New Roman"/>
          <w:sz w:val="24"/>
          <w:szCs w:val="24"/>
        </w:rPr>
        <w:t xml:space="preserve">Rees, D. I., &amp; Sabia, J. J. (2010). Sports participation and academic performance: Evidence from the National Longitudinal Study of Adolescent Health. </w:t>
      </w:r>
      <w:r w:rsidRPr="00EE6940">
        <w:rPr>
          <w:rFonts w:eastAsia="Times New Roman" w:cs="Times New Roman"/>
          <w:iCs/>
          <w:sz w:val="24"/>
          <w:szCs w:val="24"/>
        </w:rPr>
        <w:t>Economics of Education Review</w:t>
      </w:r>
      <w:r w:rsidRPr="00EE6940">
        <w:rPr>
          <w:rFonts w:eastAsia="Times New Roman" w:cs="Times New Roman"/>
          <w:sz w:val="24"/>
          <w:szCs w:val="24"/>
        </w:rPr>
        <w:t xml:space="preserve">, </w:t>
      </w:r>
      <w:r w:rsidRPr="00EE6940">
        <w:rPr>
          <w:rFonts w:eastAsia="Times New Roman" w:cs="Times New Roman"/>
          <w:iCs/>
          <w:sz w:val="24"/>
          <w:szCs w:val="24"/>
        </w:rPr>
        <w:t>29</w:t>
      </w:r>
      <w:r w:rsidRPr="00EE6940">
        <w:rPr>
          <w:rFonts w:eastAsia="Times New Roman" w:cs="Times New Roman"/>
          <w:sz w:val="24"/>
          <w:szCs w:val="24"/>
        </w:rPr>
        <w:t>(5), 751-759.</w:t>
      </w:r>
    </w:p>
    <w:p w14:paraId="669AD482" w14:textId="77777777" w:rsidR="00315A0F" w:rsidRPr="00EE6940" w:rsidRDefault="00315A0F" w:rsidP="00315A0F">
      <w:pPr>
        <w:tabs>
          <w:tab w:val="left" w:pos="3600"/>
        </w:tabs>
        <w:spacing w:after="0" w:line="240" w:lineRule="auto"/>
        <w:rPr>
          <w:rFonts w:eastAsia="Times New Roman" w:cs="Times New Roman"/>
          <w:sz w:val="24"/>
          <w:szCs w:val="24"/>
        </w:rPr>
      </w:pPr>
    </w:p>
    <w:p w14:paraId="5CD77EC1" w14:textId="77777777" w:rsidR="00BE7B92" w:rsidRPr="00EE6940" w:rsidRDefault="00BE7B92" w:rsidP="00315A0F">
      <w:pPr>
        <w:tabs>
          <w:tab w:val="left" w:pos="3600"/>
        </w:tabs>
        <w:spacing w:after="0" w:line="240" w:lineRule="auto"/>
        <w:rPr>
          <w:rFonts w:eastAsia="Times New Roman" w:cs="Times New Roman"/>
          <w:sz w:val="24"/>
          <w:szCs w:val="24"/>
        </w:rPr>
      </w:pPr>
      <w:r w:rsidRPr="00EE6940">
        <w:rPr>
          <w:rFonts w:eastAsia="Times New Roman" w:cs="Times New Roman"/>
          <w:sz w:val="24"/>
          <w:szCs w:val="24"/>
        </w:rPr>
        <w:t>Renton, A., Phillips, G., Daykin, N., Yu, G., Taylor, K., Petticrew, M., 2012. Think of your art-eries: Arts participation, behavioural cardiovascular risk factors and mental well-being in deprived communities in London. Public health 126, S57–S64.</w:t>
      </w:r>
    </w:p>
    <w:p w14:paraId="522691CC" w14:textId="77777777" w:rsidR="00BE7B92" w:rsidRPr="00EE6940" w:rsidRDefault="00BE7B92" w:rsidP="00315A0F">
      <w:pPr>
        <w:pStyle w:val="EndNoteBibliography"/>
        <w:spacing w:after="0"/>
        <w:ind w:left="720" w:hanging="720"/>
        <w:rPr>
          <w:rFonts w:asciiTheme="minorHAnsi" w:hAnsiTheme="minorHAnsi"/>
          <w:sz w:val="24"/>
          <w:szCs w:val="24"/>
        </w:rPr>
      </w:pPr>
      <w:r w:rsidRPr="00EE6940">
        <w:rPr>
          <w:rFonts w:asciiTheme="minorHAnsi" w:hAnsiTheme="minorHAnsi" w:cstheme="minorHAnsi"/>
          <w:sz w:val="24"/>
          <w:szCs w:val="24"/>
        </w:rPr>
        <w:lastRenderedPageBreak/>
        <w:fldChar w:fldCharType="begin"/>
      </w:r>
      <w:r w:rsidRPr="00EE6940">
        <w:rPr>
          <w:rFonts w:asciiTheme="minorHAnsi" w:hAnsiTheme="minorHAnsi" w:cstheme="minorHAnsi"/>
          <w:sz w:val="24"/>
          <w:szCs w:val="24"/>
        </w:rPr>
        <w:instrText xml:space="preserve"> ADDIN EN.REFLIST </w:instrText>
      </w:r>
      <w:r w:rsidRPr="00EE6940">
        <w:rPr>
          <w:rFonts w:asciiTheme="minorHAnsi" w:hAnsiTheme="minorHAnsi" w:cstheme="minorHAnsi"/>
          <w:sz w:val="24"/>
          <w:szCs w:val="24"/>
        </w:rPr>
        <w:fldChar w:fldCharType="separate"/>
      </w:r>
    </w:p>
    <w:p w14:paraId="2CB4173A" w14:textId="77777777" w:rsidR="00315A0F" w:rsidRPr="00EE6940" w:rsidRDefault="00BE7B92" w:rsidP="00315A0F">
      <w:pPr>
        <w:pStyle w:val="EndNoteBibliography"/>
        <w:spacing w:after="0"/>
        <w:ind w:left="720" w:hanging="720"/>
        <w:rPr>
          <w:rFonts w:asciiTheme="minorHAnsi" w:hAnsiTheme="minorHAnsi"/>
          <w:sz w:val="24"/>
          <w:szCs w:val="24"/>
        </w:rPr>
      </w:pPr>
      <w:bookmarkStart w:id="13" w:name="_ENREF_5"/>
      <w:r w:rsidRPr="00EE6940">
        <w:rPr>
          <w:rFonts w:asciiTheme="minorHAnsi" w:hAnsiTheme="minorHAnsi"/>
          <w:sz w:val="24"/>
          <w:szCs w:val="24"/>
        </w:rPr>
        <w:t>Revicki, D. A. &amp; Wood, M. 1998. Patient-assigned health state utilities for depression-</w:t>
      </w:r>
    </w:p>
    <w:p w14:paraId="13EBD6ED" w14:textId="77777777" w:rsidR="00315A0F" w:rsidRPr="00EE6940" w:rsidRDefault="00BE7B92" w:rsidP="00315A0F">
      <w:pPr>
        <w:pStyle w:val="EndNoteBibliography"/>
        <w:spacing w:after="0"/>
        <w:ind w:left="720" w:hanging="720"/>
        <w:rPr>
          <w:rFonts w:asciiTheme="minorHAnsi" w:hAnsiTheme="minorHAnsi"/>
          <w:i/>
          <w:sz w:val="24"/>
          <w:szCs w:val="24"/>
        </w:rPr>
      </w:pPr>
      <w:r w:rsidRPr="00EE6940">
        <w:rPr>
          <w:rFonts w:asciiTheme="minorHAnsi" w:hAnsiTheme="minorHAnsi"/>
          <w:sz w:val="24"/>
          <w:szCs w:val="24"/>
        </w:rPr>
        <w:t xml:space="preserve">related outcomes: differences by depression severity and antidepressant medications. </w:t>
      </w:r>
      <w:r w:rsidRPr="00EE6940">
        <w:rPr>
          <w:rFonts w:asciiTheme="minorHAnsi" w:hAnsiTheme="minorHAnsi"/>
          <w:i/>
          <w:sz w:val="24"/>
          <w:szCs w:val="24"/>
        </w:rPr>
        <w:t xml:space="preserve">J </w:t>
      </w:r>
    </w:p>
    <w:p w14:paraId="59A1072E" w14:textId="77777777" w:rsidR="00BE7B92" w:rsidRPr="00EE6940" w:rsidRDefault="00BE7B92" w:rsidP="00315A0F">
      <w:pPr>
        <w:pStyle w:val="EndNoteBibliography"/>
        <w:spacing w:after="0"/>
        <w:ind w:left="720" w:hanging="720"/>
        <w:rPr>
          <w:rFonts w:asciiTheme="minorHAnsi" w:hAnsiTheme="minorHAnsi"/>
          <w:sz w:val="24"/>
          <w:szCs w:val="24"/>
        </w:rPr>
      </w:pPr>
      <w:r w:rsidRPr="00EE6940">
        <w:rPr>
          <w:rFonts w:asciiTheme="minorHAnsi" w:hAnsiTheme="minorHAnsi"/>
          <w:i/>
          <w:sz w:val="24"/>
          <w:szCs w:val="24"/>
        </w:rPr>
        <w:t>Affect Disord,</w:t>
      </w:r>
      <w:r w:rsidRPr="00EE6940">
        <w:rPr>
          <w:rFonts w:asciiTheme="minorHAnsi" w:hAnsiTheme="minorHAnsi"/>
          <w:sz w:val="24"/>
          <w:szCs w:val="24"/>
        </w:rPr>
        <w:t xml:space="preserve"> 48</w:t>
      </w:r>
      <w:r w:rsidRPr="00EE6940">
        <w:rPr>
          <w:rFonts w:asciiTheme="minorHAnsi" w:hAnsiTheme="minorHAnsi"/>
          <w:b/>
          <w:sz w:val="24"/>
          <w:szCs w:val="24"/>
        </w:rPr>
        <w:t>,</w:t>
      </w:r>
      <w:r w:rsidRPr="00EE6940">
        <w:rPr>
          <w:rFonts w:asciiTheme="minorHAnsi" w:hAnsiTheme="minorHAnsi"/>
          <w:sz w:val="24"/>
          <w:szCs w:val="24"/>
        </w:rPr>
        <w:t xml:space="preserve"> 25-36.</w:t>
      </w:r>
      <w:bookmarkEnd w:id="13"/>
    </w:p>
    <w:p w14:paraId="119D5BB0" w14:textId="77777777" w:rsidR="00BE7B92" w:rsidRPr="00EE6940" w:rsidRDefault="00BE7B92" w:rsidP="00315A0F">
      <w:pPr>
        <w:spacing w:after="0" w:line="240" w:lineRule="auto"/>
        <w:rPr>
          <w:rFonts w:cstheme="minorHAnsi"/>
          <w:sz w:val="24"/>
          <w:szCs w:val="24"/>
        </w:rPr>
      </w:pPr>
      <w:r w:rsidRPr="00EE6940">
        <w:rPr>
          <w:rFonts w:cstheme="minorHAnsi"/>
          <w:sz w:val="24"/>
          <w:szCs w:val="24"/>
        </w:rPr>
        <w:fldChar w:fldCharType="end"/>
      </w:r>
    </w:p>
    <w:p w14:paraId="5CD31899" w14:textId="77777777" w:rsidR="00BE7B92" w:rsidRPr="00EE6940" w:rsidRDefault="00BE7B92" w:rsidP="00315A0F">
      <w:pPr>
        <w:spacing w:after="0" w:line="240" w:lineRule="auto"/>
        <w:rPr>
          <w:rFonts w:eastAsia="Times New Roman" w:cs="Times New Roman"/>
          <w:sz w:val="24"/>
          <w:szCs w:val="24"/>
        </w:rPr>
      </w:pPr>
      <w:r w:rsidRPr="00EE6940">
        <w:rPr>
          <w:rFonts w:eastAsia="Times New Roman" w:cs="Times New Roman"/>
          <w:sz w:val="24"/>
          <w:szCs w:val="24"/>
        </w:rPr>
        <w:t>Sabia, S., Dugravot, A., Kivimaki, M., Brunner, E., Shipley, M.J., Singh-Manoux, A., 2012. Effect of intensity and type of physical activity on mortality: results from the Whitehall II cohort study. American journal of public health 102, 698–704.</w:t>
      </w:r>
    </w:p>
    <w:p w14:paraId="29637F1F" w14:textId="77777777" w:rsidR="00BE7B92" w:rsidRPr="00EE6940" w:rsidRDefault="00BE7B92" w:rsidP="00315A0F">
      <w:pPr>
        <w:spacing w:after="0" w:line="240" w:lineRule="auto"/>
        <w:rPr>
          <w:rFonts w:cstheme="minorHAnsi"/>
          <w:sz w:val="24"/>
          <w:szCs w:val="24"/>
        </w:rPr>
      </w:pPr>
    </w:p>
    <w:p w14:paraId="6910A46C" w14:textId="77777777" w:rsidR="00BE7B92" w:rsidRPr="00EE6940" w:rsidRDefault="00BE7B92" w:rsidP="00315A0F">
      <w:pPr>
        <w:spacing w:after="0" w:line="240" w:lineRule="auto"/>
        <w:rPr>
          <w:sz w:val="24"/>
          <w:szCs w:val="24"/>
        </w:rPr>
      </w:pPr>
      <w:r w:rsidRPr="00EE6940">
        <w:rPr>
          <w:sz w:val="24"/>
          <w:szCs w:val="24"/>
        </w:rPr>
        <w:t xml:space="preserve">Schellenberg, E.G. (2006). </w:t>
      </w:r>
      <w:r w:rsidRPr="00EE6940">
        <w:rPr>
          <w:i/>
          <w:sz w:val="24"/>
          <w:szCs w:val="24"/>
        </w:rPr>
        <w:t xml:space="preserve">Long-Term Positive Associations between Music Lessons and IQ. </w:t>
      </w:r>
      <w:r w:rsidRPr="00EE6940">
        <w:rPr>
          <w:sz w:val="24"/>
          <w:szCs w:val="24"/>
        </w:rPr>
        <w:t>Journal of Educational Psychology. 98(2), 457-468</w:t>
      </w:r>
    </w:p>
    <w:p w14:paraId="3E80AD1C" w14:textId="77777777" w:rsidR="00BE7B92" w:rsidRPr="00EE6940" w:rsidRDefault="00BE7B92" w:rsidP="00315A0F">
      <w:pPr>
        <w:shd w:val="clear" w:color="auto" w:fill="FFFFFF"/>
        <w:spacing w:after="0" w:line="240" w:lineRule="auto"/>
        <w:contextualSpacing/>
        <w:textAlignment w:val="baseline"/>
        <w:rPr>
          <w:rFonts w:cs="Arial"/>
          <w:color w:val="222222"/>
          <w:sz w:val="24"/>
          <w:szCs w:val="24"/>
        </w:rPr>
      </w:pPr>
      <w:r w:rsidRPr="00EE6940">
        <w:rPr>
          <w:rFonts w:cs="Arial"/>
          <w:color w:val="222222"/>
          <w:sz w:val="24"/>
          <w:szCs w:val="24"/>
          <w:bdr w:val="none" w:sz="0" w:space="0" w:color="auto" w:frame="1"/>
        </w:rPr>
        <w:t>Smith P.J</w:t>
      </w:r>
      <w:r w:rsidRPr="00EE6940">
        <w:rPr>
          <w:rFonts w:cs="Arial"/>
          <w:color w:val="222222"/>
          <w:sz w:val="24"/>
          <w:szCs w:val="24"/>
        </w:rPr>
        <w:t>. </w:t>
      </w:r>
      <w:r w:rsidRPr="00EE6940">
        <w:rPr>
          <w:rFonts w:cs="Arial"/>
          <w:color w:val="222222"/>
          <w:sz w:val="24"/>
          <w:szCs w:val="24"/>
          <w:bdr w:val="none" w:sz="0" w:space="0" w:color="auto" w:frame="1"/>
        </w:rPr>
        <w:t>et al.</w:t>
      </w:r>
      <w:r w:rsidRPr="00EE6940">
        <w:rPr>
          <w:rFonts w:cs="Arial"/>
          <w:color w:val="222222"/>
          <w:sz w:val="24"/>
          <w:szCs w:val="24"/>
        </w:rPr>
        <w:t xml:space="preserve"> </w:t>
      </w:r>
      <w:r w:rsidRPr="00EE6940">
        <w:rPr>
          <w:rFonts w:cs="Arial"/>
          <w:color w:val="222222"/>
          <w:sz w:val="24"/>
          <w:szCs w:val="24"/>
          <w:bdr w:val="none" w:sz="0" w:space="0" w:color="auto" w:frame="1"/>
        </w:rPr>
        <w:t>(2010) </w:t>
      </w:r>
      <w:r w:rsidRPr="00EE6940">
        <w:rPr>
          <w:rFonts w:cs="Arial"/>
          <w:i/>
          <w:color w:val="222222"/>
          <w:sz w:val="24"/>
          <w:szCs w:val="24"/>
          <w:bdr w:val="none" w:sz="0" w:space="0" w:color="auto" w:frame="1"/>
        </w:rPr>
        <w:t>Aerobic exercise and neurocognitive performance: A meta-analytic review of randomized controlled trials</w:t>
      </w:r>
      <w:r w:rsidRPr="00EE6940">
        <w:rPr>
          <w:rFonts w:cs="Arial"/>
          <w:color w:val="222222"/>
          <w:sz w:val="24"/>
          <w:szCs w:val="24"/>
          <w:bdr w:val="none" w:sz="0" w:space="0" w:color="auto" w:frame="1"/>
        </w:rPr>
        <w:t>. Psychosom Med </w:t>
      </w:r>
      <w:r w:rsidRPr="00EE6940">
        <w:rPr>
          <w:rFonts w:cs="Arial"/>
          <w:b/>
          <w:bCs/>
          <w:color w:val="222222"/>
          <w:sz w:val="24"/>
          <w:szCs w:val="24"/>
          <w:bdr w:val="none" w:sz="0" w:space="0" w:color="auto" w:frame="1"/>
        </w:rPr>
        <w:t>72</w:t>
      </w:r>
      <w:r w:rsidRPr="00EE6940">
        <w:rPr>
          <w:rFonts w:cs="Arial"/>
          <w:color w:val="222222"/>
          <w:sz w:val="24"/>
          <w:szCs w:val="24"/>
          <w:bdr w:val="none" w:sz="0" w:space="0" w:color="auto" w:frame="1"/>
        </w:rPr>
        <w:t>:239–252.</w:t>
      </w:r>
    </w:p>
    <w:p w14:paraId="697DD7E5" w14:textId="77777777" w:rsidR="00BE7B92" w:rsidRPr="00EE6940" w:rsidRDefault="00BE7B92" w:rsidP="00315A0F">
      <w:pPr>
        <w:spacing w:after="0" w:line="240" w:lineRule="auto"/>
        <w:rPr>
          <w:rFonts w:eastAsia="Times New Roman" w:cs="Times New Roman"/>
          <w:sz w:val="24"/>
          <w:szCs w:val="24"/>
        </w:rPr>
      </w:pPr>
    </w:p>
    <w:p w14:paraId="1BD06C65" w14:textId="77777777" w:rsidR="00BE7B92" w:rsidRPr="00EE6940" w:rsidRDefault="00BE7B92" w:rsidP="00315A0F">
      <w:pPr>
        <w:spacing w:after="0" w:line="240" w:lineRule="auto"/>
        <w:rPr>
          <w:rFonts w:cs="Lucida Sans Unicode"/>
          <w:bCs/>
          <w:sz w:val="24"/>
          <w:szCs w:val="24"/>
          <w:lang w:val="en"/>
        </w:rPr>
      </w:pPr>
      <w:r w:rsidRPr="00EE6940">
        <w:rPr>
          <w:rFonts w:cs="Lucida Sans Unicode"/>
          <w:bCs/>
          <w:kern w:val="36"/>
          <w:sz w:val="24"/>
          <w:szCs w:val="24"/>
          <w:lang w:val="en"/>
        </w:rPr>
        <w:t xml:space="preserve">Simon, J., Pilling, S., Burbeck, R. &amp; Goldberg, D. (2006). Treatment options in moderate and severe depression: decision analysis supporting a clinical guideline. </w:t>
      </w:r>
      <w:r w:rsidRPr="00EE6940">
        <w:rPr>
          <w:rFonts w:cs="Lucida Sans Unicode"/>
          <w:bCs/>
          <w:sz w:val="24"/>
          <w:szCs w:val="24"/>
          <w:lang w:val="en"/>
        </w:rPr>
        <w:t>The British Journal of Psychiatry</w:t>
      </w:r>
      <w:r w:rsidRPr="00EE6940">
        <w:rPr>
          <w:rStyle w:val="slug-pub-date3"/>
          <w:rFonts w:cs="Lucida Sans Unicode"/>
          <w:bCs/>
          <w:sz w:val="24"/>
          <w:szCs w:val="24"/>
          <w:lang w:val="en"/>
        </w:rPr>
        <w:t xml:space="preserve"> </w:t>
      </w:r>
      <w:r w:rsidRPr="00EE6940">
        <w:rPr>
          <w:rStyle w:val="slug-vol"/>
          <w:rFonts w:cs="Lucida Sans Unicode"/>
          <w:sz w:val="24"/>
          <w:szCs w:val="24"/>
          <w:lang w:val="en"/>
        </w:rPr>
        <w:t xml:space="preserve">189: </w:t>
      </w:r>
      <w:r w:rsidRPr="00EE6940">
        <w:rPr>
          <w:rFonts w:cs="Lucida Sans Unicode"/>
          <w:bCs/>
          <w:sz w:val="24"/>
          <w:szCs w:val="24"/>
          <w:lang w:val="en"/>
        </w:rPr>
        <w:t>494-501.</w:t>
      </w:r>
    </w:p>
    <w:p w14:paraId="25DB305D" w14:textId="77777777" w:rsidR="00BE7B92" w:rsidRPr="00EE6940" w:rsidRDefault="00BE7B92" w:rsidP="00315A0F">
      <w:pPr>
        <w:spacing w:after="0" w:line="240" w:lineRule="auto"/>
        <w:rPr>
          <w:rFonts w:cs="Arial"/>
          <w:sz w:val="24"/>
          <w:szCs w:val="24"/>
        </w:rPr>
      </w:pPr>
    </w:p>
    <w:p w14:paraId="64DB392C" w14:textId="77777777" w:rsidR="00BE7B92" w:rsidRPr="00EE6940" w:rsidRDefault="00BE7B92" w:rsidP="00315A0F">
      <w:pPr>
        <w:spacing w:after="0" w:line="240" w:lineRule="auto"/>
        <w:rPr>
          <w:bCs/>
          <w:sz w:val="24"/>
          <w:szCs w:val="24"/>
        </w:rPr>
      </w:pPr>
      <w:r w:rsidRPr="00EE6940">
        <w:rPr>
          <w:rFonts w:cs="Arial"/>
          <w:sz w:val="24"/>
          <w:szCs w:val="24"/>
        </w:rPr>
        <w:t xml:space="preserve">Smyth J.M.&amp;  Pennebaker J.W.(2008) </w:t>
      </w:r>
      <w:r w:rsidRPr="00EE6940">
        <w:rPr>
          <w:rFonts w:cs="Arial"/>
          <w:i/>
          <w:sz w:val="24"/>
          <w:szCs w:val="24"/>
        </w:rPr>
        <w:t>Exploring the boundary conditions of expressive writing: In search of the right recipe</w:t>
      </w:r>
      <w:r w:rsidRPr="00EE6940">
        <w:rPr>
          <w:rFonts w:cs="Arial"/>
          <w:sz w:val="24"/>
          <w:szCs w:val="24"/>
        </w:rPr>
        <w:t>. Br J Health Psychol. 2008 Feb; 13(Pt 1):1-7.</w:t>
      </w:r>
    </w:p>
    <w:p w14:paraId="492D4193" w14:textId="77777777" w:rsidR="00315A0F" w:rsidRPr="00EE6940" w:rsidRDefault="00315A0F" w:rsidP="00315A0F">
      <w:pPr>
        <w:spacing w:after="0" w:line="240" w:lineRule="auto"/>
        <w:rPr>
          <w:rFonts w:cs="Arial"/>
          <w:sz w:val="24"/>
          <w:szCs w:val="24"/>
        </w:rPr>
      </w:pPr>
    </w:p>
    <w:p w14:paraId="68397027" w14:textId="77777777" w:rsidR="00BE7B92" w:rsidRPr="00EE6940" w:rsidRDefault="00BE7B92" w:rsidP="00315A0F">
      <w:pPr>
        <w:spacing w:after="0" w:line="240" w:lineRule="auto"/>
        <w:rPr>
          <w:bCs/>
          <w:sz w:val="24"/>
          <w:szCs w:val="24"/>
        </w:rPr>
      </w:pPr>
      <w:r w:rsidRPr="00EE6940">
        <w:rPr>
          <w:rFonts w:cs="Arial"/>
          <w:sz w:val="24"/>
          <w:szCs w:val="24"/>
        </w:rPr>
        <w:t xml:space="preserve">Staricoff, R. (2004). </w:t>
      </w:r>
      <w:r w:rsidRPr="00EE6940">
        <w:rPr>
          <w:rFonts w:cs="Arial"/>
          <w:i/>
          <w:iCs/>
          <w:sz w:val="24"/>
          <w:szCs w:val="24"/>
        </w:rPr>
        <w:t>Arts in health: A review of medical literature</w:t>
      </w:r>
      <w:r w:rsidRPr="00EE6940">
        <w:rPr>
          <w:rFonts w:cs="Arial"/>
          <w:sz w:val="24"/>
          <w:szCs w:val="24"/>
        </w:rPr>
        <w:t>. Research Report 36. London: Arts Council</w:t>
      </w:r>
      <w:r w:rsidRPr="00EE6940">
        <w:rPr>
          <w:rFonts w:cs="Arial"/>
          <w:i/>
          <w:iCs/>
          <w:sz w:val="24"/>
          <w:szCs w:val="24"/>
        </w:rPr>
        <w:t xml:space="preserve"> </w:t>
      </w:r>
      <w:r w:rsidRPr="00EE6940">
        <w:rPr>
          <w:rFonts w:cs="Arial"/>
          <w:sz w:val="24"/>
          <w:szCs w:val="24"/>
        </w:rPr>
        <w:t xml:space="preserve">England. </w:t>
      </w:r>
      <w:hyperlink r:id="rId21" w:history="1">
        <w:r w:rsidRPr="00EE6940">
          <w:rPr>
            <w:rStyle w:val="Hyperlink"/>
            <w:rFonts w:cs="Arial"/>
            <w:color w:val="auto"/>
            <w:sz w:val="24"/>
            <w:szCs w:val="24"/>
            <w:u w:val="none"/>
          </w:rPr>
          <w:t>http://www.artscouncil.org.uk/publications/</w:t>
        </w:r>
      </w:hyperlink>
      <w:r w:rsidRPr="00EE6940">
        <w:rPr>
          <w:rFonts w:cs="Arial"/>
          <w:i/>
          <w:iCs/>
          <w:sz w:val="24"/>
          <w:szCs w:val="24"/>
        </w:rPr>
        <w:t xml:space="preserve"> </w:t>
      </w:r>
      <w:r w:rsidRPr="00EE6940">
        <w:rPr>
          <w:rFonts w:cs="Arial"/>
          <w:sz w:val="24"/>
          <w:szCs w:val="24"/>
        </w:rPr>
        <w:t>publication_detail.php?sid=13&amp;id=405&amp;page=2</w:t>
      </w:r>
      <w:r w:rsidRPr="00EE6940">
        <w:rPr>
          <w:rFonts w:cs="Arial"/>
          <w:i/>
          <w:iCs/>
          <w:sz w:val="24"/>
          <w:szCs w:val="24"/>
        </w:rPr>
        <w:t xml:space="preserve"> </w:t>
      </w:r>
      <w:r w:rsidRPr="00EE6940">
        <w:rPr>
          <w:rFonts w:cs="Arial"/>
          <w:sz w:val="24"/>
          <w:szCs w:val="24"/>
        </w:rPr>
        <w:t>(accessed 25 March 2014).</w:t>
      </w:r>
    </w:p>
    <w:p w14:paraId="7E907A81" w14:textId="77777777" w:rsidR="00C23D54" w:rsidRPr="00EE6940" w:rsidRDefault="00C23D54" w:rsidP="00315A0F">
      <w:pPr>
        <w:spacing w:after="0" w:line="240" w:lineRule="auto"/>
        <w:rPr>
          <w:rFonts w:eastAsia="Times New Roman" w:cs="Times New Roman"/>
          <w:sz w:val="24"/>
          <w:szCs w:val="24"/>
        </w:rPr>
      </w:pPr>
    </w:p>
    <w:p w14:paraId="07B8AE1D" w14:textId="77777777" w:rsidR="00781F5F" w:rsidRPr="00EE6940" w:rsidRDefault="00781F5F" w:rsidP="00315A0F">
      <w:pPr>
        <w:spacing w:after="0" w:line="240" w:lineRule="auto"/>
        <w:rPr>
          <w:rFonts w:cs="Helvetica"/>
          <w:sz w:val="24"/>
          <w:szCs w:val="24"/>
        </w:rPr>
      </w:pPr>
      <w:r w:rsidRPr="00EE6940">
        <w:rPr>
          <w:rFonts w:eastAsia="Times New Roman" w:cs="Times New Roman"/>
          <w:sz w:val="24"/>
          <w:szCs w:val="24"/>
        </w:rPr>
        <w:t xml:space="preserve">Surgeon General, 1996. </w:t>
      </w:r>
      <w:r w:rsidRPr="00EE6940">
        <w:rPr>
          <w:rFonts w:cs="Helvetica"/>
          <w:sz w:val="24"/>
          <w:szCs w:val="24"/>
        </w:rPr>
        <w:t>Physical Activity and Health: A Report of the Surgeon General. Atlanta, GA: U.S. Department of Health and Human Services, Centers for Disease Control and Prevention, National Center for Chronic Disease Prevention and Health Promotion.</w:t>
      </w:r>
    </w:p>
    <w:p w14:paraId="52FC3CC4" w14:textId="77777777" w:rsidR="00781F5F" w:rsidRPr="00EE6940" w:rsidRDefault="00781F5F" w:rsidP="00315A0F">
      <w:pPr>
        <w:spacing w:after="0" w:line="240" w:lineRule="auto"/>
        <w:rPr>
          <w:sz w:val="24"/>
          <w:szCs w:val="24"/>
        </w:rPr>
      </w:pPr>
    </w:p>
    <w:p w14:paraId="31B407D1" w14:textId="77777777" w:rsidR="00BE7B92" w:rsidRPr="00EE6940" w:rsidRDefault="00BE7B92" w:rsidP="00315A0F">
      <w:pPr>
        <w:spacing w:after="0" w:line="240" w:lineRule="auto"/>
        <w:rPr>
          <w:sz w:val="24"/>
          <w:szCs w:val="24"/>
        </w:rPr>
      </w:pPr>
      <w:r w:rsidRPr="00EE6940">
        <w:rPr>
          <w:rFonts w:cs="Arial"/>
          <w:color w:val="000000"/>
          <w:sz w:val="24"/>
          <w:szCs w:val="24"/>
          <w:shd w:val="clear" w:color="auto" w:fill="FFFFFF"/>
        </w:rPr>
        <w:t>Taras, H. (2005), P</w:t>
      </w:r>
      <w:r w:rsidRPr="00EE6940">
        <w:rPr>
          <w:rFonts w:cs="Arial"/>
          <w:i/>
          <w:color w:val="000000"/>
          <w:sz w:val="24"/>
          <w:szCs w:val="24"/>
          <w:shd w:val="clear" w:color="auto" w:fill="FFFFFF"/>
        </w:rPr>
        <w:t>hysical Activity and Student Performance at School.</w:t>
      </w:r>
      <w:r w:rsidRPr="00EE6940">
        <w:rPr>
          <w:rFonts w:cs="Arial"/>
          <w:color w:val="000000"/>
          <w:sz w:val="24"/>
          <w:szCs w:val="24"/>
          <w:shd w:val="clear" w:color="auto" w:fill="FFFFFF"/>
        </w:rPr>
        <w:t xml:space="preserve"> Journal of School Health, 75: 214–218. doi: 10.1111/j.1746-1561.2005.tb06675.x</w:t>
      </w:r>
    </w:p>
    <w:p w14:paraId="629CA3E2" w14:textId="77777777" w:rsidR="00315A0F" w:rsidRPr="00EE6940" w:rsidRDefault="00315A0F" w:rsidP="00315A0F">
      <w:pPr>
        <w:spacing w:after="0" w:line="240" w:lineRule="auto"/>
        <w:rPr>
          <w:sz w:val="24"/>
          <w:szCs w:val="24"/>
        </w:rPr>
      </w:pPr>
    </w:p>
    <w:p w14:paraId="2E47EF77" w14:textId="77777777" w:rsidR="00BE7B92" w:rsidRPr="00EE6940" w:rsidRDefault="00BE7B92" w:rsidP="00315A0F">
      <w:pPr>
        <w:spacing w:after="0" w:line="240" w:lineRule="auto"/>
        <w:rPr>
          <w:sz w:val="24"/>
          <w:szCs w:val="24"/>
        </w:rPr>
      </w:pPr>
      <w:r w:rsidRPr="00EE6940">
        <w:rPr>
          <w:sz w:val="24"/>
          <w:szCs w:val="24"/>
        </w:rPr>
        <w:t xml:space="preserve">Taylor R.S., Brown A. &amp; Ebrahim S. (2004) </w:t>
      </w:r>
      <w:r w:rsidRPr="00EE6940">
        <w:rPr>
          <w:i/>
          <w:sz w:val="24"/>
          <w:szCs w:val="24"/>
        </w:rPr>
        <w:t>Exercise-based rehabilitation for patients with coronary heart disease: systematic review and meta-analysis of randomized controlled trials.</w:t>
      </w:r>
      <w:r w:rsidRPr="00EE6940">
        <w:rPr>
          <w:sz w:val="24"/>
          <w:szCs w:val="24"/>
        </w:rPr>
        <w:t xml:space="preserve"> Am J Med 2004;116:682-92.</w:t>
      </w:r>
    </w:p>
    <w:p w14:paraId="18BA8452" w14:textId="77777777" w:rsidR="00130F2E" w:rsidRPr="00EE6940" w:rsidRDefault="00130F2E" w:rsidP="00315A0F">
      <w:pPr>
        <w:spacing w:after="0" w:line="240" w:lineRule="auto"/>
        <w:rPr>
          <w:sz w:val="24"/>
          <w:szCs w:val="24"/>
        </w:rPr>
      </w:pPr>
    </w:p>
    <w:p w14:paraId="4672FA55" w14:textId="77777777" w:rsidR="00130F2E" w:rsidRPr="00EE6940" w:rsidRDefault="00130F2E" w:rsidP="00315A0F">
      <w:pPr>
        <w:spacing w:after="0" w:line="240" w:lineRule="auto"/>
        <w:rPr>
          <w:rFonts w:eastAsia="Times New Roman" w:cs="Times New Roman"/>
          <w:sz w:val="24"/>
          <w:szCs w:val="24"/>
          <w:lang w:val="en-US"/>
        </w:rPr>
      </w:pPr>
      <w:r w:rsidRPr="00EE6940">
        <w:rPr>
          <w:rFonts w:eastAsia="Times New Roman" w:cs="Times New Roman"/>
          <w:sz w:val="24"/>
          <w:szCs w:val="24"/>
          <w:lang w:val="en-US"/>
        </w:rPr>
        <w:t xml:space="preserve">Troutman, K. P., &amp; Dufur, M. J. (2007). </w:t>
      </w:r>
      <w:r w:rsidRPr="00EE6940">
        <w:rPr>
          <w:rFonts w:eastAsia="Times New Roman" w:cs="Times New Roman"/>
          <w:i/>
          <w:sz w:val="24"/>
          <w:szCs w:val="24"/>
          <w:lang w:val="en-US"/>
        </w:rPr>
        <w:t xml:space="preserve">From High School Jocks to College Grads Assessing the Long-Term Effects of High School Sport Participation on Females' Educational Attainment. </w:t>
      </w:r>
      <w:r w:rsidRPr="00EE6940">
        <w:rPr>
          <w:rFonts w:eastAsia="Times New Roman" w:cs="Times New Roman"/>
          <w:iCs/>
          <w:sz w:val="24"/>
          <w:szCs w:val="24"/>
          <w:lang w:val="en-US"/>
        </w:rPr>
        <w:t>Youth &amp; Society</w:t>
      </w:r>
      <w:r w:rsidRPr="00EE6940">
        <w:rPr>
          <w:rFonts w:eastAsia="Times New Roman" w:cs="Times New Roman"/>
          <w:sz w:val="24"/>
          <w:szCs w:val="24"/>
          <w:lang w:val="en-US"/>
        </w:rPr>
        <w:t xml:space="preserve">, </w:t>
      </w:r>
      <w:r w:rsidRPr="00EE6940">
        <w:rPr>
          <w:rFonts w:eastAsia="Times New Roman" w:cs="Times New Roman"/>
          <w:iCs/>
          <w:sz w:val="24"/>
          <w:szCs w:val="24"/>
          <w:lang w:val="en-US"/>
        </w:rPr>
        <w:t>38</w:t>
      </w:r>
      <w:r w:rsidRPr="00EE6940">
        <w:rPr>
          <w:rFonts w:eastAsia="Times New Roman" w:cs="Times New Roman"/>
          <w:sz w:val="24"/>
          <w:szCs w:val="24"/>
          <w:lang w:val="en-US"/>
        </w:rPr>
        <w:t>(4), 443-462.</w:t>
      </w:r>
    </w:p>
    <w:p w14:paraId="43FA5FBA" w14:textId="77777777" w:rsidR="00BE7B92" w:rsidRPr="00EE6940" w:rsidRDefault="00BE7B92" w:rsidP="00315A0F">
      <w:pPr>
        <w:spacing w:after="0" w:line="240" w:lineRule="auto"/>
        <w:rPr>
          <w:sz w:val="24"/>
          <w:szCs w:val="24"/>
        </w:rPr>
      </w:pPr>
    </w:p>
    <w:p w14:paraId="77373C08" w14:textId="77777777" w:rsidR="00ED5821" w:rsidRPr="00EE6940" w:rsidRDefault="00ED5821" w:rsidP="00315A0F">
      <w:pPr>
        <w:spacing w:after="0" w:line="240" w:lineRule="auto"/>
        <w:rPr>
          <w:rFonts w:eastAsia="Times New Roman" w:cs="Times New Roman"/>
          <w:sz w:val="24"/>
          <w:szCs w:val="24"/>
        </w:rPr>
      </w:pPr>
      <w:r w:rsidRPr="00EE6940">
        <w:rPr>
          <w:rFonts w:eastAsia="Times New Roman" w:cs="Times New Roman"/>
          <w:sz w:val="24"/>
          <w:szCs w:val="24"/>
        </w:rPr>
        <w:t>Upitis, R., Smithrim, K., 2003. Learning through the arts. Kingston, ON: Queen’s University.</w:t>
      </w:r>
    </w:p>
    <w:p w14:paraId="1D06FA77" w14:textId="77777777" w:rsidR="00ED5821" w:rsidRPr="00EE6940" w:rsidRDefault="00ED5821" w:rsidP="00315A0F">
      <w:pPr>
        <w:spacing w:after="0" w:line="240" w:lineRule="auto"/>
        <w:rPr>
          <w:rFonts w:eastAsia="Times New Roman" w:cs="Times New Roman"/>
          <w:sz w:val="24"/>
          <w:szCs w:val="24"/>
        </w:rPr>
      </w:pPr>
    </w:p>
    <w:p w14:paraId="2FC36EF0" w14:textId="77777777" w:rsidR="0019239E" w:rsidRPr="00EE6940" w:rsidRDefault="0019239E" w:rsidP="00315A0F">
      <w:pPr>
        <w:spacing w:after="0" w:line="240" w:lineRule="auto"/>
        <w:rPr>
          <w:rFonts w:eastAsia="Times New Roman" w:cs="Times New Roman"/>
          <w:sz w:val="24"/>
          <w:szCs w:val="24"/>
        </w:rPr>
      </w:pPr>
      <w:r w:rsidRPr="00EE6940">
        <w:rPr>
          <w:rFonts w:eastAsia="Times New Roman" w:cs="Times New Roman"/>
          <w:sz w:val="24"/>
          <w:szCs w:val="24"/>
        </w:rPr>
        <w:t>Van Lith, T., Schofield, M.J., &amp; Fenner,P. (2012). Identifying the evidence-base for art-based practices and their potential benefit for mental health recovery: A critical review. Disability &amp; Rehabilitation, Early Online, 1-15.</w:t>
      </w:r>
    </w:p>
    <w:p w14:paraId="7783C081" w14:textId="77777777" w:rsidR="00A91606" w:rsidRPr="00EE6940" w:rsidRDefault="00A91606" w:rsidP="00315A0F">
      <w:pPr>
        <w:spacing w:after="0" w:line="240" w:lineRule="auto"/>
        <w:rPr>
          <w:rFonts w:eastAsia="Times New Roman" w:cs="Times New Roman"/>
          <w:sz w:val="24"/>
          <w:szCs w:val="24"/>
        </w:rPr>
      </w:pPr>
    </w:p>
    <w:p w14:paraId="147D1478" w14:textId="77777777" w:rsidR="00A91606" w:rsidRPr="0059182A" w:rsidRDefault="00A91606" w:rsidP="00315A0F">
      <w:pPr>
        <w:spacing w:after="0" w:line="240" w:lineRule="auto"/>
        <w:rPr>
          <w:sz w:val="24"/>
          <w:szCs w:val="24"/>
        </w:rPr>
      </w:pPr>
      <w:r w:rsidRPr="0059182A">
        <w:rPr>
          <w:sz w:val="24"/>
          <w:szCs w:val="24"/>
          <w:shd w:val="clear" w:color="auto" w:fill="FFFFFF"/>
        </w:rPr>
        <w:lastRenderedPageBreak/>
        <w:t>Vaughan, T., </w:t>
      </w:r>
      <w:r w:rsidRPr="0059182A">
        <w:rPr>
          <w:sz w:val="24"/>
          <w:szCs w:val="24"/>
        </w:rPr>
        <w:t xml:space="preserve">Harris, J. </w:t>
      </w:r>
      <w:r w:rsidRPr="0059182A">
        <w:rPr>
          <w:sz w:val="24"/>
          <w:szCs w:val="24"/>
          <w:shd w:val="clear" w:color="auto" w:fill="FFFFFF"/>
        </w:rPr>
        <w:t>&amp; Caldwell, B. (2011) </w:t>
      </w:r>
      <w:r w:rsidRPr="0059182A">
        <w:rPr>
          <w:i/>
          <w:iCs/>
          <w:sz w:val="24"/>
          <w:szCs w:val="24"/>
          <w:shd w:val="clear" w:color="auto" w:fill="FFFFFF"/>
        </w:rPr>
        <w:t>Bridging the gap in school achievement through the arts : summary report.</w:t>
      </w:r>
      <w:r w:rsidRPr="0059182A">
        <w:rPr>
          <w:sz w:val="24"/>
          <w:szCs w:val="24"/>
          <w:shd w:val="clear" w:color="auto" w:fill="FFFFFF"/>
        </w:rPr>
        <w:t> The Song Room, Abbotsford, VIC.</w:t>
      </w:r>
    </w:p>
    <w:p w14:paraId="1D86FFF6" w14:textId="77777777" w:rsidR="003D5D2B" w:rsidRPr="00EE6940" w:rsidRDefault="003D5D2B" w:rsidP="00315A0F">
      <w:pPr>
        <w:spacing w:after="0" w:line="240" w:lineRule="auto"/>
        <w:rPr>
          <w:rFonts w:eastAsia="Times New Roman" w:cs="Times New Roman"/>
          <w:sz w:val="24"/>
          <w:szCs w:val="24"/>
        </w:rPr>
      </w:pPr>
    </w:p>
    <w:p w14:paraId="5F1634F7" w14:textId="77777777" w:rsidR="00796EBC" w:rsidRPr="00EE6940" w:rsidRDefault="00796EBC" w:rsidP="00315A0F">
      <w:pPr>
        <w:spacing w:after="0" w:line="240" w:lineRule="auto"/>
        <w:rPr>
          <w:bCs/>
          <w:sz w:val="24"/>
          <w:szCs w:val="24"/>
        </w:rPr>
      </w:pPr>
      <w:r w:rsidRPr="00EE6940">
        <w:rPr>
          <w:bCs/>
          <w:sz w:val="24"/>
          <w:szCs w:val="24"/>
        </w:rPr>
        <w:t xml:space="preserve">Warburton D.E., Nicol C.W, Bredin S.S. (2006b). </w:t>
      </w:r>
      <w:r w:rsidRPr="00EE6940">
        <w:rPr>
          <w:bCs/>
          <w:i/>
          <w:sz w:val="24"/>
          <w:szCs w:val="24"/>
        </w:rPr>
        <w:t>Prescribing exercise as preventive therapy.</w:t>
      </w:r>
      <w:r w:rsidRPr="00EE6940">
        <w:rPr>
          <w:bCs/>
          <w:sz w:val="24"/>
          <w:szCs w:val="24"/>
        </w:rPr>
        <w:t xml:space="preserve"> CMAJ 174: 961-974 b .</w:t>
      </w:r>
    </w:p>
    <w:p w14:paraId="71FAD533" w14:textId="77777777" w:rsidR="00315A0F" w:rsidRPr="00EE6940" w:rsidRDefault="00315A0F" w:rsidP="00315A0F">
      <w:pPr>
        <w:spacing w:after="0" w:line="240" w:lineRule="auto"/>
        <w:rPr>
          <w:bCs/>
          <w:sz w:val="24"/>
          <w:szCs w:val="24"/>
        </w:rPr>
      </w:pPr>
    </w:p>
    <w:p w14:paraId="3ED1EDD4" w14:textId="77777777" w:rsidR="00796EBC" w:rsidRPr="00EE6940" w:rsidRDefault="00796EBC" w:rsidP="00315A0F">
      <w:pPr>
        <w:spacing w:after="0" w:line="240" w:lineRule="auto"/>
        <w:rPr>
          <w:bCs/>
          <w:sz w:val="24"/>
          <w:szCs w:val="24"/>
        </w:rPr>
      </w:pPr>
      <w:r w:rsidRPr="00EE6940">
        <w:rPr>
          <w:bCs/>
          <w:sz w:val="24"/>
          <w:szCs w:val="24"/>
        </w:rPr>
        <w:t xml:space="preserve">Warburton D.E., Nicol C.W., Bredin S.S. (2006a). </w:t>
      </w:r>
      <w:r w:rsidRPr="00EE6940">
        <w:rPr>
          <w:bCs/>
          <w:i/>
          <w:sz w:val="24"/>
          <w:szCs w:val="24"/>
        </w:rPr>
        <w:t>Health benefits of physical activity: the evidence.</w:t>
      </w:r>
      <w:r w:rsidRPr="00EE6940">
        <w:rPr>
          <w:bCs/>
          <w:sz w:val="24"/>
          <w:szCs w:val="24"/>
        </w:rPr>
        <w:t xml:space="preserve"> CMAJ 174: 801-809 a.</w:t>
      </w:r>
    </w:p>
    <w:p w14:paraId="169DB1DD" w14:textId="77777777" w:rsidR="00315A0F" w:rsidRPr="00EE6940" w:rsidRDefault="00315A0F" w:rsidP="00315A0F">
      <w:pPr>
        <w:spacing w:after="0" w:line="240" w:lineRule="auto"/>
        <w:rPr>
          <w:sz w:val="24"/>
          <w:szCs w:val="24"/>
        </w:rPr>
      </w:pPr>
    </w:p>
    <w:p w14:paraId="3ABD2894" w14:textId="77777777" w:rsidR="00796EBC" w:rsidRPr="00EE6940" w:rsidRDefault="00796EBC" w:rsidP="00315A0F">
      <w:pPr>
        <w:spacing w:after="0" w:line="240" w:lineRule="auto"/>
        <w:rPr>
          <w:rStyle w:val="apple-converted-space"/>
          <w:sz w:val="24"/>
          <w:szCs w:val="24"/>
        </w:rPr>
      </w:pPr>
      <w:r w:rsidRPr="00EE6940">
        <w:rPr>
          <w:sz w:val="24"/>
          <w:szCs w:val="24"/>
        </w:rPr>
        <w:t>Webb, T., &amp; Sheeran, P. 2006</w:t>
      </w:r>
      <w:r w:rsidRPr="00EE6940">
        <w:rPr>
          <w:rStyle w:val="apple-converted-space"/>
          <w:sz w:val="24"/>
          <w:szCs w:val="24"/>
        </w:rPr>
        <w:t>. Does Changing Behavioral Intentions Engender Behavior Change? A Meta-Analysis of the Experimental Evidence. Psychological Bulletin, Vol. 132, No. 2, 249–268.</w:t>
      </w:r>
    </w:p>
    <w:p w14:paraId="05CA7F93" w14:textId="77777777" w:rsidR="00796EBC" w:rsidRPr="00EE6940" w:rsidRDefault="00796EBC" w:rsidP="00315A0F">
      <w:pPr>
        <w:spacing w:after="0" w:line="240" w:lineRule="auto"/>
        <w:rPr>
          <w:rStyle w:val="apple-converted-space"/>
          <w:sz w:val="24"/>
          <w:szCs w:val="24"/>
        </w:rPr>
      </w:pPr>
    </w:p>
    <w:p w14:paraId="448CDAA8" w14:textId="77777777" w:rsidR="00796EBC" w:rsidRPr="00EE6940" w:rsidRDefault="00796EBC" w:rsidP="00315A0F">
      <w:pPr>
        <w:spacing w:after="0" w:line="240" w:lineRule="auto"/>
        <w:rPr>
          <w:rStyle w:val="apple-converted-space"/>
          <w:sz w:val="24"/>
          <w:szCs w:val="24"/>
        </w:rPr>
      </w:pPr>
      <w:r w:rsidRPr="00EE6940">
        <w:rPr>
          <w:rStyle w:val="apple-converted-space"/>
          <w:sz w:val="24"/>
          <w:szCs w:val="24"/>
        </w:rPr>
        <w:t>White, Carol (2012). Proposed changes to psychodynamic psychotherapy services in NELFT (North East London NHS Foundation Trust): consultation outcome report. Child and Adolescent Mental Health Services and Psychological Services. 24</w:t>
      </w:r>
      <w:r w:rsidRPr="00EE6940">
        <w:rPr>
          <w:rStyle w:val="apple-converted-space"/>
          <w:sz w:val="24"/>
          <w:szCs w:val="24"/>
          <w:vertAlign w:val="superscript"/>
        </w:rPr>
        <w:t>th</w:t>
      </w:r>
      <w:r w:rsidRPr="00EE6940">
        <w:rPr>
          <w:rStyle w:val="apple-converted-space"/>
          <w:sz w:val="24"/>
          <w:szCs w:val="24"/>
        </w:rPr>
        <w:t xml:space="preserve"> March, 2012. Retrieved from www.nelft.nhs.uk/_documentbank/120510_consultation_outcome_report_proposed_changes_psychodynamic_psychotherapy.pdf</w:t>
      </w:r>
    </w:p>
    <w:p w14:paraId="6AAD37F8" w14:textId="77777777" w:rsidR="00796EBC" w:rsidRPr="00EE6940" w:rsidRDefault="00796EBC" w:rsidP="00315A0F">
      <w:pPr>
        <w:spacing w:after="0" w:line="240" w:lineRule="auto"/>
        <w:rPr>
          <w:rStyle w:val="apple-converted-space"/>
          <w:sz w:val="24"/>
          <w:szCs w:val="24"/>
        </w:rPr>
      </w:pPr>
    </w:p>
    <w:p w14:paraId="1249163D" w14:textId="77777777" w:rsidR="00796EBC" w:rsidRPr="00EE6940" w:rsidRDefault="00315A0F" w:rsidP="00315A0F">
      <w:pPr>
        <w:spacing w:after="0" w:line="240" w:lineRule="auto"/>
        <w:rPr>
          <w:rFonts w:cs="Arial"/>
          <w:bCs/>
          <w:sz w:val="24"/>
          <w:szCs w:val="24"/>
        </w:rPr>
      </w:pPr>
      <w:r w:rsidRPr="00EE6940">
        <w:rPr>
          <w:rFonts w:cs="Arial"/>
          <w:bCs/>
          <w:sz w:val="24"/>
          <w:szCs w:val="24"/>
        </w:rPr>
        <w:t>Wilkinson, A. ,Waters</w:t>
      </w:r>
      <w:r w:rsidR="00796EBC" w:rsidRPr="00EE6940">
        <w:rPr>
          <w:rFonts w:cs="Arial"/>
          <w:bCs/>
          <w:sz w:val="24"/>
          <w:szCs w:val="24"/>
        </w:rPr>
        <w:t xml:space="preserve">, A.J., L Bygren, L.O. &amp; Tarlov, A.R. (2007) </w:t>
      </w:r>
      <w:r w:rsidR="00796EBC" w:rsidRPr="00EE6940">
        <w:rPr>
          <w:rFonts w:cs="Arial"/>
          <w:bCs/>
          <w:i/>
          <w:sz w:val="24"/>
          <w:szCs w:val="24"/>
        </w:rPr>
        <w:t>Are variations in rates of attending cultural activities associated with population health in the United States?</w:t>
      </w:r>
      <w:r w:rsidR="00796EBC" w:rsidRPr="00EE6940">
        <w:rPr>
          <w:i/>
          <w:iCs/>
          <w:sz w:val="24"/>
          <w:szCs w:val="24"/>
        </w:rPr>
        <w:t xml:space="preserve"> </w:t>
      </w:r>
      <w:r w:rsidR="00796EBC" w:rsidRPr="00EE6940">
        <w:rPr>
          <w:rFonts w:cs="Arial"/>
          <w:bCs/>
          <w:iCs/>
          <w:sz w:val="24"/>
          <w:szCs w:val="24"/>
        </w:rPr>
        <w:t>BMC Public Health</w:t>
      </w:r>
      <w:r w:rsidR="00796EBC" w:rsidRPr="00EE6940">
        <w:rPr>
          <w:rFonts w:cs="Arial"/>
          <w:bCs/>
          <w:sz w:val="24"/>
          <w:szCs w:val="24"/>
        </w:rPr>
        <w:t xml:space="preserve"> 2007, </w:t>
      </w:r>
      <w:r w:rsidR="00796EBC" w:rsidRPr="00EE6940">
        <w:rPr>
          <w:rFonts w:cs="Arial"/>
          <w:b/>
          <w:bCs/>
          <w:sz w:val="24"/>
          <w:szCs w:val="24"/>
        </w:rPr>
        <w:t>7</w:t>
      </w:r>
      <w:r w:rsidR="00796EBC" w:rsidRPr="00EE6940">
        <w:rPr>
          <w:rFonts w:cs="Arial"/>
          <w:bCs/>
          <w:sz w:val="24"/>
          <w:szCs w:val="24"/>
        </w:rPr>
        <w:t>:226 </w:t>
      </w:r>
    </w:p>
    <w:p w14:paraId="18E6E047" w14:textId="77777777" w:rsidR="00796EBC" w:rsidRPr="00EE6940" w:rsidRDefault="00796EBC" w:rsidP="00315A0F">
      <w:pPr>
        <w:spacing w:after="0" w:line="240" w:lineRule="auto"/>
        <w:rPr>
          <w:bCs/>
          <w:i/>
          <w:iCs/>
          <w:sz w:val="24"/>
          <w:szCs w:val="24"/>
        </w:rPr>
      </w:pPr>
      <w:r w:rsidRPr="00EE6940">
        <w:rPr>
          <w:bCs/>
          <w:sz w:val="24"/>
          <w:szCs w:val="24"/>
        </w:rPr>
        <w:t xml:space="preserve">Windsor J. (2005) </w:t>
      </w:r>
      <w:r w:rsidRPr="00EE6940">
        <w:rPr>
          <w:bCs/>
          <w:i/>
          <w:iCs/>
          <w:sz w:val="24"/>
          <w:szCs w:val="24"/>
        </w:rPr>
        <w:t>A Study of the Association between Arts Engagement</w:t>
      </w:r>
    </w:p>
    <w:p w14:paraId="6C36CD85" w14:textId="77777777" w:rsidR="00315A0F" w:rsidRPr="00EE6940" w:rsidRDefault="00315A0F" w:rsidP="00315A0F">
      <w:pPr>
        <w:spacing w:after="0" w:line="240" w:lineRule="auto"/>
        <w:rPr>
          <w:sz w:val="24"/>
          <w:szCs w:val="24"/>
        </w:rPr>
      </w:pPr>
    </w:p>
    <w:p w14:paraId="0D775D55" w14:textId="77777777" w:rsidR="00796EBC" w:rsidRDefault="00796EBC" w:rsidP="00315A0F">
      <w:pPr>
        <w:spacing w:after="0" w:line="240" w:lineRule="auto"/>
        <w:rPr>
          <w:sz w:val="24"/>
          <w:szCs w:val="24"/>
        </w:rPr>
      </w:pPr>
      <w:r w:rsidRPr="00EE6940">
        <w:rPr>
          <w:sz w:val="24"/>
          <w:szCs w:val="24"/>
        </w:rPr>
        <w:t xml:space="preserve">Winner, E. &amp; Hetland, L. (2000). </w:t>
      </w:r>
      <w:r w:rsidRPr="00EE6940">
        <w:rPr>
          <w:i/>
          <w:sz w:val="24"/>
          <w:szCs w:val="24"/>
        </w:rPr>
        <w:t>The arts in education: Evaluating the evidence for a causal link.</w:t>
      </w:r>
      <w:r w:rsidRPr="00EE6940">
        <w:rPr>
          <w:sz w:val="24"/>
          <w:szCs w:val="24"/>
        </w:rPr>
        <w:t xml:space="preserve"> In McCarthy.K.F., Ondaatje, E.H., Zakaras, L. &amp; Brooks, A (2004). Gifts of the Muse: Reframing the Debate about the Benefits of the Arts. RAND Corporation: Santa Monica.</w:t>
      </w:r>
    </w:p>
    <w:p w14:paraId="743F8138" w14:textId="77777777" w:rsidR="0059182A" w:rsidRPr="00EE6940" w:rsidRDefault="0059182A" w:rsidP="00315A0F">
      <w:pPr>
        <w:spacing w:after="0" w:line="240" w:lineRule="auto"/>
        <w:rPr>
          <w:sz w:val="24"/>
          <w:szCs w:val="24"/>
        </w:rPr>
      </w:pPr>
    </w:p>
    <w:p w14:paraId="4FD7A40A" w14:textId="77777777" w:rsidR="00796EBC" w:rsidRPr="0059182A" w:rsidRDefault="00796EBC" w:rsidP="0059182A">
      <w:pPr>
        <w:rPr>
          <w:rFonts w:cs="Lucida Sans Unicode"/>
          <w:sz w:val="24"/>
          <w:szCs w:val="24"/>
          <w:lang w:val="en"/>
        </w:rPr>
      </w:pPr>
      <w:r w:rsidRPr="0059182A">
        <w:rPr>
          <w:sz w:val="24"/>
          <w:szCs w:val="24"/>
        </w:rPr>
        <w:t xml:space="preserve">Winner, E. &amp; Hetland. L. (2000). REAP </w:t>
      </w:r>
      <w:r w:rsidRPr="0059182A">
        <w:rPr>
          <w:i/>
          <w:sz w:val="24"/>
          <w:szCs w:val="24"/>
        </w:rPr>
        <w:t>(Reviewing Education and the Arts Project)</w:t>
      </w:r>
      <w:r w:rsidRPr="0059182A">
        <w:rPr>
          <w:sz w:val="24"/>
          <w:szCs w:val="24"/>
        </w:rPr>
        <w:t xml:space="preserve">. Available at: </w:t>
      </w:r>
      <w:hyperlink r:id="rId22" w:history="1">
        <w:r w:rsidRPr="0059182A">
          <w:rPr>
            <w:rStyle w:val="Hyperlink"/>
            <w:sz w:val="24"/>
            <w:szCs w:val="24"/>
          </w:rPr>
          <w:t>www.pzweb.harvard.edu/Research/REAP.htm</w:t>
        </w:r>
      </w:hyperlink>
    </w:p>
    <w:p w14:paraId="1EBCF784" w14:textId="77777777" w:rsidR="00796EBC" w:rsidRPr="00EE6940" w:rsidRDefault="00796EBC" w:rsidP="0059182A"/>
    <w:p w14:paraId="52703B4C" w14:textId="77777777" w:rsidR="00796EBC" w:rsidRPr="00EE6940" w:rsidRDefault="00796EBC" w:rsidP="00781F5F">
      <w:pPr>
        <w:spacing w:after="0" w:line="240" w:lineRule="auto"/>
        <w:rPr>
          <w:rFonts w:eastAsia="Times New Roman" w:cs="Times New Roman"/>
          <w:sz w:val="24"/>
          <w:szCs w:val="24"/>
        </w:rPr>
      </w:pPr>
    </w:p>
    <w:p w14:paraId="369FC33A" w14:textId="77777777" w:rsidR="00971881" w:rsidRPr="00EE6940" w:rsidRDefault="00971881" w:rsidP="003D5D2B">
      <w:pPr>
        <w:spacing w:after="0" w:line="240" w:lineRule="auto"/>
        <w:rPr>
          <w:rFonts w:eastAsia="Times New Roman" w:cs="Times New Roman"/>
          <w:sz w:val="28"/>
          <w:szCs w:val="24"/>
        </w:rPr>
      </w:pPr>
    </w:p>
    <w:p w14:paraId="2A116223" w14:textId="77777777" w:rsidR="001D5D14" w:rsidRPr="00EE6940" w:rsidRDefault="001D5D14" w:rsidP="004120B5">
      <w:pPr>
        <w:spacing w:after="0" w:line="240" w:lineRule="auto"/>
        <w:rPr>
          <w:rFonts w:eastAsia="Times New Roman" w:cs="Times New Roman"/>
          <w:color w:val="000000"/>
          <w:sz w:val="24"/>
          <w:szCs w:val="27"/>
          <w:lang w:eastAsia="en-GB"/>
        </w:rPr>
      </w:pPr>
    </w:p>
    <w:p w14:paraId="77EE98ED" w14:textId="77777777" w:rsidR="0089230A" w:rsidRPr="00EE6940" w:rsidRDefault="0089230A" w:rsidP="004120B5">
      <w:pPr>
        <w:spacing w:after="0" w:line="240" w:lineRule="auto"/>
        <w:rPr>
          <w:rFonts w:eastAsia="Times New Roman" w:cs="Times New Roman"/>
          <w:color w:val="000000"/>
          <w:sz w:val="24"/>
          <w:szCs w:val="27"/>
          <w:lang w:eastAsia="en-GB"/>
        </w:rPr>
      </w:pPr>
    </w:p>
    <w:p w14:paraId="176DAF7D" w14:textId="77777777" w:rsidR="0089230A" w:rsidRPr="00EE6940" w:rsidRDefault="0089230A" w:rsidP="004120B5">
      <w:pPr>
        <w:spacing w:after="0" w:line="240" w:lineRule="auto"/>
        <w:rPr>
          <w:rFonts w:cstheme="minorHAnsi"/>
          <w:sz w:val="24"/>
          <w:szCs w:val="24"/>
        </w:rPr>
      </w:pPr>
    </w:p>
    <w:sectPr w:rsidR="0089230A" w:rsidRPr="00EE6940" w:rsidSect="00114AAB">
      <w:headerReference w:type="default"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69155" w14:textId="77777777" w:rsidR="0008328E" w:rsidRDefault="0008328E" w:rsidP="00250C25">
      <w:pPr>
        <w:spacing w:after="0" w:line="240" w:lineRule="auto"/>
      </w:pPr>
      <w:r>
        <w:separator/>
      </w:r>
    </w:p>
  </w:endnote>
  <w:endnote w:type="continuationSeparator" w:id="0">
    <w:p w14:paraId="2AFF5F53" w14:textId="77777777" w:rsidR="0008328E" w:rsidRDefault="0008328E" w:rsidP="0025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SBEM">
    <w:panose1 w:val="00000000000000000000"/>
    <w:charset w:val="00"/>
    <w:family w:val="roman"/>
    <w:notTrueType/>
    <w:pitch w:val="default"/>
    <w:sig w:usb0="00000003" w:usb1="00000000" w:usb2="00000000" w:usb3="00000000" w:csb0="00000001" w:csb1="00000000"/>
  </w:font>
  <w:font w:name="AdvPSBEMI">
    <w:panose1 w:val="00000000000000000000"/>
    <w:charset w:val="00"/>
    <w:family w:val="roman"/>
    <w:notTrueType/>
    <w:pitch w:val="default"/>
    <w:sig w:usb0="00000003" w:usb1="00000000" w:usb2="00000000" w:usb3="00000000" w:csb0="00000001" w:csb1="00000000"/>
  </w:font>
  <w:font w:name="AdvPSBEMB">
    <w:panose1 w:val="00000000000000000000"/>
    <w:charset w:val="00"/>
    <w:family w:val="roman"/>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66390"/>
      <w:docPartObj>
        <w:docPartGallery w:val="Page Numbers (Bottom of Page)"/>
        <w:docPartUnique/>
      </w:docPartObj>
    </w:sdtPr>
    <w:sdtEndPr>
      <w:rPr>
        <w:noProof/>
      </w:rPr>
    </w:sdtEndPr>
    <w:sdtContent>
      <w:p w14:paraId="4E19A947" w14:textId="4917FEAE" w:rsidR="00EB603D" w:rsidRDefault="00EB603D">
        <w:pPr>
          <w:pStyle w:val="Footer"/>
          <w:jc w:val="right"/>
        </w:pPr>
        <w:r>
          <w:fldChar w:fldCharType="begin"/>
        </w:r>
        <w:r>
          <w:instrText xml:space="preserve"> PAGE   \* MERGEFORMAT </w:instrText>
        </w:r>
        <w:r>
          <w:fldChar w:fldCharType="separate"/>
        </w:r>
        <w:r w:rsidR="00F2533C">
          <w:rPr>
            <w:noProof/>
          </w:rPr>
          <w:t>21</w:t>
        </w:r>
        <w:r>
          <w:rPr>
            <w:noProof/>
          </w:rPr>
          <w:fldChar w:fldCharType="end"/>
        </w:r>
      </w:p>
    </w:sdtContent>
  </w:sdt>
  <w:p w14:paraId="7DA1B7BD" w14:textId="77777777" w:rsidR="00EB603D" w:rsidRDefault="00EB6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1F6A" w14:textId="77777777" w:rsidR="0008328E" w:rsidRDefault="0008328E" w:rsidP="00250C25">
      <w:pPr>
        <w:spacing w:after="0" w:line="240" w:lineRule="auto"/>
      </w:pPr>
      <w:r>
        <w:separator/>
      </w:r>
    </w:p>
  </w:footnote>
  <w:footnote w:type="continuationSeparator" w:id="0">
    <w:p w14:paraId="274F1493" w14:textId="77777777" w:rsidR="0008328E" w:rsidRDefault="0008328E" w:rsidP="00250C25">
      <w:pPr>
        <w:spacing w:after="0" w:line="240" w:lineRule="auto"/>
      </w:pPr>
      <w:r>
        <w:continuationSeparator/>
      </w:r>
    </w:p>
  </w:footnote>
  <w:footnote w:id="1">
    <w:p w14:paraId="2487DD7D" w14:textId="77777777" w:rsidR="00EB603D" w:rsidRDefault="00EB603D">
      <w:pPr>
        <w:pStyle w:val="FootnoteText"/>
      </w:pPr>
      <w:r>
        <w:rPr>
          <w:rStyle w:val="FootnoteReference"/>
        </w:rPr>
        <w:footnoteRef/>
      </w:r>
      <w:r>
        <w:t xml:space="preserve"> This is a measure based on whether the individual has been diagnosed with clinical depression by a health professional. </w:t>
      </w:r>
    </w:p>
  </w:footnote>
  <w:footnote w:id="2">
    <w:p w14:paraId="0B48BF62" w14:textId="77777777" w:rsidR="00EB603D" w:rsidRPr="003F5191" w:rsidRDefault="00EB603D">
      <w:pPr>
        <w:pStyle w:val="FootnoteText"/>
        <w:rPr>
          <w:sz w:val="16"/>
        </w:rPr>
      </w:pPr>
      <w:r w:rsidRPr="003F5191">
        <w:rPr>
          <w:rStyle w:val="FootnoteReference"/>
        </w:rPr>
        <w:footnoteRef/>
      </w:r>
      <w:r w:rsidRPr="003F5191">
        <w:t xml:space="preserve"> QALY</w:t>
      </w:r>
      <w:r>
        <w:t>s are a</w:t>
      </w:r>
      <w:r>
        <w:rPr>
          <w:rFonts w:cs="Arial"/>
        </w:rPr>
        <w:t xml:space="preserve"> standardised measure of health-</w:t>
      </w:r>
      <w:r w:rsidRPr="003F5191">
        <w:rPr>
          <w:rFonts w:cs="Arial"/>
        </w:rPr>
        <w:t xml:space="preserve">related quality of life used by the National Institute for Care and Health Excellence </w:t>
      </w:r>
      <w:r>
        <w:rPr>
          <w:rFonts w:cs="Arial"/>
        </w:rPr>
        <w:t xml:space="preserve">(NICE) </w:t>
      </w:r>
      <w:r w:rsidRPr="003F5191">
        <w:rPr>
          <w:rFonts w:cs="Arial"/>
        </w:rPr>
        <w:t>and the Department for Health.</w:t>
      </w:r>
      <w:r>
        <w:rPr>
          <w:rFonts w:cs="Arial"/>
        </w:rPr>
        <w:t xml:space="preserve"> </w:t>
      </w:r>
      <w:r w:rsidRPr="003F5191">
        <w:rPr>
          <w:rFonts w:eastAsiaTheme="minorEastAsia" w:cs="Arial"/>
        </w:rPr>
        <w:t xml:space="preserve">The QALY </w:t>
      </w:r>
      <w:r>
        <w:rPr>
          <w:rFonts w:eastAsiaTheme="minorEastAsia" w:cs="Arial"/>
        </w:rPr>
        <w:t xml:space="preserve">uses people’s preferences concerning different health states and </w:t>
      </w:r>
      <w:r w:rsidRPr="003F5191">
        <w:rPr>
          <w:rFonts w:eastAsiaTheme="minorEastAsia" w:cs="Arial"/>
        </w:rPr>
        <w:t xml:space="preserve">is </w:t>
      </w:r>
      <w:r>
        <w:rPr>
          <w:rFonts w:eastAsiaTheme="minorEastAsia" w:cs="Arial"/>
        </w:rPr>
        <w:t xml:space="preserve">a single dimension scale aggregating these responses </w:t>
      </w:r>
      <w:r w:rsidRPr="003F5191">
        <w:rPr>
          <w:rFonts w:eastAsiaTheme="minorEastAsia" w:cs="Arial"/>
        </w:rPr>
        <w:t xml:space="preserve">on </w:t>
      </w:r>
      <w:r>
        <w:rPr>
          <w:rFonts w:eastAsiaTheme="minorEastAsia" w:cs="Arial"/>
        </w:rPr>
        <w:t xml:space="preserve">to </w:t>
      </w:r>
      <w:r w:rsidRPr="003F5191">
        <w:rPr>
          <w:rFonts w:eastAsiaTheme="minorEastAsia" w:cs="Arial"/>
        </w:rPr>
        <w:t xml:space="preserve">a scale of </w:t>
      </w:r>
      <w:r w:rsidRPr="003F5191">
        <w:rPr>
          <w:rFonts w:cs="Calibri"/>
          <w:color w:val="000000"/>
          <w:szCs w:val="24"/>
        </w:rPr>
        <w:t>0 (for dead) to 1 (for full health)</w:t>
      </w:r>
      <w:r>
        <w:rPr>
          <w:rFonts w:cs="Calibri"/>
          <w:color w:val="000000"/>
          <w:szCs w:val="24"/>
        </w:rPr>
        <w:t xml:space="preserve"> for different health conditions. Severe health conditions will be closer to 0 and not so severe conditions will have a QALY value close to 1.</w:t>
      </w:r>
    </w:p>
  </w:footnote>
  <w:footnote w:id="3">
    <w:p w14:paraId="00E2C435" w14:textId="77777777" w:rsidR="00EB603D" w:rsidRDefault="00EB603D">
      <w:pPr>
        <w:pStyle w:val="FootnoteText"/>
      </w:pPr>
      <w:r>
        <w:rPr>
          <w:rStyle w:val="FootnoteReference"/>
        </w:rPr>
        <w:footnoteRef/>
      </w:r>
      <w:r>
        <w:t xml:space="preserve"> The analysis is based on already available data sources rather than primary data collection.</w:t>
      </w:r>
    </w:p>
  </w:footnote>
  <w:footnote w:id="4">
    <w:p w14:paraId="168DE22C" w14:textId="77777777" w:rsidR="00EB603D" w:rsidRDefault="00EB603D">
      <w:pPr>
        <w:pStyle w:val="FootnoteText"/>
      </w:pPr>
      <w:r>
        <w:rPr>
          <w:rStyle w:val="FootnoteReference"/>
        </w:rPr>
        <w:footnoteRef/>
      </w:r>
      <w:r>
        <w:t xml:space="preserve"> These values differ from those estimated in Fujiwara et al. (2014b), which focussed on the individual-level impacts and values only using the Wellbeing Valuation approach. Where individual-level values are picked up in this report, they are for outcomes (individual earnings and QALYs) that are not accounted for in the Wellbeing Valuation study (2014b).</w:t>
      </w:r>
    </w:p>
  </w:footnote>
  <w:footnote w:id="5">
    <w:p w14:paraId="5C2A7F4F" w14:textId="77777777" w:rsidR="00EB603D" w:rsidRDefault="00EB603D">
      <w:pPr>
        <w:pStyle w:val="FootnoteText"/>
      </w:pPr>
      <w:r>
        <w:rPr>
          <w:rStyle w:val="FootnoteReference"/>
        </w:rPr>
        <w:footnoteRef/>
      </w:r>
      <w:r>
        <w:t xml:space="preserve"> Using cross product terms to estimate indirect effects or effect pathways are common in the Path Analysis and Simultaneous Equation Modelling literatures (eg, MacKinnon et al., 2002; Kline, ref; Carey, 1998).</w:t>
      </w:r>
    </w:p>
  </w:footnote>
  <w:footnote w:id="6">
    <w:p w14:paraId="6562F06C" w14:textId="77777777" w:rsidR="00EB603D" w:rsidRDefault="00EB603D" w:rsidP="00473447">
      <w:pPr>
        <w:pStyle w:val="FootnoteText"/>
      </w:pPr>
      <w:r>
        <w:rPr>
          <w:rStyle w:val="FootnoteReference"/>
        </w:rPr>
        <w:footnoteRef/>
      </w:r>
      <w:r>
        <w:t xml:space="preserve"> Devlin et al (2011)</w:t>
      </w:r>
    </w:p>
  </w:footnote>
  <w:footnote w:id="7">
    <w:p w14:paraId="1FAE44FD" w14:textId="77777777" w:rsidR="00EB603D" w:rsidRPr="00992DCD" w:rsidRDefault="00EB603D" w:rsidP="00992DCD">
      <w:pPr>
        <w:spacing w:after="0" w:line="240" w:lineRule="auto"/>
        <w:rPr>
          <w:rFonts w:eastAsia="Times New Roman" w:cs="Times New Roman"/>
          <w:color w:val="000000"/>
          <w:sz w:val="20"/>
          <w:szCs w:val="20"/>
          <w:lang w:eastAsia="en-GB"/>
        </w:rPr>
      </w:pPr>
      <w:r w:rsidRPr="00992DCD">
        <w:rPr>
          <w:rStyle w:val="FootnoteReference"/>
          <w:sz w:val="20"/>
          <w:szCs w:val="20"/>
        </w:rPr>
        <w:footnoteRef/>
      </w:r>
      <w:r w:rsidRPr="00992DCD">
        <w:rPr>
          <w:sz w:val="20"/>
          <w:szCs w:val="20"/>
        </w:rPr>
        <w:t xml:space="preserve"> </w:t>
      </w:r>
      <w:hyperlink r:id="rId1" w:tgtFrame="_blank" w:history="1">
        <w:r w:rsidRPr="00992DCD">
          <w:rPr>
            <w:rFonts w:eastAsia="Times New Roman" w:cs="Times New Roman"/>
            <w:color w:val="0000FF"/>
            <w:sz w:val="20"/>
            <w:szCs w:val="20"/>
            <w:u w:val="single"/>
            <w:lang w:eastAsia="en-GB"/>
          </w:rPr>
          <w:t>http://www.nice.org.uk/niceMedia/pdf/GuidelinesManualChapter8.pdf</w:t>
        </w:r>
      </w:hyperlink>
    </w:p>
    <w:p w14:paraId="7B996B02" w14:textId="77777777" w:rsidR="00EB603D" w:rsidRDefault="00EB603D">
      <w:pPr>
        <w:pStyle w:val="FootnoteText"/>
      </w:pPr>
    </w:p>
  </w:footnote>
  <w:footnote w:id="8">
    <w:p w14:paraId="47AB2868" w14:textId="77777777" w:rsidR="00EB603D" w:rsidRDefault="00EB603D">
      <w:pPr>
        <w:pStyle w:val="FootnoteText"/>
      </w:pPr>
      <w:r>
        <w:rPr>
          <w:rStyle w:val="FootnoteReference"/>
        </w:rPr>
        <w:footnoteRef/>
      </w:r>
      <w:r>
        <w:t xml:space="preserve"> Using cross product terms to estimate indirect effects or effect pathways are common in the Path Analysis and Simultaneous Equation Modelling literatures (eg, MacKinnon et al., 2002; Kline, 1998; Carey, 1998).</w:t>
      </w:r>
    </w:p>
  </w:footnote>
  <w:footnote w:id="9">
    <w:p w14:paraId="0C3A0137" w14:textId="77777777" w:rsidR="00EB603D" w:rsidRPr="008D6895" w:rsidRDefault="00EB603D" w:rsidP="00513F36">
      <w:pPr>
        <w:pStyle w:val="FootnoteText"/>
        <w:rPr>
          <w:rFonts w:ascii="Cambria" w:hAnsi="Cambria"/>
        </w:rPr>
      </w:pPr>
      <w:r>
        <w:rPr>
          <w:rStyle w:val="FootnoteReference"/>
        </w:rPr>
        <w:footnoteRef/>
      </w:r>
      <w:r>
        <w:t xml:space="preserve"> </w:t>
      </w:r>
      <w:r>
        <w:rPr>
          <w:rFonts w:ascii="Cambria" w:hAnsi="Cambria"/>
        </w:rPr>
        <w:t>In all of the regression results tables</w:t>
      </w:r>
      <w:r w:rsidRPr="008D6895">
        <w:rPr>
          <w:rFonts w:ascii="Cambria" w:hAnsi="Cambria"/>
          <w:b/>
        </w:rPr>
        <w:t xml:space="preserve"> </w:t>
      </w:r>
      <w:r>
        <w:rPr>
          <w:rFonts w:ascii="Cambria" w:hAnsi="Cambria"/>
          <w:b/>
        </w:rPr>
        <w:t>c</w:t>
      </w:r>
      <w:r w:rsidRPr="008D6895">
        <w:rPr>
          <w:rFonts w:ascii="Cambria" w:hAnsi="Cambria"/>
          <w:b/>
        </w:rPr>
        <w:t>oefficients</w:t>
      </w:r>
      <w:r w:rsidRPr="008D6895">
        <w:rPr>
          <w:rFonts w:ascii="Cambria" w:hAnsi="Cambria"/>
        </w:rPr>
        <w:t xml:space="preserve"> indicate a positive or negative relationship with </w:t>
      </w:r>
      <w:r>
        <w:rPr>
          <w:rFonts w:ascii="Cambria" w:hAnsi="Cambria"/>
        </w:rPr>
        <w:t xml:space="preserve">the outcome variable in question. The size of the coefficient represents the impact in absolute terms. The </w:t>
      </w:r>
      <w:r w:rsidRPr="008D6895">
        <w:rPr>
          <w:rFonts w:ascii="Cambria" w:hAnsi="Cambria"/>
          <w:b/>
        </w:rPr>
        <w:t>standard error</w:t>
      </w:r>
      <w:r>
        <w:rPr>
          <w:rFonts w:ascii="Cambria" w:hAnsi="Cambria"/>
        </w:rPr>
        <w:t xml:space="preserve"> is a measure of the precision of the coefficient estimate. </w:t>
      </w:r>
      <w:r w:rsidRPr="0021740D">
        <w:rPr>
          <w:rFonts w:ascii="Cambria" w:hAnsi="Cambria"/>
          <w:b/>
        </w:rPr>
        <w:t>Statistical significance</w:t>
      </w:r>
      <w:r>
        <w:rPr>
          <w:rFonts w:ascii="Cambria" w:hAnsi="Cambria"/>
        </w:rPr>
        <w:t xml:space="preserve"> </w:t>
      </w:r>
      <w:r w:rsidRPr="0021740D">
        <w:rPr>
          <w:rFonts w:ascii="Cambria" w:hAnsi="Cambria"/>
        </w:rPr>
        <w:t xml:space="preserve">uses information </w:t>
      </w:r>
      <w:r>
        <w:rPr>
          <w:rFonts w:ascii="Cambria" w:hAnsi="Cambria"/>
        </w:rPr>
        <w:t xml:space="preserve">on </w:t>
      </w:r>
      <w:r w:rsidRPr="0021740D">
        <w:rPr>
          <w:rFonts w:ascii="Cambria" w:hAnsi="Cambria"/>
        </w:rPr>
        <w:t>the</w:t>
      </w:r>
      <w:r>
        <w:rPr>
          <w:rFonts w:ascii="Cambria" w:hAnsi="Cambria"/>
          <w:b/>
        </w:rPr>
        <w:t xml:space="preserve"> </w:t>
      </w:r>
      <w:r w:rsidRPr="0021740D">
        <w:rPr>
          <w:rFonts w:ascii="Cambria" w:hAnsi="Cambria"/>
        </w:rPr>
        <w:t>standard error</w:t>
      </w:r>
      <w:r>
        <w:rPr>
          <w:rFonts w:ascii="Cambria" w:hAnsi="Cambria"/>
        </w:rPr>
        <w:t xml:space="preserve"> to assess whether the observed association between the variable of interest and the outcome variable (as demonstrated by the size of the coefficient) is not just purely down to chance. The significance test assesses the likelihood of observing the reported relationship between the two variables if no relationship actually existed (known as the null hypothesis). The lower the probability, the more confident we are that a relationship actually exists. In the results tables we show when a coefficient has a probability of less than 1%, 5% and 10% of being observed if there were actually no relationship between the variables.     </w:t>
      </w:r>
    </w:p>
    <w:p w14:paraId="284D4FE2" w14:textId="77777777" w:rsidR="00EB603D" w:rsidRDefault="00EB603D">
      <w:pPr>
        <w:pStyle w:val="FootnoteText"/>
      </w:pPr>
    </w:p>
  </w:footnote>
  <w:footnote w:id="10">
    <w:p w14:paraId="38FE4DB8" w14:textId="77777777" w:rsidR="00EB603D" w:rsidRDefault="00EB603D">
      <w:pPr>
        <w:pStyle w:val="FootnoteText"/>
      </w:pPr>
      <w:r>
        <w:rPr>
          <w:rStyle w:val="FootnoteReference"/>
        </w:rPr>
        <w:footnoteRef/>
      </w:r>
      <w:r>
        <w:t xml:space="preserve"> This is calculated from the coefficient on ‘good_health’ in Table 6 at the sample mean values for the other variables in the regression.</w:t>
      </w:r>
    </w:p>
  </w:footnote>
  <w:footnote w:id="11">
    <w:p w14:paraId="0EF863AA" w14:textId="77777777" w:rsidR="00EB603D" w:rsidRDefault="00EB603D">
      <w:pPr>
        <w:pStyle w:val="FootnoteText"/>
      </w:pPr>
      <w:r>
        <w:rPr>
          <w:rStyle w:val="FootnoteReference"/>
        </w:rPr>
        <w:footnoteRef/>
      </w:r>
      <w:r>
        <w:t xml:space="preserve"> This is calculated from the coefficient on ‘good_health’ in Table 7 at the sample mean values for the other variables in the regression.</w:t>
      </w:r>
    </w:p>
  </w:footnote>
  <w:footnote w:id="12">
    <w:p w14:paraId="6A141FBC" w14:textId="77777777" w:rsidR="00EB603D" w:rsidRDefault="00EB603D">
      <w:pPr>
        <w:pStyle w:val="FootnoteText"/>
      </w:pPr>
      <w:r>
        <w:rPr>
          <w:rStyle w:val="FootnoteReference"/>
        </w:rPr>
        <w:footnoteRef/>
      </w:r>
      <w:r>
        <w:t xml:space="preserve"> </w:t>
      </w:r>
      <w:hyperlink r:id="rId2" w:history="1">
        <w:r w:rsidRPr="00EA31AF">
          <w:rPr>
            <w:rStyle w:val="Hyperlink"/>
          </w:rPr>
          <w:t>file:///D:/Consultancy%20work/Arts/DCMS/DCMS2/Results/Unit%20costs%20health.pdf</w:t>
        </w:r>
      </w:hyperlink>
    </w:p>
    <w:p w14:paraId="21126B3B" w14:textId="77777777" w:rsidR="00EB603D" w:rsidRDefault="00EB603D">
      <w:pPr>
        <w:pStyle w:val="FootnoteText"/>
      </w:pPr>
    </w:p>
  </w:footnote>
  <w:footnote w:id="13">
    <w:p w14:paraId="5AA87A8B" w14:textId="77777777" w:rsidR="00EB603D" w:rsidRDefault="00EB603D">
      <w:pPr>
        <w:pStyle w:val="FootnoteText"/>
      </w:pPr>
      <w:r>
        <w:rPr>
          <w:rStyle w:val="FootnoteReference"/>
        </w:rPr>
        <w:footnoteRef/>
      </w:r>
      <w:r>
        <w:t xml:space="preserve"> </w:t>
      </w:r>
      <w:hyperlink r:id="rId3" w:tgtFrame="_blank" w:history="1">
        <w:r w:rsidRPr="00BA55EF">
          <w:rPr>
            <w:rFonts w:eastAsia="Times New Roman" w:cs="Times New Roman"/>
            <w:color w:val="0000FF"/>
            <w:szCs w:val="27"/>
            <w:u w:val="single"/>
            <w:lang w:eastAsia="en-GB"/>
          </w:rPr>
          <w:t>http://www.nice.org.uk/nicemedia/pdf/cg023fullguideline.pdf</w:t>
        </w:r>
      </w:hyperlink>
    </w:p>
  </w:footnote>
  <w:footnote w:id="14">
    <w:p w14:paraId="0C72049C" w14:textId="77777777" w:rsidR="00EB603D" w:rsidRDefault="00EB603D">
      <w:pPr>
        <w:pStyle w:val="FootnoteText"/>
      </w:pPr>
      <w:r>
        <w:rPr>
          <w:rStyle w:val="FootnoteReference"/>
        </w:rPr>
        <w:footnoteRef/>
      </w:r>
      <w:r>
        <w:t xml:space="preserve"> Note that this is a simplifying assumption due to lack of information on what the QALY score is for the non-depression health state in Table 8. The reference case health state is unlikely to be perfect health and so this simplifying assumption leads to a likely overstatement in the QALY impact of sport and culture, hence providing further rationale for the conservative QALY value for depression.</w:t>
      </w:r>
    </w:p>
  </w:footnote>
  <w:footnote w:id="15">
    <w:p w14:paraId="0D278D8C" w14:textId="77777777" w:rsidR="00EB603D" w:rsidRDefault="00EB603D" w:rsidP="004C2171">
      <w:r w:rsidRPr="00DD59A0">
        <w:rPr>
          <w:rStyle w:val="FootnoteReference"/>
          <w:sz w:val="20"/>
          <w:szCs w:val="20"/>
        </w:rPr>
        <w:footnoteRef/>
      </w:r>
      <w:r w:rsidRPr="00DD59A0">
        <w:rPr>
          <w:sz w:val="20"/>
          <w:szCs w:val="20"/>
        </w:rPr>
        <w:t xml:space="preserve"> </w:t>
      </w:r>
      <w:r w:rsidRPr="00DD59A0">
        <w:rPr>
          <w:rFonts w:eastAsia="Times New Roman" w:cstheme="minorHAnsi"/>
          <w:sz w:val="20"/>
          <w:szCs w:val="20"/>
        </w:rPr>
        <w:t>“The Impact of University degrees on the lifecycle of earnings: Some Further Analysis”</w:t>
      </w:r>
      <w:r>
        <w:rPr>
          <w:rFonts w:eastAsia="Times New Roman" w:cstheme="minorHAnsi"/>
          <w:sz w:val="20"/>
          <w:szCs w:val="20"/>
        </w:rPr>
        <w:t xml:space="preserve">. </w:t>
      </w:r>
      <w:hyperlink r:id="rId4" w:history="1">
        <w:r w:rsidRPr="00034A20">
          <w:rPr>
            <w:rStyle w:val="Hyperlink"/>
            <w:rFonts w:eastAsia="Times New Roman" w:cstheme="minorHAnsi"/>
            <w:sz w:val="20"/>
            <w:szCs w:val="20"/>
          </w:rPr>
          <w:t>https://www.gov.uk/government/publications/university-degrees-impact-on-lifecycle-of-earnings</w:t>
        </w:r>
      </w:hyperlink>
      <w:r>
        <w:rPr>
          <w:rFonts w:eastAsia="Times New Roman" w:cstheme="minorHAnsi"/>
          <w:sz w:val="20"/>
          <w:szCs w:val="20"/>
        </w:rPr>
        <w:t xml:space="preserve"> </w:t>
      </w:r>
    </w:p>
  </w:footnote>
  <w:footnote w:id="16">
    <w:p w14:paraId="416DE22A" w14:textId="77777777" w:rsidR="00EB603D" w:rsidRPr="000A2615" w:rsidRDefault="00EB603D">
      <w:pPr>
        <w:pStyle w:val="FootnoteText"/>
      </w:pPr>
      <w:r w:rsidRPr="002A46A7">
        <w:rPr>
          <w:rStyle w:val="FootnoteReference"/>
        </w:rPr>
        <w:footnoteRef/>
      </w:r>
      <w:r w:rsidRPr="002A46A7">
        <w:t xml:space="preserve"> </w:t>
      </w:r>
      <w:r w:rsidRPr="002A46A7">
        <w:rPr>
          <w:rFonts w:eastAsia="Times New Roman" w:cstheme="minorHAnsi"/>
        </w:rPr>
        <w:t>Converted in to GBP at the 2009 12-month average exchange rate</w:t>
      </w:r>
      <w:r>
        <w:rPr>
          <w:rFonts w:eastAsia="Times New Roman" w:cstheme="minorHAnsi"/>
        </w:rPr>
        <w:t xml:space="preserve"> </w:t>
      </w:r>
      <w:r w:rsidRPr="002A46A7">
        <w:rPr>
          <w:rFonts w:eastAsia="Times New Roman" w:cstheme="minorHAnsi"/>
        </w:rPr>
        <w:t>(</w:t>
      </w:r>
      <w:r w:rsidRPr="002A46A7">
        <w:t xml:space="preserve">£1 = $1.5633. Source: </w:t>
      </w:r>
      <w:hyperlink r:id="rId5" w:history="1">
        <w:r w:rsidRPr="00034A20">
          <w:rPr>
            <w:rStyle w:val="Hyperlink"/>
            <w:rFonts w:cstheme="minorHAnsi"/>
          </w:rPr>
          <w:t>http://www.hmrc.gov.uk/exrate/exchangerates-0910.pdf</w:t>
        </w:r>
      </w:hyperlink>
      <w:r w:rsidRPr="000A2615">
        <w:rPr>
          <w:rFonts w:cstheme="minorHAnsi"/>
        </w:rPr>
        <w:t>)</w:t>
      </w:r>
      <w:r>
        <w:rPr>
          <w:rFonts w:cstheme="minorHAnsi"/>
        </w:rPr>
        <w:t xml:space="preserve"> (OECD figures are based on 2009 data).</w:t>
      </w:r>
    </w:p>
  </w:footnote>
  <w:footnote w:id="17">
    <w:p w14:paraId="2F8A48D7" w14:textId="77777777" w:rsidR="00EB603D" w:rsidRDefault="00EB603D">
      <w:pPr>
        <w:pStyle w:val="FootnoteText"/>
      </w:pPr>
      <w:r w:rsidRPr="000A2615">
        <w:rPr>
          <w:rStyle w:val="FootnoteReference"/>
        </w:rPr>
        <w:footnoteRef/>
      </w:r>
      <w:r w:rsidRPr="000A2615">
        <w:t xml:space="preserve"> </w:t>
      </w:r>
      <w:r w:rsidRPr="000A2615">
        <w:rPr>
          <w:rFonts w:eastAsia="Times New Roman" w:cstheme="minorHAnsi"/>
        </w:rPr>
        <w:t>The assumptions made in the calculations are that foregone earnings would be at the minimum wage, that earnings during training are zero and that lifetime earnings are taken as the midpoint at each age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4FF97" w14:textId="77777777" w:rsidR="00EB603D" w:rsidRPr="00EB603D" w:rsidRDefault="00EB603D" w:rsidP="00EB603D">
    <w:pPr>
      <w:pStyle w:val="ACEBodyText"/>
      <w:spacing w:line="240" w:lineRule="auto"/>
      <w:rPr>
        <w:rFonts w:eastAsiaTheme="minorHAnsi"/>
        <w:color w:val="000000"/>
        <w:sz w:val="18"/>
        <w:szCs w:val="18"/>
        <w:lang w:eastAsia="en-US"/>
      </w:rPr>
    </w:pPr>
    <w:r w:rsidRPr="00EB603D">
      <w:rPr>
        <w:sz w:val="18"/>
        <w:szCs w:val="18"/>
      </w:rPr>
      <w:t>Department for Culture, Media &amp; Sport</w:t>
    </w:r>
  </w:p>
  <w:p w14:paraId="302A0137" w14:textId="62FD8FCC" w:rsidR="00EB603D" w:rsidRPr="00EB603D" w:rsidRDefault="00EB603D" w:rsidP="00EB603D">
    <w:pPr>
      <w:pStyle w:val="ACEBodyText"/>
      <w:spacing w:line="240" w:lineRule="auto"/>
      <w:rPr>
        <w:b/>
      </w:rPr>
    </w:pPr>
    <w:r w:rsidRPr="00EB603D">
      <w:rPr>
        <w:rFonts w:eastAsiaTheme="minorHAnsi"/>
        <w:b/>
        <w:color w:val="000000"/>
        <w:sz w:val="18"/>
        <w:szCs w:val="18"/>
        <w:lang w:eastAsia="en-US"/>
      </w:rPr>
      <w:t xml:space="preserve">Further analysis to value the health and educational benefits of sport and culture </w:t>
    </w:r>
  </w:p>
  <w:p w14:paraId="06650A88" w14:textId="20C7E85D" w:rsidR="00EB603D" w:rsidRDefault="00EB6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39"/>
    <w:multiLevelType w:val="hybridMultilevel"/>
    <w:tmpl w:val="8FFAD5A0"/>
    <w:lvl w:ilvl="0" w:tplc="119CE18E">
      <w:start w:val="1"/>
      <w:numFmt w:val="decimal"/>
      <w:lvlText w:val="%1."/>
      <w:lvlJc w:val="left"/>
      <w:pPr>
        <w:ind w:left="720" w:hanging="360"/>
      </w:pPr>
      <w:rPr>
        <w:rFonts w:asciiTheme="minorHAnsi" w:hAnsiTheme="minorHAnsi"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B0F08"/>
    <w:multiLevelType w:val="hybridMultilevel"/>
    <w:tmpl w:val="313C5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B94950"/>
    <w:multiLevelType w:val="hybridMultilevel"/>
    <w:tmpl w:val="AB5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E70"/>
    <w:multiLevelType w:val="hybridMultilevel"/>
    <w:tmpl w:val="C25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0331"/>
    <w:multiLevelType w:val="hybridMultilevel"/>
    <w:tmpl w:val="5DFCF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E1EAF"/>
    <w:multiLevelType w:val="hybridMultilevel"/>
    <w:tmpl w:val="5400EA8A"/>
    <w:lvl w:ilvl="0" w:tplc="6912757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116BC"/>
    <w:multiLevelType w:val="hybridMultilevel"/>
    <w:tmpl w:val="21703230"/>
    <w:lvl w:ilvl="0" w:tplc="55F89D6E">
      <w:numFmt w:val="bullet"/>
      <w:lvlText w:val="-"/>
      <w:lvlJc w:val="left"/>
      <w:pPr>
        <w:ind w:left="1069" w:hanging="360"/>
      </w:pPr>
      <w:rPr>
        <w:rFonts w:ascii="Calibri" w:eastAsiaTheme="minorHAnsi" w:hAnsi="Calibri"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4F04781"/>
    <w:multiLevelType w:val="hybridMultilevel"/>
    <w:tmpl w:val="EB8AA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9AF68D2"/>
    <w:multiLevelType w:val="hybridMultilevel"/>
    <w:tmpl w:val="0342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57F66"/>
    <w:multiLevelType w:val="hybridMultilevel"/>
    <w:tmpl w:val="D5B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42BA6"/>
    <w:multiLevelType w:val="hybridMultilevel"/>
    <w:tmpl w:val="8676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6651F"/>
    <w:multiLevelType w:val="multilevel"/>
    <w:tmpl w:val="E4D698AC"/>
    <w:lvl w:ilvl="0">
      <w:start w:val="1"/>
      <w:numFmt w:val="decimal"/>
      <w:lvlText w:val="%1."/>
      <w:lvlJc w:val="left"/>
      <w:pPr>
        <w:ind w:left="720" w:hanging="360"/>
      </w:pPr>
      <w:rPr>
        <w:rFonts w:asciiTheme="minorHAnsi" w:eastAsiaTheme="minorHAnsi" w:hAnsiTheme="minorHAnsi" w:cstheme="minorBidi"/>
        <w:color w:val="auto"/>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47210"/>
    <w:multiLevelType w:val="hybridMultilevel"/>
    <w:tmpl w:val="A5DA3F98"/>
    <w:lvl w:ilvl="0" w:tplc="03ECE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F2969"/>
    <w:multiLevelType w:val="multilevel"/>
    <w:tmpl w:val="AD820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131C2"/>
    <w:multiLevelType w:val="hybridMultilevel"/>
    <w:tmpl w:val="34308A06"/>
    <w:lvl w:ilvl="0" w:tplc="8BE8E168">
      <w:start w:val="1"/>
      <w:numFmt w:val="decimal"/>
      <w:lvlText w:val="%1."/>
      <w:lvlJc w:val="left"/>
      <w:pPr>
        <w:ind w:left="720" w:hanging="360"/>
      </w:pPr>
      <w:rPr>
        <w:rFonts w:asciiTheme="minorHAnsi" w:hAnsiTheme="minorHAnsi"/>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12E76"/>
    <w:multiLevelType w:val="hybridMultilevel"/>
    <w:tmpl w:val="598A9122"/>
    <w:lvl w:ilvl="0" w:tplc="55F89D6E">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861A9F"/>
    <w:multiLevelType w:val="hybridMultilevel"/>
    <w:tmpl w:val="09F65D6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A40AC"/>
    <w:multiLevelType w:val="multilevel"/>
    <w:tmpl w:val="80D0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A2107"/>
    <w:multiLevelType w:val="hybridMultilevel"/>
    <w:tmpl w:val="A106F5D0"/>
    <w:lvl w:ilvl="0" w:tplc="55F89D6E">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490808"/>
    <w:multiLevelType w:val="hybridMultilevel"/>
    <w:tmpl w:val="74020D7E"/>
    <w:lvl w:ilvl="0" w:tplc="E02692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13EC6"/>
    <w:multiLevelType w:val="hybridMultilevel"/>
    <w:tmpl w:val="5E8E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8579B"/>
    <w:multiLevelType w:val="hybridMultilevel"/>
    <w:tmpl w:val="152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70D57"/>
    <w:multiLevelType w:val="hybridMultilevel"/>
    <w:tmpl w:val="F42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E42DF"/>
    <w:multiLevelType w:val="multilevel"/>
    <w:tmpl w:val="4926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E41213"/>
    <w:multiLevelType w:val="hybridMultilevel"/>
    <w:tmpl w:val="E4D698AC"/>
    <w:lvl w:ilvl="0" w:tplc="92FEB30C">
      <w:start w:val="1"/>
      <w:numFmt w:val="decimal"/>
      <w:lvlText w:val="%1."/>
      <w:lvlJc w:val="left"/>
      <w:pPr>
        <w:ind w:left="720" w:hanging="360"/>
      </w:pPr>
      <w:rPr>
        <w:rFonts w:asciiTheme="minorHAnsi" w:eastAsiaTheme="minorHAnsi" w:hAnsiTheme="minorHAnsi" w:cstheme="minorBidi"/>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76F71"/>
    <w:multiLevelType w:val="hybridMultilevel"/>
    <w:tmpl w:val="9EE06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E693E"/>
    <w:multiLevelType w:val="hybridMultilevel"/>
    <w:tmpl w:val="9B1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952EE"/>
    <w:multiLevelType w:val="hybridMultilevel"/>
    <w:tmpl w:val="98EE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87CDD"/>
    <w:multiLevelType w:val="hybridMultilevel"/>
    <w:tmpl w:val="167281F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9" w15:restartNumberingAfterBreak="0">
    <w:nsid w:val="6CA1330F"/>
    <w:multiLevelType w:val="hybridMultilevel"/>
    <w:tmpl w:val="E908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A12B3"/>
    <w:multiLevelType w:val="hybridMultilevel"/>
    <w:tmpl w:val="BABE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909B5"/>
    <w:multiLevelType w:val="hybridMultilevel"/>
    <w:tmpl w:val="161698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5E7D5B"/>
    <w:multiLevelType w:val="multilevel"/>
    <w:tmpl w:val="D180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601332"/>
    <w:multiLevelType w:val="hybridMultilevel"/>
    <w:tmpl w:val="2994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137F3"/>
    <w:multiLevelType w:val="hybridMultilevel"/>
    <w:tmpl w:val="D60E6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33763"/>
    <w:multiLevelType w:val="hybridMultilevel"/>
    <w:tmpl w:val="1924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5"/>
  </w:num>
  <w:num w:numId="4">
    <w:abstractNumId w:val="14"/>
  </w:num>
  <w:num w:numId="5">
    <w:abstractNumId w:val="24"/>
  </w:num>
  <w:num w:numId="6">
    <w:abstractNumId w:val="11"/>
  </w:num>
  <w:num w:numId="7">
    <w:abstractNumId w:val="0"/>
  </w:num>
  <w:num w:numId="8">
    <w:abstractNumId w:val="33"/>
  </w:num>
  <w:num w:numId="9">
    <w:abstractNumId w:val="12"/>
  </w:num>
  <w:num w:numId="10">
    <w:abstractNumId w:val="3"/>
  </w:num>
  <w:num w:numId="11">
    <w:abstractNumId w:val="31"/>
  </w:num>
  <w:num w:numId="12">
    <w:abstractNumId w:val="4"/>
  </w:num>
  <w:num w:numId="13">
    <w:abstractNumId w:val="8"/>
  </w:num>
  <w:num w:numId="14">
    <w:abstractNumId w:val="7"/>
  </w:num>
  <w:num w:numId="15">
    <w:abstractNumId w:val="28"/>
  </w:num>
  <w:num w:numId="16">
    <w:abstractNumId w:val="27"/>
  </w:num>
  <w:num w:numId="17">
    <w:abstractNumId w:val="20"/>
  </w:num>
  <w:num w:numId="18">
    <w:abstractNumId w:val="21"/>
  </w:num>
  <w:num w:numId="19">
    <w:abstractNumId w:val="26"/>
  </w:num>
  <w:num w:numId="20">
    <w:abstractNumId w:val="30"/>
  </w:num>
  <w:num w:numId="21">
    <w:abstractNumId w:val="2"/>
  </w:num>
  <w:num w:numId="22">
    <w:abstractNumId w:val="9"/>
  </w:num>
  <w:num w:numId="23">
    <w:abstractNumId w:val="29"/>
  </w:num>
  <w:num w:numId="24">
    <w:abstractNumId w:val="22"/>
  </w:num>
  <w:num w:numId="25">
    <w:abstractNumId w:val="5"/>
  </w:num>
  <w:num w:numId="26">
    <w:abstractNumId w:val="1"/>
  </w:num>
  <w:num w:numId="27">
    <w:abstractNumId w:val="6"/>
  </w:num>
  <w:num w:numId="28">
    <w:abstractNumId w:val="15"/>
  </w:num>
  <w:num w:numId="29">
    <w:abstractNumId w:val="18"/>
  </w:num>
  <w:num w:numId="30">
    <w:abstractNumId w:val="17"/>
  </w:num>
  <w:num w:numId="31">
    <w:abstractNumId w:val="23"/>
  </w:num>
  <w:num w:numId="32">
    <w:abstractNumId w:val="13"/>
  </w:num>
  <w:num w:numId="33">
    <w:abstractNumId w:val="32"/>
  </w:num>
  <w:num w:numId="34">
    <w:abstractNumId w:val="16"/>
  </w:num>
  <w:num w:numId="35">
    <w:abstractNumId w:val="3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vvrfwv22z0p8e29at5f2r8a9vxsa59spv0&quot;&gt;SWB&lt;record-ids&gt;&lt;item&gt;519&lt;/item&gt;&lt;item&gt;615&lt;/item&gt;&lt;item&gt;638&lt;/item&gt;&lt;item&gt;644&lt;/item&gt;&lt;item&gt;645&lt;/item&gt;&lt;item&gt;646&lt;/item&gt;&lt;/record-ids&gt;&lt;/item&gt;&lt;/Libraries&gt;"/>
  </w:docVars>
  <w:rsids>
    <w:rsidRoot w:val="00C4529F"/>
    <w:rsid w:val="00000600"/>
    <w:rsid w:val="0000346B"/>
    <w:rsid w:val="00003AF8"/>
    <w:rsid w:val="00004A19"/>
    <w:rsid w:val="000058DE"/>
    <w:rsid w:val="00005CF4"/>
    <w:rsid w:val="00007DF9"/>
    <w:rsid w:val="00012D19"/>
    <w:rsid w:val="00013FF5"/>
    <w:rsid w:val="000141BA"/>
    <w:rsid w:val="00016EE8"/>
    <w:rsid w:val="00020166"/>
    <w:rsid w:val="00020D7D"/>
    <w:rsid w:val="0002234A"/>
    <w:rsid w:val="000278E8"/>
    <w:rsid w:val="00027BA8"/>
    <w:rsid w:val="0003132C"/>
    <w:rsid w:val="000331C5"/>
    <w:rsid w:val="00034ED1"/>
    <w:rsid w:val="00036770"/>
    <w:rsid w:val="00036DF5"/>
    <w:rsid w:val="00037C99"/>
    <w:rsid w:val="00037EE6"/>
    <w:rsid w:val="00040904"/>
    <w:rsid w:val="000424B2"/>
    <w:rsid w:val="0005059A"/>
    <w:rsid w:val="0005134A"/>
    <w:rsid w:val="00053C51"/>
    <w:rsid w:val="00055ED2"/>
    <w:rsid w:val="0005656A"/>
    <w:rsid w:val="00057407"/>
    <w:rsid w:val="00060146"/>
    <w:rsid w:val="00060192"/>
    <w:rsid w:val="00062F4B"/>
    <w:rsid w:val="00063A28"/>
    <w:rsid w:val="00065D3C"/>
    <w:rsid w:val="00066D5F"/>
    <w:rsid w:val="0007198E"/>
    <w:rsid w:val="00072F6A"/>
    <w:rsid w:val="0007598E"/>
    <w:rsid w:val="00076627"/>
    <w:rsid w:val="0008129F"/>
    <w:rsid w:val="0008328E"/>
    <w:rsid w:val="00084386"/>
    <w:rsid w:val="00084E10"/>
    <w:rsid w:val="00086AB0"/>
    <w:rsid w:val="00086FB0"/>
    <w:rsid w:val="00090D60"/>
    <w:rsid w:val="00093A83"/>
    <w:rsid w:val="000A2615"/>
    <w:rsid w:val="000A307A"/>
    <w:rsid w:val="000A601A"/>
    <w:rsid w:val="000A6536"/>
    <w:rsid w:val="000B086B"/>
    <w:rsid w:val="000B2883"/>
    <w:rsid w:val="000B2C1C"/>
    <w:rsid w:val="000B394A"/>
    <w:rsid w:val="000C43B7"/>
    <w:rsid w:val="000C45F1"/>
    <w:rsid w:val="000C611F"/>
    <w:rsid w:val="000D564A"/>
    <w:rsid w:val="000D5D83"/>
    <w:rsid w:val="000D6505"/>
    <w:rsid w:val="000E3370"/>
    <w:rsid w:val="000E543F"/>
    <w:rsid w:val="000E5A6C"/>
    <w:rsid w:val="000F22D2"/>
    <w:rsid w:val="000F4A05"/>
    <w:rsid w:val="000F6A6B"/>
    <w:rsid w:val="000F797A"/>
    <w:rsid w:val="00101075"/>
    <w:rsid w:val="00101D78"/>
    <w:rsid w:val="00103F65"/>
    <w:rsid w:val="00106852"/>
    <w:rsid w:val="00111BFF"/>
    <w:rsid w:val="00114AAB"/>
    <w:rsid w:val="00115903"/>
    <w:rsid w:val="001160AC"/>
    <w:rsid w:val="0012189B"/>
    <w:rsid w:val="00124309"/>
    <w:rsid w:val="001243B5"/>
    <w:rsid w:val="0012748B"/>
    <w:rsid w:val="00130F2E"/>
    <w:rsid w:val="00133671"/>
    <w:rsid w:val="0013481B"/>
    <w:rsid w:val="00143A87"/>
    <w:rsid w:val="00143AB0"/>
    <w:rsid w:val="00144C66"/>
    <w:rsid w:val="00146FD0"/>
    <w:rsid w:val="00147894"/>
    <w:rsid w:val="0015003C"/>
    <w:rsid w:val="00150849"/>
    <w:rsid w:val="00150DB5"/>
    <w:rsid w:val="00152D45"/>
    <w:rsid w:val="001548C7"/>
    <w:rsid w:val="0015758C"/>
    <w:rsid w:val="00157DC7"/>
    <w:rsid w:val="00160626"/>
    <w:rsid w:val="00160B31"/>
    <w:rsid w:val="00161FA9"/>
    <w:rsid w:val="00164E04"/>
    <w:rsid w:val="001657DF"/>
    <w:rsid w:val="00166DE2"/>
    <w:rsid w:val="00173A3C"/>
    <w:rsid w:val="00173D7A"/>
    <w:rsid w:val="0017517A"/>
    <w:rsid w:val="001756BB"/>
    <w:rsid w:val="0018782E"/>
    <w:rsid w:val="00190CD6"/>
    <w:rsid w:val="00190DE5"/>
    <w:rsid w:val="00190F92"/>
    <w:rsid w:val="0019239E"/>
    <w:rsid w:val="001946C5"/>
    <w:rsid w:val="00197151"/>
    <w:rsid w:val="001A1E67"/>
    <w:rsid w:val="001A231F"/>
    <w:rsid w:val="001A436B"/>
    <w:rsid w:val="001A47E3"/>
    <w:rsid w:val="001A5393"/>
    <w:rsid w:val="001B46B5"/>
    <w:rsid w:val="001B49BF"/>
    <w:rsid w:val="001B4A53"/>
    <w:rsid w:val="001B60D2"/>
    <w:rsid w:val="001B6592"/>
    <w:rsid w:val="001B69DC"/>
    <w:rsid w:val="001C3F0F"/>
    <w:rsid w:val="001C3F2D"/>
    <w:rsid w:val="001C6061"/>
    <w:rsid w:val="001C7E5E"/>
    <w:rsid w:val="001D1535"/>
    <w:rsid w:val="001D276F"/>
    <w:rsid w:val="001D2944"/>
    <w:rsid w:val="001D2973"/>
    <w:rsid w:val="001D5D14"/>
    <w:rsid w:val="001D671F"/>
    <w:rsid w:val="001E00D6"/>
    <w:rsid w:val="001E257F"/>
    <w:rsid w:val="001E34C0"/>
    <w:rsid w:val="001E4C17"/>
    <w:rsid w:val="001E7442"/>
    <w:rsid w:val="001F0603"/>
    <w:rsid w:val="001F0DCD"/>
    <w:rsid w:val="001F4DF4"/>
    <w:rsid w:val="00200694"/>
    <w:rsid w:val="00201591"/>
    <w:rsid w:val="002020CE"/>
    <w:rsid w:val="0020249B"/>
    <w:rsid w:val="0020363F"/>
    <w:rsid w:val="0020465A"/>
    <w:rsid w:val="00207322"/>
    <w:rsid w:val="00211C08"/>
    <w:rsid w:val="00224358"/>
    <w:rsid w:val="00224564"/>
    <w:rsid w:val="00224980"/>
    <w:rsid w:val="00225EF4"/>
    <w:rsid w:val="00236AE6"/>
    <w:rsid w:val="00240B87"/>
    <w:rsid w:val="0024369A"/>
    <w:rsid w:val="002450A6"/>
    <w:rsid w:val="00246934"/>
    <w:rsid w:val="00247842"/>
    <w:rsid w:val="00250C25"/>
    <w:rsid w:val="00260524"/>
    <w:rsid w:val="00262406"/>
    <w:rsid w:val="00272DBF"/>
    <w:rsid w:val="00276D43"/>
    <w:rsid w:val="002857A1"/>
    <w:rsid w:val="0028610C"/>
    <w:rsid w:val="00286987"/>
    <w:rsid w:val="00286BBB"/>
    <w:rsid w:val="00290537"/>
    <w:rsid w:val="002905E6"/>
    <w:rsid w:val="00291EC6"/>
    <w:rsid w:val="002A20DB"/>
    <w:rsid w:val="002A3A6E"/>
    <w:rsid w:val="002A46A7"/>
    <w:rsid w:val="002A5871"/>
    <w:rsid w:val="002A6CDB"/>
    <w:rsid w:val="002A7020"/>
    <w:rsid w:val="002B41EF"/>
    <w:rsid w:val="002C3211"/>
    <w:rsid w:val="002C5150"/>
    <w:rsid w:val="002C763B"/>
    <w:rsid w:val="002D2A34"/>
    <w:rsid w:val="002D76A2"/>
    <w:rsid w:val="002E0F90"/>
    <w:rsid w:val="002E2AF1"/>
    <w:rsid w:val="002E42A6"/>
    <w:rsid w:val="002E4A84"/>
    <w:rsid w:val="002E7E4B"/>
    <w:rsid w:val="002F202E"/>
    <w:rsid w:val="002F2359"/>
    <w:rsid w:val="002F4883"/>
    <w:rsid w:val="002F7801"/>
    <w:rsid w:val="00300DA9"/>
    <w:rsid w:val="0030555F"/>
    <w:rsid w:val="003143AD"/>
    <w:rsid w:val="00315A0F"/>
    <w:rsid w:val="0032147A"/>
    <w:rsid w:val="003248C5"/>
    <w:rsid w:val="00325C8A"/>
    <w:rsid w:val="00327426"/>
    <w:rsid w:val="00327B17"/>
    <w:rsid w:val="003316EF"/>
    <w:rsid w:val="00333CD6"/>
    <w:rsid w:val="00340C1E"/>
    <w:rsid w:val="00341F87"/>
    <w:rsid w:val="003462D4"/>
    <w:rsid w:val="00347A8E"/>
    <w:rsid w:val="00354594"/>
    <w:rsid w:val="00360214"/>
    <w:rsid w:val="00360ED7"/>
    <w:rsid w:val="00361132"/>
    <w:rsid w:val="00361B83"/>
    <w:rsid w:val="00367570"/>
    <w:rsid w:val="00372A39"/>
    <w:rsid w:val="00373F14"/>
    <w:rsid w:val="003766B0"/>
    <w:rsid w:val="00376797"/>
    <w:rsid w:val="00376947"/>
    <w:rsid w:val="00377D21"/>
    <w:rsid w:val="00377F02"/>
    <w:rsid w:val="0038142B"/>
    <w:rsid w:val="003849AE"/>
    <w:rsid w:val="00387411"/>
    <w:rsid w:val="003A123A"/>
    <w:rsid w:val="003B07BB"/>
    <w:rsid w:val="003B1137"/>
    <w:rsid w:val="003B1829"/>
    <w:rsid w:val="003B2099"/>
    <w:rsid w:val="003B293F"/>
    <w:rsid w:val="003B2CA5"/>
    <w:rsid w:val="003C0578"/>
    <w:rsid w:val="003C3EA1"/>
    <w:rsid w:val="003C553C"/>
    <w:rsid w:val="003C623A"/>
    <w:rsid w:val="003C78D7"/>
    <w:rsid w:val="003D117C"/>
    <w:rsid w:val="003D2C4D"/>
    <w:rsid w:val="003D4ACB"/>
    <w:rsid w:val="003D5D2B"/>
    <w:rsid w:val="003E0D38"/>
    <w:rsid w:val="003E23CA"/>
    <w:rsid w:val="003F31F7"/>
    <w:rsid w:val="003F5191"/>
    <w:rsid w:val="003F7FCC"/>
    <w:rsid w:val="0040179A"/>
    <w:rsid w:val="00407137"/>
    <w:rsid w:val="00411ED2"/>
    <w:rsid w:val="004120B5"/>
    <w:rsid w:val="0041328F"/>
    <w:rsid w:val="00413941"/>
    <w:rsid w:val="00417DEA"/>
    <w:rsid w:val="0042075D"/>
    <w:rsid w:val="00420985"/>
    <w:rsid w:val="004305CC"/>
    <w:rsid w:val="00433822"/>
    <w:rsid w:val="004346A6"/>
    <w:rsid w:val="004371A8"/>
    <w:rsid w:val="00437AD5"/>
    <w:rsid w:val="0044078D"/>
    <w:rsid w:val="00442174"/>
    <w:rsid w:val="00446C26"/>
    <w:rsid w:val="00450D36"/>
    <w:rsid w:val="00451DD4"/>
    <w:rsid w:val="004538CD"/>
    <w:rsid w:val="00456380"/>
    <w:rsid w:val="00462133"/>
    <w:rsid w:val="00463E0B"/>
    <w:rsid w:val="00466429"/>
    <w:rsid w:val="00473447"/>
    <w:rsid w:val="00476D05"/>
    <w:rsid w:val="004817EA"/>
    <w:rsid w:val="0048618C"/>
    <w:rsid w:val="004919CC"/>
    <w:rsid w:val="0049419D"/>
    <w:rsid w:val="0049683C"/>
    <w:rsid w:val="004A3108"/>
    <w:rsid w:val="004A439E"/>
    <w:rsid w:val="004A4997"/>
    <w:rsid w:val="004A55AF"/>
    <w:rsid w:val="004A60E8"/>
    <w:rsid w:val="004B091E"/>
    <w:rsid w:val="004B5B04"/>
    <w:rsid w:val="004B60CF"/>
    <w:rsid w:val="004C1817"/>
    <w:rsid w:val="004C2171"/>
    <w:rsid w:val="004C28D1"/>
    <w:rsid w:val="004D28B1"/>
    <w:rsid w:val="004D4A7D"/>
    <w:rsid w:val="004D4D7E"/>
    <w:rsid w:val="004D6452"/>
    <w:rsid w:val="004D709E"/>
    <w:rsid w:val="004E0263"/>
    <w:rsid w:val="004E1758"/>
    <w:rsid w:val="004E46EF"/>
    <w:rsid w:val="004E4AE9"/>
    <w:rsid w:val="004E5AF4"/>
    <w:rsid w:val="004E6AA6"/>
    <w:rsid w:val="004E7E87"/>
    <w:rsid w:val="004F0433"/>
    <w:rsid w:val="004F6C5F"/>
    <w:rsid w:val="004F7A97"/>
    <w:rsid w:val="005007B2"/>
    <w:rsid w:val="00502249"/>
    <w:rsid w:val="00507347"/>
    <w:rsid w:val="005075CE"/>
    <w:rsid w:val="00513F36"/>
    <w:rsid w:val="00515EE7"/>
    <w:rsid w:val="00515EEB"/>
    <w:rsid w:val="00524AD3"/>
    <w:rsid w:val="00525494"/>
    <w:rsid w:val="005255E7"/>
    <w:rsid w:val="00527154"/>
    <w:rsid w:val="0053110B"/>
    <w:rsid w:val="00532426"/>
    <w:rsid w:val="00532600"/>
    <w:rsid w:val="00532A47"/>
    <w:rsid w:val="0054326B"/>
    <w:rsid w:val="00546EDD"/>
    <w:rsid w:val="00547911"/>
    <w:rsid w:val="00551B43"/>
    <w:rsid w:val="0055337B"/>
    <w:rsid w:val="00554510"/>
    <w:rsid w:val="00554AA9"/>
    <w:rsid w:val="00556752"/>
    <w:rsid w:val="0055763C"/>
    <w:rsid w:val="0056060D"/>
    <w:rsid w:val="0056308F"/>
    <w:rsid w:val="00566024"/>
    <w:rsid w:val="005725B5"/>
    <w:rsid w:val="005727B5"/>
    <w:rsid w:val="00576F9E"/>
    <w:rsid w:val="00580D6E"/>
    <w:rsid w:val="005829A1"/>
    <w:rsid w:val="00582E4A"/>
    <w:rsid w:val="005865BD"/>
    <w:rsid w:val="005865EF"/>
    <w:rsid w:val="00587884"/>
    <w:rsid w:val="005904E0"/>
    <w:rsid w:val="00590742"/>
    <w:rsid w:val="005917F3"/>
    <w:rsid w:val="0059182A"/>
    <w:rsid w:val="0059196D"/>
    <w:rsid w:val="005976BE"/>
    <w:rsid w:val="005A095F"/>
    <w:rsid w:val="005A0C3A"/>
    <w:rsid w:val="005A2A90"/>
    <w:rsid w:val="005A5E25"/>
    <w:rsid w:val="005B39DF"/>
    <w:rsid w:val="005B4539"/>
    <w:rsid w:val="005B4AEA"/>
    <w:rsid w:val="005B4B58"/>
    <w:rsid w:val="005C0543"/>
    <w:rsid w:val="005C23FB"/>
    <w:rsid w:val="005C273A"/>
    <w:rsid w:val="005C27A0"/>
    <w:rsid w:val="005C2BA7"/>
    <w:rsid w:val="005C6A26"/>
    <w:rsid w:val="005D686A"/>
    <w:rsid w:val="005E360C"/>
    <w:rsid w:val="005E7EAB"/>
    <w:rsid w:val="005F0F88"/>
    <w:rsid w:val="005F141A"/>
    <w:rsid w:val="005F2B68"/>
    <w:rsid w:val="00607B76"/>
    <w:rsid w:val="006158C7"/>
    <w:rsid w:val="00616698"/>
    <w:rsid w:val="0062009D"/>
    <w:rsid w:val="00620C70"/>
    <w:rsid w:val="00624B74"/>
    <w:rsid w:val="00624D06"/>
    <w:rsid w:val="00630203"/>
    <w:rsid w:val="00634B9C"/>
    <w:rsid w:val="00642DB1"/>
    <w:rsid w:val="00645347"/>
    <w:rsid w:val="006468C2"/>
    <w:rsid w:val="00653063"/>
    <w:rsid w:val="00661BB9"/>
    <w:rsid w:val="006661E8"/>
    <w:rsid w:val="0066626A"/>
    <w:rsid w:val="00673390"/>
    <w:rsid w:val="00682416"/>
    <w:rsid w:val="00682A56"/>
    <w:rsid w:val="00684091"/>
    <w:rsid w:val="00686F3C"/>
    <w:rsid w:val="00691E22"/>
    <w:rsid w:val="0069508C"/>
    <w:rsid w:val="006A4245"/>
    <w:rsid w:val="006A549C"/>
    <w:rsid w:val="006B6B14"/>
    <w:rsid w:val="006B7551"/>
    <w:rsid w:val="006C46D9"/>
    <w:rsid w:val="006D0B2B"/>
    <w:rsid w:val="006D1B52"/>
    <w:rsid w:val="006D2627"/>
    <w:rsid w:val="006D30CA"/>
    <w:rsid w:val="006D45AF"/>
    <w:rsid w:val="006D7323"/>
    <w:rsid w:val="006E01C2"/>
    <w:rsid w:val="006E08C6"/>
    <w:rsid w:val="006E5AD9"/>
    <w:rsid w:val="006E74B7"/>
    <w:rsid w:val="006F2A57"/>
    <w:rsid w:val="006F3A27"/>
    <w:rsid w:val="006F4BCD"/>
    <w:rsid w:val="006F4FE1"/>
    <w:rsid w:val="00702457"/>
    <w:rsid w:val="00711728"/>
    <w:rsid w:val="00723DBA"/>
    <w:rsid w:val="00725045"/>
    <w:rsid w:val="007317FF"/>
    <w:rsid w:val="007328A9"/>
    <w:rsid w:val="0073446E"/>
    <w:rsid w:val="0073639A"/>
    <w:rsid w:val="00737721"/>
    <w:rsid w:val="007442B2"/>
    <w:rsid w:val="007449C5"/>
    <w:rsid w:val="007455D6"/>
    <w:rsid w:val="00747E51"/>
    <w:rsid w:val="00757803"/>
    <w:rsid w:val="00760B7E"/>
    <w:rsid w:val="0076420B"/>
    <w:rsid w:val="00764D5B"/>
    <w:rsid w:val="0077239F"/>
    <w:rsid w:val="00780AC1"/>
    <w:rsid w:val="0078125B"/>
    <w:rsid w:val="00781AAF"/>
    <w:rsid w:val="00781F5F"/>
    <w:rsid w:val="00782D59"/>
    <w:rsid w:val="00783CFC"/>
    <w:rsid w:val="00784A2F"/>
    <w:rsid w:val="0078554E"/>
    <w:rsid w:val="00792308"/>
    <w:rsid w:val="007963C5"/>
    <w:rsid w:val="00796EBC"/>
    <w:rsid w:val="007A3860"/>
    <w:rsid w:val="007A4720"/>
    <w:rsid w:val="007A4A3C"/>
    <w:rsid w:val="007A7451"/>
    <w:rsid w:val="007B2A09"/>
    <w:rsid w:val="007C2A17"/>
    <w:rsid w:val="007C70D3"/>
    <w:rsid w:val="007C7332"/>
    <w:rsid w:val="007D2BAD"/>
    <w:rsid w:val="007D2BBE"/>
    <w:rsid w:val="007D6734"/>
    <w:rsid w:val="007E1FC1"/>
    <w:rsid w:val="007E3C3E"/>
    <w:rsid w:val="007E55C5"/>
    <w:rsid w:val="007E5ED7"/>
    <w:rsid w:val="007E604F"/>
    <w:rsid w:val="007E7095"/>
    <w:rsid w:val="007F0E8C"/>
    <w:rsid w:val="007F15F6"/>
    <w:rsid w:val="007F1AE3"/>
    <w:rsid w:val="007F6610"/>
    <w:rsid w:val="00800D79"/>
    <w:rsid w:val="008035CE"/>
    <w:rsid w:val="008035E5"/>
    <w:rsid w:val="008039B0"/>
    <w:rsid w:val="008106CA"/>
    <w:rsid w:val="00811226"/>
    <w:rsid w:val="0081280B"/>
    <w:rsid w:val="0081298F"/>
    <w:rsid w:val="00813C99"/>
    <w:rsid w:val="00813CB6"/>
    <w:rsid w:val="00817546"/>
    <w:rsid w:val="00821281"/>
    <w:rsid w:val="00824220"/>
    <w:rsid w:val="00835B14"/>
    <w:rsid w:val="008402F1"/>
    <w:rsid w:val="008431B2"/>
    <w:rsid w:val="00845BB0"/>
    <w:rsid w:val="00851437"/>
    <w:rsid w:val="008527D8"/>
    <w:rsid w:val="0085294E"/>
    <w:rsid w:val="00860F46"/>
    <w:rsid w:val="0086256C"/>
    <w:rsid w:val="00864676"/>
    <w:rsid w:val="00865BAF"/>
    <w:rsid w:val="00870A90"/>
    <w:rsid w:val="00872055"/>
    <w:rsid w:val="00877CFB"/>
    <w:rsid w:val="008838FD"/>
    <w:rsid w:val="00885BD9"/>
    <w:rsid w:val="00887818"/>
    <w:rsid w:val="0089230A"/>
    <w:rsid w:val="008923FD"/>
    <w:rsid w:val="008951AF"/>
    <w:rsid w:val="00895432"/>
    <w:rsid w:val="0089740B"/>
    <w:rsid w:val="008A1127"/>
    <w:rsid w:val="008A3553"/>
    <w:rsid w:val="008A6CC6"/>
    <w:rsid w:val="008A7869"/>
    <w:rsid w:val="008B3FE0"/>
    <w:rsid w:val="008B4364"/>
    <w:rsid w:val="008B7062"/>
    <w:rsid w:val="008C04BC"/>
    <w:rsid w:val="008C3C8C"/>
    <w:rsid w:val="008C4FA9"/>
    <w:rsid w:val="008D4A70"/>
    <w:rsid w:val="008E41F9"/>
    <w:rsid w:val="008F03DC"/>
    <w:rsid w:val="008F2485"/>
    <w:rsid w:val="008F43F6"/>
    <w:rsid w:val="008F73EB"/>
    <w:rsid w:val="008F7EE5"/>
    <w:rsid w:val="0090414F"/>
    <w:rsid w:val="009065A1"/>
    <w:rsid w:val="009113FE"/>
    <w:rsid w:val="009129EA"/>
    <w:rsid w:val="00913943"/>
    <w:rsid w:val="00914D25"/>
    <w:rsid w:val="009152DD"/>
    <w:rsid w:val="0091664B"/>
    <w:rsid w:val="00920004"/>
    <w:rsid w:val="00920077"/>
    <w:rsid w:val="009205CC"/>
    <w:rsid w:val="0092238E"/>
    <w:rsid w:val="00924F80"/>
    <w:rsid w:val="00930288"/>
    <w:rsid w:val="00935515"/>
    <w:rsid w:val="00935920"/>
    <w:rsid w:val="0094017D"/>
    <w:rsid w:val="00952A8B"/>
    <w:rsid w:val="0095327A"/>
    <w:rsid w:val="00960E4C"/>
    <w:rsid w:val="00961972"/>
    <w:rsid w:val="00966843"/>
    <w:rsid w:val="00966B2F"/>
    <w:rsid w:val="0096731E"/>
    <w:rsid w:val="00967EDA"/>
    <w:rsid w:val="00971881"/>
    <w:rsid w:val="00976357"/>
    <w:rsid w:val="00982624"/>
    <w:rsid w:val="00982696"/>
    <w:rsid w:val="00986705"/>
    <w:rsid w:val="00987562"/>
    <w:rsid w:val="009879DD"/>
    <w:rsid w:val="00990405"/>
    <w:rsid w:val="00992DCD"/>
    <w:rsid w:val="00995585"/>
    <w:rsid w:val="009960BA"/>
    <w:rsid w:val="00996404"/>
    <w:rsid w:val="00997801"/>
    <w:rsid w:val="009A09DB"/>
    <w:rsid w:val="009A62A9"/>
    <w:rsid w:val="009A7891"/>
    <w:rsid w:val="009B3A31"/>
    <w:rsid w:val="009B71D2"/>
    <w:rsid w:val="009C2812"/>
    <w:rsid w:val="009C4D7B"/>
    <w:rsid w:val="009C5BDC"/>
    <w:rsid w:val="009C5F91"/>
    <w:rsid w:val="009C66FC"/>
    <w:rsid w:val="009E3924"/>
    <w:rsid w:val="009E440D"/>
    <w:rsid w:val="009E45DD"/>
    <w:rsid w:val="009E6261"/>
    <w:rsid w:val="009E63FC"/>
    <w:rsid w:val="009F077E"/>
    <w:rsid w:val="009F0F7A"/>
    <w:rsid w:val="009F1903"/>
    <w:rsid w:val="009F3C20"/>
    <w:rsid w:val="00A0162F"/>
    <w:rsid w:val="00A02B68"/>
    <w:rsid w:val="00A07332"/>
    <w:rsid w:val="00A07DF7"/>
    <w:rsid w:val="00A11127"/>
    <w:rsid w:val="00A13AB4"/>
    <w:rsid w:val="00A201E2"/>
    <w:rsid w:val="00A241C7"/>
    <w:rsid w:val="00A24499"/>
    <w:rsid w:val="00A2566F"/>
    <w:rsid w:val="00A25D58"/>
    <w:rsid w:val="00A26371"/>
    <w:rsid w:val="00A2681C"/>
    <w:rsid w:val="00A30442"/>
    <w:rsid w:val="00A33D5A"/>
    <w:rsid w:val="00A33F5D"/>
    <w:rsid w:val="00A416BC"/>
    <w:rsid w:val="00A41B2E"/>
    <w:rsid w:val="00A44348"/>
    <w:rsid w:val="00A453E8"/>
    <w:rsid w:val="00A45BA0"/>
    <w:rsid w:val="00A46862"/>
    <w:rsid w:val="00A5097A"/>
    <w:rsid w:val="00A5195E"/>
    <w:rsid w:val="00A6083C"/>
    <w:rsid w:val="00A61E74"/>
    <w:rsid w:val="00A63B41"/>
    <w:rsid w:val="00A65E4E"/>
    <w:rsid w:val="00A670FC"/>
    <w:rsid w:val="00A7203E"/>
    <w:rsid w:val="00A728CB"/>
    <w:rsid w:val="00A74CE5"/>
    <w:rsid w:val="00A7568D"/>
    <w:rsid w:val="00A76559"/>
    <w:rsid w:val="00A81FE4"/>
    <w:rsid w:val="00A82C3E"/>
    <w:rsid w:val="00A839F6"/>
    <w:rsid w:val="00A86E8D"/>
    <w:rsid w:val="00A91606"/>
    <w:rsid w:val="00A937DE"/>
    <w:rsid w:val="00AA35EA"/>
    <w:rsid w:val="00AA42FB"/>
    <w:rsid w:val="00AC17CC"/>
    <w:rsid w:val="00AC34F6"/>
    <w:rsid w:val="00AC3C50"/>
    <w:rsid w:val="00AC4F72"/>
    <w:rsid w:val="00AD110C"/>
    <w:rsid w:val="00AD1A74"/>
    <w:rsid w:val="00AE51A6"/>
    <w:rsid w:val="00AE5497"/>
    <w:rsid w:val="00AE7515"/>
    <w:rsid w:val="00AF0659"/>
    <w:rsid w:val="00AF0CFB"/>
    <w:rsid w:val="00AF1642"/>
    <w:rsid w:val="00AF2AB4"/>
    <w:rsid w:val="00B001E0"/>
    <w:rsid w:val="00B01F7B"/>
    <w:rsid w:val="00B05355"/>
    <w:rsid w:val="00B07BCF"/>
    <w:rsid w:val="00B1006E"/>
    <w:rsid w:val="00B13575"/>
    <w:rsid w:val="00B15F44"/>
    <w:rsid w:val="00B16DBE"/>
    <w:rsid w:val="00B17245"/>
    <w:rsid w:val="00B20B35"/>
    <w:rsid w:val="00B23894"/>
    <w:rsid w:val="00B310D2"/>
    <w:rsid w:val="00B31C5D"/>
    <w:rsid w:val="00B32BC6"/>
    <w:rsid w:val="00B33794"/>
    <w:rsid w:val="00B36B11"/>
    <w:rsid w:val="00B44EA6"/>
    <w:rsid w:val="00B467ED"/>
    <w:rsid w:val="00B47394"/>
    <w:rsid w:val="00B4759F"/>
    <w:rsid w:val="00B47C0E"/>
    <w:rsid w:val="00B5176F"/>
    <w:rsid w:val="00B51858"/>
    <w:rsid w:val="00B55A4C"/>
    <w:rsid w:val="00B62370"/>
    <w:rsid w:val="00B62A81"/>
    <w:rsid w:val="00B635EB"/>
    <w:rsid w:val="00B6425F"/>
    <w:rsid w:val="00B6511C"/>
    <w:rsid w:val="00B65A15"/>
    <w:rsid w:val="00B70149"/>
    <w:rsid w:val="00B705DA"/>
    <w:rsid w:val="00B72B38"/>
    <w:rsid w:val="00B73A8D"/>
    <w:rsid w:val="00B75001"/>
    <w:rsid w:val="00B768BD"/>
    <w:rsid w:val="00B83FEA"/>
    <w:rsid w:val="00B87D3C"/>
    <w:rsid w:val="00B87EFF"/>
    <w:rsid w:val="00B9265C"/>
    <w:rsid w:val="00B93A0B"/>
    <w:rsid w:val="00B93BF3"/>
    <w:rsid w:val="00B96818"/>
    <w:rsid w:val="00BA1BB8"/>
    <w:rsid w:val="00BA4B8B"/>
    <w:rsid w:val="00BA55EF"/>
    <w:rsid w:val="00BA5AC0"/>
    <w:rsid w:val="00BA6485"/>
    <w:rsid w:val="00BB1003"/>
    <w:rsid w:val="00BB4D25"/>
    <w:rsid w:val="00BB5CF2"/>
    <w:rsid w:val="00BB699E"/>
    <w:rsid w:val="00BB763D"/>
    <w:rsid w:val="00BC2AA2"/>
    <w:rsid w:val="00BC5D7E"/>
    <w:rsid w:val="00BC6560"/>
    <w:rsid w:val="00BC6EA2"/>
    <w:rsid w:val="00BC740B"/>
    <w:rsid w:val="00BC7745"/>
    <w:rsid w:val="00BD0C06"/>
    <w:rsid w:val="00BD1465"/>
    <w:rsid w:val="00BD1EB8"/>
    <w:rsid w:val="00BD232F"/>
    <w:rsid w:val="00BD35E1"/>
    <w:rsid w:val="00BE10CC"/>
    <w:rsid w:val="00BE732E"/>
    <w:rsid w:val="00BE7A54"/>
    <w:rsid w:val="00BE7B92"/>
    <w:rsid w:val="00BF1BF5"/>
    <w:rsid w:val="00BF399E"/>
    <w:rsid w:val="00BF59CF"/>
    <w:rsid w:val="00C03F73"/>
    <w:rsid w:val="00C12A2B"/>
    <w:rsid w:val="00C17DB1"/>
    <w:rsid w:val="00C229ED"/>
    <w:rsid w:val="00C237E8"/>
    <w:rsid w:val="00C23D54"/>
    <w:rsid w:val="00C274A6"/>
    <w:rsid w:val="00C27C60"/>
    <w:rsid w:val="00C30515"/>
    <w:rsid w:val="00C3692A"/>
    <w:rsid w:val="00C37891"/>
    <w:rsid w:val="00C4529F"/>
    <w:rsid w:val="00C50838"/>
    <w:rsid w:val="00C60DEE"/>
    <w:rsid w:val="00C62046"/>
    <w:rsid w:val="00C62A65"/>
    <w:rsid w:val="00C64B45"/>
    <w:rsid w:val="00C66E3B"/>
    <w:rsid w:val="00C71193"/>
    <w:rsid w:val="00C74812"/>
    <w:rsid w:val="00C777F1"/>
    <w:rsid w:val="00C806E8"/>
    <w:rsid w:val="00C81D29"/>
    <w:rsid w:val="00C8445C"/>
    <w:rsid w:val="00C851F7"/>
    <w:rsid w:val="00C85CD9"/>
    <w:rsid w:val="00C91A63"/>
    <w:rsid w:val="00C930CE"/>
    <w:rsid w:val="00C93741"/>
    <w:rsid w:val="00CA0502"/>
    <w:rsid w:val="00CA19EB"/>
    <w:rsid w:val="00CA26D0"/>
    <w:rsid w:val="00CA4F58"/>
    <w:rsid w:val="00CA60AE"/>
    <w:rsid w:val="00CA63A4"/>
    <w:rsid w:val="00CA6CA8"/>
    <w:rsid w:val="00CB62C7"/>
    <w:rsid w:val="00CC0BCB"/>
    <w:rsid w:val="00CC1194"/>
    <w:rsid w:val="00CC3FE4"/>
    <w:rsid w:val="00CD162B"/>
    <w:rsid w:val="00CD27C0"/>
    <w:rsid w:val="00CD3677"/>
    <w:rsid w:val="00CD591C"/>
    <w:rsid w:val="00CD5E89"/>
    <w:rsid w:val="00CE2686"/>
    <w:rsid w:val="00CE2F18"/>
    <w:rsid w:val="00CE48E1"/>
    <w:rsid w:val="00CE6B31"/>
    <w:rsid w:val="00CE756D"/>
    <w:rsid w:val="00CF283C"/>
    <w:rsid w:val="00CF3B79"/>
    <w:rsid w:val="00CF4DB4"/>
    <w:rsid w:val="00CF5EAC"/>
    <w:rsid w:val="00D13826"/>
    <w:rsid w:val="00D14007"/>
    <w:rsid w:val="00D14220"/>
    <w:rsid w:val="00D1581B"/>
    <w:rsid w:val="00D21372"/>
    <w:rsid w:val="00D2250A"/>
    <w:rsid w:val="00D22F0F"/>
    <w:rsid w:val="00D24161"/>
    <w:rsid w:val="00D26165"/>
    <w:rsid w:val="00D30B9B"/>
    <w:rsid w:val="00D33296"/>
    <w:rsid w:val="00D335C6"/>
    <w:rsid w:val="00D44051"/>
    <w:rsid w:val="00D451CF"/>
    <w:rsid w:val="00D506AD"/>
    <w:rsid w:val="00D510EE"/>
    <w:rsid w:val="00D51BD7"/>
    <w:rsid w:val="00D5205B"/>
    <w:rsid w:val="00D542C0"/>
    <w:rsid w:val="00D56460"/>
    <w:rsid w:val="00D624AE"/>
    <w:rsid w:val="00D65817"/>
    <w:rsid w:val="00D67EE6"/>
    <w:rsid w:val="00D70A18"/>
    <w:rsid w:val="00D71373"/>
    <w:rsid w:val="00D732DC"/>
    <w:rsid w:val="00D74B1A"/>
    <w:rsid w:val="00D7516A"/>
    <w:rsid w:val="00D75605"/>
    <w:rsid w:val="00D756CE"/>
    <w:rsid w:val="00D81434"/>
    <w:rsid w:val="00D856B8"/>
    <w:rsid w:val="00D87DA8"/>
    <w:rsid w:val="00D92B9A"/>
    <w:rsid w:val="00DA2303"/>
    <w:rsid w:val="00DA2F35"/>
    <w:rsid w:val="00DA381D"/>
    <w:rsid w:val="00DA5621"/>
    <w:rsid w:val="00DB73D7"/>
    <w:rsid w:val="00DC0429"/>
    <w:rsid w:val="00DC0F6F"/>
    <w:rsid w:val="00DC1487"/>
    <w:rsid w:val="00DC4C58"/>
    <w:rsid w:val="00DC4C6A"/>
    <w:rsid w:val="00DC54E9"/>
    <w:rsid w:val="00DD0B16"/>
    <w:rsid w:val="00DD3188"/>
    <w:rsid w:val="00DD59A0"/>
    <w:rsid w:val="00DD744B"/>
    <w:rsid w:val="00DE3CD8"/>
    <w:rsid w:val="00DE761E"/>
    <w:rsid w:val="00DF12DA"/>
    <w:rsid w:val="00DF1935"/>
    <w:rsid w:val="00DF7F99"/>
    <w:rsid w:val="00E003E7"/>
    <w:rsid w:val="00E009EF"/>
    <w:rsid w:val="00E023FB"/>
    <w:rsid w:val="00E11F4C"/>
    <w:rsid w:val="00E14343"/>
    <w:rsid w:val="00E15D3E"/>
    <w:rsid w:val="00E17852"/>
    <w:rsid w:val="00E17B65"/>
    <w:rsid w:val="00E21018"/>
    <w:rsid w:val="00E2120F"/>
    <w:rsid w:val="00E22637"/>
    <w:rsid w:val="00E22A8F"/>
    <w:rsid w:val="00E276A7"/>
    <w:rsid w:val="00E2773D"/>
    <w:rsid w:val="00E31B98"/>
    <w:rsid w:val="00E32F65"/>
    <w:rsid w:val="00E33A57"/>
    <w:rsid w:val="00E36D27"/>
    <w:rsid w:val="00E37C01"/>
    <w:rsid w:val="00E4013B"/>
    <w:rsid w:val="00E41E95"/>
    <w:rsid w:val="00E43729"/>
    <w:rsid w:val="00E43A25"/>
    <w:rsid w:val="00E4474A"/>
    <w:rsid w:val="00E44EEC"/>
    <w:rsid w:val="00E45E13"/>
    <w:rsid w:val="00E45FA1"/>
    <w:rsid w:val="00E50E0C"/>
    <w:rsid w:val="00E554A9"/>
    <w:rsid w:val="00E603AB"/>
    <w:rsid w:val="00E6227D"/>
    <w:rsid w:val="00E63E40"/>
    <w:rsid w:val="00E7757F"/>
    <w:rsid w:val="00E90DD7"/>
    <w:rsid w:val="00E95392"/>
    <w:rsid w:val="00E95B14"/>
    <w:rsid w:val="00EA02DF"/>
    <w:rsid w:val="00EA11A4"/>
    <w:rsid w:val="00EA3D73"/>
    <w:rsid w:val="00EA4838"/>
    <w:rsid w:val="00EA4B35"/>
    <w:rsid w:val="00EA77D5"/>
    <w:rsid w:val="00EA7E8F"/>
    <w:rsid w:val="00EB2CBB"/>
    <w:rsid w:val="00EB2D9C"/>
    <w:rsid w:val="00EB603D"/>
    <w:rsid w:val="00EC0062"/>
    <w:rsid w:val="00EC0637"/>
    <w:rsid w:val="00EC54EF"/>
    <w:rsid w:val="00ED276D"/>
    <w:rsid w:val="00ED4219"/>
    <w:rsid w:val="00ED497A"/>
    <w:rsid w:val="00ED5821"/>
    <w:rsid w:val="00ED63AC"/>
    <w:rsid w:val="00EE01AA"/>
    <w:rsid w:val="00EE0EAD"/>
    <w:rsid w:val="00EE32FB"/>
    <w:rsid w:val="00EE55DA"/>
    <w:rsid w:val="00EE6940"/>
    <w:rsid w:val="00EE6EF6"/>
    <w:rsid w:val="00EF3F9E"/>
    <w:rsid w:val="00EF6E8B"/>
    <w:rsid w:val="00F05A5D"/>
    <w:rsid w:val="00F12576"/>
    <w:rsid w:val="00F128B8"/>
    <w:rsid w:val="00F15484"/>
    <w:rsid w:val="00F16245"/>
    <w:rsid w:val="00F21C6F"/>
    <w:rsid w:val="00F2533C"/>
    <w:rsid w:val="00F302DD"/>
    <w:rsid w:val="00F31470"/>
    <w:rsid w:val="00F33332"/>
    <w:rsid w:val="00F34953"/>
    <w:rsid w:val="00F37DA6"/>
    <w:rsid w:val="00F4043C"/>
    <w:rsid w:val="00F40A56"/>
    <w:rsid w:val="00F42BC2"/>
    <w:rsid w:val="00F45BE5"/>
    <w:rsid w:val="00F45C89"/>
    <w:rsid w:val="00F473B0"/>
    <w:rsid w:val="00F47E49"/>
    <w:rsid w:val="00F5347F"/>
    <w:rsid w:val="00F543B0"/>
    <w:rsid w:val="00F55A15"/>
    <w:rsid w:val="00F601DC"/>
    <w:rsid w:val="00F73C5E"/>
    <w:rsid w:val="00F73ED0"/>
    <w:rsid w:val="00F751F2"/>
    <w:rsid w:val="00F80374"/>
    <w:rsid w:val="00F82374"/>
    <w:rsid w:val="00F83523"/>
    <w:rsid w:val="00F8364F"/>
    <w:rsid w:val="00F86493"/>
    <w:rsid w:val="00F9338C"/>
    <w:rsid w:val="00F95F17"/>
    <w:rsid w:val="00F97460"/>
    <w:rsid w:val="00F97941"/>
    <w:rsid w:val="00FA0017"/>
    <w:rsid w:val="00FA0573"/>
    <w:rsid w:val="00FA2C3F"/>
    <w:rsid w:val="00FA341F"/>
    <w:rsid w:val="00FA4749"/>
    <w:rsid w:val="00FA5EA3"/>
    <w:rsid w:val="00FB1590"/>
    <w:rsid w:val="00FB2E9E"/>
    <w:rsid w:val="00FB34D6"/>
    <w:rsid w:val="00FB56FF"/>
    <w:rsid w:val="00FB72F0"/>
    <w:rsid w:val="00FC4716"/>
    <w:rsid w:val="00FC5337"/>
    <w:rsid w:val="00FD2B70"/>
    <w:rsid w:val="00FD4004"/>
    <w:rsid w:val="00FD4158"/>
    <w:rsid w:val="00FD5D18"/>
    <w:rsid w:val="00FD67B6"/>
    <w:rsid w:val="00FE084B"/>
    <w:rsid w:val="00FE1D44"/>
    <w:rsid w:val="00FE1ED1"/>
    <w:rsid w:val="00FE6BCC"/>
    <w:rsid w:val="00FF41E5"/>
    <w:rsid w:val="00FF4B06"/>
    <w:rsid w:val="00FF7888"/>
    <w:rsid w:val="00FF7F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7B973"/>
  <w15:docId w15:val="{9ABDB8C3-E230-4CF0-8A6C-65214346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49C5"/>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C4529F"/>
    <w:pPr>
      <w:spacing w:after="0" w:line="320" w:lineRule="atLeast"/>
    </w:pPr>
    <w:rPr>
      <w:rFonts w:ascii="Arial" w:eastAsia="Times New Roman" w:hAnsi="Arial" w:cs="Arial"/>
      <w:sz w:val="24"/>
      <w:szCs w:val="24"/>
      <w:lang w:eastAsia="en-GB"/>
    </w:rPr>
  </w:style>
  <w:style w:type="paragraph" w:styleId="ListParagraph">
    <w:name w:val="List Paragraph"/>
    <w:basedOn w:val="Normal"/>
    <w:uiPriority w:val="34"/>
    <w:qFormat/>
    <w:rsid w:val="00C4529F"/>
    <w:pPr>
      <w:ind w:left="720"/>
      <w:contextualSpacing/>
    </w:pPr>
  </w:style>
  <w:style w:type="character" w:styleId="CommentReference">
    <w:name w:val="annotation reference"/>
    <w:basedOn w:val="DefaultParagraphFont"/>
    <w:uiPriority w:val="99"/>
    <w:semiHidden/>
    <w:unhideWhenUsed/>
    <w:rsid w:val="0048618C"/>
    <w:rPr>
      <w:sz w:val="16"/>
      <w:szCs w:val="16"/>
    </w:rPr>
  </w:style>
  <w:style w:type="paragraph" w:styleId="CommentText">
    <w:name w:val="annotation text"/>
    <w:basedOn w:val="Normal"/>
    <w:link w:val="CommentTextChar"/>
    <w:uiPriority w:val="99"/>
    <w:semiHidden/>
    <w:unhideWhenUsed/>
    <w:rsid w:val="0048618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8618C"/>
    <w:rPr>
      <w:sz w:val="20"/>
      <w:szCs w:val="20"/>
    </w:rPr>
  </w:style>
  <w:style w:type="paragraph" w:styleId="BalloonText">
    <w:name w:val="Balloon Text"/>
    <w:basedOn w:val="Normal"/>
    <w:link w:val="BalloonTextChar"/>
    <w:uiPriority w:val="99"/>
    <w:semiHidden/>
    <w:unhideWhenUsed/>
    <w:rsid w:val="0048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8C"/>
    <w:rPr>
      <w:rFonts w:ascii="Segoe UI" w:hAnsi="Segoe UI" w:cs="Segoe UI"/>
      <w:sz w:val="18"/>
      <w:szCs w:val="18"/>
    </w:rPr>
  </w:style>
  <w:style w:type="paragraph" w:customStyle="1" w:styleId="Default">
    <w:name w:val="Default"/>
    <w:rsid w:val="00AF16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25"/>
  </w:style>
  <w:style w:type="paragraph" w:styleId="Footer">
    <w:name w:val="footer"/>
    <w:basedOn w:val="Normal"/>
    <w:link w:val="FooterChar"/>
    <w:uiPriority w:val="99"/>
    <w:unhideWhenUsed/>
    <w:rsid w:val="0025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25"/>
  </w:style>
  <w:style w:type="paragraph" w:styleId="NormalWeb">
    <w:name w:val="Normal (Web)"/>
    <w:basedOn w:val="Normal"/>
    <w:uiPriority w:val="99"/>
    <w:unhideWhenUsed/>
    <w:rsid w:val="00E003E7"/>
    <w:pPr>
      <w:spacing w:before="120" w:after="0" w:line="240" w:lineRule="auto"/>
      <w:ind w:left="1928"/>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C3211"/>
    <w:rPr>
      <w:color w:val="808080"/>
    </w:rPr>
  </w:style>
  <w:style w:type="paragraph" w:styleId="FootnoteText">
    <w:name w:val="footnote text"/>
    <w:basedOn w:val="Normal"/>
    <w:link w:val="FootnoteTextChar"/>
    <w:uiPriority w:val="99"/>
    <w:unhideWhenUsed/>
    <w:rsid w:val="00A25D58"/>
    <w:pPr>
      <w:spacing w:after="0" w:line="240" w:lineRule="auto"/>
    </w:pPr>
    <w:rPr>
      <w:sz w:val="20"/>
      <w:szCs w:val="20"/>
    </w:rPr>
  </w:style>
  <w:style w:type="character" w:customStyle="1" w:styleId="FootnoteTextChar">
    <w:name w:val="Footnote Text Char"/>
    <w:basedOn w:val="DefaultParagraphFont"/>
    <w:link w:val="FootnoteText"/>
    <w:uiPriority w:val="99"/>
    <w:rsid w:val="00A25D58"/>
    <w:rPr>
      <w:sz w:val="20"/>
      <w:szCs w:val="20"/>
    </w:rPr>
  </w:style>
  <w:style w:type="character" w:styleId="FootnoteReference">
    <w:name w:val="footnote reference"/>
    <w:basedOn w:val="DefaultParagraphFont"/>
    <w:uiPriority w:val="99"/>
    <w:semiHidden/>
    <w:unhideWhenUsed/>
    <w:rsid w:val="00A25D58"/>
    <w:rPr>
      <w:vertAlign w:val="superscript"/>
    </w:rPr>
  </w:style>
  <w:style w:type="paragraph" w:styleId="Revision">
    <w:name w:val="Revision"/>
    <w:hidden/>
    <w:uiPriority w:val="99"/>
    <w:semiHidden/>
    <w:rsid w:val="00673390"/>
    <w:pPr>
      <w:spacing w:after="0" w:line="240" w:lineRule="auto"/>
    </w:pPr>
  </w:style>
  <w:style w:type="character" w:customStyle="1" w:styleId="Heading1Char">
    <w:name w:val="Heading 1 Char"/>
    <w:basedOn w:val="DefaultParagraphFont"/>
    <w:link w:val="Heading1"/>
    <w:uiPriority w:val="9"/>
    <w:rsid w:val="007449C5"/>
    <w:rPr>
      <w:rFonts w:ascii="Times" w:hAnsi="Times"/>
      <w:b/>
      <w:bCs/>
      <w:kern w:val="36"/>
      <w:sz w:val="48"/>
      <w:szCs w:val="48"/>
    </w:rPr>
  </w:style>
  <w:style w:type="character" w:customStyle="1" w:styleId="apple-converted-space">
    <w:name w:val="apple-converted-space"/>
    <w:basedOn w:val="DefaultParagraphFont"/>
    <w:rsid w:val="00055ED2"/>
  </w:style>
  <w:style w:type="character" w:styleId="Hyperlink">
    <w:name w:val="Hyperlink"/>
    <w:basedOn w:val="DefaultParagraphFont"/>
    <w:uiPriority w:val="99"/>
    <w:unhideWhenUsed/>
    <w:rsid w:val="00055ED2"/>
    <w:rPr>
      <w:color w:val="0000FF"/>
      <w:u w:val="single"/>
    </w:rPr>
  </w:style>
  <w:style w:type="character" w:styleId="FollowedHyperlink">
    <w:name w:val="FollowedHyperlink"/>
    <w:basedOn w:val="DefaultParagraphFont"/>
    <w:uiPriority w:val="99"/>
    <w:semiHidden/>
    <w:unhideWhenUsed/>
    <w:rsid w:val="00055ED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1298F"/>
    <w:pPr>
      <w:spacing w:after="160"/>
    </w:pPr>
    <w:rPr>
      <w:b/>
      <w:bCs/>
    </w:rPr>
  </w:style>
  <w:style w:type="character" w:customStyle="1" w:styleId="CommentSubjectChar">
    <w:name w:val="Comment Subject Char"/>
    <w:basedOn w:val="CommentTextChar"/>
    <w:link w:val="CommentSubject"/>
    <w:uiPriority w:val="99"/>
    <w:semiHidden/>
    <w:rsid w:val="0081298F"/>
    <w:rPr>
      <w:b/>
      <w:bCs/>
      <w:sz w:val="20"/>
      <w:szCs w:val="20"/>
    </w:rPr>
  </w:style>
  <w:style w:type="paragraph" w:styleId="PlainText">
    <w:name w:val="Plain Text"/>
    <w:basedOn w:val="Normal"/>
    <w:link w:val="PlainTextChar"/>
    <w:uiPriority w:val="99"/>
    <w:unhideWhenUsed/>
    <w:rsid w:val="00682A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2A56"/>
    <w:rPr>
      <w:rFonts w:ascii="Calibri" w:hAnsi="Calibri"/>
      <w:szCs w:val="21"/>
    </w:rPr>
  </w:style>
  <w:style w:type="paragraph" w:customStyle="1" w:styleId="EndNoteBibliographyTitle">
    <w:name w:val="EndNote Bibliography Title"/>
    <w:basedOn w:val="Normal"/>
    <w:link w:val="EndNoteBibliographyTitleChar"/>
    <w:rsid w:val="00FE084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E084B"/>
    <w:rPr>
      <w:rFonts w:ascii="Calibri" w:hAnsi="Calibri"/>
      <w:noProof/>
      <w:lang w:val="en-US"/>
    </w:rPr>
  </w:style>
  <w:style w:type="paragraph" w:customStyle="1" w:styleId="EndNoteBibliography">
    <w:name w:val="EndNote Bibliography"/>
    <w:basedOn w:val="Normal"/>
    <w:link w:val="EndNoteBibliographyChar"/>
    <w:rsid w:val="00FE084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E084B"/>
    <w:rPr>
      <w:rFonts w:ascii="Calibri" w:hAnsi="Calibri"/>
      <w:noProof/>
      <w:lang w:val="en-US"/>
    </w:rPr>
  </w:style>
  <w:style w:type="character" w:customStyle="1" w:styleId="name">
    <w:name w:val="name"/>
    <w:basedOn w:val="DefaultParagraphFont"/>
    <w:rsid w:val="0089230A"/>
  </w:style>
  <w:style w:type="character" w:customStyle="1" w:styleId="contrib-degrees">
    <w:name w:val="contrib-degrees"/>
    <w:basedOn w:val="DefaultParagraphFont"/>
    <w:rsid w:val="0089230A"/>
  </w:style>
  <w:style w:type="character" w:customStyle="1" w:styleId="slug-pub-date3">
    <w:name w:val="slug-pub-date3"/>
    <w:basedOn w:val="DefaultParagraphFont"/>
    <w:rsid w:val="0089230A"/>
  </w:style>
  <w:style w:type="character" w:customStyle="1" w:styleId="slug-vol">
    <w:name w:val="slug-vol"/>
    <w:basedOn w:val="DefaultParagraphFont"/>
    <w:rsid w:val="0089230A"/>
  </w:style>
  <w:style w:type="character" w:customStyle="1" w:styleId="bluehead1">
    <w:name w:val="bluehead1"/>
    <w:basedOn w:val="DefaultParagraphFont"/>
    <w:rsid w:val="009E45DD"/>
    <w:rPr>
      <w:b/>
      <w:bCs/>
      <w:sz w:val="21"/>
      <w:szCs w:val="21"/>
    </w:rPr>
  </w:style>
  <w:style w:type="character" w:styleId="HTMLCite">
    <w:name w:val="HTML Cite"/>
    <w:basedOn w:val="DefaultParagraphFont"/>
    <w:uiPriority w:val="99"/>
    <w:semiHidden/>
    <w:unhideWhenUsed/>
    <w:rsid w:val="002F4883"/>
    <w:rPr>
      <w:i/>
      <w:iCs/>
    </w:rPr>
  </w:style>
  <w:style w:type="character" w:customStyle="1" w:styleId="il">
    <w:name w:val="il"/>
    <w:basedOn w:val="DefaultParagraphFont"/>
    <w:rsid w:val="00A33F5D"/>
  </w:style>
  <w:style w:type="paragraph" w:styleId="TOCHeading">
    <w:name w:val="TOC Heading"/>
    <w:basedOn w:val="Heading1"/>
    <w:next w:val="Normal"/>
    <w:uiPriority w:val="39"/>
    <w:unhideWhenUsed/>
    <w:qFormat/>
    <w:rsid w:val="001E744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1E7442"/>
    <w:pPr>
      <w:spacing w:after="100"/>
    </w:pPr>
  </w:style>
  <w:style w:type="paragraph" w:styleId="TOC2">
    <w:name w:val="toc 2"/>
    <w:basedOn w:val="Normal"/>
    <w:next w:val="Normal"/>
    <w:autoRedefine/>
    <w:uiPriority w:val="39"/>
    <w:unhideWhenUsed/>
    <w:rsid w:val="001E744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250">
      <w:bodyDiv w:val="1"/>
      <w:marLeft w:val="0"/>
      <w:marRight w:val="0"/>
      <w:marTop w:val="0"/>
      <w:marBottom w:val="0"/>
      <w:divBdr>
        <w:top w:val="none" w:sz="0" w:space="0" w:color="auto"/>
        <w:left w:val="none" w:sz="0" w:space="0" w:color="auto"/>
        <w:bottom w:val="none" w:sz="0" w:space="0" w:color="auto"/>
        <w:right w:val="none" w:sz="0" w:space="0" w:color="auto"/>
      </w:divBdr>
    </w:div>
    <w:div w:id="12001661">
      <w:bodyDiv w:val="1"/>
      <w:marLeft w:val="0"/>
      <w:marRight w:val="0"/>
      <w:marTop w:val="0"/>
      <w:marBottom w:val="0"/>
      <w:divBdr>
        <w:top w:val="none" w:sz="0" w:space="0" w:color="auto"/>
        <w:left w:val="none" w:sz="0" w:space="0" w:color="auto"/>
        <w:bottom w:val="none" w:sz="0" w:space="0" w:color="auto"/>
        <w:right w:val="none" w:sz="0" w:space="0" w:color="auto"/>
      </w:divBdr>
    </w:div>
    <w:div w:id="287441634">
      <w:bodyDiv w:val="1"/>
      <w:marLeft w:val="0"/>
      <w:marRight w:val="0"/>
      <w:marTop w:val="0"/>
      <w:marBottom w:val="0"/>
      <w:divBdr>
        <w:top w:val="none" w:sz="0" w:space="0" w:color="auto"/>
        <w:left w:val="none" w:sz="0" w:space="0" w:color="auto"/>
        <w:bottom w:val="none" w:sz="0" w:space="0" w:color="auto"/>
        <w:right w:val="none" w:sz="0" w:space="0" w:color="auto"/>
      </w:divBdr>
    </w:div>
    <w:div w:id="301616375">
      <w:bodyDiv w:val="1"/>
      <w:marLeft w:val="0"/>
      <w:marRight w:val="0"/>
      <w:marTop w:val="0"/>
      <w:marBottom w:val="0"/>
      <w:divBdr>
        <w:top w:val="none" w:sz="0" w:space="0" w:color="auto"/>
        <w:left w:val="none" w:sz="0" w:space="0" w:color="auto"/>
        <w:bottom w:val="none" w:sz="0" w:space="0" w:color="auto"/>
        <w:right w:val="none" w:sz="0" w:space="0" w:color="auto"/>
      </w:divBdr>
    </w:div>
    <w:div w:id="306479015">
      <w:bodyDiv w:val="1"/>
      <w:marLeft w:val="0"/>
      <w:marRight w:val="0"/>
      <w:marTop w:val="0"/>
      <w:marBottom w:val="0"/>
      <w:divBdr>
        <w:top w:val="none" w:sz="0" w:space="0" w:color="auto"/>
        <w:left w:val="none" w:sz="0" w:space="0" w:color="auto"/>
        <w:bottom w:val="none" w:sz="0" w:space="0" w:color="auto"/>
        <w:right w:val="none" w:sz="0" w:space="0" w:color="auto"/>
      </w:divBdr>
      <w:divsChild>
        <w:div w:id="722411546">
          <w:marLeft w:val="0"/>
          <w:marRight w:val="0"/>
          <w:marTop w:val="0"/>
          <w:marBottom w:val="0"/>
          <w:divBdr>
            <w:top w:val="none" w:sz="0" w:space="0" w:color="auto"/>
            <w:left w:val="none" w:sz="0" w:space="0" w:color="auto"/>
            <w:bottom w:val="none" w:sz="0" w:space="0" w:color="auto"/>
            <w:right w:val="none" w:sz="0" w:space="0" w:color="auto"/>
          </w:divBdr>
          <w:divsChild>
            <w:div w:id="60107420">
              <w:marLeft w:val="0"/>
              <w:marRight w:val="0"/>
              <w:marTop w:val="0"/>
              <w:marBottom w:val="0"/>
              <w:divBdr>
                <w:top w:val="none" w:sz="0" w:space="0" w:color="auto"/>
                <w:left w:val="none" w:sz="0" w:space="0" w:color="auto"/>
                <w:bottom w:val="none" w:sz="0" w:space="0" w:color="auto"/>
                <w:right w:val="none" w:sz="0" w:space="0" w:color="auto"/>
              </w:divBdr>
            </w:div>
            <w:div w:id="85004931">
              <w:marLeft w:val="0"/>
              <w:marRight w:val="0"/>
              <w:marTop w:val="0"/>
              <w:marBottom w:val="0"/>
              <w:divBdr>
                <w:top w:val="none" w:sz="0" w:space="0" w:color="auto"/>
                <w:left w:val="none" w:sz="0" w:space="0" w:color="auto"/>
                <w:bottom w:val="none" w:sz="0" w:space="0" w:color="auto"/>
                <w:right w:val="none" w:sz="0" w:space="0" w:color="auto"/>
              </w:divBdr>
            </w:div>
            <w:div w:id="761725871">
              <w:marLeft w:val="0"/>
              <w:marRight w:val="0"/>
              <w:marTop w:val="0"/>
              <w:marBottom w:val="0"/>
              <w:divBdr>
                <w:top w:val="none" w:sz="0" w:space="0" w:color="auto"/>
                <w:left w:val="none" w:sz="0" w:space="0" w:color="auto"/>
                <w:bottom w:val="none" w:sz="0" w:space="0" w:color="auto"/>
                <w:right w:val="none" w:sz="0" w:space="0" w:color="auto"/>
              </w:divBdr>
            </w:div>
            <w:div w:id="1562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5406">
      <w:bodyDiv w:val="1"/>
      <w:marLeft w:val="0"/>
      <w:marRight w:val="0"/>
      <w:marTop w:val="0"/>
      <w:marBottom w:val="0"/>
      <w:divBdr>
        <w:top w:val="none" w:sz="0" w:space="0" w:color="auto"/>
        <w:left w:val="none" w:sz="0" w:space="0" w:color="auto"/>
        <w:bottom w:val="none" w:sz="0" w:space="0" w:color="auto"/>
        <w:right w:val="none" w:sz="0" w:space="0" w:color="auto"/>
      </w:divBdr>
    </w:div>
    <w:div w:id="443771483">
      <w:bodyDiv w:val="1"/>
      <w:marLeft w:val="0"/>
      <w:marRight w:val="0"/>
      <w:marTop w:val="0"/>
      <w:marBottom w:val="0"/>
      <w:divBdr>
        <w:top w:val="none" w:sz="0" w:space="0" w:color="auto"/>
        <w:left w:val="none" w:sz="0" w:space="0" w:color="auto"/>
        <w:bottom w:val="none" w:sz="0" w:space="0" w:color="auto"/>
        <w:right w:val="none" w:sz="0" w:space="0" w:color="auto"/>
      </w:divBdr>
    </w:div>
    <w:div w:id="500464665">
      <w:bodyDiv w:val="1"/>
      <w:marLeft w:val="0"/>
      <w:marRight w:val="0"/>
      <w:marTop w:val="0"/>
      <w:marBottom w:val="0"/>
      <w:divBdr>
        <w:top w:val="none" w:sz="0" w:space="0" w:color="auto"/>
        <w:left w:val="none" w:sz="0" w:space="0" w:color="auto"/>
        <w:bottom w:val="none" w:sz="0" w:space="0" w:color="auto"/>
        <w:right w:val="none" w:sz="0" w:space="0" w:color="auto"/>
      </w:divBdr>
    </w:div>
    <w:div w:id="529757287">
      <w:bodyDiv w:val="1"/>
      <w:marLeft w:val="0"/>
      <w:marRight w:val="0"/>
      <w:marTop w:val="0"/>
      <w:marBottom w:val="0"/>
      <w:divBdr>
        <w:top w:val="none" w:sz="0" w:space="0" w:color="auto"/>
        <w:left w:val="none" w:sz="0" w:space="0" w:color="auto"/>
        <w:bottom w:val="none" w:sz="0" w:space="0" w:color="auto"/>
        <w:right w:val="none" w:sz="0" w:space="0" w:color="auto"/>
      </w:divBdr>
    </w:div>
    <w:div w:id="557981560">
      <w:bodyDiv w:val="1"/>
      <w:marLeft w:val="0"/>
      <w:marRight w:val="0"/>
      <w:marTop w:val="0"/>
      <w:marBottom w:val="0"/>
      <w:divBdr>
        <w:top w:val="none" w:sz="0" w:space="0" w:color="auto"/>
        <w:left w:val="none" w:sz="0" w:space="0" w:color="auto"/>
        <w:bottom w:val="none" w:sz="0" w:space="0" w:color="auto"/>
        <w:right w:val="none" w:sz="0" w:space="0" w:color="auto"/>
      </w:divBdr>
    </w:div>
    <w:div w:id="560681027">
      <w:bodyDiv w:val="1"/>
      <w:marLeft w:val="0"/>
      <w:marRight w:val="0"/>
      <w:marTop w:val="0"/>
      <w:marBottom w:val="0"/>
      <w:divBdr>
        <w:top w:val="none" w:sz="0" w:space="0" w:color="auto"/>
        <w:left w:val="none" w:sz="0" w:space="0" w:color="auto"/>
        <w:bottom w:val="none" w:sz="0" w:space="0" w:color="auto"/>
        <w:right w:val="none" w:sz="0" w:space="0" w:color="auto"/>
      </w:divBdr>
    </w:div>
    <w:div w:id="658775810">
      <w:bodyDiv w:val="1"/>
      <w:marLeft w:val="0"/>
      <w:marRight w:val="0"/>
      <w:marTop w:val="0"/>
      <w:marBottom w:val="0"/>
      <w:divBdr>
        <w:top w:val="none" w:sz="0" w:space="0" w:color="auto"/>
        <w:left w:val="none" w:sz="0" w:space="0" w:color="auto"/>
        <w:bottom w:val="none" w:sz="0" w:space="0" w:color="auto"/>
        <w:right w:val="none" w:sz="0" w:space="0" w:color="auto"/>
      </w:divBdr>
    </w:div>
    <w:div w:id="671831912">
      <w:bodyDiv w:val="1"/>
      <w:marLeft w:val="0"/>
      <w:marRight w:val="0"/>
      <w:marTop w:val="0"/>
      <w:marBottom w:val="0"/>
      <w:divBdr>
        <w:top w:val="none" w:sz="0" w:space="0" w:color="auto"/>
        <w:left w:val="none" w:sz="0" w:space="0" w:color="auto"/>
        <w:bottom w:val="none" w:sz="0" w:space="0" w:color="auto"/>
        <w:right w:val="none" w:sz="0" w:space="0" w:color="auto"/>
      </w:divBdr>
    </w:div>
    <w:div w:id="689262362">
      <w:bodyDiv w:val="1"/>
      <w:marLeft w:val="0"/>
      <w:marRight w:val="0"/>
      <w:marTop w:val="0"/>
      <w:marBottom w:val="0"/>
      <w:divBdr>
        <w:top w:val="none" w:sz="0" w:space="0" w:color="auto"/>
        <w:left w:val="none" w:sz="0" w:space="0" w:color="auto"/>
        <w:bottom w:val="none" w:sz="0" w:space="0" w:color="auto"/>
        <w:right w:val="none" w:sz="0" w:space="0" w:color="auto"/>
      </w:divBdr>
    </w:div>
    <w:div w:id="746153631">
      <w:bodyDiv w:val="1"/>
      <w:marLeft w:val="0"/>
      <w:marRight w:val="0"/>
      <w:marTop w:val="0"/>
      <w:marBottom w:val="0"/>
      <w:divBdr>
        <w:top w:val="none" w:sz="0" w:space="0" w:color="auto"/>
        <w:left w:val="none" w:sz="0" w:space="0" w:color="auto"/>
        <w:bottom w:val="none" w:sz="0" w:space="0" w:color="auto"/>
        <w:right w:val="none" w:sz="0" w:space="0" w:color="auto"/>
      </w:divBdr>
    </w:div>
    <w:div w:id="845905476">
      <w:bodyDiv w:val="1"/>
      <w:marLeft w:val="0"/>
      <w:marRight w:val="0"/>
      <w:marTop w:val="0"/>
      <w:marBottom w:val="0"/>
      <w:divBdr>
        <w:top w:val="none" w:sz="0" w:space="0" w:color="auto"/>
        <w:left w:val="none" w:sz="0" w:space="0" w:color="auto"/>
        <w:bottom w:val="none" w:sz="0" w:space="0" w:color="auto"/>
        <w:right w:val="none" w:sz="0" w:space="0" w:color="auto"/>
      </w:divBdr>
    </w:div>
    <w:div w:id="892082443">
      <w:bodyDiv w:val="1"/>
      <w:marLeft w:val="0"/>
      <w:marRight w:val="0"/>
      <w:marTop w:val="0"/>
      <w:marBottom w:val="0"/>
      <w:divBdr>
        <w:top w:val="none" w:sz="0" w:space="0" w:color="auto"/>
        <w:left w:val="none" w:sz="0" w:space="0" w:color="auto"/>
        <w:bottom w:val="none" w:sz="0" w:space="0" w:color="auto"/>
        <w:right w:val="none" w:sz="0" w:space="0" w:color="auto"/>
      </w:divBdr>
      <w:divsChild>
        <w:div w:id="378363195">
          <w:marLeft w:val="0"/>
          <w:marRight w:val="0"/>
          <w:marTop w:val="0"/>
          <w:marBottom w:val="0"/>
          <w:divBdr>
            <w:top w:val="none" w:sz="0" w:space="0" w:color="auto"/>
            <w:left w:val="single" w:sz="6" w:space="0" w:color="CCCCCC"/>
            <w:bottom w:val="single" w:sz="6" w:space="0" w:color="CCCCCC"/>
            <w:right w:val="single" w:sz="6" w:space="0" w:color="CCCCCC"/>
          </w:divBdr>
          <w:divsChild>
            <w:div w:id="575819615">
              <w:marLeft w:val="0"/>
              <w:marRight w:val="0"/>
              <w:marTop w:val="195"/>
              <w:marBottom w:val="0"/>
              <w:divBdr>
                <w:top w:val="none" w:sz="0" w:space="0" w:color="auto"/>
                <w:left w:val="none" w:sz="0" w:space="0" w:color="auto"/>
                <w:bottom w:val="none" w:sz="0" w:space="0" w:color="auto"/>
                <w:right w:val="none" w:sz="0" w:space="0" w:color="auto"/>
              </w:divBdr>
              <w:divsChild>
                <w:div w:id="629283245">
                  <w:marLeft w:val="0"/>
                  <w:marRight w:val="0"/>
                  <w:marTop w:val="225"/>
                  <w:marBottom w:val="300"/>
                  <w:divBdr>
                    <w:top w:val="none" w:sz="0" w:space="0" w:color="auto"/>
                    <w:left w:val="none" w:sz="0" w:space="0" w:color="auto"/>
                    <w:bottom w:val="none" w:sz="0" w:space="0" w:color="auto"/>
                    <w:right w:val="none" w:sz="0" w:space="0" w:color="auto"/>
                  </w:divBdr>
                  <w:divsChild>
                    <w:div w:id="1691226504">
                      <w:marLeft w:val="0"/>
                      <w:marRight w:val="0"/>
                      <w:marTop w:val="0"/>
                      <w:marBottom w:val="0"/>
                      <w:divBdr>
                        <w:top w:val="none" w:sz="0" w:space="0" w:color="auto"/>
                        <w:left w:val="none" w:sz="0" w:space="0" w:color="auto"/>
                        <w:bottom w:val="none" w:sz="0" w:space="0" w:color="auto"/>
                        <w:right w:val="none" w:sz="0" w:space="0" w:color="auto"/>
                      </w:divBdr>
                      <w:divsChild>
                        <w:div w:id="1776443768">
                          <w:marLeft w:val="0"/>
                          <w:marRight w:val="0"/>
                          <w:marTop w:val="150"/>
                          <w:marBottom w:val="150"/>
                          <w:divBdr>
                            <w:top w:val="none" w:sz="0" w:space="0" w:color="auto"/>
                            <w:left w:val="none" w:sz="0" w:space="0" w:color="auto"/>
                            <w:bottom w:val="none" w:sz="0" w:space="0" w:color="auto"/>
                            <w:right w:val="none" w:sz="0" w:space="0" w:color="auto"/>
                          </w:divBdr>
                          <w:divsChild>
                            <w:div w:id="20539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31973">
      <w:bodyDiv w:val="1"/>
      <w:marLeft w:val="0"/>
      <w:marRight w:val="0"/>
      <w:marTop w:val="0"/>
      <w:marBottom w:val="0"/>
      <w:divBdr>
        <w:top w:val="none" w:sz="0" w:space="0" w:color="auto"/>
        <w:left w:val="none" w:sz="0" w:space="0" w:color="auto"/>
        <w:bottom w:val="none" w:sz="0" w:space="0" w:color="auto"/>
        <w:right w:val="none" w:sz="0" w:space="0" w:color="auto"/>
      </w:divBdr>
      <w:divsChild>
        <w:div w:id="434904648">
          <w:marLeft w:val="0"/>
          <w:marRight w:val="0"/>
          <w:marTop w:val="0"/>
          <w:marBottom w:val="0"/>
          <w:divBdr>
            <w:top w:val="none" w:sz="0" w:space="0" w:color="auto"/>
            <w:left w:val="none" w:sz="0" w:space="0" w:color="auto"/>
            <w:bottom w:val="none" w:sz="0" w:space="0" w:color="auto"/>
            <w:right w:val="none" w:sz="0" w:space="0" w:color="auto"/>
          </w:divBdr>
          <w:divsChild>
            <w:div w:id="16658784">
              <w:marLeft w:val="0"/>
              <w:marRight w:val="0"/>
              <w:marTop w:val="0"/>
              <w:marBottom w:val="0"/>
              <w:divBdr>
                <w:top w:val="none" w:sz="0" w:space="0" w:color="auto"/>
                <w:left w:val="none" w:sz="0" w:space="0" w:color="auto"/>
                <w:bottom w:val="none" w:sz="0" w:space="0" w:color="auto"/>
                <w:right w:val="none" w:sz="0" w:space="0" w:color="auto"/>
              </w:divBdr>
            </w:div>
            <w:div w:id="9655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5110">
      <w:bodyDiv w:val="1"/>
      <w:marLeft w:val="0"/>
      <w:marRight w:val="0"/>
      <w:marTop w:val="0"/>
      <w:marBottom w:val="0"/>
      <w:divBdr>
        <w:top w:val="none" w:sz="0" w:space="0" w:color="auto"/>
        <w:left w:val="none" w:sz="0" w:space="0" w:color="auto"/>
        <w:bottom w:val="none" w:sz="0" w:space="0" w:color="auto"/>
        <w:right w:val="none" w:sz="0" w:space="0" w:color="auto"/>
      </w:divBdr>
    </w:div>
    <w:div w:id="945500739">
      <w:bodyDiv w:val="1"/>
      <w:marLeft w:val="0"/>
      <w:marRight w:val="0"/>
      <w:marTop w:val="0"/>
      <w:marBottom w:val="0"/>
      <w:divBdr>
        <w:top w:val="none" w:sz="0" w:space="0" w:color="auto"/>
        <w:left w:val="none" w:sz="0" w:space="0" w:color="auto"/>
        <w:bottom w:val="none" w:sz="0" w:space="0" w:color="auto"/>
        <w:right w:val="none" w:sz="0" w:space="0" w:color="auto"/>
      </w:divBdr>
    </w:div>
    <w:div w:id="993294843">
      <w:bodyDiv w:val="1"/>
      <w:marLeft w:val="0"/>
      <w:marRight w:val="0"/>
      <w:marTop w:val="0"/>
      <w:marBottom w:val="0"/>
      <w:divBdr>
        <w:top w:val="none" w:sz="0" w:space="0" w:color="auto"/>
        <w:left w:val="none" w:sz="0" w:space="0" w:color="auto"/>
        <w:bottom w:val="none" w:sz="0" w:space="0" w:color="auto"/>
        <w:right w:val="none" w:sz="0" w:space="0" w:color="auto"/>
      </w:divBdr>
    </w:div>
    <w:div w:id="1008289897">
      <w:bodyDiv w:val="1"/>
      <w:marLeft w:val="0"/>
      <w:marRight w:val="0"/>
      <w:marTop w:val="0"/>
      <w:marBottom w:val="0"/>
      <w:divBdr>
        <w:top w:val="none" w:sz="0" w:space="0" w:color="auto"/>
        <w:left w:val="none" w:sz="0" w:space="0" w:color="auto"/>
        <w:bottom w:val="none" w:sz="0" w:space="0" w:color="auto"/>
        <w:right w:val="none" w:sz="0" w:space="0" w:color="auto"/>
      </w:divBdr>
    </w:div>
    <w:div w:id="1026250995">
      <w:bodyDiv w:val="1"/>
      <w:marLeft w:val="0"/>
      <w:marRight w:val="0"/>
      <w:marTop w:val="0"/>
      <w:marBottom w:val="0"/>
      <w:divBdr>
        <w:top w:val="none" w:sz="0" w:space="0" w:color="auto"/>
        <w:left w:val="none" w:sz="0" w:space="0" w:color="auto"/>
        <w:bottom w:val="none" w:sz="0" w:space="0" w:color="auto"/>
        <w:right w:val="none" w:sz="0" w:space="0" w:color="auto"/>
      </w:divBdr>
    </w:div>
    <w:div w:id="1077289605">
      <w:bodyDiv w:val="1"/>
      <w:marLeft w:val="0"/>
      <w:marRight w:val="0"/>
      <w:marTop w:val="0"/>
      <w:marBottom w:val="0"/>
      <w:divBdr>
        <w:top w:val="none" w:sz="0" w:space="0" w:color="auto"/>
        <w:left w:val="none" w:sz="0" w:space="0" w:color="auto"/>
        <w:bottom w:val="none" w:sz="0" w:space="0" w:color="auto"/>
        <w:right w:val="none" w:sz="0" w:space="0" w:color="auto"/>
      </w:divBdr>
    </w:div>
    <w:div w:id="1085616685">
      <w:bodyDiv w:val="1"/>
      <w:marLeft w:val="0"/>
      <w:marRight w:val="0"/>
      <w:marTop w:val="0"/>
      <w:marBottom w:val="0"/>
      <w:divBdr>
        <w:top w:val="none" w:sz="0" w:space="0" w:color="auto"/>
        <w:left w:val="none" w:sz="0" w:space="0" w:color="auto"/>
        <w:bottom w:val="none" w:sz="0" w:space="0" w:color="auto"/>
        <w:right w:val="none" w:sz="0" w:space="0" w:color="auto"/>
      </w:divBdr>
    </w:div>
    <w:div w:id="1092622215">
      <w:bodyDiv w:val="1"/>
      <w:marLeft w:val="0"/>
      <w:marRight w:val="0"/>
      <w:marTop w:val="0"/>
      <w:marBottom w:val="0"/>
      <w:divBdr>
        <w:top w:val="none" w:sz="0" w:space="0" w:color="auto"/>
        <w:left w:val="none" w:sz="0" w:space="0" w:color="auto"/>
        <w:bottom w:val="none" w:sz="0" w:space="0" w:color="auto"/>
        <w:right w:val="none" w:sz="0" w:space="0" w:color="auto"/>
      </w:divBdr>
    </w:div>
    <w:div w:id="1177185519">
      <w:bodyDiv w:val="1"/>
      <w:marLeft w:val="0"/>
      <w:marRight w:val="0"/>
      <w:marTop w:val="0"/>
      <w:marBottom w:val="0"/>
      <w:divBdr>
        <w:top w:val="none" w:sz="0" w:space="0" w:color="auto"/>
        <w:left w:val="none" w:sz="0" w:space="0" w:color="auto"/>
        <w:bottom w:val="none" w:sz="0" w:space="0" w:color="auto"/>
        <w:right w:val="none" w:sz="0" w:space="0" w:color="auto"/>
      </w:divBdr>
      <w:divsChild>
        <w:div w:id="850685758">
          <w:marLeft w:val="0"/>
          <w:marRight w:val="0"/>
          <w:marTop w:val="0"/>
          <w:marBottom w:val="0"/>
          <w:divBdr>
            <w:top w:val="none" w:sz="0" w:space="0" w:color="auto"/>
            <w:left w:val="none" w:sz="0" w:space="0" w:color="auto"/>
            <w:bottom w:val="none" w:sz="0" w:space="0" w:color="auto"/>
            <w:right w:val="none" w:sz="0" w:space="0" w:color="auto"/>
          </w:divBdr>
          <w:divsChild>
            <w:div w:id="2017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8868">
      <w:bodyDiv w:val="1"/>
      <w:marLeft w:val="0"/>
      <w:marRight w:val="0"/>
      <w:marTop w:val="0"/>
      <w:marBottom w:val="0"/>
      <w:divBdr>
        <w:top w:val="none" w:sz="0" w:space="0" w:color="auto"/>
        <w:left w:val="none" w:sz="0" w:space="0" w:color="auto"/>
        <w:bottom w:val="none" w:sz="0" w:space="0" w:color="auto"/>
        <w:right w:val="none" w:sz="0" w:space="0" w:color="auto"/>
      </w:divBdr>
    </w:div>
    <w:div w:id="1297641292">
      <w:bodyDiv w:val="1"/>
      <w:marLeft w:val="0"/>
      <w:marRight w:val="0"/>
      <w:marTop w:val="0"/>
      <w:marBottom w:val="0"/>
      <w:divBdr>
        <w:top w:val="none" w:sz="0" w:space="0" w:color="auto"/>
        <w:left w:val="none" w:sz="0" w:space="0" w:color="auto"/>
        <w:bottom w:val="none" w:sz="0" w:space="0" w:color="auto"/>
        <w:right w:val="none" w:sz="0" w:space="0" w:color="auto"/>
      </w:divBdr>
    </w:div>
    <w:div w:id="1440293611">
      <w:bodyDiv w:val="1"/>
      <w:marLeft w:val="0"/>
      <w:marRight w:val="0"/>
      <w:marTop w:val="0"/>
      <w:marBottom w:val="0"/>
      <w:divBdr>
        <w:top w:val="none" w:sz="0" w:space="0" w:color="auto"/>
        <w:left w:val="none" w:sz="0" w:space="0" w:color="auto"/>
        <w:bottom w:val="none" w:sz="0" w:space="0" w:color="auto"/>
        <w:right w:val="none" w:sz="0" w:space="0" w:color="auto"/>
      </w:divBdr>
    </w:div>
    <w:div w:id="1483080022">
      <w:bodyDiv w:val="1"/>
      <w:marLeft w:val="0"/>
      <w:marRight w:val="0"/>
      <w:marTop w:val="0"/>
      <w:marBottom w:val="0"/>
      <w:divBdr>
        <w:top w:val="none" w:sz="0" w:space="0" w:color="auto"/>
        <w:left w:val="none" w:sz="0" w:space="0" w:color="auto"/>
        <w:bottom w:val="none" w:sz="0" w:space="0" w:color="auto"/>
        <w:right w:val="none" w:sz="0" w:space="0" w:color="auto"/>
      </w:divBdr>
      <w:divsChild>
        <w:div w:id="1088698167">
          <w:marLeft w:val="0"/>
          <w:marRight w:val="0"/>
          <w:marTop w:val="0"/>
          <w:marBottom w:val="0"/>
          <w:divBdr>
            <w:top w:val="none" w:sz="0" w:space="0" w:color="auto"/>
            <w:left w:val="none" w:sz="0" w:space="0" w:color="auto"/>
            <w:bottom w:val="none" w:sz="0" w:space="0" w:color="auto"/>
            <w:right w:val="none" w:sz="0" w:space="0" w:color="auto"/>
          </w:divBdr>
          <w:divsChild>
            <w:div w:id="1087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9034">
      <w:bodyDiv w:val="1"/>
      <w:marLeft w:val="0"/>
      <w:marRight w:val="0"/>
      <w:marTop w:val="0"/>
      <w:marBottom w:val="0"/>
      <w:divBdr>
        <w:top w:val="none" w:sz="0" w:space="0" w:color="auto"/>
        <w:left w:val="none" w:sz="0" w:space="0" w:color="auto"/>
        <w:bottom w:val="none" w:sz="0" w:space="0" w:color="auto"/>
        <w:right w:val="none" w:sz="0" w:space="0" w:color="auto"/>
      </w:divBdr>
    </w:div>
    <w:div w:id="1505822811">
      <w:bodyDiv w:val="1"/>
      <w:marLeft w:val="0"/>
      <w:marRight w:val="0"/>
      <w:marTop w:val="0"/>
      <w:marBottom w:val="0"/>
      <w:divBdr>
        <w:top w:val="none" w:sz="0" w:space="0" w:color="auto"/>
        <w:left w:val="none" w:sz="0" w:space="0" w:color="auto"/>
        <w:bottom w:val="none" w:sz="0" w:space="0" w:color="auto"/>
        <w:right w:val="none" w:sz="0" w:space="0" w:color="auto"/>
      </w:divBdr>
    </w:div>
    <w:div w:id="1520972428">
      <w:bodyDiv w:val="1"/>
      <w:marLeft w:val="0"/>
      <w:marRight w:val="0"/>
      <w:marTop w:val="0"/>
      <w:marBottom w:val="0"/>
      <w:divBdr>
        <w:top w:val="none" w:sz="0" w:space="0" w:color="auto"/>
        <w:left w:val="none" w:sz="0" w:space="0" w:color="auto"/>
        <w:bottom w:val="none" w:sz="0" w:space="0" w:color="auto"/>
        <w:right w:val="none" w:sz="0" w:space="0" w:color="auto"/>
      </w:divBdr>
      <w:divsChild>
        <w:div w:id="1063216297">
          <w:marLeft w:val="0"/>
          <w:marRight w:val="0"/>
          <w:marTop w:val="0"/>
          <w:marBottom w:val="0"/>
          <w:divBdr>
            <w:top w:val="none" w:sz="0" w:space="0" w:color="auto"/>
            <w:left w:val="none" w:sz="0" w:space="0" w:color="auto"/>
            <w:bottom w:val="none" w:sz="0" w:space="0" w:color="auto"/>
            <w:right w:val="none" w:sz="0" w:space="0" w:color="auto"/>
          </w:divBdr>
        </w:div>
      </w:divsChild>
    </w:div>
    <w:div w:id="1601913969">
      <w:bodyDiv w:val="1"/>
      <w:marLeft w:val="0"/>
      <w:marRight w:val="0"/>
      <w:marTop w:val="0"/>
      <w:marBottom w:val="0"/>
      <w:divBdr>
        <w:top w:val="none" w:sz="0" w:space="0" w:color="auto"/>
        <w:left w:val="none" w:sz="0" w:space="0" w:color="auto"/>
        <w:bottom w:val="none" w:sz="0" w:space="0" w:color="auto"/>
        <w:right w:val="none" w:sz="0" w:space="0" w:color="auto"/>
      </w:divBdr>
    </w:div>
    <w:div w:id="1731809515">
      <w:bodyDiv w:val="1"/>
      <w:marLeft w:val="0"/>
      <w:marRight w:val="0"/>
      <w:marTop w:val="0"/>
      <w:marBottom w:val="0"/>
      <w:divBdr>
        <w:top w:val="none" w:sz="0" w:space="0" w:color="auto"/>
        <w:left w:val="none" w:sz="0" w:space="0" w:color="auto"/>
        <w:bottom w:val="none" w:sz="0" w:space="0" w:color="auto"/>
        <w:right w:val="none" w:sz="0" w:space="0" w:color="auto"/>
      </w:divBdr>
      <w:divsChild>
        <w:div w:id="1405955028">
          <w:marLeft w:val="0"/>
          <w:marRight w:val="0"/>
          <w:marTop w:val="0"/>
          <w:marBottom w:val="0"/>
          <w:divBdr>
            <w:top w:val="none" w:sz="0" w:space="0" w:color="auto"/>
            <w:left w:val="none" w:sz="0" w:space="0" w:color="auto"/>
            <w:bottom w:val="none" w:sz="0" w:space="0" w:color="auto"/>
            <w:right w:val="none" w:sz="0" w:space="0" w:color="auto"/>
          </w:divBdr>
          <w:divsChild>
            <w:div w:id="148716061">
              <w:marLeft w:val="0"/>
              <w:marRight w:val="0"/>
              <w:marTop w:val="0"/>
              <w:marBottom w:val="0"/>
              <w:divBdr>
                <w:top w:val="none" w:sz="0" w:space="0" w:color="auto"/>
                <w:left w:val="none" w:sz="0" w:space="0" w:color="auto"/>
                <w:bottom w:val="none" w:sz="0" w:space="0" w:color="auto"/>
                <w:right w:val="none" w:sz="0" w:space="0" w:color="auto"/>
              </w:divBdr>
            </w:div>
            <w:div w:id="3773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913">
      <w:bodyDiv w:val="1"/>
      <w:marLeft w:val="0"/>
      <w:marRight w:val="0"/>
      <w:marTop w:val="0"/>
      <w:marBottom w:val="0"/>
      <w:divBdr>
        <w:top w:val="none" w:sz="0" w:space="0" w:color="auto"/>
        <w:left w:val="none" w:sz="0" w:space="0" w:color="auto"/>
        <w:bottom w:val="none" w:sz="0" w:space="0" w:color="auto"/>
        <w:right w:val="none" w:sz="0" w:space="0" w:color="auto"/>
      </w:divBdr>
    </w:div>
    <w:div w:id="1775855867">
      <w:bodyDiv w:val="1"/>
      <w:marLeft w:val="0"/>
      <w:marRight w:val="0"/>
      <w:marTop w:val="0"/>
      <w:marBottom w:val="0"/>
      <w:divBdr>
        <w:top w:val="none" w:sz="0" w:space="0" w:color="auto"/>
        <w:left w:val="none" w:sz="0" w:space="0" w:color="auto"/>
        <w:bottom w:val="none" w:sz="0" w:space="0" w:color="auto"/>
        <w:right w:val="none" w:sz="0" w:space="0" w:color="auto"/>
      </w:divBdr>
    </w:div>
    <w:div w:id="1810635619">
      <w:bodyDiv w:val="1"/>
      <w:marLeft w:val="0"/>
      <w:marRight w:val="0"/>
      <w:marTop w:val="0"/>
      <w:marBottom w:val="0"/>
      <w:divBdr>
        <w:top w:val="none" w:sz="0" w:space="0" w:color="auto"/>
        <w:left w:val="none" w:sz="0" w:space="0" w:color="auto"/>
        <w:bottom w:val="none" w:sz="0" w:space="0" w:color="auto"/>
        <w:right w:val="none" w:sz="0" w:space="0" w:color="auto"/>
      </w:divBdr>
    </w:div>
    <w:div w:id="1960257842">
      <w:bodyDiv w:val="1"/>
      <w:marLeft w:val="0"/>
      <w:marRight w:val="0"/>
      <w:marTop w:val="0"/>
      <w:marBottom w:val="0"/>
      <w:divBdr>
        <w:top w:val="none" w:sz="0" w:space="0" w:color="auto"/>
        <w:left w:val="none" w:sz="0" w:space="0" w:color="auto"/>
        <w:bottom w:val="none" w:sz="0" w:space="0" w:color="auto"/>
        <w:right w:val="none" w:sz="0" w:space="0" w:color="auto"/>
      </w:divBdr>
      <w:divsChild>
        <w:div w:id="1640768270">
          <w:marLeft w:val="0"/>
          <w:marRight w:val="0"/>
          <w:marTop w:val="0"/>
          <w:marBottom w:val="0"/>
          <w:divBdr>
            <w:top w:val="none" w:sz="0" w:space="0" w:color="auto"/>
            <w:left w:val="none" w:sz="0" w:space="0" w:color="auto"/>
            <w:bottom w:val="none" w:sz="0" w:space="0" w:color="auto"/>
            <w:right w:val="none" w:sz="0" w:space="0" w:color="auto"/>
          </w:divBdr>
          <w:divsChild>
            <w:div w:id="7040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061">
      <w:bodyDiv w:val="1"/>
      <w:marLeft w:val="0"/>
      <w:marRight w:val="0"/>
      <w:marTop w:val="0"/>
      <w:marBottom w:val="0"/>
      <w:divBdr>
        <w:top w:val="none" w:sz="0" w:space="0" w:color="auto"/>
        <w:left w:val="none" w:sz="0" w:space="0" w:color="auto"/>
        <w:bottom w:val="none" w:sz="0" w:space="0" w:color="auto"/>
        <w:right w:val="none" w:sz="0" w:space="0" w:color="auto"/>
      </w:divBdr>
      <w:divsChild>
        <w:div w:id="109512946">
          <w:marLeft w:val="0"/>
          <w:marRight w:val="0"/>
          <w:marTop w:val="0"/>
          <w:marBottom w:val="0"/>
          <w:divBdr>
            <w:top w:val="none" w:sz="0" w:space="0" w:color="auto"/>
            <w:left w:val="none" w:sz="0" w:space="0" w:color="auto"/>
            <w:bottom w:val="none" w:sz="0" w:space="0" w:color="auto"/>
            <w:right w:val="none" w:sz="0" w:space="0" w:color="auto"/>
          </w:divBdr>
        </w:div>
        <w:div w:id="995379663">
          <w:marLeft w:val="0"/>
          <w:marRight w:val="0"/>
          <w:marTop w:val="0"/>
          <w:marBottom w:val="0"/>
          <w:divBdr>
            <w:top w:val="none" w:sz="0" w:space="0" w:color="auto"/>
            <w:left w:val="none" w:sz="0" w:space="0" w:color="auto"/>
            <w:bottom w:val="none" w:sz="0" w:space="0" w:color="auto"/>
            <w:right w:val="none" w:sz="0" w:space="0" w:color="auto"/>
          </w:divBdr>
        </w:div>
        <w:div w:id="784152316">
          <w:marLeft w:val="0"/>
          <w:marRight w:val="0"/>
          <w:marTop w:val="0"/>
          <w:marBottom w:val="0"/>
          <w:divBdr>
            <w:top w:val="none" w:sz="0" w:space="0" w:color="auto"/>
            <w:left w:val="none" w:sz="0" w:space="0" w:color="auto"/>
            <w:bottom w:val="none" w:sz="0" w:space="0" w:color="auto"/>
            <w:right w:val="none" w:sz="0" w:space="0" w:color="auto"/>
          </w:divBdr>
        </w:div>
      </w:divsChild>
    </w:div>
    <w:div w:id="1972857205">
      <w:bodyDiv w:val="1"/>
      <w:marLeft w:val="0"/>
      <w:marRight w:val="0"/>
      <w:marTop w:val="0"/>
      <w:marBottom w:val="0"/>
      <w:divBdr>
        <w:top w:val="none" w:sz="0" w:space="0" w:color="auto"/>
        <w:left w:val="none" w:sz="0" w:space="0" w:color="auto"/>
        <w:bottom w:val="none" w:sz="0" w:space="0" w:color="auto"/>
        <w:right w:val="none" w:sz="0" w:space="0" w:color="auto"/>
      </w:divBdr>
    </w:div>
    <w:div w:id="1975671002">
      <w:bodyDiv w:val="1"/>
      <w:marLeft w:val="0"/>
      <w:marRight w:val="0"/>
      <w:marTop w:val="0"/>
      <w:marBottom w:val="0"/>
      <w:divBdr>
        <w:top w:val="none" w:sz="0" w:space="0" w:color="auto"/>
        <w:left w:val="none" w:sz="0" w:space="0" w:color="auto"/>
        <w:bottom w:val="none" w:sz="0" w:space="0" w:color="auto"/>
        <w:right w:val="none" w:sz="0" w:space="0" w:color="auto"/>
      </w:divBdr>
      <w:divsChild>
        <w:div w:id="705524517">
          <w:marLeft w:val="0"/>
          <w:marRight w:val="0"/>
          <w:marTop w:val="0"/>
          <w:marBottom w:val="0"/>
          <w:divBdr>
            <w:top w:val="none" w:sz="0" w:space="0" w:color="auto"/>
            <w:left w:val="none" w:sz="0" w:space="0" w:color="auto"/>
            <w:bottom w:val="none" w:sz="0" w:space="0" w:color="auto"/>
            <w:right w:val="none" w:sz="0" w:space="0" w:color="auto"/>
          </w:divBdr>
        </w:div>
      </w:divsChild>
    </w:div>
    <w:div w:id="1997803799">
      <w:bodyDiv w:val="1"/>
      <w:marLeft w:val="0"/>
      <w:marRight w:val="0"/>
      <w:marTop w:val="0"/>
      <w:marBottom w:val="0"/>
      <w:divBdr>
        <w:top w:val="none" w:sz="0" w:space="0" w:color="auto"/>
        <w:left w:val="none" w:sz="0" w:space="0" w:color="auto"/>
        <w:bottom w:val="none" w:sz="0" w:space="0" w:color="auto"/>
        <w:right w:val="none" w:sz="0" w:space="0" w:color="auto"/>
      </w:divBdr>
    </w:div>
    <w:div w:id="2027049401">
      <w:bodyDiv w:val="1"/>
      <w:marLeft w:val="0"/>
      <w:marRight w:val="0"/>
      <w:marTop w:val="0"/>
      <w:marBottom w:val="0"/>
      <w:divBdr>
        <w:top w:val="none" w:sz="0" w:space="0" w:color="auto"/>
        <w:left w:val="none" w:sz="0" w:space="0" w:color="auto"/>
        <w:bottom w:val="none" w:sz="0" w:space="0" w:color="auto"/>
        <w:right w:val="none" w:sz="0" w:space="0" w:color="auto"/>
      </w:divBdr>
      <w:divsChild>
        <w:div w:id="1180852134">
          <w:marLeft w:val="0"/>
          <w:marRight w:val="0"/>
          <w:marTop w:val="150"/>
          <w:marBottom w:val="0"/>
          <w:divBdr>
            <w:top w:val="none" w:sz="0" w:space="0" w:color="auto"/>
            <w:left w:val="none" w:sz="0" w:space="0" w:color="auto"/>
            <w:bottom w:val="none" w:sz="0" w:space="0" w:color="auto"/>
            <w:right w:val="none" w:sz="0" w:space="0" w:color="auto"/>
          </w:divBdr>
          <w:divsChild>
            <w:div w:id="14914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sciencedirect.com.gate2.library.lse.ac.uk/science/journal/0749379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tscouncil.org.uk/publications/"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onlinelibrary.wiley.com/doi/10.1111/josh.2003.73.issue-3/issuet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library.wiley.com/journal/10.1111/(ISSN)1746-1561" TargetMode="External"/><Relationship Id="rId20" Type="http://schemas.openxmlformats.org/officeDocument/2006/relationships/hyperlink" Target="http://www.nice.org.uk/guidance/CG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sh.org.uk/files/documents/ASH_106.pdf"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www.sciencedirect.com.gate2.library.lse.ac.uk/science/journal/07493797/3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documents/" TargetMode="External"/><Relationship Id="rId22" Type="http://schemas.openxmlformats.org/officeDocument/2006/relationships/hyperlink" Target="http://www.pzweb.harvard.edu/Research/REAP.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il.lse.ac.uk/owa/redir.aspx?C=HOQdquzzB0uIZJiz8Cu30HHWrqMSONEIYdfb9UCEHZe2SB1AfqA7_57IFBZ9mnoR51uEMsIKg9I.&amp;URL=http%3a%2f%2fwww.nice.org.uk%2fnicemedia%2fpdf%2fcg023fullguideline.pdf" TargetMode="External"/><Relationship Id="rId2" Type="http://schemas.openxmlformats.org/officeDocument/2006/relationships/hyperlink" Target="file:///D:/Consultancy%20work/Arts/DCMS/DCMS2/Results/Unit%20costs%20health.pdf" TargetMode="External"/><Relationship Id="rId1" Type="http://schemas.openxmlformats.org/officeDocument/2006/relationships/hyperlink" Target="https://mail.lse.ac.uk/owa/redir.aspx?C=53xIHQ_C5Uye6xsapzquEThWQ3NpNtEIzAAwRlBoR7o4Ar5dkoqbHYrVk3IkpmHkNtwZpPlbEFU.&amp;URL=http%3a%2f%2fwww.nice.org.uk%2fniceMedia%2fpdf%2fGuidelinesManualChapter8.pdf" TargetMode="External"/><Relationship Id="rId5" Type="http://schemas.openxmlformats.org/officeDocument/2006/relationships/hyperlink" Target="http://www.hmrc.gov.uk/exrate/exchangerates-0910.pdf" TargetMode="External"/><Relationship Id="rId4" Type="http://schemas.openxmlformats.org/officeDocument/2006/relationships/hyperlink" Target="https://www.gov.uk/government/publications/university-degrees-impact-on-lifecycle-of-ea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A1E7-C09E-4404-94EF-883868BC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20212</Words>
  <Characters>115212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135154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Fujiwara</dc:creator>
  <cp:lastModifiedBy>Tonia Davison</cp:lastModifiedBy>
  <cp:revision>3</cp:revision>
  <cp:lastPrinted>2015-07-17T10:02:00Z</cp:lastPrinted>
  <dcterms:created xsi:type="dcterms:W3CDTF">2015-07-17T10:02:00Z</dcterms:created>
  <dcterms:modified xsi:type="dcterms:W3CDTF">2015-07-17T10:02:00Z</dcterms:modified>
</cp:coreProperties>
</file>