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70" w:rsidRDefault="00926BB8" w:rsidP="007C6DED">
      <w:pPr>
        <w:jc w:val="center"/>
        <w:rPr>
          <w:rFonts w:ascii="Arial" w:hAnsi="Arial" w:cs="Arial"/>
          <w:b/>
        </w:rPr>
      </w:pPr>
      <w:bookmarkStart w:id="0" w:name="_GoBack"/>
      <w:bookmarkEnd w:id="0"/>
      <w:r>
        <w:rPr>
          <w:rFonts w:ascii="Arial" w:hAnsi="Arial" w:cs="Arial"/>
          <w:b/>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-695325</wp:posOffset>
            </wp:positionV>
            <wp:extent cx="1948815" cy="2146935"/>
            <wp:effectExtent l="0" t="0" r="0" b="5715"/>
            <wp:wrapNone/>
            <wp:docPr id="19" name="Picture 19" descr="NIO_281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O_281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815" cy="2146935"/>
                    </a:xfrm>
                    <a:prstGeom prst="rect">
                      <a:avLst/>
                    </a:prstGeom>
                    <a:noFill/>
                  </pic:spPr>
                </pic:pic>
              </a:graphicData>
            </a:graphic>
          </wp:anchor>
        </w:drawing>
      </w:r>
    </w:p>
    <w:p w:rsidR="00546A70" w:rsidRDefault="00546A70" w:rsidP="00921824">
      <w:pPr>
        <w:jc w:val="center"/>
        <w:rPr>
          <w:rFonts w:ascii="Arial" w:hAnsi="Arial" w:cs="Arial"/>
          <w:b/>
        </w:rPr>
      </w:pPr>
    </w:p>
    <w:p w:rsidR="00546A70" w:rsidRDefault="00546A70" w:rsidP="00921824">
      <w:pPr>
        <w:jc w:val="center"/>
        <w:rPr>
          <w:rFonts w:ascii="Arial" w:hAnsi="Arial" w:cs="Arial"/>
          <w:b/>
        </w:rPr>
      </w:pPr>
    </w:p>
    <w:p w:rsidR="00546A70" w:rsidRDefault="00546A70" w:rsidP="00921824">
      <w:pPr>
        <w:jc w:val="center"/>
        <w:rPr>
          <w:rFonts w:ascii="Arial" w:hAnsi="Arial" w:cs="Arial"/>
          <w:b/>
        </w:rPr>
      </w:pPr>
    </w:p>
    <w:p w:rsidR="00546A70" w:rsidRDefault="00546A70" w:rsidP="00921824">
      <w:pPr>
        <w:jc w:val="center"/>
        <w:rPr>
          <w:rFonts w:ascii="Arial" w:hAnsi="Arial" w:cs="Arial"/>
          <w:b/>
        </w:rPr>
      </w:pPr>
    </w:p>
    <w:p w:rsidR="00546A70" w:rsidRDefault="00546A70" w:rsidP="00921824">
      <w:pPr>
        <w:jc w:val="center"/>
        <w:rPr>
          <w:rFonts w:ascii="Arial" w:hAnsi="Arial" w:cs="Arial"/>
          <w:b/>
        </w:rPr>
      </w:pPr>
    </w:p>
    <w:p w:rsidR="00546A70" w:rsidRDefault="00546A70" w:rsidP="00921824">
      <w:pPr>
        <w:jc w:val="center"/>
        <w:rPr>
          <w:rFonts w:ascii="Arial" w:hAnsi="Arial" w:cs="Arial"/>
          <w:b/>
        </w:rPr>
      </w:pPr>
    </w:p>
    <w:p w:rsidR="00546A70" w:rsidRDefault="00546A70" w:rsidP="00921824">
      <w:pPr>
        <w:jc w:val="center"/>
        <w:rPr>
          <w:rFonts w:ascii="Arial" w:hAnsi="Arial" w:cs="Arial"/>
          <w:b/>
        </w:rPr>
      </w:pPr>
    </w:p>
    <w:p w:rsidR="00217918" w:rsidRDefault="00217918" w:rsidP="00921824">
      <w:pPr>
        <w:jc w:val="center"/>
        <w:rPr>
          <w:rFonts w:ascii="Arial" w:hAnsi="Arial" w:cs="Arial"/>
          <w:b/>
        </w:rPr>
      </w:pPr>
    </w:p>
    <w:p w:rsidR="00217918" w:rsidRDefault="00217918" w:rsidP="00921824">
      <w:pPr>
        <w:jc w:val="center"/>
        <w:rPr>
          <w:rFonts w:ascii="Arial" w:hAnsi="Arial" w:cs="Arial"/>
          <w:b/>
        </w:rPr>
      </w:pPr>
    </w:p>
    <w:p w:rsidR="00546A70" w:rsidRDefault="00546A70" w:rsidP="00921824">
      <w:pPr>
        <w:jc w:val="center"/>
        <w:rPr>
          <w:rFonts w:ascii="Arial" w:hAnsi="Arial" w:cs="Arial"/>
          <w:b/>
        </w:rPr>
      </w:pPr>
    </w:p>
    <w:p w:rsidR="00546A70" w:rsidRDefault="00546A70" w:rsidP="004D3E44">
      <w:pPr>
        <w:ind w:left="4140"/>
        <w:rPr>
          <w:rFonts w:ascii="Arial Bold" w:hAnsi="Arial Bold" w:cs="Arial"/>
          <w:b/>
          <w:color w:val="FFFFFF"/>
        </w:rPr>
      </w:pPr>
      <w:r w:rsidRPr="00546A70">
        <w:rPr>
          <w:rFonts w:ascii="Arial Bold" w:hAnsi="Arial Bold" w:cs="Arial"/>
          <w:b/>
          <w:color w:val="FFFFFF"/>
        </w:rPr>
        <w:t>CONSULTATION PAPER</w:t>
      </w:r>
    </w:p>
    <w:p w:rsidR="00546A70" w:rsidRDefault="00546A70" w:rsidP="00546A70">
      <w:pPr>
        <w:rPr>
          <w:rFonts w:ascii="Arial Bold" w:hAnsi="Arial Bold" w:cs="Arial"/>
          <w:b/>
          <w:color w:val="FFFFFF"/>
        </w:rPr>
      </w:pPr>
    </w:p>
    <w:p w:rsidR="00FD5489" w:rsidRDefault="00BC5F5F" w:rsidP="00546A70">
      <w:pPr>
        <w:rPr>
          <w:rFonts w:ascii="Arial Bold" w:hAnsi="Arial Bold" w:cs="Arial"/>
          <w:b/>
          <w:color w:val="FFFFFF"/>
        </w:rPr>
      </w:pPr>
      <w:r>
        <w:rPr>
          <w:rFonts w:ascii="Arial Bold" w:hAnsi="Arial Bold" w:cs="Arial"/>
          <w:b/>
          <w:noProof/>
          <w:color w:val="FFFFF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-525780</wp:posOffset>
                </wp:positionV>
                <wp:extent cx="7063740" cy="760095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740" cy="7600950"/>
                        </a:xfrm>
                        <a:prstGeom prst="rect">
                          <a:avLst/>
                        </a:prstGeom>
                        <a:gradFill rotWithShape="1">
                          <a:gsLst>
                            <a:gs pos="0">
                              <a:srgbClr val="002D66"/>
                            </a:gs>
                            <a:gs pos="100000">
                              <a:srgbClr val="00889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05C" w:rsidRPr="007C6DED" w:rsidRDefault="006F105C" w:rsidP="00217918">
                            <w:pPr>
                              <w:jc w:val="right"/>
                              <w:rPr>
                                <w:rFonts w:ascii="Arial" w:hAnsi="Arial" w:cs="Arial"/>
                                <w:color w:val="F2F2F2" w:themeColor="background1" w:themeShade="F2"/>
                                <w:sz w:val="72"/>
                                <w:szCs w:val="72"/>
                              </w:rPr>
                            </w:pPr>
                            <w:r w:rsidRPr="007C6DED">
                              <w:rPr>
                                <w:rFonts w:ascii="Arial" w:hAnsi="Arial" w:cs="Arial"/>
                                <w:color w:val="F2F2F2" w:themeColor="background1" w:themeShade="F2"/>
                                <w:sz w:val="72"/>
                                <w:szCs w:val="72"/>
                              </w:rPr>
                              <w:t>CONSULTATION PAPER</w:t>
                            </w:r>
                          </w:p>
                          <w:p w:rsidR="006F105C" w:rsidRPr="007C6DED" w:rsidRDefault="006F105C" w:rsidP="00217918">
                            <w:pPr>
                              <w:jc w:val="right"/>
                              <w:rPr>
                                <w:rFonts w:ascii="Arial" w:hAnsi="Arial" w:cs="Arial"/>
                                <w:color w:val="F2F2F2" w:themeColor="background1" w:themeShade="F2"/>
                                <w:sz w:val="72"/>
                                <w:szCs w:val="72"/>
                              </w:rPr>
                            </w:pPr>
                          </w:p>
                          <w:p w:rsidR="006F105C" w:rsidRPr="007C6DED" w:rsidRDefault="006F105C" w:rsidP="00217918">
                            <w:pPr>
                              <w:jc w:val="right"/>
                              <w:rPr>
                                <w:rFonts w:ascii="Arial" w:hAnsi="Arial" w:cs="Arial"/>
                                <w:color w:val="F2F2F2" w:themeColor="background1" w:themeShade="F2"/>
                                <w:sz w:val="72"/>
                                <w:szCs w:val="72"/>
                              </w:rPr>
                            </w:pPr>
                            <w:r w:rsidRPr="007C6DED">
                              <w:rPr>
                                <w:rFonts w:ascii="Arial" w:hAnsi="Arial" w:cs="Arial"/>
                                <w:color w:val="F2F2F2" w:themeColor="background1" w:themeShade="F2"/>
                                <w:sz w:val="72"/>
                                <w:szCs w:val="72"/>
                              </w:rPr>
                              <w:t>Non – jury trial provisions</w:t>
                            </w:r>
                          </w:p>
                          <w:p w:rsidR="006F105C" w:rsidRDefault="006F105C" w:rsidP="00217918">
                            <w:pPr>
                              <w:jc w:val="right"/>
                              <w:rPr>
                                <w:rFonts w:ascii="Arial" w:hAnsi="Arial" w:cs="Arial"/>
                                <w:color w:val="F2F2F2" w:themeColor="background1" w:themeShade="F2"/>
                                <w:sz w:val="72"/>
                                <w:szCs w:val="72"/>
                              </w:rPr>
                            </w:pPr>
                            <w:r w:rsidRPr="007C6DED">
                              <w:rPr>
                                <w:rFonts w:ascii="Arial" w:hAnsi="Arial" w:cs="Arial"/>
                                <w:color w:val="F2F2F2" w:themeColor="background1" w:themeShade="F2"/>
                                <w:sz w:val="72"/>
                                <w:szCs w:val="72"/>
                              </w:rPr>
                              <w:t xml:space="preserve">Justice and Security </w:t>
                            </w:r>
                          </w:p>
                          <w:p w:rsidR="006F105C" w:rsidRDefault="006F105C" w:rsidP="00217918">
                            <w:pPr>
                              <w:jc w:val="right"/>
                              <w:rPr>
                                <w:rFonts w:ascii="Arial" w:hAnsi="Arial" w:cs="Arial"/>
                                <w:sz w:val="72"/>
                                <w:szCs w:val="72"/>
                              </w:rPr>
                            </w:pPr>
                            <w:r w:rsidRPr="007C6DED">
                              <w:rPr>
                                <w:rFonts w:ascii="Arial" w:hAnsi="Arial" w:cs="Arial"/>
                                <w:color w:val="F2F2F2" w:themeColor="background1" w:themeShade="F2"/>
                                <w:sz w:val="72"/>
                                <w:szCs w:val="72"/>
                              </w:rPr>
                              <w:t>(Northern Ireland) Act 2007</w:t>
                            </w:r>
                            <w:r>
                              <w:rPr>
                                <w:rFonts w:ascii="Arial" w:hAnsi="Arial" w:cs="Arial"/>
                                <w:sz w:val="72"/>
                                <w:szCs w:val="72"/>
                              </w:rPr>
                              <w:t xml:space="preserve"> </w:t>
                            </w:r>
                            <w:r w:rsidRPr="00D91D90">
                              <w:rPr>
                                <w:rFonts w:ascii="Arial" w:hAnsi="Arial" w:cs="Arial"/>
                                <w:sz w:val="72"/>
                                <w:szCs w:val="72"/>
                              </w:rPr>
                              <w:t xml:space="preserve"> </w:t>
                            </w: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Pr="00217918" w:rsidRDefault="006F105C" w:rsidP="00217918">
                            <w:pPr>
                              <w:jc w:val="right"/>
                              <w:rPr>
                                <w:rFonts w:ascii="Arial" w:hAnsi="Arial" w:cs="Arial"/>
                                <w:sz w:val="32"/>
                                <w:szCs w:val="3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32"/>
                                <w:szCs w:val="32"/>
                              </w:rPr>
                            </w:pPr>
                          </w:p>
                          <w:p w:rsidR="006F105C" w:rsidRDefault="006F105C" w:rsidP="00217918">
                            <w:pPr>
                              <w:jc w:val="right"/>
                              <w:rPr>
                                <w:rFonts w:ascii="Arial" w:hAnsi="Arial" w:cs="Arial"/>
                                <w:b/>
                                <w:sz w:val="32"/>
                                <w:szCs w:val="32"/>
                              </w:rPr>
                            </w:pPr>
                          </w:p>
                          <w:p w:rsidR="006F105C" w:rsidRPr="00D91D90" w:rsidRDefault="006F105C" w:rsidP="00217918">
                            <w:pPr>
                              <w:jc w:val="right"/>
                              <w:rPr>
                                <w:rFonts w:ascii="Arial" w:hAnsi="Arial" w:cs="Arial"/>
                                <w:sz w:val="32"/>
                                <w:szCs w:val="32"/>
                              </w:rPr>
                            </w:pPr>
                            <w:r w:rsidRPr="00D91D90">
                              <w:rPr>
                                <w:rFonts w:ascii="Arial" w:hAnsi="Arial" w:cs="Arial"/>
                                <w:sz w:val="32"/>
                                <w:szCs w:val="32"/>
                              </w:rPr>
                              <w:t xml:space="preserve">Date in Arial 16pt </w:t>
                            </w:r>
                          </w:p>
                          <w:p w:rsidR="006F105C" w:rsidRDefault="006F105C" w:rsidP="00217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3pt;margin-top:-41.4pt;width:556.2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" fillcolor="#002d66" stroked="f">
                <v:fill color2="#008898" rotate="t" focus="100%" type="gradient"/>
                <v:textbox>
                  <w:txbxContent>
                    <w:p w:rsidR="006F105C" w:rsidRPr="007C6DED" w:rsidRDefault="006F105C" w:rsidP="00217918">
                      <w:pPr>
                        <w:jc w:val="right"/>
                        <w:rPr>
                          <w:rFonts w:ascii="Arial" w:hAnsi="Arial" w:cs="Arial"/>
                          <w:color w:val="F2F2F2" w:themeColor="background1" w:themeShade="F2"/>
                          <w:sz w:val="72"/>
                          <w:szCs w:val="72"/>
                        </w:rPr>
                      </w:pPr>
                      <w:r w:rsidRPr="007C6DED">
                        <w:rPr>
                          <w:rFonts w:ascii="Arial" w:hAnsi="Arial" w:cs="Arial"/>
                          <w:color w:val="F2F2F2" w:themeColor="background1" w:themeShade="F2"/>
                          <w:sz w:val="72"/>
                          <w:szCs w:val="72"/>
                        </w:rPr>
                        <w:t>CONSULTATION PAPER</w:t>
                      </w:r>
                    </w:p>
                    <w:p w:rsidR="006F105C" w:rsidRPr="007C6DED" w:rsidRDefault="006F105C" w:rsidP="00217918">
                      <w:pPr>
                        <w:jc w:val="right"/>
                        <w:rPr>
                          <w:rFonts w:ascii="Arial" w:hAnsi="Arial" w:cs="Arial"/>
                          <w:color w:val="F2F2F2" w:themeColor="background1" w:themeShade="F2"/>
                          <w:sz w:val="72"/>
                          <w:szCs w:val="72"/>
                        </w:rPr>
                      </w:pPr>
                    </w:p>
                    <w:p w:rsidR="006F105C" w:rsidRPr="007C6DED" w:rsidRDefault="006F105C" w:rsidP="00217918">
                      <w:pPr>
                        <w:jc w:val="right"/>
                        <w:rPr>
                          <w:rFonts w:ascii="Arial" w:hAnsi="Arial" w:cs="Arial"/>
                          <w:color w:val="F2F2F2" w:themeColor="background1" w:themeShade="F2"/>
                          <w:sz w:val="72"/>
                          <w:szCs w:val="72"/>
                        </w:rPr>
                      </w:pPr>
                      <w:r w:rsidRPr="007C6DED">
                        <w:rPr>
                          <w:rFonts w:ascii="Arial" w:hAnsi="Arial" w:cs="Arial"/>
                          <w:color w:val="F2F2F2" w:themeColor="background1" w:themeShade="F2"/>
                          <w:sz w:val="72"/>
                          <w:szCs w:val="72"/>
                        </w:rPr>
                        <w:t>Non – jury trial provisions</w:t>
                      </w:r>
                    </w:p>
                    <w:p w:rsidR="006F105C" w:rsidRDefault="006F105C" w:rsidP="00217918">
                      <w:pPr>
                        <w:jc w:val="right"/>
                        <w:rPr>
                          <w:rFonts w:ascii="Arial" w:hAnsi="Arial" w:cs="Arial"/>
                          <w:color w:val="F2F2F2" w:themeColor="background1" w:themeShade="F2"/>
                          <w:sz w:val="72"/>
                          <w:szCs w:val="72"/>
                        </w:rPr>
                      </w:pPr>
                      <w:r w:rsidRPr="007C6DED">
                        <w:rPr>
                          <w:rFonts w:ascii="Arial" w:hAnsi="Arial" w:cs="Arial"/>
                          <w:color w:val="F2F2F2" w:themeColor="background1" w:themeShade="F2"/>
                          <w:sz w:val="72"/>
                          <w:szCs w:val="72"/>
                        </w:rPr>
                        <w:t xml:space="preserve">Justice and Security </w:t>
                      </w:r>
                    </w:p>
                    <w:p w:rsidR="006F105C" w:rsidRDefault="006F105C" w:rsidP="00217918">
                      <w:pPr>
                        <w:jc w:val="right"/>
                        <w:rPr>
                          <w:rFonts w:ascii="Arial" w:hAnsi="Arial" w:cs="Arial"/>
                          <w:sz w:val="72"/>
                          <w:szCs w:val="72"/>
                        </w:rPr>
                      </w:pPr>
                      <w:r w:rsidRPr="007C6DED">
                        <w:rPr>
                          <w:rFonts w:ascii="Arial" w:hAnsi="Arial" w:cs="Arial"/>
                          <w:color w:val="F2F2F2" w:themeColor="background1" w:themeShade="F2"/>
                          <w:sz w:val="72"/>
                          <w:szCs w:val="72"/>
                        </w:rPr>
                        <w:t>(Northern Ireland) Act 2007</w:t>
                      </w:r>
                      <w:r>
                        <w:rPr>
                          <w:rFonts w:ascii="Arial" w:hAnsi="Arial" w:cs="Arial"/>
                          <w:sz w:val="72"/>
                          <w:szCs w:val="72"/>
                        </w:rPr>
                        <w:t xml:space="preserve"> </w:t>
                      </w:r>
                      <w:r w:rsidRPr="00D91D90">
                        <w:rPr>
                          <w:rFonts w:ascii="Arial" w:hAnsi="Arial" w:cs="Arial"/>
                          <w:sz w:val="72"/>
                          <w:szCs w:val="72"/>
                        </w:rPr>
                        <w:t xml:space="preserve"> </w:t>
                      </w: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Default="006F105C" w:rsidP="00217918">
                      <w:pPr>
                        <w:jc w:val="right"/>
                        <w:rPr>
                          <w:rFonts w:ascii="Arial" w:hAnsi="Arial" w:cs="Arial"/>
                          <w:sz w:val="72"/>
                          <w:szCs w:val="72"/>
                        </w:rPr>
                      </w:pPr>
                    </w:p>
                    <w:p w:rsidR="006F105C" w:rsidRPr="00217918" w:rsidRDefault="006F105C" w:rsidP="00217918">
                      <w:pPr>
                        <w:jc w:val="right"/>
                        <w:rPr>
                          <w:rFonts w:ascii="Arial" w:hAnsi="Arial" w:cs="Arial"/>
                          <w:sz w:val="32"/>
                          <w:szCs w:val="3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72"/>
                          <w:szCs w:val="72"/>
                        </w:rPr>
                      </w:pPr>
                    </w:p>
                    <w:p w:rsidR="006F105C" w:rsidRDefault="006F105C" w:rsidP="00217918">
                      <w:pPr>
                        <w:jc w:val="right"/>
                        <w:rPr>
                          <w:rFonts w:ascii="Arial" w:hAnsi="Arial" w:cs="Arial"/>
                          <w:b/>
                          <w:sz w:val="32"/>
                          <w:szCs w:val="32"/>
                        </w:rPr>
                      </w:pPr>
                    </w:p>
                    <w:p w:rsidR="006F105C" w:rsidRDefault="006F105C" w:rsidP="00217918">
                      <w:pPr>
                        <w:jc w:val="right"/>
                        <w:rPr>
                          <w:rFonts w:ascii="Arial" w:hAnsi="Arial" w:cs="Arial"/>
                          <w:b/>
                          <w:sz w:val="32"/>
                          <w:szCs w:val="32"/>
                        </w:rPr>
                      </w:pPr>
                    </w:p>
                    <w:p w:rsidR="006F105C" w:rsidRPr="00D91D90" w:rsidRDefault="006F105C" w:rsidP="00217918">
                      <w:pPr>
                        <w:jc w:val="right"/>
                        <w:rPr>
                          <w:rFonts w:ascii="Arial" w:hAnsi="Arial" w:cs="Arial"/>
                          <w:sz w:val="32"/>
                          <w:szCs w:val="32"/>
                        </w:rPr>
                      </w:pPr>
                      <w:r w:rsidRPr="00D91D90">
                        <w:rPr>
                          <w:rFonts w:ascii="Arial" w:hAnsi="Arial" w:cs="Arial"/>
                          <w:sz w:val="32"/>
                          <w:szCs w:val="32"/>
                        </w:rPr>
                        <w:t xml:space="preserve">Date in Arial 16pt </w:t>
                      </w:r>
                    </w:p>
                    <w:p w:rsidR="006F105C" w:rsidRDefault="006F105C" w:rsidP="00217918"/>
                  </w:txbxContent>
                </v:textbox>
              </v:rect>
            </w:pict>
          </mc:Fallback>
        </mc:AlternateContent>
      </w:r>
    </w:p>
    <w:p w:rsidR="00FD5489" w:rsidRDefault="00FD5489" w:rsidP="00546A70">
      <w:pPr>
        <w:rPr>
          <w:rFonts w:ascii="Arial Bold" w:hAnsi="Arial Bold" w:cs="Arial"/>
          <w:b/>
          <w:color w:val="FFFFFF"/>
        </w:rPr>
      </w:pPr>
    </w:p>
    <w:p w:rsidR="00FD5489" w:rsidRDefault="00FD5489" w:rsidP="00546A70">
      <w:pPr>
        <w:rPr>
          <w:rFonts w:ascii="Arial Bold" w:hAnsi="Arial Bold" w:cs="Arial"/>
          <w:b/>
          <w:color w:val="FFFFFF"/>
        </w:rPr>
      </w:pPr>
    </w:p>
    <w:p w:rsidR="00FD5489" w:rsidRDefault="00FD5489" w:rsidP="00546A70">
      <w:pP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4D3E44" w:rsidP="004D3E44">
      <w:pPr>
        <w:tabs>
          <w:tab w:val="left" w:pos="6525"/>
        </w:tabs>
        <w:ind w:left="4140"/>
        <w:rPr>
          <w:rFonts w:ascii="Arial Bold" w:hAnsi="Arial Bold" w:cs="Arial"/>
          <w:b/>
          <w:color w:val="FFFFFF"/>
        </w:rPr>
      </w:pPr>
      <w:r>
        <w:rPr>
          <w:rFonts w:ascii="Arial Bold" w:hAnsi="Arial Bold" w:cs="Arial"/>
          <w:b/>
          <w:color w:val="FFFFFF"/>
        </w:rPr>
        <w:t xml:space="preserve">CODE OF PRACTICE FOR THE EXERCISE OF POWERS IN THE JUSTICE AND SECURITY (NORTHERN IRELAND) ACT </w:t>
      </w: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546A70" w:rsidP="00546A70">
      <w:pPr>
        <w:jc w:val="center"/>
        <w:rPr>
          <w:rFonts w:ascii="Arial Bold" w:hAnsi="Arial Bold" w:cs="Arial"/>
          <w:b/>
          <w:color w:val="FFFFFF"/>
        </w:rPr>
      </w:pPr>
    </w:p>
    <w:p w:rsidR="00546A70" w:rsidRDefault="004D3E44" w:rsidP="004D3E44">
      <w:pPr>
        <w:ind w:left="4140"/>
        <w:rPr>
          <w:rFonts w:ascii="Arial Bold" w:hAnsi="Arial Bold" w:cs="Arial"/>
          <w:b/>
          <w:color w:val="FFFFFF"/>
        </w:rPr>
      </w:pPr>
      <w:r>
        <w:rPr>
          <w:rFonts w:ascii="Arial Bold" w:hAnsi="Arial Bold" w:cs="Arial"/>
          <w:b/>
          <w:color w:val="FFFFFF"/>
        </w:rPr>
        <w:t>December 2012</w:t>
      </w:r>
    </w:p>
    <w:p w:rsidR="007C6DED" w:rsidRPr="007C6DED" w:rsidRDefault="00546A70" w:rsidP="007C6DED">
      <w:pPr>
        <w:spacing w:line="360" w:lineRule="auto"/>
        <w:rPr>
          <w:rFonts w:ascii="Arial" w:hAnsi="Arial" w:cs="Arial"/>
          <w:b/>
        </w:rPr>
      </w:pPr>
      <w:r>
        <w:rPr>
          <w:rFonts w:ascii="Arial" w:hAnsi="Arial" w:cs="Arial"/>
          <w:b/>
        </w:rPr>
        <w:br w:type="page"/>
      </w:r>
    </w:p>
    <w:p w:rsidR="007C6DED" w:rsidRDefault="007C6DED" w:rsidP="007C6DED">
      <w:pPr>
        <w:rPr>
          <w:rFonts w:ascii="Arial" w:hAnsi="Arial" w:cs="Arial"/>
          <w:b/>
          <w:bCs/>
          <w:color w:val="000000"/>
          <w:sz w:val="28"/>
        </w:rPr>
      </w:pPr>
      <w:r w:rsidRPr="007C6DED">
        <w:rPr>
          <w:rFonts w:ascii="Arial" w:hAnsi="Arial" w:cs="Arial"/>
          <w:b/>
          <w:bCs/>
          <w:color w:val="000000"/>
          <w:sz w:val="32"/>
        </w:rPr>
        <w:lastRenderedPageBreak/>
        <w:t>Non – jury trial provisions in Northern Ireland</w:t>
      </w:r>
    </w:p>
    <w:p w:rsidR="007C6DED" w:rsidRDefault="007C6DED" w:rsidP="007C6DED">
      <w:pPr>
        <w:spacing w:line="360" w:lineRule="auto"/>
        <w:rPr>
          <w:rFonts w:ascii="Arial" w:hAnsi="Arial" w:cs="Arial"/>
          <w:color w:val="000000"/>
        </w:rPr>
      </w:pPr>
    </w:p>
    <w:p w:rsidR="007C6DED" w:rsidRDefault="007C6DED" w:rsidP="007C6DED">
      <w:pPr>
        <w:spacing w:line="360" w:lineRule="auto"/>
        <w:rPr>
          <w:rFonts w:ascii="Arial" w:hAnsi="Arial" w:cs="Arial"/>
          <w:color w:val="000000"/>
        </w:rPr>
      </w:pPr>
      <w:r>
        <w:rPr>
          <w:rFonts w:ascii="Arial" w:hAnsi="Arial" w:cs="Arial"/>
          <w:color w:val="000000"/>
        </w:rPr>
        <w:t xml:space="preserve">The Northern Ireland Office is seeking your views on non-jury trial provisions contained within the Justice and Security (Northern Ireland) Act 2007. These provisions are temporary, however may be extended for a period of two years by Order approved in both Houses of Parliament. The provisions were last extended in July 2015. At that time, a commitment was made to hold a full public consultation prior to the </w:t>
      </w:r>
      <w:r w:rsidR="004102E7">
        <w:rPr>
          <w:rFonts w:ascii="Arial" w:hAnsi="Arial" w:cs="Arial"/>
          <w:color w:val="000000"/>
        </w:rPr>
        <w:t>next expiry of the provisions</w:t>
      </w:r>
      <w:r>
        <w:rPr>
          <w:rFonts w:ascii="Arial" w:hAnsi="Arial" w:cs="Arial"/>
          <w:color w:val="000000"/>
        </w:rPr>
        <w:t xml:space="preserve"> in July 2017</w:t>
      </w:r>
      <w:r w:rsidR="00DE1843">
        <w:rPr>
          <w:rFonts w:ascii="Arial" w:hAnsi="Arial" w:cs="Arial"/>
          <w:color w:val="000000"/>
        </w:rPr>
        <w:t>.</w:t>
      </w:r>
    </w:p>
    <w:p w:rsidR="00DE1843" w:rsidRDefault="00DE1843" w:rsidP="007C6DED">
      <w:pPr>
        <w:spacing w:line="360" w:lineRule="auto"/>
      </w:pPr>
    </w:p>
    <w:p w:rsidR="007C6DED" w:rsidRDefault="007C6DED" w:rsidP="007C6DED">
      <w:pPr>
        <w:spacing w:line="360" w:lineRule="auto"/>
        <w:rPr>
          <w:rFonts w:ascii="Arial" w:hAnsi="Arial" w:cs="Arial"/>
          <w:color w:val="000000"/>
        </w:rPr>
      </w:pPr>
      <w:r>
        <w:rPr>
          <w:rFonts w:ascii="Arial" w:hAnsi="Arial" w:cs="Arial"/>
          <w:color w:val="000000"/>
        </w:rPr>
        <w:t xml:space="preserve">The provisions under the 2007 Act allow the Director of Public Prosecutions for Northern Ireland (DPP) to certify that a trial on indictment is to be conducted without a jury in a specific case, </w:t>
      </w:r>
      <w:r w:rsidR="009025A9">
        <w:rPr>
          <w:rFonts w:ascii="Arial" w:hAnsi="Arial" w:cs="Arial"/>
          <w:color w:val="000000"/>
        </w:rPr>
        <w:t>provided</w:t>
      </w:r>
      <w:r w:rsidR="005F6C87">
        <w:rPr>
          <w:rFonts w:ascii="Arial" w:hAnsi="Arial" w:cs="Arial"/>
          <w:color w:val="000000"/>
        </w:rPr>
        <w:t xml:space="preserve"> </w:t>
      </w:r>
      <w:r>
        <w:rPr>
          <w:rFonts w:ascii="Arial" w:hAnsi="Arial" w:cs="Arial"/>
          <w:color w:val="000000"/>
        </w:rPr>
        <w:t xml:space="preserve">a statutory test is met. Today in Northern Ireland, there is a strong presumption for jury trials in all cases, with less than 2% of all Crown Court cases per year held without a jury. However, the severe threat from Northern Ireland related terrorism and the presence of violent paramilitary groups continues to pose risks to the criminal justice system which can necessitate non-jury trials in a small number of cases. </w:t>
      </w:r>
    </w:p>
    <w:p w:rsidR="007C6DED" w:rsidRDefault="007C6DED" w:rsidP="007C6DED">
      <w:pPr>
        <w:spacing w:line="360" w:lineRule="auto"/>
      </w:pPr>
    </w:p>
    <w:p w:rsidR="007C6DED" w:rsidRDefault="007C6DED" w:rsidP="007C6DED">
      <w:pPr>
        <w:spacing w:line="360" w:lineRule="auto"/>
        <w:rPr>
          <w:rFonts w:ascii="Arial" w:hAnsi="Arial" w:cs="Arial"/>
          <w:b/>
          <w:bCs/>
          <w:color w:val="000000"/>
        </w:rPr>
      </w:pPr>
      <w:r>
        <w:rPr>
          <w:rFonts w:ascii="Arial" w:hAnsi="Arial" w:cs="Arial"/>
          <w:b/>
          <w:bCs/>
          <w:color w:val="000000"/>
        </w:rPr>
        <w:t>We are seeking your views on a proposal to extend the non – jury trial p</w:t>
      </w:r>
      <w:r w:rsidR="005F6C87">
        <w:rPr>
          <w:rFonts w:ascii="Arial" w:hAnsi="Arial" w:cs="Arial"/>
          <w:b/>
          <w:bCs/>
          <w:color w:val="000000"/>
        </w:rPr>
        <w:t xml:space="preserve">rovisions under the 2007 Act </w:t>
      </w:r>
      <w:r>
        <w:rPr>
          <w:rFonts w:ascii="Arial" w:hAnsi="Arial" w:cs="Arial"/>
          <w:b/>
          <w:bCs/>
          <w:color w:val="000000"/>
        </w:rPr>
        <w:t>for a further two years.</w:t>
      </w:r>
    </w:p>
    <w:p w:rsidR="007C6DED" w:rsidRDefault="007C6DED" w:rsidP="007C6DED">
      <w:pPr>
        <w:spacing w:line="360" w:lineRule="auto"/>
      </w:pPr>
    </w:p>
    <w:p w:rsidR="007C6DED" w:rsidRDefault="007C6DED" w:rsidP="007C6DED">
      <w:pPr>
        <w:spacing w:line="360" w:lineRule="auto"/>
      </w:pPr>
      <w:r>
        <w:rPr>
          <w:rFonts w:ascii="Arial" w:hAnsi="Arial" w:cs="Arial"/>
          <w:color w:val="000000"/>
        </w:rPr>
        <w:t xml:space="preserve">As part of our consultation on this proposal we welcome views on whether the conditions in the statutory test for the DPP to issue a non-jury trial certificate (in Section 1 of the 2007 Act) and the current grounds on which the DPP’s decision to issue a certificate may be challenged (in Section 7 of the 2007 Act) remain appropriate (see further information below for full detail of how these provisions currently operate). The Northern Ireland Office is in the process of reviewing these specific aspects of the provisions. Our review has so far indicated that </w:t>
      </w:r>
      <w:r w:rsidR="00DE1843">
        <w:rPr>
          <w:rFonts w:ascii="Arial" w:hAnsi="Arial" w:cs="Arial"/>
          <w:color w:val="000000"/>
        </w:rPr>
        <w:t xml:space="preserve">the </w:t>
      </w:r>
      <w:r>
        <w:rPr>
          <w:rFonts w:ascii="Arial" w:hAnsi="Arial" w:cs="Arial"/>
          <w:color w:val="000000"/>
        </w:rPr>
        <w:t xml:space="preserve">conditions in the DPP’s statutory test remain relevant and that the grounds for challenge are in line with current case law (see below for further information on our initial review). </w:t>
      </w:r>
      <w:r w:rsidR="00635E7D">
        <w:rPr>
          <w:rFonts w:ascii="Arial" w:hAnsi="Arial" w:cs="Arial"/>
          <w:color w:val="000000"/>
        </w:rPr>
        <w:t xml:space="preserve"> </w:t>
      </w:r>
      <w:r w:rsidR="00635E7D" w:rsidRPr="006F105C">
        <w:rPr>
          <w:rFonts w:ascii="Arial" w:hAnsi="Arial" w:cs="Arial"/>
          <w:b/>
          <w:color w:val="000000"/>
        </w:rPr>
        <w:t>Any views submitted as part of this consultation will also inform a decision on whether any amendment by primary legislation is required.</w:t>
      </w:r>
      <w:r w:rsidR="001E39E0">
        <w:rPr>
          <w:rFonts w:ascii="Arial" w:hAnsi="Arial" w:cs="Arial"/>
          <w:color w:val="000000"/>
        </w:rPr>
        <w:t xml:space="preserve">  If the decision is that amendment of the provisions is required, the Government would seek to bring forward legislative provision to make such </w:t>
      </w:r>
      <w:r w:rsidR="001E39E0">
        <w:rPr>
          <w:rFonts w:ascii="Arial" w:hAnsi="Arial" w:cs="Arial"/>
          <w:color w:val="000000"/>
        </w:rPr>
        <w:lastRenderedPageBreak/>
        <w:t xml:space="preserve">amendment but as this would require primary legislation this is unlikely to happen before any </w:t>
      </w:r>
      <w:r w:rsidR="00DE1843">
        <w:rPr>
          <w:rFonts w:ascii="Arial" w:hAnsi="Arial" w:cs="Arial"/>
          <w:color w:val="000000"/>
        </w:rPr>
        <w:t xml:space="preserve">further </w:t>
      </w:r>
      <w:r w:rsidR="001E39E0">
        <w:rPr>
          <w:rFonts w:ascii="Arial" w:hAnsi="Arial" w:cs="Arial"/>
          <w:color w:val="000000"/>
        </w:rPr>
        <w:t>extension of the provisions in July 2017.</w:t>
      </w:r>
    </w:p>
    <w:p w:rsidR="007C6DED" w:rsidRDefault="007C6DED" w:rsidP="007C6DED">
      <w:pPr>
        <w:spacing w:line="360" w:lineRule="auto"/>
      </w:pPr>
    </w:p>
    <w:p w:rsidR="00885230" w:rsidRPr="00635E7D" w:rsidRDefault="00885230" w:rsidP="00635E7D">
      <w:pPr>
        <w:spacing w:line="360" w:lineRule="auto"/>
        <w:rPr>
          <w:rFonts w:ascii="Arial" w:hAnsi="Arial" w:cs="Arial"/>
          <w:iCs/>
          <w:color w:val="000000"/>
        </w:rPr>
      </w:pPr>
      <w:r>
        <w:rPr>
          <w:rFonts w:ascii="Arial" w:hAnsi="Arial" w:cs="Arial"/>
          <w:iCs/>
          <w:color w:val="000000"/>
        </w:rPr>
        <w:t>I</w:t>
      </w:r>
      <w:r w:rsidR="00635E7D" w:rsidRPr="00635E7D">
        <w:rPr>
          <w:rFonts w:ascii="Arial" w:hAnsi="Arial" w:cs="Arial"/>
          <w:iCs/>
          <w:color w:val="000000"/>
        </w:rPr>
        <w:t>n accordance with Section 75 of the Northern Ireland Act 1998</w:t>
      </w:r>
      <w:r>
        <w:rPr>
          <w:rFonts w:ascii="Arial" w:hAnsi="Arial" w:cs="Arial"/>
          <w:iCs/>
          <w:color w:val="000000"/>
        </w:rPr>
        <w:t>, the Northern Ireland Office has undertaken an Equality Screen</w:t>
      </w:r>
      <w:r w:rsidR="006F105C">
        <w:rPr>
          <w:rFonts w:ascii="Arial" w:hAnsi="Arial" w:cs="Arial"/>
          <w:iCs/>
          <w:color w:val="000000"/>
        </w:rPr>
        <w:t>ing</w:t>
      </w:r>
      <w:r>
        <w:rPr>
          <w:rFonts w:ascii="Arial" w:hAnsi="Arial" w:cs="Arial"/>
          <w:iCs/>
          <w:color w:val="000000"/>
        </w:rPr>
        <w:t xml:space="preserve"> exercise</w:t>
      </w:r>
      <w:r w:rsidRPr="00635E7D">
        <w:rPr>
          <w:rStyle w:val="FootnoteReference"/>
          <w:rFonts w:ascii="Arial" w:hAnsi="Arial" w:cs="Arial"/>
          <w:iCs/>
          <w:color w:val="000000"/>
        </w:rPr>
        <w:footnoteReference w:id="1"/>
      </w:r>
      <w:r>
        <w:rPr>
          <w:rFonts w:ascii="Arial" w:hAnsi="Arial" w:cs="Arial"/>
          <w:iCs/>
          <w:color w:val="000000"/>
        </w:rPr>
        <w:t xml:space="preserve"> prior to the launch of this consultation to </w:t>
      </w:r>
      <w:r w:rsidR="006F105C">
        <w:rPr>
          <w:rFonts w:ascii="Arial" w:hAnsi="Arial" w:cs="Arial"/>
        </w:rPr>
        <w:t>indicate whether or not there are likely equality of opportunity and/or good relations impacts associated with extending the non-jury trial provisions</w:t>
      </w:r>
      <w:r>
        <w:rPr>
          <w:rFonts w:ascii="Arial" w:hAnsi="Arial" w:cs="Arial"/>
          <w:iCs/>
          <w:color w:val="000000"/>
        </w:rPr>
        <w:t xml:space="preserve">. </w:t>
      </w:r>
      <w:r w:rsidR="006F105C">
        <w:rPr>
          <w:rFonts w:ascii="Arial" w:hAnsi="Arial" w:cs="Arial"/>
          <w:iCs/>
          <w:color w:val="000000"/>
        </w:rPr>
        <w:t xml:space="preserve">The provisional outcome of the screening exercise is that the likely impact of extending the provisions is “minor” in respect of 2 of the section 75 categories (religious belief and political opinion) </w:t>
      </w:r>
      <w:r w:rsidR="00AA6F28">
        <w:rPr>
          <w:rFonts w:ascii="Arial" w:hAnsi="Arial" w:cs="Arial"/>
        </w:rPr>
        <w:t>i.e. the</w:t>
      </w:r>
      <w:r w:rsidR="00AA6F28" w:rsidRPr="00E464EB">
        <w:rPr>
          <w:rFonts w:ascii="Arial" w:hAnsi="Arial" w:cs="Arial"/>
        </w:rPr>
        <w:t xml:space="preserve"> policy is not unlawfully discriminatory and any residual potential impacts on people are judged to be negligible</w:t>
      </w:r>
      <w:r w:rsidR="00AA6F28">
        <w:rPr>
          <w:rFonts w:ascii="Arial" w:hAnsi="Arial" w:cs="Arial"/>
        </w:rPr>
        <w:t>,</w:t>
      </w:r>
      <w:r w:rsidR="00AA6F28">
        <w:rPr>
          <w:rFonts w:ascii="Arial" w:hAnsi="Arial" w:cs="Arial"/>
          <w:iCs/>
          <w:color w:val="000000"/>
        </w:rPr>
        <w:t xml:space="preserve"> </w:t>
      </w:r>
      <w:r w:rsidR="006F105C">
        <w:rPr>
          <w:rFonts w:ascii="Arial" w:hAnsi="Arial" w:cs="Arial"/>
          <w:iCs/>
          <w:color w:val="000000"/>
        </w:rPr>
        <w:t xml:space="preserve">and “none” in respect of the other categories. </w:t>
      </w:r>
      <w:r>
        <w:rPr>
          <w:rFonts w:ascii="Arial" w:hAnsi="Arial" w:cs="Arial"/>
          <w:iCs/>
          <w:color w:val="000000"/>
        </w:rPr>
        <w:t>To help inform this</w:t>
      </w:r>
      <w:r w:rsidR="006F105C">
        <w:rPr>
          <w:rFonts w:ascii="Arial" w:hAnsi="Arial" w:cs="Arial"/>
          <w:iCs/>
          <w:color w:val="000000"/>
        </w:rPr>
        <w:t xml:space="preserve"> screening exercise </w:t>
      </w:r>
      <w:r w:rsidR="004102E7">
        <w:rPr>
          <w:rFonts w:ascii="Arial" w:hAnsi="Arial" w:cs="Arial"/>
          <w:iCs/>
          <w:color w:val="000000"/>
        </w:rPr>
        <w:t>and</w:t>
      </w:r>
      <w:r w:rsidR="006F105C">
        <w:rPr>
          <w:rFonts w:ascii="Arial" w:hAnsi="Arial" w:cs="Arial"/>
          <w:iCs/>
          <w:color w:val="000000"/>
        </w:rPr>
        <w:t xml:space="preserve"> in order to determine whether a full equalities impact assessment is required</w:t>
      </w:r>
      <w:r>
        <w:rPr>
          <w:rFonts w:ascii="Arial" w:hAnsi="Arial" w:cs="Arial"/>
          <w:iCs/>
          <w:color w:val="000000"/>
        </w:rPr>
        <w:t xml:space="preserve">, we are welcoming any views you might have on the potential impact of non – jury trial provisions on equality in Northern Ireland. Following the conclusion of this consultation, we will review this </w:t>
      </w:r>
      <w:r w:rsidR="00AA6F28">
        <w:rPr>
          <w:rFonts w:ascii="Arial" w:hAnsi="Arial" w:cs="Arial"/>
          <w:iCs/>
          <w:color w:val="000000"/>
        </w:rPr>
        <w:t xml:space="preserve">screening </w:t>
      </w:r>
      <w:r>
        <w:rPr>
          <w:rFonts w:ascii="Arial" w:hAnsi="Arial" w:cs="Arial"/>
          <w:iCs/>
          <w:color w:val="000000"/>
        </w:rPr>
        <w:t>exercise to assess whether our initial ass</w:t>
      </w:r>
      <w:r w:rsidR="006F105C">
        <w:rPr>
          <w:rFonts w:ascii="Arial" w:hAnsi="Arial" w:cs="Arial"/>
          <w:iCs/>
          <w:color w:val="000000"/>
        </w:rPr>
        <w:t xml:space="preserve">essment </w:t>
      </w:r>
      <w:r>
        <w:rPr>
          <w:rFonts w:ascii="Arial" w:hAnsi="Arial" w:cs="Arial"/>
          <w:iCs/>
          <w:color w:val="000000"/>
        </w:rPr>
        <w:t xml:space="preserve">made about the </w:t>
      </w:r>
      <w:r w:rsidR="00232065">
        <w:rPr>
          <w:rFonts w:ascii="Arial" w:hAnsi="Arial" w:cs="Arial"/>
          <w:iCs/>
          <w:color w:val="000000"/>
        </w:rPr>
        <w:t xml:space="preserve">likely impact of the provisions </w:t>
      </w:r>
      <w:r w:rsidR="00AA6F28">
        <w:rPr>
          <w:rFonts w:ascii="Arial" w:hAnsi="Arial" w:cs="Arial"/>
          <w:iCs/>
          <w:color w:val="000000"/>
        </w:rPr>
        <w:t>remains</w:t>
      </w:r>
      <w:r>
        <w:rPr>
          <w:rFonts w:ascii="Arial" w:hAnsi="Arial" w:cs="Arial"/>
          <w:iCs/>
          <w:color w:val="000000"/>
        </w:rPr>
        <w:t xml:space="preserve"> accurate. </w:t>
      </w:r>
    </w:p>
    <w:p w:rsidR="00635E7D" w:rsidRDefault="00635E7D" w:rsidP="007C6DED">
      <w:pPr>
        <w:spacing w:line="360" w:lineRule="auto"/>
        <w:rPr>
          <w:rFonts w:ascii="Arial" w:hAnsi="Arial" w:cs="Arial"/>
          <w:b/>
          <w:bCs/>
          <w:color w:val="000000"/>
        </w:rPr>
      </w:pPr>
    </w:p>
    <w:p w:rsidR="007C6DED" w:rsidRPr="00635E7D" w:rsidRDefault="007C6DED" w:rsidP="007C6DED">
      <w:pPr>
        <w:spacing w:line="360" w:lineRule="auto"/>
        <w:rPr>
          <w:rFonts w:ascii="Arial" w:hAnsi="Arial" w:cs="Arial"/>
          <w:b/>
          <w:bCs/>
          <w:color w:val="000000"/>
        </w:rPr>
      </w:pPr>
      <w:r>
        <w:rPr>
          <w:rFonts w:ascii="Arial" w:hAnsi="Arial" w:cs="Arial"/>
          <w:b/>
          <w:bCs/>
          <w:color w:val="000000"/>
        </w:rPr>
        <w:t xml:space="preserve">All views received during this consultation will inform the Secretary of State’s decision on whether it is necessary and appropriate to seek an extension of the provisions through parliament in 2017. </w:t>
      </w:r>
    </w:p>
    <w:p w:rsidR="00635E7D" w:rsidRDefault="00635E7D" w:rsidP="005F6C87">
      <w:pPr>
        <w:spacing w:line="360" w:lineRule="auto"/>
        <w:rPr>
          <w:rFonts w:ascii="Arial" w:hAnsi="Arial" w:cs="Arial"/>
          <w:color w:val="000000"/>
        </w:rPr>
      </w:pPr>
    </w:p>
    <w:p w:rsidR="007C6DED" w:rsidRDefault="007C6DED" w:rsidP="005F6C87">
      <w:pPr>
        <w:spacing w:line="360" w:lineRule="auto"/>
        <w:rPr>
          <w:rFonts w:ascii="Arial" w:hAnsi="Arial" w:cs="Arial"/>
          <w:b/>
          <w:bCs/>
          <w:color w:val="000000"/>
        </w:rPr>
      </w:pPr>
      <w:r>
        <w:rPr>
          <w:rFonts w:ascii="Arial" w:hAnsi="Arial" w:cs="Arial"/>
          <w:color w:val="000000"/>
        </w:rPr>
        <w:t xml:space="preserve">This is a 12 week public consultation which commences on </w:t>
      </w:r>
      <w:r w:rsidR="0031673E" w:rsidRPr="0031673E">
        <w:rPr>
          <w:rFonts w:ascii="Arial" w:hAnsi="Arial" w:cs="Arial"/>
          <w:b/>
          <w:bCs/>
          <w:u w:val="single"/>
        </w:rPr>
        <w:t>16 November 2016</w:t>
      </w:r>
      <w:r w:rsidRPr="0031673E">
        <w:rPr>
          <w:rFonts w:ascii="Arial" w:hAnsi="Arial" w:cs="Arial"/>
          <w:b/>
          <w:bCs/>
        </w:rPr>
        <w:t xml:space="preserve"> </w:t>
      </w:r>
      <w:r>
        <w:rPr>
          <w:rFonts w:ascii="Arial" w:hAnsi="Arial" w:cs="Arial"/>
          <w:color w:val="000000"/>
        </w:rPr>
        <w:t xml:space="preserve">with all replies due no later than </w:t>
      </w:r>
      <w:r w:rsidR="0031673E" w:rsidRPr="0031673E">
        <w:rPr>
          <w:rFonts w:ascii="Arial" w:hAnsi="Arial" w:cs="Arial"/>
          <w:b/>
          <w:bCs/>
          <w:u w:val="single"/>
        </w:rPr>
        <w:t>8 February 201</w:t>
      </w:r>
      <w:r w:rsidR="00714AAD">
        <w:rPr>
          <w:rFonts w:ascii="Arial" w:hAnsi="Arial" w:cs="Arial"/>
          <w:b/>
          <w:bCs/>
          <w:u w:val="single"/>
        </w:rPr>
        <w:t>7</w:t>
      </w:r>
      <w:r>
        <w:rPr>
          <w:rFonts w:ascii="Arial" w:hAnsi="Arial" w:cs="Arial"/>
          <w:b/>
          <w:bCs/>
          <w:color w:val="000000"/>
        </w:rPr>
        <w:t xml:space="preserve">. </w:t>
      </w:r>
    </w:p>
    <w:p w:rsidR="00635E7D" w:rsidRDefault="00635E7D" w:rsidP="005F6C87">
      <w:pPr>
        <w:spacing w:line="360" w:lineRule="auto"/>
        <w:rPr>
          <w:rFonts w:ascii="Arial" w:hAnsi="Arial" w:cs="Arial"/>
          <w:b/>
          <w:bCs/>
          <w:color w:val="000000"/>
        </w:rPr>
      </w:pPr>
    </w:p>
    <w:p w:rsidR="0031673E" w:rsidRDefault="00A27C8B" w:rsidP="00635E7D">
      <w:pPr>
        <w:spacing w:line="360" w:lineRule="auto"/>
        <w:rPr>
          <w:rFonts w:ascii="Arial" w:hAnsi="Arial" w:cs="Arial"/>
          <w:b/>
          <w:bCs/>
          <w:color w:val="000000"/>
        </w:rPr>
      </w:pPr>
      <w:r>
        <w:rPr>
          <w:rFonts w:ascii="Arial" w:hAnsi="Arial" w:cs="Arial"/>
          <w:b/>
          <w:bCs/>
          <w:color w:val="000000"/>
        </w:rPr>
        <w:t xml:space="preserve">Please note, </w:t>
      </w:r>
      <w:r w:rsidR="00DE1843">
        <w:rPr>
          <w:rFonts w:ascii="Arial" w:hAnsi="Arial" w:cs="Arial"/>
          <w:b/>
          <w:bCs/>
          <w:color w:val="000000"/>
        </w:rPr>
        <w:t>responses to this consultation</w:t>
      </w:r>
      <w:r w:rsidR="00AA6F28">
        <w:rPr>
          <w:rFonts w:ascii="Arial" w:hAnsi="Arial" w:cs="Arial"/>
          <w:b/>
          <w:bCs/>
          <w:color w:val="000000"/>
        </w:rPr>
        <w:t>,</w:t>
      </w:r>
      <w:r w:rsidR="00DE1843">
        <w:rPr>
          <w:rFonts w:ascii="Arial" w:hAnsi="Arial" w:cs="Arial"/>
          <w:b/>
          <w:bCs/>
          <w:color w:val="000000"/>
        </w:rPr>
        <w:t xml:space="preserve"> or a summary of such responses</w:t>
      </w:r>
      <w:r w:rsidR="00AA6F28">
        <w:rPr>
          <w:rFonts w:ascii="Arial" w:hAnsi="Arial" w:cs="Arial"/>
          <w:b/>
          <w:bCs/>
          <w:color w:val="000000"/>
        </w:rPr>
        <w:t>,</w:t>
      </w:r>
      <w:r w:rsidR="00DE1843">
        <w:rPr>
          <w:rFonts w:ascii="Arial" w:hAnsi="Arial" w:cs="Arial"/>
          <w:b/>
          <w:bCs/>
          <w:color w:val="000000"/>
        </w:rPr>
        <w:t xml:space="preserve"> may be published in the interests of ensuring an informed and transparent debate</w:t>
      </w:r>
      <w:r>
        <w:rPr>
          <w:rFonts w:ascii="Arial" w:hAnsi="Arial" w:cs="Arial"/>
          <w:b/>
          <w:bCs/>
          <w:color w:val="000000"/>
        </w:rPr>
        <w:t xml:space="preserve">. If you </w:t>
      </w:r>
      <w:r w:rsidRPr="00DE1843">
        <w:rPr>
          <w:rFonts w:ascii="Arial" w:hAnsi="Arial" w:cs="Arial"/>
          <w:b/>
          <w:bCs/>
          <w:color w:val="000000"/>
        </w:rPr>
        <w:t>do not</w:t>
      </w:r>
      <w:r w:rsidR="00AA6F28">
        <w:rPr>
          <w:rFonts w:ascii="Arial" w:hAnsi="Arial" w:cs="Arial"/>
          <w:b/>
          <w:bCs/>
          <w:color w:val="000000"/>
        </w:rPr>
        <w:t xml:space="preserve"> </w:t>
      </w:r>
      <w:r>
        <w:rPr>
          <w:rFonts w:ascii="Arial" w:hAnsi="Arial" w:cs="Arial"/>
          <w:b/>
          <w:bCs/>
          <w:color w:val="000000"/>
        </w:rPr>
        <w:t>wish for your response to be made publicly available</w:t>
      </w:r>
      <w:r w:rsidR="00DE1843">
        <w:rPr>
          <w:rFonts w:ascii="Arial" w:hAnsi="Arial" w:cs="Arial"/>
          <w:b/>
          <w:bCs/>
          <w:color w:val="000000"/>
        </w:rPr>
        <w:t xml:space="preserve"> or for it to be attributed to you</w:t>
      </w:r>
      <w:r>
        <w:rPr>
          <w:rFonts w:ascii="Arial" w:hAnsi="Arial" w:cs="Arial"/>
          <w:b/>
          <w:bCs/>
          <w:color w:val="000000"/>
        </w:rPr>
        <w:t xml:space="preserve">, please clearly state this in your submission. </w:t>
      </w:r>
      <w:r w:rsidR="00DE1843">
        <w:rPr>
          <w:rFonts w:ascii="Arial" w:hAnsi="Arial" w:cs="Arial"/>
          <w:b/>
          <w:bCs/>
          <w:color w:val="000000"/>
        </w:rPr>
        <w:t>Enquiries and responses can be submitted as follows:</w:t>
      </w:r>
    </w:p>
    <w:p w:rsidR="0031673E" w:rsidRDefault="0031673E" w:rsidP="00635E7D">
      <w:pPr>
        <w:spacing w:line="360" w:lineRule="auto"/>
        <w:rPr>
          <w:rFonts w:ascii="Arial" w:hAnsi="Arial" w:cs="Arial"/>
          <w:b/>
          <w:bCs/>
          <w:color w:val="000000"/>
        </w:rPr>
      </w:pPr>
      <w:r>
        <w:rPr>
          <w:rFonts w:ascii="Arial" w:hAnsi="Arial" w:cs="Arial"/>
          <w:b/>
          <w:bCs/>
          <w:color w:val="000000"/>
        </w:rPr>
        <w:lastRenderedPageBreak/>
        <w:t xml:space="preserve">Email: </w:t>
      </w:r>
    </w:p>
    <w:p w:rsidR="0031673E" w:rsidRDefault="00EA6512" w:rsidP="00635E7D">
      <w:pPr>
        <w:spacing w:line="360" w:lineRule="auto"/>
        <w:rPr>
          <w:rFonts w:ascii="Arial" w:hAnsi="Arial" w:cs="Arial"/>
          <w:b/>
          <w:bCs/>
          <w:color w:val="000000"/>
        </w:rPr>
      </w:pPr>
      <w:hyperlink r:id="rId10" w:history="1">
        <w:r w:rsidR="0031673E" w:rsidRPr="00A27C8B">
          <w:rPr>
            <w:rStyle w:val="Hyperlink"/>
            <w:rFonts w:ascii="Arial" w:hAnsi="Arial" w:cs="Arial"/>
            <w:bCs/>
          </w:rPr>
          <w:t>NJTconsultation@nio.gov.uk</w:t>
        </w:r>
      </w:hyperlink>
    </w:p>
    <w:p w:rsidR="0031673E" w:rsidRDefault="0031673E" w:rsidP="00635E7D">
      <w:pPr>
        <w:spacing w:line="360" w:lineRule="auto"/>
        <w:rPr>
          <w:rFonts w:ascii="Arial" w:hAnsi="Arial" w:cs="Arial"/>
          <w:b/>
          <w:bCs/>
          <w:color w:val="000000"/>
        </w:rPr>
      </w:pPr>
    </w:p>
    <w:p w:rsidR="00635E7D" w:rsidRDefault="0031673E" w:rsidP="00635E7D">
      <w:pPr>
        <w:spacing w:line="360" w:lineRule="auto"/>
        <w:rPr>
          <w:rFonts w:ascii="Arial" w:hAnsi="Arial" w:cs="Arial"/>
          <w:b/>
          <w:bCs/>
          <w:color w:val="000000"/>
        </w:rPr>
      </w:pPr>
      <w:r>
        <w:rPr>
          <w:rFonts w:ascii="Arial" w:hAnsi="Arial" w:cs="Arial"/>
          <w:b/>
          <w:bCs/>
          <w:color w:val="000000"/>
        </w:rPr>
        <w:t>Writing:</w:t>
      </w:r>
      <w:r w:rsidR="00635E7D">
        <w:rPr>
          <w:rFonts w:ascii="Arial" w:hAnsi="Arial" w:cs="Arial"/>
          <w:b/>
          <w:bCs/>
          <w:color w:val="000000"/>
        </w:rPr>
        <w:t xml:space="preserve">     </w:t>
      </w:r>
      <w:r w:rsidR="00A27C8B">
        <w:rPr>
          <w:rFonts w:ascii="Arial" w:hAnsi="Arial" w:cs="Arial"/>
          <w:b/>
          <w:bCs/>
          <w:color w:val="000000"/>
        </w:rPr>
        <w:t xml:space="preserve">                                                     </w:t>
      </w:r>
    </w:p>
    <w:p w:rsidR="00A27C8B" w:rsidRDefault="00635E7D" w:rsidP="00635E7D">
      <w:pPr>
        <w:spacing w:line="360" w:lineRule="auto"/>
        <w:rPr>
          <w:rFonts w:ascii="Arial" w:hAnsi="Arial" w:cs="Arial"/>
          <w:bCs/>
          <w:i/>
          <w:color w:val="000000"/>
        </w:rPr>
      </w:pPr>
      <w:r w:rsidRPr="00635E7D">
        <w:rPr>
          <w:rFonts w:ascii="Arial" w:hAnsi="Arial" w:cs="Arial"/>
          <w:bCs/>
          <w:i/>
          <w:color w:val="000000"/>
        </w:rPr>
        <w:t>Public consultation:</w:t>
      </w:r>
      <w:r w:rsidR="00A27C8B">
        <w:rPr>
          <w:rFonts w:ascii="Arial" w:hAnsi="Arial" w:cs="Arial"/>
          <w:bCs/>
          <w:i/>
          <w:color w:val="000000"/>
        </w:rPr>
        <w:t xml:space="preserve">              </w:t>
      </w:r>
    </w:p>
    <w:p w:rsidR="00635E7D" w:rsidRPr="00635E7D" w:rsidRDefault="00635E7D" w:rsidP="00635E7D">
      <w:pPr>
        <w:spacing w:line="360" w:lineRule="auto"/>
        <w:rPr>
          <w:rFonts w:ascii="Arial" w:hAnsi="Arial" w:cs="Arial"/>
          <w:bCs/>
          <w:i/>
          <w:color w:val="000000"/>
        </w:rPr>
      </w:pPr>
      <w:r w:rsidRPr="00635E7D">
        <w:rPr>
          <w:rFonts w:ascii="Arial" w:hAnsi="Arial" w:cs="Arial"/>
          <w:bCs/>
          <w:i/>
          <w:color w:val="000000"/>
        </w:rPr>
        <w:t>Non – jury trial provision</w:t>
      </w:r>
      <w:r w:rsidR="0031673E">
        <w:rPr>
          <w:rFonts w:ascii="Arial" w:hAnsi="Arial" w:cs="Arial"/>
          <w:bCs/>
          <w:i/>
          <w:color w:val="000000"/>
        </w:rPr>
        <w:t>s</w:t>
      </w:r>
    </w:p>
    <w:p w:rsidR="00635E7D" w:rsidRPr="00635E7D" w:rsidRDefault="00635E7D" w:rsidP="00635E7D">
      <w:pPr>
        <w:spacing w:line="360" w:lineRule="auto"/>
        <w:rPr>
          <w:rFonts w:ascii="Arial" w:hAnsi="Arial" w:cs="Arial"/>
          <w:bCs/>
          <w:i/>
          <w:color w:val="000000"/>
        </w:rPr>
      </w:pPr>
      <w:r w:rsidRPr="00635E7D">
        <w:rPr>
          <w:rFonts w:ascii="Arial" w:hAnsi="Arial" w:cs="Arial"/>
          <w:bCs/>
          <w:i/>
          <w:color w:val="000000"/>
        </w:rPr>
        <w:t xml:space="preserve">Northern Ireland Office </w:t>
      </w:r>
      <w:r w:rsidR="0031673E">
        <w:rPr>
          <w:rFonts w:ascii="Arial" w:hAnsi="Arial" w:cs="Arial"/>
          <w:bCs/>
          <w:i/>
          <w:color w:val="000000"/>
        </w:rPr>
        <w:t>(SPG)</w:t>
      </w:r>
    </w:p>
    <w:p w:rsidR="00635E7D" w:rsidRPr="00635E7D" w:rsidRDefault="00635E7D" w:rsidP="00635E7D">
      <w:pPr>
        <w:spacing w:line="360" w:lineRule="auto"/>
        <w:rPr>
          <w:rFonts w:ascii="Arial" w:hAnsi="Arial" w:cs="Arial"/>
          <w:bCs/>
          <w:i/>
          <w:color w:val="000000"/>
        </w:rPr>
      </w:pPr>
      <w:r w:rsidRPr="00635E7D">
        <w:rPr>
          <w:rFonts w:ascii="Arial" w:hAnsi="Arial" w:cs="Arial"/>
          <w:bCs/>
          <w:i/>
          <w:color w:val="000000"/>
        </w:rPr>
        <w:t>1 Horse Guards Road</w:t>
      </w:r>
    </w:p>
    <w:p w:rsidR="00635E7D" w:rsidRPr="00635E7D" w:rsidRDefault="00635E7D" w:rsidP="00635E7D">
      <w:pPr>
        <w:spacing w:line="360" w:lineRule="auto"/>
        <w:rPr>
          <w:rFonts w:ascii="Arial" w:hAnsi="Arial" w:cs="Arial"/>
          <w:bCs/>
          <w:i/>
          <w:color w:val="000000"/>
        </w:rPr>
      </w:pPr>
      <w:r w:rsidRPr="00635E7D">
        <w:rPr>
          <w:rFonts w:ascii="Arial" w:hAnsi="Arial" w:cs="Arial"/>
          <w:bCs/>
          <w:i/>
          <w:color w:val="000000"/>
        </w:rPr>
        <w:t xml:space="preserve">London </w:t>
      </w:r>
      <w:r w:rsidRPr="00635E7D">
        <w:rPr>
          <w:rFonts w:ascii="Arial" w:hAnsi="Arial" w:cs="Arial"/>
          <w:i/>
          <w:color w:val="0B0C0C"/>
          <w:shd w:val="clear" w:color="auto" w:fill="FFFFFF"/>
        </w:rPr>
        <w:t>SW1A 2HQ</w:t>
      </w:r>
    </w:p>
    <w:p w:rsidR="00A27C8B" w:rsidRDefault="00A27C8B" w:rsidP="00A27C8B">
      <w:pPr>
        <w:spacing w:line="360" w:lineRule="auto"/>
        <w:rPr>
          <w:rFonts w:ascii="Arial" w:hAnsi="Arial" w:cs="Arial"/>
          <w:b/>
          <w:bCs/>
          <w:color w:val="000000"/>
        </w:rPr>
      </w:pPr>
    </w:p>
    <w:p w:rsidR="009C7507" w:rsidRDefault="009C7507" w:rsidP="009C7507"/>
    <w:p w:rsidR="0031673E" w:rsidRPr="009C7507" w:rsidRDefault="0031673E" w:rsidP="009C7507">
      <w:pPr>
        <w:sectPr w:rsidR="0031673E" w:rsidRPr="009C7507" w:rsidSect="00D304C7">
          <w:headerReference w:type="default" r:id="rId11"/>
          <w:footerReference w:type="default" r:id="rId12"/>
          <w:type w:val="continuous"/>
          <w:pgSz w:w="11906" w:h="16838"/>
          <w:pgMar w:top="1440" w:right="1701" w:bottom="1440" w:left="1701" w:header="709" w:footer="709" w:gutter="0"/>
          <w:pgNumType w:start="0"/>
          <w:cols w:space="708"/>
          <w:docGrid w:linePitch="360"/>
        </w:sectPr>
      </w:pPr>
      <w:r>
        <w:rPr>
          <w:rFonts w:ascii="Arial" w:hAnsi="Arial" w:cs="Arial"/>
          <w:bCs/>
          <w:i/>
          <w:color w:val="000000"/>
        </w:rPr>
        <w:t xml:space="preserve">                                                     </w:t>
      </w:r>
    </w:p>
    <w:p w:rsidR="007C6DED" w:rsidRPr="007C6DED" w:rsidRDefault="007C6DED" w:rsidP="007C6DED">
      <w:pPr>
        <w:rPr>
          <w:sz w:val="28"/>
        </w:rPr>
      </w:pPr>
      <w:r w:rsidRPr="007C6DED">
        <w:rPr>
          <w:rFonts w:ascii="Arial" w:hAnsi="Arial" w:cs="Arial"/>
          <w:b/>
          <w:bCs/>
          <w:color w:val="000000"/>
          <w:sz w:val="32"/>
          <w:szCs w:val="28"/>
        </w:rPr>
        <w:lastRenderedPageBreak/>
        <w:t>Introduction:</w:t>
      </w:r>
    </w:p>
    <w:p w:rsidR="007C6DED" w:rsidRPr="007C6DED" w:rsidRDefault="007C6DED" w:rsidP="007C6DED">
      <w:pPr>
        <w:rPr>
          <w:rFonts w:ascii="Arial" w:hAnsi="Arial" w:cs="Arial"/>
          <w:b/>
          <w:bCs/>
          <w:color w:val="000000"/>
          <w:sz w:val="32"/>
          <w:szCs w:val="28"/>
        </w:rPr>
      </w:pPr>
      <w:r w:rsidRPr="007C6DED">
        <w:rPr>
          <w:rFonts w:ascii="Arial" w:hAnsi="Arial" w:cs="Arial"/>
          <w:b/>
          <w:bCs/>
          <w:color w:val="000000"/>
          <w:sz w:val="32"/>
          <w:szCs w:val="28"/>
        </w:rPr>
        <w:t>Non – jury trial provisions in Northern Ireland</w:t>
      </w:r>
    </w:p>
    <w:p w:rsidR="007C6DED" w:rsidRDefault="007C6DED" w:rsidP="007C6DED"/>
    <w:p w:rsidR="007C6DED" w:rsidRDefault="007C6DED" w:rsidP="007C6DED">
      <w:pPr>
        <w:rPr>
          <w:rFonts w:ascii="Arial" w:hAnsi="Arial" w:cs="Arial"/>
          <w:b/>
          <w:bCs/>
          <w:color w:val="000000"/>
          <w:sz w:val="28"/>
          <w:szCs w:val="28"/>
        </w:rPr>
      </w:pPr>
      <w:r>
        <w:rPr>
          <w:rFonts w:ascii="Arial" w:hAnsi="Arial" w:cs="Arial"/>
          <w:b/>
          <w:bCs/>
          <w:color w:val="000000"/>
          <w:sz w:val="28"/>
          <w:szCs w:val="28"/>
        </w:rPr>
        <w:t>The 2007 Act</w:t>
      </w:r>
    </w:p>
    <w:p w:rsidR="007C6DED" w:rsidRDefault="007C6DED" w:rsidP="007C6DED"/>
    <w:p w:rsidR="007C6DED" w:rsidRDefault="007C6DED" w:rsidP="007C6DED">
      <w:pPr>
        <w:spacing w:line="360" w:lineRule="auto"/>
      </w:pPr>
      <w:r>
        <w:rPr>
          <w:rFonts w:ascii="Arial" w:hAnsi="Arial" w:cs="Arial"/>
          <w:color w:val="000000"/>
        </w:rPr>
        <w:t xml:space="preserve">Non – jury trial provisions contained within the Justice and Security (Northern Ireland) Act 2007 apply only in Northern Ireland. These replaced the former so-called “Diplock” system which existed from 1972 until its repeal in 2007. For more information on the Diplock system, please see </w:t>
      </w:r>
      <w:r w:rsidRPr="00607D43">
        <w:rPr>
          <w:rFonts w:ascii="Arial" w:hAnsi="Arial" w:cs="Arial"/>
          <w:iCs/>
          <w:color w:val="000000"/>
        </w:rPr>
        <w:t>Annex A</w:t>
      </w:r>
      <w:r>
        <w:rPr>
          <w:rFonts w:ascii="Arial" w:hAnsi="Arial" w:cs="Arial"/>
          <w:color w:val="000000"/>
        </w:rPr>
        <w:t>.  Provisions under the 2007 Act are separate from those contained in Section 44 of the Criminal Justice Act 2003, which enables trials to be conducted in England, Wales and Northern Ireland without a jury, where there is danger of jury tampering.</w:t>
      </w:r>
    </w:p>
    <w:p w:rsidR="007C6DED" w:rsidRDefault="007C6DED" w:rsidP="007C6DED"/>
    <w:p w:rsidR="009025A9" w:rsidRDefault="007C6DED" w:rsidP="007C6DED">
      <w:pPr>
        <w:spacing w:line="360" w:lineRule="auto"/>
        <w:rPr>
          <w:rFonts w:ascii="Arial" w:hAnsi="Arial" w:cs="Arial"/>
          <w:color w:val="000000"/>
          <w:shd w:val="clear" w:color="auto" w:fill="FFFFFF"/>
        </w:rPr>
      </w:pPr>
      <w:r>
        <w:rPr>
          <w:rFonts w:ascii="Arial" w:hAnsi="Arial" w:cs="Arial"/>
          <w:color w:val="000000"/>
        </w:rPr>
        <w:t xml:space="preserve">The Criminal Justice Act (2003) (CJA) provides a higher threshold for non - jury trial than in the 2007 Act. The latter requires the DPP in Northern Ireland to be satisfied that there is a </w:t>
      </w:r>
      <w:r>
        <w:rPr>
          <w:rFonts w:ascii="Arial" w:hAnsi="Arial" w:cs="Arial"/>
          <w:i/>
          <w:iCs/>
          <w:color w:val="000000"/>
        </w:rPr>
        <w:t>risk</w:t>
      </w:r>
      <w:r>
        <w:rPr>
          <w:rFonts w:ascii="Arial" w:hAnsi="Arial" w:cs="Arial"/>
          <w:color w:val="000000"/>
        </w:rPr>
        <w:t xml:space="preserve"> that the administration of justice might be impaired if the trial were to be conducted with a jury. The CJA requires </w:t>
      </w:r>
      <w:r>
        <w:rPr>
          <w:rFonts w:ascii="Arial" w:hAnsi="Arial" w:cs="Arial"/>
          <w:i/>
          <w:iCs/>
          <w:color w:val="000000"/>
        </w:rPr>
        <w:t xml:space="preserve">evidence </w:t>
      </w:r>
      <w:r>
        <w:rPr>
          <w:rFonts w:ascii="Arial" w:hAnsi="Arial" w:cs="Arial"/>
          <w:color w:val="000000"/>
        </w:rPr>
        <w:t>of a real and present danger that jury tampering would take place. Under Section 44 of the CJA, the prosecution may apply to a judge of the Crown Court for the trial to be conducted without a jury. If an application is made and the judge is satisfied that two conditions are fulfilled, he must make an order that the trial is to be conducted without a jury. The first condition is that there is evidence of ‘a real and present danger that jury tampering would take place,’ the second is that ‘</w:t>
      </w:r>
      <w:r>
        <w:rPr>
          <w:rFonts w:ascii="Arial" w:hAnsi="Arial" w:cs="Arial"/>
          <w:color w:val="000000"/>
          <w:shd w:val="clear" w:color="auto" w:fill="FFFFFF"/>
        </w:rPr>
        <w:t>notwithstanding any steps (including the provision of police protection) which might reasonably be taken to prevent jury tampering, the likelihood that it would take place would be so substantial as to make it necessary in the interests of justice for the trial to be conducted without a jury.’</w:t>
      </w:r>
      <w:r>
        <w:rPr>
          <w:rStyle w:val="FootnoteReference"/>
          <w:rFonts w:ascii="Arial" w:hAnsi="Arial" w:cs="Arial"/>
          <w:color w:val="000000"/>
          <w:shd w:val="clear" w:color="auto" w:fill="FFFFFF"/>
        </w:rPr>
        <w:footnoteReference w:id="2"/>
      </w:r>
      <w:r w:rsidR="009025A9">
        <w:rPr>
          <w:rFonts w:ascii="Arial" w:hAnsi="Arial" w:cs="Arial"/>
          <w:color w:val="000000"/>
          <w:shd w:val="clear" w:color="auto" w:fill="FFFFFF"/>
        </w:rPr>
        <w:t xml:space="preserve"> </w:t>
      </w:r>
    </w:p>
    <w:p w:rsidR="009025A9" w:rsidRDefault="009025A9" w:rsidP="007C6DED">
      <w:pPr>
        <w:spacing w:line="360" w:lineRule="auto"/>
        <w:rPr>
          <w:rFonts w:ascii="Arial" w:hAnsi="Arial" w:cs="Arial"/>
          <w:color w:val="000000"/>
          <w:shd w:val="clear" w:color="auto" w:fill="FFFFFF"/>
        </w:rPr>
      </w:pPr>
    </w:p>
    <w:p w:rsidR="009025A9" w:rsidRDefault="009025A9" w:rsidP="007C6DED">
      <w:pPr>
        <w:spacing w:line="360" w:lineRule="auto"/>
      </w:pPr>
      <w:r>
        <w:rPr>
          <w:rFonts w:ascii="Arial" w:hAnsi="Arial" w:cs="Arial"/>
          <w:color w:val="000000"/>
          <w:shd w:val="clear" w:color="auto" w:fill="FFFFFF"/>
        </w:rPr>
        <w:t xml:space="preserve">Given the exceptional context in Northern Ireland, which is explained in more detail in the following sections, </w:t>
      </w:r>
      <w:r w:rsidR="00985308">
        <w:rPr>
          <w:rFonts w:ascii="Arial" w:hAnsi="Arial" w:cs="Arial"/>
          <w:color w:val="000000"/>
          <w:shd w:val="clear" w:color="auto" w:fill="FFFFFF"/>
        </w:rPr>
        <w:t xml:space="preserve">our current view is that </w:t>
      </w:r>
      <w:r>
        <w:rPr>
          <w:rFonts w:ascii="Arial" w:hAnsi="Arial" w:cs="Arial"/>
          <w:color w:val="000000"/>
          <w:shd w:val="clear" w:color="auto" w:fill="FFFFFF"/>
        </w:rPr>
        <w:t>provisions</w:t>
      </w:r>
      <w:r w:rsidR="00BC5F5F">
        <w:rPr>
          <w:rFonts w:ascii="Arial" w:hAnsi="Arial" w:cs="Arial"/>
          <w:color w:val="000000"/>
          <w:shd w:val="clear" w:color="auto" w:fill="FFFFFF"/>
        </w:rPr>
        <w:t xml:space="preserve"> in the CJA </w:t>
      </w:r>
      <w:r w:rsidR="00985308">
        <w:rPr>
          <w:rFonts w:ascii="Arial" w:hAnsi="Arial" w:cs="Arial"/>
          <w:color w:val="000000"/>
          <w:shd w:val="clear" w:color="auto" w:fill="FFFFFF"/>
        </w:rPr>
        <w:t xml:space="preserve">are not </w:t>
      </w:r>
      <w:r>
        <w:rPr>
          <w:rFonts w:ascii="Arial" w:hAnsi="Arial" w:cs="Arial"/>
          <w:color w:val="000000"/>
          <w:shd w:val="clear" w:color="auto" w:fill="FFFFFF"/>
        </w:rPr>
        <w:t xml:space="preserve">adequate to deal with the current situation at the present time. </w:t>
      </w:r>
      <w:r w:rsidR="00985308">
        <w:rPr>
          <w:rFonts w:ascii="Arial" w:hAnsi="Arial" w:cs="Arial"/>
          <w:color w:val="000000"/>
          <w:shd w:val="clear" w:color="auto" w:fill="FFFFFF"/>
        </w:rPr>
        <w:t>The</w:t>
      </w:r>
      <w:r w:rsidR="004102E7">
        <w:rPr>
          <w:rFonts w:ascii="Arial" w:hAnsi="Arial" w:cs="Arial"/>
          <w:color w:val="000000"/>
          <w:shd w:val="clear" w:color="auto" w:fill="FFFFFF"/>
        </w:rPr>
        <w:t xml:space="preserve"> system under the</w:t>
      </w:r>
      <w:r w:rsidR="00985308">
        <w:rPr>
          <w:rFonts w:ascii="Arial" w:hAnsi="Arial" w:cs="Arial"/>
          <w:color w:val="000000"/>
          <w:shd w:val="clear" w:color="auto" w:fill="FFFFFF"/>
        </w:rPr>
        <w:t xml:space="preserve"> </w:t>
      </w:r>
      <w:r>
        <w:rPr>
          <w:rFonts w:ascii="Arial" w:hAnsi="Arial" w:cs="Arial"/>
          <w:color w:val="000000"/>
          <w:shd w:val="clear" w:color="auto" w:fill="FFFFFF"/>
        </w:rPr>
        <w:t xml:space="preserve">2007 Act </w:t>
      </w:r>
      <w:r w:rsidR="00985308">
        <w:rPr>
          <w:rFonts w:ascii="Arial" w:hAnsi="Arial" w:cs="Arial"/>
          <w:color w:val="000000"/>
          <w:shd w:val="clear" w:color="auto" w:fill="FFFFFF"/>
        </w:rPr>
        <w:t xml:space="preserve">was </w:t>
      </w:r>
      <w:r>
        <w:rPr>
          <w:rFonts w:ascii="Arial" w:hAnsi="Arial" w:cs="Arial"/>
          <w:color w:val="000000"/>
          <w:shd w:val="clear" w:color="auto" w:fill="FFFFFF"/>
        </w:rPr>
        <w:t xml:space="preserve">designed specifically to address the unique challenges </w:t>
      </w:r>
      <w:r>
        <w:rPr>
          <w:rFonts w:ascii="Arial" w:hAnsi="Arial" w:cs="Arial"/>
          <w:color w:val="000000"/>
          <w:shd w:val="clear" w:color="auto" w:fill="FFFFFF"/>
        </w:rPr>
        <w:lastRenderedPageBreak/>
        <w:t>faced by the Northern Ireland criminal justice system</w:t>
      </w:r>
      <w:r w:rsidR="00985308">
        <w:rPr>
          <w:rFonts w:ascii="Arial" w:hAnsi="Arial" w:cs="Arial"/>
          <w:color w:val="000000"/>
          <w:shd w:val="clear" w:color="auto" w:fill="FFFFFF"/>
        </w:rPr>
        <w:t xml:space="preserve"> and, subject to the outcome of the consultation and further </w:t>
      </w:r>
      <w:r w:rsidR="004102E7">
        <w:rPr>
          <w:rFonts w:ascii="Arial" w:hAnsi="Arial" w:cs="Arial"/>
          <w:color w:val="000000"/>
          <w:shd w:val="clear" w:color="auto" w:fill="FFFFFF"/>
        </w:rPr>
        <w:t>consideration; we consider these challenges to remain</w:t>
      </w:r>
      <w:r w:rsidR="00985308">
        <w:rPr>
          <w:rFonts w:ascii="Arial" w:hAnsi="Arial" w:cs="Arial"/>
          <w:color w:val="000000"/>
          <w:shd w:val="clear" w:color="auto" w:fill="FFFFFF"/>
        </w:rPr>
        <w:t xml:space="preserve"> today</w:t>
      </w:r>
      <w:r>
        <w:rPr>
          <w:rFonts w:ascii="Arial" w:hAnsi="Arial" w:cs="Arial"/>
          <w:color w:val="000000"/>
          <w:shd w:val="clear" w:color="auto" w:fill="FFFFFF"/>
        </w:rPr>
        <w:t xml:space="preserve">. </w:t>
      </w:r>
    </w:p>
    <w:p w:rsidR="009025A9" w:rsidRDefault="009025A9" w:rsidP="007C6DED">
      <w:pPr>
        <w:spacing w:line="360" w:lineRule="auto"/>
      </w:pPr>
    </w:p>
    <w:p w:rsidR="007C6DED" w:rsidRDefault="007C6DED" w:rsidP="007C6DED">
      <w:pPr>
        <w:spacing w:line="360" w:lineRule="auto"/>
        <w:rPr>
          <w:rFonts w:ascii="Arial" w:hAnsi="Arial" w:cs="Arial"/>
          <w:color w:val="000000"/>
        </w:rPr>
      </w:pPr>
      <w:r>
        <w:rPr>
          <w:rFonts w:ascii="Arial" w:hAnsi="Arial" w:cs="Arial"/>
          <w:color w:val="000000"/>
        </w:rPr>
        <w:t xml:space="preserve">Non – jury trial provisions within the 2007 Act are temporary and </w:t>
      </w:r>
      <w:r w:rsidR="00AA6F28">
        <w:rPr>
          <w:rFonts w:ascii="Arial" w:hAnsi="Arial" w:cs="Arial"/>
          <w:color w:val="000000"/>
        </w:rPr>
        <w:t>may be extended</w:t>
      </w:r>
      <w:r>
        <w:rPr>
          <w:rFonts w:ascii="Arial" w:hAnsi="Arial" w:cs="Arial"/>
          <w:color w:val="000000"/>
        </w:rPr>
        <w:t xml:space="preserve"> by order approved in both Houses of Parli</w:t>
      </w:r>
      <w:r w:rsidR="00AA6F28">
        <w:rPr>
          <w:rFonts w:ascii="Arial" w:hAnsi="Arial" w:cs="Arial"/>
          <w:color w:val="000000"/>
        </w:rPr>
        <w:t>ament for a period of two years</w:t>
      </w:r>
      <w:r>
        <w:rPr>
          <w:rFonts w:ascii="Arial" w:hAnsi="Arial" w:cs="Arial"/>
          <w:color w:val="000000"/>
        </w:rPr>
        <w:t>. There is no limit in the legislation on how many times these provisions can be extended. The provisions were most recently extended in July 2015, via The Justice and Security (Northern Ireland) Act 2007 (Extension of duration of non-jury trial provisions) Order 2015. This was the fourth extension since their establishment in 2007.</w:t>
      </w:r>
      <w:r>
        <w:rPr>
          <w:rStyle w:val="FootnoteReference"/>
          <w:rFonts w:ascii="Arial" w:hAnsi="Arial" w:cs="Arial"/>
          <w:color w:val="000000"/>
        </w:rPr>
        <w:footnoteReference w:id="3"/>
      </w:r>
      <w:r>
        <w:rPr>
          <w:rFonts w:ascii="Arial" w:hAnsi="Arial" w:cs="Arial"/>
          <w:color w:val="000000"/>
        </w:rPr>
        <w:t xml:space="preserve"> </w:t>
      </w:r>
    </w:p>
    <w:p w:rsidR="007C6DED" w:rsidRDefault="007C6DED" w:rsidP="007C6DED">
      <w:pPr>
        <w:spacing w:line="360" w:lineRule="auto"/>
      </w:pPr>
    </w:p>
    <w:p w:rsidR="007C6DED" w:rsidRDefault="007C6DED" w:rsidP="007C6DED">
      <w:pPr>
        <w:rPr>
          <w:rFonts w:ascii="Arial" w:hAnsi="Arial" w:cs="Arial"/>
          <w:b/>
          <w:bCs/>
          <w:color w:val="000000"/>
          <w:sz w:val="28"/>
          <w:szCs w:val="28"/>
        </w:rPr>
      </w:pPr>
      <w:r>
        <w:rPr>
          <w:rFonts w:ascii="Arial" w:hAnsi="Arial" w:cs="Arial"/>
          <w:b/>
          <w:bCs/>
          <w:color w:val="000000"/>
          <w:sz w:val="28"/>
          <w:szCs w:val="28"/>
        </w:rPr>
        <w:t>The Director of Public Prosecutions’ Test</w:t>
      </w:r>
    </w:p>
    <w:p w:rsidR="007C6DED" w:rsidRDefault="007C6DED" w:rsidP="007C6DED">
      <w:pPr>
        <w:spacing w:line="360" w:lineRule="auto"/>
      </w:pPr>
    </w:p>
    <w:p w:rsidR="007C6DED" w:rsidRDefault="007C6DED" w:rsidP="007C6DED">
      <w:pPr>
        <w:spacing w:line="360" w:lineRule="auto"/>
        <w:rPr>
          <w:rFonts w:ascii="Arial" w:hAnsi="Arial" w:cs="Arial"/>
          <w:color w:val="000000"/>
        </w:rPr>
      </w:pPr>
      <w:r>
        <w:rPr>
          <w:rFonts w:ascii="Arial" w:hAnsi="Arial" w:cs="Arial"/>
          <w:color w:val="000000"/>
        </w:rPr>
        <w:t xml:space="preserve">Non – jury trial under the 2007 Act is only possible where the Director of Public Prosecutions (DPP) for Northern Ireland certifies a specific case, against a defined statutory test. The DPP can only issue a certificate for a non – jury trial if first, he </w:t>
      </w:r>
      <w:r>
        <w:rPr>
          <w:rFonts w:ascii="Arial" w:hAnsi="Arial" w:cs="Arial"/>
          <w:i/>
          <w:iCs/>
          <w:color w:val="000000"/>
        </w:rPr>
        <w:t>suspects</w:t>
      </w:r>
      <w:r>
        <w:rPr>
          <w:rFonts w:ascii="Arial" w:hAnsi="Arial" w:cs="Arial"/>
          <w:color w:val="000000"/>
        </w:rPr>
        <w:t xml:space="preserve"> that </w:t>
      </w:r>
      <w:r>
        <w:rPr>
          <w:rFonts w:ascii="Arial" w:hAnsi="Arial" w:cs="Arial"/>
          <w:color w:val="000000"/>
          <w:u w:val="single"/>
        </w:rPr>
        <w:t>one or more</w:t>
      </w:r>
      <w:r>
        <w:rPr>
          <w:rFonts w:ascii="Arial" w:hAnsi="Arial" w:cs="Arial"/>
          <w:color w:val="000000"/>
        </w:rPr>
        <w:t xml:space="preserve"> of the following four statutory conditions, which are laid out in section 1 of the 2007 Act, are met. In short:</w:t>
      </w:r>
    </w:p>
    <w:p w:rsidR="007C6DED" w:rsidRDefault="007C6DED" w:rsidP="007C6DED">
      <w:pPr>
        <w:spacing w:line="360" w:lineRule="auto"/>
      </w:pPr>
    </w:p>
    <w:p w:rsidR="007C6DED" w:rsidRDefault="007C6DED" w:rsidP="007C6DED">
      <w:pPr>
        <w:spacing w:line="360" w:lineRule="auto"/>
        <w:ind w:left="360" w:hanging="360"/>
        <w:rPr>
          <w:rFonts w:ascii="Arial" w:hAnsi="Arial" w:cs="Arial"/>
          <w:color w:val="000000"/>
        </w:rPr>
      </w:pPr>
      <w:r>
        <w:rPr>
          <w:rFonts w:ascii="Arial" w:hAnsi="Arial" w:cs="Arial"/>
          <w:b/>
          <w:color w:val="000000"/>
        </w:rPr>
        <w:t>·</w:t>
      </w:r>
      <w:r>
        <w:rPr>
          <w:color w:val="000000"/>
          <w:sz w:val="14"/>
          <w:szCs w:val="14"/>
        </w:rPr>
        <w:t xml:space="preserve">       </w:t>
      </w:r>
      <w:r>
        <w:rPr>
          <w:rFonts w:ascii="Arial" w:hAnsi="Arial" w:cs="Arial"/>
          <w:b/>
          <w:bCs/>
          <w:color w:val="000000"/>
        </w:rPr>
        <w:t>Condition one</w:t>
      </w:r>
      <w:r>
        <w:rPr>
          <w:rFonts w:ascii="Arial" w:hAnsi="Arial" w:cs="Arial"/>
          <w:color w:val="000000"/>
        </w:rPr>
        <w:t xml:space="preserve"> is that the defendant is, or is an associate of, a person who is a member of a proscribed organisation, or has at any time been a member of an organisation when it was, at that time, a proscribed organisation whose activities are (or were) connected with the affairs of Northern Ireland.</w:t>
      </w:r>
    </w:p>
    <w:p w:rsidR="007C6DED" w:rsidRDefault="007C6DED" w:rsidP="007C6DED">
      <w:pPr>
        <w:spacing w:line="360" w:lineRule="auto"/>
        <w:ind w:left="360" w:hanging="360"/>
      </w:pPr>
    </w:p>
    <w:p w:rsidR="007C6DED" w:rsidRDefault="007C6DED" w:rsidP="007C6DED">
      <w:pPr>
        <w:spacing w:line="360" w:lineRule="auto"/>
        <w:ind w:left="360" w:hanging="360"/>
        <w:rPr>
          <w:rFonts w:ascii="Arial" w:hAnsi="Arial" w:cs="Arial"/>
          <w:color w:val="000000"/>
        </w:rPr>
      </w:pPr>
      <w:r>
        <w:rPr>
          <w:rFonts w:ascii="Arial" w:hAnsi="Arial" w:cs="Arial"/>
          <w:b/>
          <w:color w:val="000000"/>
        </w:rPr>
        <w:t>·</w:t>
      </w:r>
      <w:r>
        <w:rPr>
          <w:color w:val="000000"/>
          <w:sz w:val="14"/>
          <w:szCs w:val="14"/>
        </w:rPr>
        <w:t xml:space="preserve">       </w:t>
      </w:r>
      <w:r>
        <w:rPr>
          <w:rFonts w:ascii="Arial" w:hAnsi="Arial" w:cs="Arial"/>
          <w:b/>
          <w:bCs/>
          <w:color w:val="000000"/>
        </w:rPr>
        <w:t xml:space="preserve">Condition two </w:t>
      </w:r>
      <w:r>
        <w:rPr>
          <w:rFonts w:ascii="Arial" w:hAnsi="Arial" w:cs="Arial"/>
          <w:color w:val="000000"/>
        </w:rPr>
        <w:t>is that the offence was committed on behalf of such a proscribed organisation, or such a proscribed organisation was otherwise involved.</w:t>
      </w:r>
    </w:p>
    <w:p w:rsidR="007C6DED" w:rsidRDefault="007C6DED" w:rsidP="007C6DED">
      <w:pPr>
        <w:spacing w:line="360" w:lineRule="auto"/>
        <w:ind w:left="360" w:hanging="360"/>
      </w:pPr>
    </w:p>
    <w:p w:rsidR="007C6DED" w:rsidRDefault="007C6DED" w:rsidP="007C6DED">
      <w:pPr>
        <w:spacing w:line="360" w:lineRule="auto"/>
        <w:ind w:left="360" w:hanging="360"/>
        <w:rPr>
          <w:rFonts w:ascii="Arial" w:hAnsi="Arial" w:cs="Arial"/>
          <w:color w:val="000000"/>
        </w:rPr>
      </w:pPr>
      <w:r>
        <w:rPr>
          <w:rFonts w:ascii="Arial" w:hAnsi="Arial" w:cs="Arial"/>
          <w:b/>
          <w:color w:val="000000"/>
        </w:rPr>
        <w:lastRenderedPageBreak/>
        <w:t>·</w:t>
      </w:r>
      <w:r>
        <w:rPr>
          <w:b/>
          <w:color w:val="000000"/>
          <w:sz w:val="14"/>
          <w:szCs w:val="14"/>
        </w:rPr>
        <w:t xml:space="preserve"> </w:t>
      </w:r>
      <w:r>
        <w:rPr>
          <w:color w:val="000000"/>
          <w:sz w:val="14"/>
          <w:szCs w:val="14"/>
        </w:rPr>
        <w:t>      </w:t>
      </w:r>
      <w:r>
        <w:rPr>
          <w:rFonts w:ascii="Arial" w:hAnsi="Arial" w:cs="Arial"/>
          <w:b/>
          <w:bCs/>
          <w:color w:val="000000"/>
        </w:rPr>
        <w:t xml:space="preserve">Condition three </w:t>
      </w:r>
      <w:r>
        <w:rPr>
          <w:rFonts w:ascii="Arial" w:hAnsi="Arial" w:cs="Arial"/>
          <w:color w:val="000000"/>
        </w:rPr>
        <w:t>is that an attempt has been made by, or involving, a proscribed organisation, whose activities are (or were) connected with Northern Ireland, to prejudice the investigation or prosecution.</w:t>
      </w:r>
    </w:p>
    <w:p w:rsidR="007C6DED" w:rsidRDefault="007C6DED" w:rsidP="007C6DED">
      <w:pPr>
        <w:spacing w:line="360" w:lineRule="auto"/>
        <w:ind w:left="360" w:hanging="360"/>
      </w:pPr>
    </w:p>
    <w:p w:rsidR="007C6DED" w:rsidRDefault="007C6DED" w:rsidP="007C6DED">
      <w:pPr>
        <w:spacing w:line="360" w:lineRule="auto"/>
        <w:ind w:left="360" w:hanging="360"/>
        <w:rPr>
          <w:rFonts w:ascii="Arial" w:hAnsi="Arial" w:cs="Arial"/>
          <w:color w:val="000000"/>
        </w:rPr>
      </w:pPr>
      <w:r>
        <w:rPr>
          <w:rFonts w:ascii="Arial" w:hAnsi="Arial" w:cs="Arial"/>
          <w:b/>
          <w:color w:val="000000"/>
        </w:rPr>
        <w:t>·</w:t>
      </w:r>
      <w:r>
        <w:rPr>
          <w:b/>
          <w:color w:val="000000"/>
          <w:sz w:val="14"/>
          <w:szCs w:val="14"/>
        </w:rPr>
        <w:t xml:space="preserve">  </w:t>
      </w:r>
      <w:r>
        <w:rPr>
          <w:color w:val="000000"/>
          <w:sz w:val="14"/>
          <w:szCs w:val="14"/>
        </w:rPr>
        <w:t>     </w:t>
      </w:r>
      <w:r>
        <w:rPr>
          <w:rFonts w:ascii="Arial" w:hAnsi="Arial" w:cs="Arial"/>
          <w:b/>
          <w:bCs/>
          <w:color w:val="000000"/>
        </w:rPr>
        <w:t xml:space="preserve">Condition four </w:t>
      </w:r>
      <w:r>
        <w:rPr>
          <w:rFonts w:ascii="Arial" w:hAnsi="Arial" w:cs="Arial"/>
          <w:color w:val="000000"/>
        </w:rPr>
        <w:t>is that the offence was committed as a result of, or in connection with, religious or political hostility.</w:t>
      </w:r>
    </w:p>
    <w:p w:rsidR="007C6DED" w:rsidRDefault="007C6DED" w:rsidP="007C6DED">
      <w:pPr>
        <w:ind w:left="360" w:hanging="360"/>
      </w:pPr>
    </w:p>
    <w:p w:rsidR="007C6DED" w:rsidRDefault="007C6DED" w:rsidP="007C6DED">
      <w:pPr>
        <w:spacing w:line="360" w:lineRule="auto"/>
        <w:jc w:val="both"/>
      </w:pPr>
      <w:r>
        <w:rPr>
          <w:rFonts w:ascii="Arial" w:hAnsi="Arial" w:cs="Arial"/>
          <w:b/>
          <w:bCs/>
          <w:color w:val="000000"/>
        </w:rPr>
        <w:t xml:space="preserve">Furthermore, the DPP must be </w:t>
      </w:r>
      <w:r>
        <w:rPr>
          <w:rFonts w:ascii="Arial" w:hAnsi="Arial" w:cs="Arial"/>
          <w:b/>
          <w:bCs/>
          <w:i/>
          <w:iCs/>
          <w:color w:val="000000"/>
        </w:rPr>
        <w:t>satisfied</w:t>
      </w:r>
      <w:r>
        <w:rPr>
          <w:rFonts w:ascii="Arial" w:hAnsi="Arial" w:cs="Arial"/>
          <w:b/>
          <w:bCs/>
          <w:color w:val="000000"/>
        </w:rPr>
        <w:t xml:space="preserve"> that, in view of one or more of these conditions being met, there is a risk that the administration of justice might be impaired if a jury trial were to be held.</w:t>
      </w:r>
    </w:p>
    <w:p w:rsidR="007C6DED" w:rsidRDefault="007C6DED" w:rsidP="007C6DED">
      <w:pPr>
        <w:rPr>
          <w:rFonts w:ascii="Arial" w:hAnsi="Arial" w:cs="Arial"/>
          <w:b/>
          <w:bCs/>
          <w:color w:val="000000"/>
        </w:rPr>
      </w:pPr>
    </w:p>
    <w:p w:rsidR="007C6DED" w:rsidRDefault="007C6DED" w:rsidP="007C6DED">
      <w:pPr>
        <w:rPr>
          <w:rFonts w:ascii="Arial" w:hAnsi="Arial" w:cs="Arial"/>
          <w:b/>
          <w:bCs/>
          <w:color w:val="000000"/>
        </w:rPr>
      </w:pPr>
    </w:p>
    <w:p w:rsidR="007C6DED" w:rsidRDefault="007C6DED" w:rsidP="007C6DED">
      <w:pPr>
        <w:jc w:val="both"/>
        <w:rPr>
          <w:rFonts w:ascii="Arial" w:hAnsi="Arial" w:cs="Arial"/>
          <w:b/>
          <w:bCs/>
          <w:color w:val="000000"/>
          <w:sz w:val="28"/>
          <w:szCs w:val="28"/>
        </w:rPr>
      </w:pPr>
      <w:r>
        <w:rPr>
          <w:rFonts w:ascii="Arial" w:hAnsi="Arial" w:cs="Arial"/>
          <w:b/>
          <w:bCs/>
          <w:color w:val="000000"/>
          <w:sz w:val="28"/>
          <w:szCs w:val="28"/>
        </w:rPr>
        <w:t>How non – jury trials work in Northern Ireland</w:t>
      </w:r>
    </w:p>
    <w:p w:rsidR="007C6DED" w:rsidRDefault="007C6DED" w:rsidP="007C6DED">
      <w:pPr>
        <w:spacing w:line="360" w:lineRule="auto"/>
        <w:jc w:val="both"/>
      </w:pPr>
    </w:p>
    <w:p w:rsidR="007C6DED" w:rsidRDefault="007C6DED" w:rsidP="007C6DED">
      <w:pPr>
        <w:spacing w:line="360" w:lineRule="auto"/>
        <w:rPr>
          <w:rFonts w:ascii="Arial" w:hAnsi="Arial" w:cs="Arial"/>
          <w:color w:val="000000"/>
        </w:rPr>
      </w:pPr>
      <w:r>
        <w:rPr>
          <w:rFonts w:ascii="Arial" w:hAnsi="Arial" w:cs="Arial"/>
          <w:color w:val="000000"/>
        </w:rPr>
        <w:t>The decision for non-jury trial is made on a case by case basis, taking into account the circumstances of both the offence and the defendant.  The system is designed to uphold the administration of justice. The DPP can only issue a certificate for non-jury trial where he is satisfied there is a risk to the administration of justice in light of his suspicion that one or more of the four statutory conditions have been met . A certificate can be made and lodged with the court at any point before arraignment (i.e. the start of the criminal trial, where the charges are read to the defendant and he is invited to enter a plea).</w:t>
      </w:r>
    </w:p>
    <w:p w:rsidR="00F50CEC" w:rsidRDefault="00F50CEC" w:rsidP="007C6DED">
      <w:pPr>
        <w:spacing w:line="360" w:lineRule="auto"/>
        <w:rPr>
          <w:rFonts w:ascii="Arial" w:hAnsi="Arial" w:cs="Arial"/>
          <w:color w:val="000000"/>
        </w:rPr>
      </w:pPr>
    </w:p>
    <w:p w:rsidR="00F50CEC" w:rsidRDefault="00F50CEC" w:rsidP="007C6DED">
      <w:pPr>
        <w:spacing w:line="360" w:lineRule="auto"/>
        <w:rPr>
          <w:rFonts w:ascii="Arial" w:hAnsi="Arial" w:cs="Arial"/>
          <w:color w:val="000000"/>
        </w:rPr>
      </w:pPr>
      <w:r w:rsidRPr="00F50CEC">
        <w:rPr>
          <w:rFonts w:ascii="Arial" w:hAnsi="Arial" w:cs="Arial"/>
          <w:color w:val="000000"/>
        </w:rPr>
        <w:t>The Police Service of Northern Ireland (PSNI) provide an initial view to the</w:t>
      </w:r>
      <w:r w:rsidR="004102E7">
        <w:rPr>
          <w:rFonts w:ascii="Arial" w:hAnsi="Arial" w:cs="Arial"/>
          <w:color w:val="000000"/>
        </w:rPr>
        <w:t xml:space="preserve"> Public Prosecutions Service</w:t>
      </w:r>
      <w:r w:rsidRPr="00F50CEC">
        <w:rPr>
          <w:rFonts w:ascii="Arial" w:hAnsi="Arial" w:cs="Arial"/>
          <w:color w:val="000000"/>
        </w:rPr>
        <w:t xml:space="preserve"> </w:t>
      </w:r>
      <w:r w:rsidR="004102E7">
        <w:rPr>
          <w:rFonts w:ascii="Arial" w:hAnsi="Arial" w:cs="Arial"/>
          <w:color w:val="000000"/>
        </w:rPr>
        <w:t>(</w:t>
      </w:r>
      <w:r w:rsidRPr="00F50CEC">
        <w:rPr>
          <w:rFonts w:ascii="Arial" w:hAnsi="Arial" w:cs="Arial"/>
          <w:color w:val="000000"/>
        </w:rPr>
        <w:t>PPS</w:t>
      </w:r>
      <w:r w:rsidR="004102E7">
        <w:rPr>
          <w:rFonts w:ascii="Arial" w:hAnsi="Arial" w:cs="Arial"/>
          <w:color w:val="000000"/>
        </w:rPr>
        <w:t>)</w:t>
      </w:r>
      <w:r w:rsidRPr="00F50CEC">
        <w:rPr>
          <w:rFonts w:ascii="Arial" w:hAnsi="Arial" w:cs="Arial"/>
          <w:color w:val="000000"/>
        </w:rPr>
        <w:t xml:space="preserve"> on whether the case is one in which a certificate for non-jury trial should be issued.  If </w:t>
      </w:r>
      <w:r w:rsidR="00005E07">
        <w:rPr>
          <w:rFonts w:ascii="Arial" w:hAnsi="Arial" w:cs="Arial"/>
          <w:color w:val="000000"/>
        </w:rPr>
        <w:t xml:space="preserve">the </w:t>
      </w:r>
      <w:r w:rsidRPr="00F50CEC">
        <w:rPr>
          <w:rFonts w:ascii="Arial" w:hAnsi="Arial" w:cs="Arial"/>
          <w:color w:val="000000"/>
        </w:rPr>
        <w:t xml:space="preserve">PSNI indicate that a certificate should be issued (or if PPS consider that the matter should be considered further notwithstanding an initial view from police that a certificate for non-jury trial is not appropriate), the PSNI is then asked by the PPS for a considered view on whether the conditions for non-jury trial are satisfied. This view is provided by a senior officer within Criminal Justice Branch and will rely upon any material facts or information, including intelligence. In accordance with internal PPS procedures a recommendation will then be made to the </w:t>
      </w:r>
      <w:r w:rsidR="00005E07">
        <w:rPr>
          <w:rFonts w:ascii="Arial" w:hAnsi="Arial" w:cs="Arial"/>
          <w:color w:val="000000"/>
        </w:rPr>
        <w:t>DPP</w:t>
      </w:r>
      <w:r w:rsidRPr="00F50CEC">
        <w:rPr>
          <w:rFonts w:ascii="Arial" w:hAnsi="Arial" w:cs="Arial"/>
          <w:color w:val="000000"/>
        </w:rPr>
        <w:t xml:space="preserve"> who will decide whether to issue a certificate</w:t>
      </w:r>
      <w:r>
        <w:rPr>
          <w:rFonts w:ascii="Arial" w:hAnsi="Arial" w:cs="Arial"/>
          <w:color w:val="000000"/>
        </w:rPr>
        <w:t>.</w:t>
      </w:r>
    </w:p>
    <w:p w:rsidR="00F50CEC" w:rsidRDefault="00F50CEC" w:rsidP="007C6DED">
      <w:pPr>
        <w:spacing w:line="360" w:lineRule="auto"/>
        <w:rPr>
          <w:rFonts w:ascii="Arial" w:hAnsi="Arial" w:cs="Arial"/>
          <w:color w:val="000000"/>
        </w:rPr>
      </w:pPr>
    </w:p>
    <w:p w:rsidR="00F50CEC" w:rsidRDefault="00F50CEC" w:rsidP="007C6DED">
      <w:pPr>
        <w:spacing w:line="360" w:lineRule="auto"/>
        <w:rPr>
          <w:rFonts w:ascii="Arial" w:hAnsi="Arial" w:cs="Arial"/>
          <w:color w:val="000000"/>
        </w:rPr>
      </w:pPr>
    </w:p>
    <w:p w:rsidR="007C6DED" w:rsidRDefault="007C6DED" w:rsidP="007C6DED">
      <w:pPr>
        <w:spacing w:line="360" w:lineRule="auto"/>
      </w:pPr>
      <w:r>
        <w:rPr>
          <w:rFonts w:ascii="Arial" w:hAnsi="Arial" w:cs="Arial"/>
          <w:color w:val="000000"/>
        </w:rPr>
        <w:t xml:space="preserve">In a non – jury trial, a single judge sits alone to hear the case. The judge must give reasons for a conviction. Any person convicted before a non – jury court has a right of appeal on either sentence or conviction without leave. </w:t>
      </w:r>
    </w:p>
    <w:p w:rsidR="007C6DED" w:rsidRDefault="007C6DED" w:rsidP="007C6DED">
      <w:pPr>
        <w:spacing w:line="360" w:lineRule="auto"/>
      </w:pPr>
    </w:p>
    <w:p w:rsidR="007C6DED" w:rsidRPr="007C6DED" w:rsidRDefault="007C6DED" w:rsidP="007C6DED">
      <w:pPr>
        <w:spacing w:line="360" w:lineRule="auto"/>
      </w:pPr>
      <w:r>
        <w:rPr>
          <w:rFonts w:ascii="Arial" w:hAnsi="Arial" w:cs="Arial"/>
          <w:color w:val="000000"/>
        </w:rPr>
        <w:t>Only a small number of non – jury trials are held in Northern Ireland each year. During 2015, 15 certificates for a non – jury trial were issued by the DPP. In 2015, just 1.6% of all Crown Court cases in Northern Ireland were conducted without a jury. As at 4 October 2016, 14 certificates for non – jury trial have been issued</w:t>
      </w:r>
      <w:r w:rsidR="00005E07">
        <w:rPr>
          <w:rFonts w:ascii="Arial" w:hAnsi="Arial" w:cs="Arial"/>
          <w:color w:val="000000"/>
        </w:rPr>
        <w:t xml:space="preserve"> in 2016</w:t>
      </w:r>
      <w:r>
        <w:rPr>
          <w:rFonts w:ascii="Arial" w:hAnsi="Arial" w:cs="Arial"/>
          <w:color w:val="000000"/>
        </w:rPr>
        <w:t>, with 0.5% of all Crown Court cases conducted so far in 2016 without a jury.</w:t>
      </w:r>
      <w:r>
        <w:rPr>
          <w:rStyle w:val="FootnoteReference"/>
          <w:rFonts w:ascii="Arial" w:hAnsi="Arial" w:cs="Arial"/>
          <w:color w:val="000000"/>
        </w:rPr>
        <w:footnoteReference w:id="4"/>
      </w:r>
    </w:p>
    <w:p w:rsidR="007C6DED" w:rsidRDefault="007C6DED" w:rsidP="007C6DED">
      <w:pPr>
        <w:rPr>
          <w:rFonts w:ascii="Arial" w:hAnsi="Arial" w:cs="Arial"/>
          <w:b/>
          <w:bCs/>
          <w:color w:val="000000"/>
          <w:sz w:val="28"/>
          <w:szCs w:val="28"/>
        </w:rPr>
      </w:pPr>
    </w:p>
    <w:p w:rsidR="00607D43" w:rsidRDefault="00607D43" w:rsidP="007C6DED">
      <w:pPr>
        <w:rPr>
          <w:rFonts w:ascii="Arial" w:hAnsi="Arial" w:cs="Arial"/>
          <w:b/>
          <w:bCs/>
          <w:color w:val="000000"/>
          <w:sz w:val="28"/>
          <w:szCs w:val="28"/>
        </w:rPr>
      </w:pPr>
    </w:p>
    <w:p w:rsidR="007C6DED" w:rsidRDefault="007C6DED" w:rsidP="007C6DED">
      <w:r>
        <w:rPr>
          <w:rFonts w:ascii="Arial" w:hAnsi="Arial" w:cs="Arial"/>
          <w:b/>
          <w:bCs/>
          <w:color w:val="000000"/>
          <w:sz w:val="28"/>
          <w:szCs w:val="28"/>
        </w:rPr>
        <w:t>Challenging the issuing of a non – jury trial certificate</w:t>
      </w:r>
    </w:p>
    <w:p w:rsidR="007C6DED" w:rsidRDefault="007C6DED" w:rsidP="007C6DED">
      <w:pPr>
        <w:spacing w:before="240"/>
        <w:jc w:val="both"/>
      </w:pPr>
      <w:r>
        <w:rPr>
          <w:rFonts w:ascii="Arial" w:hAnsi="Arial" w:cs="Arial"/>
          <w:b/>
          <w:bCs/>
          <w:color w:val="000000"/>
        </w:rPr>
        <w:t>Case law</w:t>
      </w:r>
    </w:p>
    <w:p w:rsidR="007C6DED" w:rsidRDefault="007C6DED" w:rsidP="007C6DED">
      <w:pPr>
        <w:spacing w:before="240" w:line="360" w:lineRule="auto"/>
        <w:jc w:val="both"/>
        <w:rPr>
          <w:rFonts w:ascii="Arial" w:hAnsi="Arial" w:cs="Arial"/>
          <w:color w:val="000000"/>
        </w:rPr>
      </w:pPr>
      <w:r>
        <w:rPr>
          <w:rFonts w:ascii="Arial" w:hAnsi="Arial" w:cs="Arial"/>
          <w:color w:val="000000"/>
        </w:rPr>
        <w:t>A legal challenge can be brought against the issuing of a certificate for non-jury trial only on the grounds of dishonesty, bad faith or other exceptional circumstances such as lack of jurisdiction or error of law.</w:t>
      </w:r>
      <w:r>
        <w:rPr>
          <w:rStyle w:val="FootnoteReference"/>
          <w:rFonts w:ascii="Arial" w:hAnsi="Arial" w:cs="Arial"/>
          <w:color w:val="000000"/>
        </w:rPr>
        <w:footnoteReference w:id="5"/>
      </w:r>
      <w:r>
        <w:rPr>
          <w:rFonts w:ascii="Arial" w:hAnsi="Arial" w:cs="Arial"/>
          <w:color w:val="000000"/>
        </w:rPr>
        <w:t xml:space="preserve"> These restrictions do not apply however where the challenge is brought under the Human Rights Act that a public authority has breached Convention rights.</w:t>
      </w:r>
    </w:p>
    <w:p w:rsidR="007C6DED" w:rsidRDefault="007C6DED" w:rsidP="007C6DED">
      <w:pPr>
        <w:spacing w:before="240" w:line="360" w:lineRule="auto"/>
        <w:jc w:val="both"/>
      </w:pPr>
    </w:p>
    <w:p w:rsidR="007C6DED" w:rsidRDefault="007C6DED" w:rsidP="007C6DED">
      <w:pPr>
        <w:spacing w:line="360" w:lineRule="auto"/>
        <w:rPr>
          <w:rFonts w:ascii="Arial" w:hAnsi="Arial" w:cs="Arial"/>
          <w:color w:val="000000"/>
        </w:rPr>
      </w:pPr>
      <w:r>
        <w:rPr>
          <w:rFonts w:ascii="Arial" w:hAnsi="Arial" w:cs="Arial"/>
          <w:color w:val="000000"/>
        </w:rPr>
        <w:t xml:space="preserve">This provision reflects the well-established principle that prosecutorial decisions may only be judicially reviewed in limited circumstances. For instance Lord Steyn said in the case of </w:t>
      </w:r>
      <w:r>
        <w:rPr>
          <w:rFonts w:ascii="Arial" w:hAnsi="Arial" w:cs="Arial"/>
          <w:i/>
          <w:iCs/>
          <w:color w:val="000000"/>
        </w:rPr>
        <w:t>R v DPP ex parte Kebilene</w:t>
      </w:r>
      <w:r>
        <w:rPr>
          <w:rFonts w:ascii="Arial" w:hAnsi="Arial" w:cs="Arial"/>
          <w:color w:val="000000"/>
        </w:rPr>
        <w:t xml:space="preserve"> in 2002 that “absent dishonesty or mala fides or an exceptional circumstance, the decision of the Director to consent to the prosecution...is not amenable to judicial review.” This principle was recognised in the </w:t>
      </w:r>
      <w:r>
        <w:rPr>
          <w:rFonts w:ascii="Arial" w:hAnsi="Arial" w:cs="Arial"/>
          <w:i/>
          <w:iCs/>
          <w:color w:val="000000"/>
        </w:rPr>
        <w:t xml:space="preserve">Re Shuker and others </w:t>
      </w:r>
      <w:r>
        <w:rPr>
          <w:rFonts w:ascii="Arial" w:hAnsi="Arial" w:cs="Arial"/>
          <w:color w:val="000000"/>
        </w:rPr>
        <w:t>case</w:t>
      </w:r>
      <w:r>
        <w:rPr>
          <w:rFonts w:ascii="Arial" w:hAnsi="Arial" w:cs="Arial"/>
          <w:i/>
          <w:iCs/>
          <w:color w:val="000000"/>
        </w:rPr>
        <w:t xml:space="preserve"> </w:t>
      </w:r>
      <w:r>
        <w:rPr>
          <w:rFonts w:ascii="Arial" w:hAnsi="Arial" w:cs="Arial"/>
          <w:color w:val="000000"/>
        </w:rPr>
        <w:t>in 2004, concerning a challenge to the Attorney General’s power to deschedule</w:t>
      </w:r>
      <w:r>
        <w:rPr>
          <w:rStyle w:val="FootnoteReference"/>
          <w:rFonts w:ascii="Arial" w:hAnsi="Arial" w:cs="Arial"/>
          <w:color w:val="000000"/>
        </w:rPr>
        <w:footnoteReference w:id="6"/>
      </w:r>
      <w:r>
        <w:rPr>
          <w:rFonts w:ascii="Arial" w:hAnsi="Arial" w:cs="Arial"/>
          <w:color w:val="000000"/>
        </w:rPr>
        <w:t xml:space="preserve"> an offence under </w:t>
      </w:r>
      <w:r>
        <w:rPr>
          <w:rFonts w:ascii="Arial" w:hAnsi="Arial" w:cs="Arial"/>
          <w:color w:val="000000"/>
        </w:rPr>
        <w:lastRenderedPageBreak/>
        <w:t>the previous (now repealed) system for non - jury trials in Northern Ireland. Former Lord Chief Justice of Northern Ireland Brian Kerr ruled that, while the decision was reviewable by the courts, there should be significant restraints on the extent of review that may be undertaken by the courts of such a decision.  An example of when the courts would be prepared to intervene was given – namely where there was bad faith on the part of the decision maker.</w:t>
      </w:r>
    </w:p>
    <w:p w:rsidR="007C6DED" w:rsidRDefault="007C6DED" w:rsidP="007C6DED"/>
    <w:p w:rsidR="007C6DED" w:rsidRDefault="007C6DED" w:rsidP="007C6DED">
      <w:pPr>
        <w:spacing w:line="360" w:lineRule="auto"/>
        <w:jc w:val="both"/>
      </w:pPr>
      <w:r>
        <w:rPr>
          <w:rFonts w:ascii="Arial" w:hAnsi="Arial" w:cs="Arial"/>
          <w:color w:val="000000"/>
        </w:rPr>
        <w:t xml:space="preserve">The grounds for challenging the issue of a non – jury trial certificate, as set out in Section 7 of the 2007 Act, were challenged in </w:t>
      </w:r>
      <w:r>
        <w:rPr>
          <w:rFonts w:ascii="Arial" w:hAnsi="Arial" w:cs="Arial"/>
          <w:i/>
          <w:iCs/>
          <w:color w:val="000000"/>
        </w:rPr>
        <w:t>Brian and Paula Arthurs’ Application (2010)</w:t>
      </w:r>
      <w:r>
        <w:rPr>
          <w:rFonts w:ascii="Arial" w:hAnsi="Arial" w:cs="Arial"/>
          <w:color w:val="000000"/>
        </w:rPr>
        <w:t>, with the applicant arguing that the DPP’s decision that there should be a non - jury trial was substantively flawed, procedurally unfair and in breach of Article 6 European Convention on Human Rights (the right to a fair trial). The Court dismissed the application on all grounds, agreeing with the decision in</w:t>
      </w:r>
      <w:r>
        <w:rPr>
          <w:rFonts w:ascii="Arial" w:hAnsi="Arial" w:cs="Arial"/>
          <w:i/>
          <w:iCs/>
          <w:color w:val="000000"/>
        </w:rPr>
        <w:t xml:space="preserve"> Re Shuker </w:t>
      </w:r>
      <w:r>
        <w:rPr>
          <w:rFonts w:ascii="Arial" w:hAnsi="Arial" w:cs="Arial"/>
          <w:color w:val="000000"/>
        </w:rPr>
        <w:t>mentioned above. The Court found that Article 6 did not apply to the DPP’s decision as that decision was not determinative of any criminal or civil charge and did not undermine the right to a fair trial (which can happen before a judge alone). The Court also found there was no common law unfairness: the DPP must act fairly in the sense of reaching a dispassionate decision based on some material which led him rationally to decide the statutory conditions are met but the nature of the decision does not require the full panoply of judicial review nor that the DPP must seek or receive representations before making his decision.</w:t>
      </w:r>
    </w:p>
    <w:p w:rsidR="007C6DED" w:rsidRDefault="007C6DED" w:rsidP="007C6DED">
      <w:pPr>
        <w:spacing w:before="240" w:line="360" w:lineRule="auto"/>
        <w:jc w:val="both"/>
      </w:pPr>
      <w:r>
        <w:rPr>
          <w:rFonts w:ascii="Arial" w:hAnsi="Arial" w:cs="Arial"/>
          <w:color w:val="000000"/>
        </w:rPr>
        <w:t xml:space="preserve">The Court also recognised that the statutory language in Section 7 of the 2007 Act was inspired by the principle of exceptionality applicable in the context of prosecutorial decisions generally. </w:t>
      </w:r>
    </w:p>
    <w:p w:rsidR="007C6DED" w:rsidRDefault="007C6DED" w:rsidP="007C6DED">
      <w:pPr>
        <w:spacing w:before="240" w:line="360" w:lineRule="auto"/>
        <w:jc w:val="both"/>
      </w:pPr>
      <w:r>
        <w:rPr>
          <w:rFonts w:ascii="Arial" w:hAnsi="Arial" w:cs="Arial"/>
          <w:b/>
          <w:bCs/>
          <w:color w:val="000000"/>
        </w:rPr>
        <w:t>Protecting sensitive information in a judicial review</w:t>
      </w:r>
    </w:p>
    <w:p w:rsidR="007C6DED" w:rsidRDefault="007C6DED" w:rsidP="007C6DED">
      <w:pPr>
        <w:spacing w:line="360" w:lineRule="auto"/>
        <w:jc w:val="both"/>
      </w:pPr>
      <w:r>
        <w:rPr>
          <w:rFonts w:ascii="Arial" w:hAnsi="Arial" w:cs="Arial"/>
          <w:color w:val="000000"/>
        </w:rPr>
        <w:t xml:space="preserve">Certificates set out which conditions in the 2007 Act have been met. This means that someone challenging the issuing of the certificate will have some information on which to base their challenge. They may not have access to all the information which informed the DPP’s decision (for example confidential </w:t>
      </w:r>
      <w:r>
        <w:rPr>
          <w:rFonts w:ascii="Arial" w:hAnsi="Arial" w:cs="Arial"/>
          <w:color w:val="000000"/>
        </w:rPr>
        <w:lastRenderedPageBreak/>
        <w:t>material such as intelligence or other sensitive national security related information).</w:t>
      </w:r>
    </w:p>
    <w:p w:rsidR="007C6DED" w:rsidRDefault="007C6DED" w:rsidP="007C6DED">
      <w:pPr>
        <w:spacing w:line="360" w:lineRule="auto"/>
        <w:jc w:val="both"/>
      </w:pPr>
    </w:p>
    <w:p w:rsidR="007C6DED" w:rsidRDefault="007C6DED" w:rsidP="007C6DED">
      <w:pPr>
        <w:spacing w:line="360" w:lineRule="auto"/>
        <w:jc w:val="both"/>
      </w:pPr>
      <w:r>
        <w:rPr>
          <w:rFonts w:ascii="Arial" w:hAnsi="Arial" w:cs="Arial"/>
          <w:color w:val="000000"/>
        </w:rPr>
        <w:t xml:space="preserve">If a challenge was brought by way of judicial review (within the confines of Section 7 of the 2007 Act) to the issuing of a certificate and there was relevant sensitive information held by the DPP, the disclosure of which could damage national security, that judicial review could protect the information via the established public interest immunity procedures or there is now  a mechanism for protecting such information via closed material </w:t>
      </w:r>
      <w:r w:rsidR="00005E07">
        <w:rPr>
          <w:rFonts w:ascii="Arial" w:hAnsi="Arial" w:cs="Arial"/>
          <w:color w:val="000000"/>
        </w:rPr>
        <w:t>procedure</w:t>
      </w:r>
      <w:r>
        <w:rPr>
          <w:rFonts w:ascii="Arial" w:hAnsi="Arial" w:cs="Arial"/>
          <w:color w:val="000000"/>
        </w:rPr>
        <w:t xml:space="preserve"> and the appointment of a special advocate under the Justice and Security Act 2013.</w:t>
      </w:r>
    </w:p>
    <w:p w:rsidR="007C6DED" w:rsidRDefault="007C6DED" w:rsidP="007C6DED">
      <w:pPr>
        <w:jc w:val="both"/>
      </w:pPr>
    </w:p>
    <w:p w:rsidR="007C6DED" w:rsidRPr="00462F0D" w:rsidRDefault="007C6DED" w:rsidP="007C6DED">
      <w:pPr>
        <w:rPr>
          <w:sz w:val="28"/>
        </w:rPr>
      </w:pPr>
      <w:r w:rsidRPr="00462F0D">
        <w:rPr>
          <w:rFonts w:ascii="Arial" w:hAnsi="Arial" w:cs="Arial"/>
          <w:b/>
          <w:bCs/>
          <w:color w:val="000000"/>
          <w:sz w:val="32"/>
          <w:szCs w:val="28"/>
        </w:rPr>
        <w:t>Consultation Proposal:</w:t>
      </w:r>
    </w:p>
    <w:p w:rsidR="007C6DED" w:rsidRPr="00462F0D" w:rsidRDefault="007C6DED" w:rsidP="007C6DED">
      <w:pPr>
        <w:rPr>
          <w:sz w:val="28"/>
        </w:rPr>
      </w:pPr>
      <w:r w:rsidRPr="00462F0D">
        <w:rPr>
          <w:rFonts w:ascii="Arial" w:hAnsi="Arial" w:cs="Arial"/>
          <w:b/>
          <w:bCs/>
          <w:color w:val="000000"/>
          <w:sz w:val="32"/>
          <w:szCs w:val="28"/>
        </w:rPr>
        <w:t>Extending non – jury trial provisions for a further two years</w:t>
      </w:r>
    </w:p>
    <w:p w:rsidR="007C6DED" w:rsidRDefault="007C6DED" w:rsidP="007C6DED"/>
    <w:p w:rsidR="007C6DED" w:rsidRDefault="007C6DED" w:rsidP="007C6DED">
      <w:pPr>
        <w:spacing w:line="360" w:lineRule="auto"/>
        <w:rPr>
          <w:rFonts w:ascii="Arial" w:hAnsi="Arial" w:cs="Arial"/>
          <w:color w:val="000000"/>
        </w:rPr>
      </w:pPr>
      <w:r>
        <w:rPr>
          <w:rFonts w:ascii="Arial" w:hAnsi="Arial" w:cs="Arial"/>
          <w:color w:val="000000"/>
        </w:rPr>
        <w:t>There are no limits to the number of times non – jury trial provisions under the 2007 Act may be extended. However, it is important to note that these provisions were designed to be a temporary measure. This Government remains fully committed to seeing an end to non – jury trials in Northern Ireland, where safe and compatible with the interests of justice. The figures set out in Annex B help illustrate that the use of non – jury trials in Northern Ireland has steadily declined in recent years.</w:t>
      </w:r>
      <w:r>
        <w:rPr>
          <w:rStyle w:val="FootnoteReference"/>
          <w:rFonts w:ascii="Arial" w:hAnsi="Arial" w:cs="Arial"/>
          <w:color w:val="000000"/>
        </w:rPr>
        <w:footnoteReference w:id="7"/>
      </w:r>
    </w:p>
    <w:p w:rsidR="007C6DED" w:rsidRDefault="007C6DED" w:rsidP="007C6DED">
      <w:pPr>
        <w:spacing w:line="360" w:lineRule="auto"/>
      </w:pPr>
    </w:p>
    <w:p w:rsidR="007C6DED" w:rsidRDefault="007C6DED" w:rsidP="007C6DED">
      <w:pPr>
        <w:spacing w:line="360" w:lineRule="auto"/>
      </w:pPr>
      <w:r>
        <w:rPr>
          <w:rFonts w:ascii="Arial" w:hAnsi="Arial" w:cs="Arial"/>
          <w:color w:val="000000"/>
        </w:rPr>
        <w:t xml:space="preserve">Today in Northern Ireland, there is a strong presumption for a jury trial in all cases. The DPP for Northern Ireland may only issue a certificate for a non - jury trial if he </w:t>
      </w:r>
      <w:r>
        <w:rPr>
          <w:rFonts w:ascii="Arial" w:hAnsi="Arial" w:cs="Arial"/>
          <w:i/>
          <w:iCs/>
          <w:color w:val="000000"/>
        </w:rPr>
        <w:t>suspects</w:t>
      </w:r>
      <w:r>
        <w:rPr>
          <w:rFonts w:ascii="Arial" w:hAnsi="Arial" w:cs="Arial"/>
          <w:color w:val="000000"/>
        </w:rPr>
        <w:t xml:space="preserve"> one of the four statutory conditions within the test is met and is </w:t>
      </w:r>
      <w:r>
        <w:rPr>
          <w:rFonts w:ascii="Arial" w:hAnsi="Arial" w:cs="Arial"/>
          <w:i/>
          <w:iCs/>
          <w:color w:val="000000"/>
        </w:rPr>
        <w:t>satisfied</w:t>
      </w:r>
      <w:r>
        <w:rPr>
          <w:rFonts w:ascii="Arial" w:hAnsi="Arial" w:cs="Arial"/>
          <w:color w:val="000000"/>
        </w:rPr>
        <w:t xml:space="preserve"> that there is a risk that the administration of justice might be impaired if the trial were to be conducted with a jury.</w:t>
      </w:r>
    </w:p>
    <w:p w:rsidR="007C6DED" w:rsidRDefault="007C6DED" w:rsidP="007C6DED">
      <w:pPr>
        <w:spacing w:line="360" w:lineRule="auto"/>
      </w:pPr>
    </w:p>
    <w:p w:rsidR="007C6DED" w:rsidRDefault="007C6DED" w:rsidP="007C6DED">
      <w:pPr>
        <w:spacing w:line="360" w:lineRule="auto"/>
      </w:pPr>
      <w:r>
        <w:rPr>
          <w:rFonts w:ascii="Arial" w:hAnsi="Arial" w:cs="Arial"/>
          <w:color w:val="000000"/>
        </w:rPr>
        <w:t xml:space="preserve">Academic research referenced in the Panel Report, commissioned as part of the Fresh Start Agreement in 2015, suggests that paramilitary organisations continue to use violence or the threat of violence to exert a powerful influence </w:t>
      </w:r>
      <w:r w:rsidR="00005E07">
        <w:rPr>
          <w:rFonts w:ascii="Arial" w:hAnsi="Arial" w:cs="Arial"/>
          <w:color w:val="000000"/>
        </w:rPr>
        <w:lastRenderedPageBreak/>
        <w:t>over communities. This research indicates that a</w:t>
      </w:r>
      <w:r>
        <w:rPr>
          <w:rFonts w:ascii="Arial" w:hAnsi="Arial" w:cs="Arial"/>
          <w:color w:val="000000"/>
        </w:rPr>
        <w:t>pproximately 1,000 people were driven out of their homes between 2012/13 and 2014/15 due to paramilitary intimidation from within their own community.</w:t>
      </w:r>
      <w:r>
        <w:rPr>
          <w:rStyle w:val="FootnoteReference"/>
          <w:rFonts w:ascii="Arial" w:hAnsi="Arial" w:cs="Arial"/>
          <w:color w:val="000000"/>
        </w:rPr>
        <w:footnoteReference w:id="8"/>
      </w:r>
    </w:p>
    <w:p w:rsidR="007C6DED" w:rsidRDefault="007C6DED" w:rsidP="007C6DED">
      <w:pPr>
        <w:spacing w:line="360" w:lineRule="auto"/>
      </w:pPr>
    </w:p>
    <w:p w:rsidR="007C6DED" w:rsidRDefault="007C6DED" w:rsidP="007C6DED">
      <w:pPr>
        <w:spacing w:line="360" w:lineRule="auto"/>
      </w:pPr>
      <w:r>
        <w:rPr>
          <w:rFonts w:ascii="Arial" w:hAnsi="Arial" w:cs="Arial"/>
          <w:color w:val="000000"/>
        </w:rPr>
        <w:t>The threat level for Northern Ireland – related terrorism</w:t>
      </w:r>
      <w:r>
        <w:rPr>
          <w:rStyle w:val="FootnoteReference"/>
          <w:rFonts w:ascii="Arial" w:hAnsi="Arial" w:cs="Arial"/>
          <w:color w:val="000000"/>
        </w:rPr>
        <w:footnoteReference w:id="9"/>
      </w:r>
      <w:r>
        <w:rPr>
          <w:rFonts w:ascii="Arial" w:hAnsi="Arial" w:cs="Arial"/>
          <w:color w:val="000000"/>
        </w:rPr>
        <w:t xml:space="preserve"> in Northern Ireland remains at SEVERE. The activities of violent paramilitary groups continue to pose risks to the criminal justice system in Northern Ireland. Threats and acts of violence towards the police and public bodies demonstrate continued attempts at intimidation of individuals and communities.</w:t>
      </w:r>
      <w:r>
        <w:rPr>
          <w:rStyle w:val="FootnoteReference"/>
          <w:rFonts w:ascii="Arial" w:hAnsi="Arial" w:cs="Arial"/>
          <w:color w:val="000000"/>
        </w:rPr>
        <w:footnoteReference w:id="10"/>
      </w:r>
      <w:r>
        <w:rPr>
          <w:rFonts w:ascii="Arial" w:hAnsi="Arial" w:cs="Arial"/>
          <w:color w:val="000000"/>
        </w:rPr>
        <w:t xml:space="preserve"> Given this unique context, it is the N</w:t>
      </w:r>
      <w:r w:rsidR="004102E7">
        <w:rPr>
          <w:rFonts w:ascii="Arial" w:hAnsi="Arial" w:cs="Arial"/>
          <w:color w:val="000000"/>
        </w:rPr>
        <w:t>orthern Ireland Office’</w:t>
      </w:r>
      <w:r>
        <w:rPr>
          <w:rFonts w:ascii="Arial" w:hAnsi="Arial" w:cs="Arial"/>
          <w:color w:val="000000"/>
        </w:rPr>
        <w:t xml:space="preserve">s position that juries can still be at risk from tampering in Northern Ireland and that this risk to the administration of justice justifies the continuation (for the time being) of provisions allowing for a non - jury trial in the limited circumstances provided for in the 2007 Act. </w:t>
      </w:r>
    </w:p>
    <w:p w:rsidR="007C6DED" w:rsidRDefault="007C6DED" w:rsidP="007C6DED"/>
    <w:p w:rsidR="007C6DED" w:rsidRDefault="007C6DED" w:rsidP="007C6DED">
      <w:r>
        <w:rPr>
          <w:rFonts w:ascii="Arial" w:hAnsi="Arial" w:cs="Arial"/>
          <w:b/>
          <w:bCs/>
          <w:color w:val="000000"/>
        </w:rPr>
        <w:t xml:space="preserve">It is for this reason that we are proposing that non – jury trial provisions under the 2007 Act are once again extended for a period of two years. </w:t>
      </w:r>
    </w:p>
    <w:p w:rsidR="007C6DED" w:rsidRDefault="007C6DED" w:rsidP="007C6DED"/>
    <w:p w:rsidR="007C6DED" w:rsidRDefault="007C6DED" w:rsidP="007C6DED">
      <w:pPr>
        <w:spacing w:line="360" w:lineRule="auto"/>
      </w:pPr>
      <w:r>
        <w:rPr>
          <w:rFonts w:ascii="Arial" w:hAnsi="Arial" w:cs="Arial"/>
          <w:color w:val="000000"/>
        </w:rPr>
        <w:t>Prior to the most recent extension of the non – jury trial provisions under the 2007 Act in July 2015, the Northern Ireland Office carried out a targeted consultation with a number of key groups and individuals with specific expertise and interest in the area. Expert advice gathered at this time indicated that there was a continued need to ensure a mechanism was in place to prevent the intimidation of jurors by paramilitary organisations, a form of perverting the course of justice one respondent described as being “formidably difficult to detect.”</w:t>
      </w:r>
      <w:r>
        <w:rPr>
          <w:rStyle w:val="FootnoteReference"/>
          <w:rFonts w:ascii="Arial" w:hAnsi="Arial" w:cs="Arial"/>
          <w:color w:val="000000"/>
        </w:rPr>
        <w:footnoteReference w:id="11"/>
      </w:r>
      <w:r>
        <w:rPr>
          <w:rFonts w:ascii="Arial" w:hAnsi="Arial" w:cs="Arial"/>
          <w:color w:val="000000"/>
        </w:rPr>
        <w:t xml:space="preserve"> </w:t>
      </w:r>
      <w:r w:rsidR="00607D43" w:rsidRPr="00607D43">
        <w:rPr>
          <w:rFonts w:ascii="Arial" w:hAnsi="Arial" w:cs="Arial"/>
          <w:iCs/>
          <w:color w:val="000000"/>
        </w:rPr>
        <w:t>Annex A</w:t>
      </w:r>
      <w:r w:rsidRPr="00607D43">
        <w:rPr>
          <w:rFonts w:ascii="Arial" w:hAnsi="Arial" w:cs="Arial"/>
          <w:color w:val="000000"/>
        </w:rPr>
        <w:t xml:space="preserve"> </w:t>
      </w:r>
      <w:r>
        <w:rPr>
          <w:rFonts w:ascii="Arial" w:hAnsi="Arial" w:cs="Arial"/>
          <w:color w:val="000000"/>
        </w:rPr>
        <w:t>provides further information on the 2015 consultation exercise.</w:t>
      </w:r>
    </w:p>
    <w:p w:rsidR="007C6DED" w:rsidRDefault="007C6DED" w:rsidP="007C6DED"/>
    <w:p w:rsidR="007C6DED" w:rsidRDefault="007C6DED" w:rsidP="007C6DED">
      <w:pPr>
        <w:spacing w:line="360" w:lineRule="auto"/>
      </w:pPr>
      <w:r>
        <w:rPr>
          <w:rFonts w:ascii="Arial" w:hAnsi="Arial" w:cs="Arial"/>
          <w:b/>
          <w:bCs/>
          <w:color w:val="000000"/>
          <w:sz w:val="28"/>
          <w:szCs w:val="28"/>
        </w:rPr>
        <w:t xml:space="preserve">Review of the provisions </w:t>
      </w:r>
    </w:p>
    <w:p w:rsidR="00B84CF2" w:rsidRDefault="007C6DED" w:rsidP="007C6DED">
      <w:pPr>
        <w:spacing w:line="360" w:lineRule="auto"/>
        <w:rPr>
          <w:rFonts w:ascii="Arial" w:hAnsi="Arial" w:cs="Arial"/>
          <w:color w:val="000000"/>
        </w:rPr>
      </w:pPr>
      <w:r>
        <w:rPr>
          <w:rFonts w:ascii="Arial" w:hAnsi="Arial" w:cs="Arial"/>
          <w:color w:val="000000"/>
        </w:rPr>
        <w:t xml:space="preserve">As stated, the Northern Ireland Office is </w:t>
      </w:r>
      <w:r w:rsidR="00FA029C">
        <w:rPr>
          <w:rFonts w:ascii="Arial" w:hAnsi="Arial" w:cs="Arial"/>
          <w:color w:val="000000"/>
        </w:rPr>
        <w:t xml:space="preserve">currently </w:t>
      </w:r>
      <w:r>
        <w:rPr>
          <w:rFonts w:ascii="Arial" w:hAnsi="Arial" w:cs="Arial"/>
          <w:color w:val="000000"/>
        </w:rPr>
        <w:t>undertaking a review of two specific aspects of the provisions; the four statutory conditions in the test for the DPP to issue a certificate and the current mechanism for challenging the issuing of non - jury trial certificates. Our review has so far indicated that the provisions for non - jury trial under the 2007 Act remain necessary and appropriate, although submissions received during the consultation on the two aforementioned aspects of the provisions will inform this review further.  </w:t>
      </w:r>
    </w:p>
    <w:p w:rsidR="00B84CF2" w:rsidRDefault="00B84CF2" w:rsidP="007C6DED">
      <w:pPr>
        <w:spacing w:line="360" w:lineRule="auto"/>
        <w:rPr>
          <w:rFonts w:ascii="Arial" w:hAnsi="Arial" w:cs="Arial"/>
          <w:color w:val="000000"/>
        </w:rPr>
      </w:pPr>
    </w:p>
    <w:p w:rsidR="00982B03" w:rsidRPr="00B84CF2" w:rsidRDefault="00B84CF2" w:rsidP="007C6DED">
      <w:pPr>
        <w:spacing w:line="360" w:lineRule="auto"/>
        <w:rPr>
          <w:rFonts w:ascii="Arial" w:hAnsi="Arial" w:cs="Arial"/>
          <w:color w:val="000000"/>
        </w:rPr>
      </w:pPr>
      <w:r>
        <w:rPr>
          <w:rFonts w:ascii="Arial" w:hAnsi="Arial" w:cs="Arial"/>
          <w:color w:val="000000"/>
        </w:rPr>
        <w:t>Please note, any decision to amend the provisions following the review would result in the government seeking to bring forward primary legislation to amend the 2007 Act. This would be a separate, subsequent exercise and could not be achieved as part of an Extension Order.</w:t>
      </w:r>
    </w:p>
    <w:p w:rsidR="007C6DED" w:rsidRDefault="007C6DED" w:rsidP="007C6DED">
      <w:pPr>
        <w:spacing w:line="360" w:lineRule="auto"/>
        <w:rPr>
          <w:rFonts w:ascii="Arial" w:hAnsi="Arial" w:cs="Arial"/>
          <w:b/>
          <w:bCs/>
          <w:color w:val="000000"/>
        </w:rPr>
      </w:pPr>
    </w:p>
    <w:p w:rsidR="007C6DED" w:rsidRDefault="007C6DED" w:rsidP="007C6DED">
      <w:pPr>
        <w:spacing w:line="360" w:lineRule="auto"/>
      </w:pPr>
      <w:r>
        <w:rPr>
          <w:rFonts w:ascii="Arial" w:hAnsi="Arial" w:cs="Arial"/>
          <w:b/>
          <w:bCs/>
          <w:color w:val="000000"/>
        </w:rPr>
        <w:t xml:space="preserve">The DPP’s Test: Four statutory conditions </w:t>
      </w:r>
    </w:p>
    <w:p w:rsidR="007C6DED" w:rsidRDefault="007C6DED" w:rsidP="007C6DED">
      <w:pPr>
        <w:spacing w:line="360" w:lineRule="auto"/>
      </w:pPr>
      <w:r>
        <w:rPr>
          <w:rFonts w:ascii="Arial" w:hAnsi="Arial" w:cs="Arial"/>
          <w:color w:val="000000"/>
        </w:rPr>
        <w:t xml:space="preserve">Figures provided to us by the Public Prosecution Service (in </w:t>
      </w:r>
      <w:r w:rsidRPr="00607D43">
        <w:rPr>
          <w:rFonts w:ascii="Arial" w:hAnsi="Arial" w:cs="Arial"/>
          <w:iCs/>
          <w:color w:val="000000"/>
        </w:rPr>
        <w:t>Annex B</w:t>
      </w:r>
      <w:r>
        <w:rPr>
          <w:rFonts w:ascii="Arial" w:hAnsi="Arial" w:cs="Arial"/>
          <w:color w:val="000000"/>
        </w:rPr>
        <w:t xml:space="preserve">) have revealed that conditions one, two and four have featured regularly in non - jury trial cases between 2016 - 2011 (in 93, 72 and 59 per cent of all cases respectively). Condition three has also been used, albeit less frequently, featuring in 7 per cent of all non - jury trials since 2011. Please note, the DPP may decide that he suspects </w:t>
      </w:r>
      <w:r>
        <w:rPr>
          <w:rFonts w:ascii="Arial" w:hAnsi="Arial" w:cs="Arial"/>
          <w:i/>
          <w:iCs/>
          <w:color w:val="000000"/>
        </w:rPr>
        <w:t xml:space="preserve">more than one </w:t>
      </w:r>
      <w:r>
        <w:rPr>
          <w:rFonts w:ascii="Arial" w:hAnsi="Arial" w:cs="Arial"/>
          <w:color w:val="000000"/>
        </w:rPr>
        <w:t>condition is met during one case.</w:t>
      </w:r>
    </w:p>
    <w:p w:rsidR="007C6DED" w:rsidRDefault="007C6DED" w:rsidP="007C6DED">
      <w:pPr>
        <w:spacing w:line="360" w:lineRule="auto"/>
      </w:pPr>
    </w:p>
    <w:p w:rsidR="007C6DED" w:rsidRDefault="007C6DED" w:rsidP="007C6DED">
      <w:pPr>
        <w:spacing w:line="360" w:lineRule="auto"/>
      </w:pPr>
      <w:r>
        <w:rPr>
          <w:rFonts w:ascii="Arial" w:hAnsi="Arial" w:cs="Arial"/>
          <w:b/>
          <w:bCs/>
          <w:color w:val="000000"/>
        </w:rPr>
        <w:t xml:space="preserve">Current mechanism for challenging the issuing of non - jury trial certificates </w:t>
      </w:r>
    </w:p>
    <w:p w:rsidR="007C6DED" w:rsidRDefault="007C6DED" w:rsidP="007C6DED">
      <w:pPr>
        <w:spacing w:line="360" w:lineRule="auto"/>
        <w:rPr>
          <w:rFonts w:ascii="Arial" w:hAnsi="Arial" w:cs="Arial"/>
          <w:i/>
          <w:iCs/>
          <w:color w:val="000000"/>
        </w:rPr>
      </w:pPr>
      <w:r>
        <w:rPr>
          <w:rFonts w:ascii="Arial" w:hAnsi="Arial" w:cs="Arial"/>
          <w:color w:val="000000"/>
        </w:rPr>
        <w:t>The review is also considering the grounds for challenging a certificate for non - jury trial. Our view is that the existing grounds for challenging a non - jury trial certificate</w:t>
      </w:r>
      <w:r w:rsidR="00B84CF2">
        <w:rPr>
          <w:rFonts w:ascii="Arial" w:hAnsi="Arial" w:cs="Arial"/>
          <w:color w:val="000000"/>
        </w:rPr>
        <w:t xml:space="preserve"> in section 7 of the Act (‘Limitation of challenge of issue of certificate’)</w:t>
      </w:r>
      <w:r>
        <w:rPr>
          <w:rFonts w:ascii="Arial" w:hAnsi="Arial" w:cs="Arial"/>
          <w:color w:val="000000"/>
        </w:rPr>
        <w:t xml:space="preserve"> reflect the general position that the DPP’s decisions (including those related to prosecution</w:t>
      </w:r>
      <w:r w:rsidR="00B84CF2">
        <w:rPr>
          <w:rFonts w:ascii="Arial" w:hAnsi="Arial" w:cs="Arial"/>
          <w:color w:val="000000"/>
        </w:rPr>
        <w:t>s) are generally only amenable to judicial</w:t>
      </w:r>
      <w:r>
        <w:rPr>
          <w:rFonts w:ascii="Arial" w:hAnsi="Arial" w:cs="Arial"/>
          <w:color w:val="000000"/>
        </w:rPr>
        <w:t xml:space="preserve"> review on </w:t>
      </w:r>
      <w:r w:rsidR="00B84CF2">
        <w:rPr>
          <w:rFonts w:ascii="Arial" w:hAnsi="Arial" w:cs="Arial"/>
          <w:color w:val="000000"/>
        </w:rPr>
        <w:t>limited</w:t>
      </w:r>
      <w:r>
        <w:rPr>
          <w:rFonts w:ascii="Arial" w:hAnsi="Arial" w:cs="Arial"/>
          <w:color w:val="000000"/>
        </w:rPr>
        <w:t xml:space="preserve"> grounds</w:t>
      </w:r>
      <w:r w:rsidR="00B84CF2">
        <w:rPr>
          <w:rFonts w:ascii="Arial" w:hAnsi="Arial" w:cs="Arial"/>
          <w:color w:val="000000"/>
        </w:rPr>
        <w:t xml:space="preserve">. These grounds were upheld by the Court in </w:t>
      </w:r>
      <w:r>
        <w:rPr>
          <w:rFonts w:ascii="Arial" w:hAnsi="Arial" w:cs="Arial"/>
          <w:i/>
          <w:iCs/>
          <w:color w:val="000000"/>
        </w:rPr>
        <w:t>Brian and Paula</w:t>
      </w:r>
      <w:r w:rsidR="00B84CF2">
        <w:rPr>
          <w:rFonts w:ascii="Arial" w:hAnsi="Arial" w:cs="Arial"/>
          <w:i/>
          <w:iCs/>
          <w:color w:val="000000"/>
        </w:rPr>
        <w:t xml:space="preserve"> Arthurs’</w:t>
      </w:r>
      <w:r>
        <w:rPr>
          <w:rFonts w:ascii="Arial" w:hAnsi="Arial" w:cs="Arial"/>
          <w:i/>
          <w:iCs/>
          <w:color w:val="000000"/>
        </w:rPr>
        <w:t xml:space="preserve"> Application (2010). </w:t>
      </w:r>
    </w:p>
    <w:p w:rsidR="0009059E" w:rsidRDefault="0009059E" w:rsidP="007C6DED">
      <w:pPr>
        <w:spacing w:line="360" w:lineRule="auto"/>
        <w:rPr>
          <w:rFonts w:ascii="Arial" w:hAnsi="Arial" w:cs="Arial"/>
          <w:i/>
          <w:iCs/>
          <w:color w:val="000000"/>
        </w:rPr>
      </w:pPr>
    </w:p>
    <w:p w:rsidR="00885230" w:rsidRDefault="00885230" w:rsidP="007C6DED">
      <w:pPr>
        <w:spacing w:line="360" w:lineRule="auto"/>
        <w:rPr>
          <w:rFonts w:ascii="Arial" w:hAnsi="Arial" w:cs="Arial"/>
          <w:b/>
          <w:iCs/>
          <w:color w:val="000000"/>
          <w:sz w:val="28"/>
        </w:rPr>
      </w:pPr>
    </w:p>
    <w:p w:rsidR="0009059E" w:rsidRPr="0009059E" w:rsidRDefault="00885230" w:rsidP="007C6DED">
      <w:pPr>
        <w:spacing w:line="360" w:lineRule="auto"/>
        <w:rPr>
          <w:rFonts w:ascii="Arial" w:hAnsi="Arial" w:cs="Arial"/>
          <w:b/>
          <w:iCs/>
          <w:color w:val="000000"/>
          <w:sz w:val="28"/>
        </w:rPr>
      </w:pPr>
      <w:r>
        <w:rPr>
          <w:rFonts w:ascii="Arial" w:hAnsi="Arial" w:cs="Arial"/>
          <w:b/>
          <w:iCs/>
          <w:color w:val="000000"/>
          <w:sz w:val="28"/>
        </w:rPr>
        <w:lastRenderedPageBreak/>
        <w:t>Eq</w:t>
      </w:r>
      <w:r w:rsidR="0009059E" w:rsidRPr="0009059E">
        <w:rPr>
          <w:rFonts w:ascii="Arial" w:hAnsi="Arial" w:cs="Arial"/>
          <w:b/>
          <w:iCs/>
          <w:color w:val="000000"/>
          <w:sz w:val="28"/>
        </w:rPr>
        <w:t>uality Screening</w:t>
      </w:r>
    </w:p>
    <w:p w:rsidR="004102E7" w:rsidRPr="00635E7D" w:rsidRDefault="004102E7" w:rsidP="004102E7">
      <w:pPr>
        <w:spacing w:line="360" w:lineRule="auto"/>
        <w:rPr>
          <w:rFonts w:ascii="Arial" w:hAnsi="Arial" w:cs="Arial"/>
          <w:iCs/>
          <w:color w:val="000000"/>
        </w:rPr>
      </w:pPr>
      <w:r>
        <w:rPr>
          <w:rFonts w:ascii="Arial" w:hAnsi="Arial" w:cs="Arial"/>
          <w:iCs/>
          <w:color w:val="000000"/>
        </w:rPr>
        <w:t>I</w:t>
      </w:r>
      <w:r w:rsidRPr="00635E7D">
        <w:rPr>
          <w:rFonts w:ascii="Arial" w:hAnsi="Arial" w:cs="Arial"/>
          <w:iCs/>
          <w:color w:val="000000"/>
        </w:rPr>
        <w:t>n accordance with Section 75 of the Northern Ireland Act 1998</w:t>
      </w:r>
      <w:r>
        <w:rPr>
          <w:rFonts w:ascii="Arial" w:hAnsi="Arial" w:cs="Arial"/>
          <w:iCs/>
          <w:color w:val="000000"/>
        </w:rPr>
        <w:t>, the Northern Ireland Office has undertaken an Equality Screening exercise</w:t>
      </w:r>
      <w:r w:rsidRPr="00635E7D">
        <w:rPr>
          <w:rStyle w:val="FootnoteReference"/>
          <w:rFonts w:ascii="Arial" w:hAnsi="Arial" w:cs="Arial"/>
          <w:iCs/>
          <w:color w:val="000000"/>
        </w:rPr>
        <w:footnoteReference w:id="12"/>
      </w:r>
      <w:r>
        <w:rPr>
          <w:rFonts w:ascii="Arial" w:hAnsi="Arial" w:cs="Arial"/>
          <w:iCs/>
          <w:color w:val="000000"/>
        </w:rPr>
        <w:t xml:space="preserve"> prior to the launch of this consultation to </w:t>
      </w:r>
      <w:r>
        <w:rPr>
          <w:rFonts w:ascii="Arial" w:hAnsi="Arial" w:cs="Arial"/>
        </w:rPr>
        <w:t>indicate whether or not there are likely equality of opportunity and/or good relations impacts associated with extending the non-jury trial provisions</w:t>
      </w:r>
      <w:r>
        <w:rPr>
          <w:rFonts w:ascii="Arial" w:hAnsi="Arial" w:cs="Arial"/>
          <w:iCs/>
          <w:color w:val="000000"/>
        </w:rPr>
        <w:t>. The provisional outcome of the screening exercise is that the likely impact of extending the provisions is “minor” in respect of 2 of the section 75 categories (religious belief and political opinion)</w:t>
      </w:r>
      <w:r w:rsidR="00FA029C">
        <w:rPr>
          <w:rFonts w:ascii="Arial" w:hAnsi="Arial" w:cs="Arial"/>
          <w:iCs/>
          <w:color w:val="000000"/>
        </w:rPr>
        <w:t xml:space="preserve"> </w:t>
      </w:r>
      <w:r w:rsidR="00FA029C">
        <w:rPr>
          <w:rFonts w:ascii="Arial" w:hAnsi="Arial" w:cs="Arial"/>
        </w:rPr>
        <w:t>i.e. the</w:t>
      </w:r>
      <w:r w:rsidR="00FA029C" w:rsidRPr="00E464EB">
        <w:rPr>
          <w:rFonts w:ascii="Arial" w:hAnsi="Arial" w:cs="Arial"/>
        </w:rPr>
        <w:t xml:space="preserve"> policy is not unlawfully discriminatory and any residual potential impacts on people are judged to be negligible</w:t>
      </w:r>
      <w:r w:rsidR="00FA029C">
        <w:rPr>
          <w:rFonts w:ascii="Arial" w:hAnsi="Arial" w:cs="Arial"/>
        </w:rPr>
        <w:t>,</w:t>
      </w:r>
      <w:r>
        <w:rPr>
          <w:rFonts w:ascii="Arial" w:hAnsi="Arial" w:cs="Arial"/>
          <w:iCs/>
          <w:color w:val="000000"/>
        </w:rPr>
        <w:t xml:space="preserve"> and “none” in respect of the other categories. To help inform this screening exercise and in order to determine whether a full equalities impact assessment is required, we are welcoming any views you might have on the potential impact of non – jury trial provisions on equality in Northern Ireland. Following the conclusion of this consultation, we will review this exercise to assess whether our initial assessment made about the likely impact of the provisions is still accurate. </w:t>
      </w:r>
    </w:p>
    <w:p w:rsidR="0009059E" w:rsidRDefault="0009059E" w:rsidP="007C6DED">
      <w:pPr>
        <w:spacing w:line="360" w:lineRule="auto"/>
        <w:rPr>
          <w:rFonts w:ascii="Arial" w:hAnsi="Arial" w:cs="Arial"/>
          <w:iCs/>
          <w:color w:val="000000"/>
        </w:rPr>
      </w:pPr>
    </w:p>
    <w:p w:rsidR="0009059E" w:rsidRPr="0009059E" w:rsidRDefault="0009059E" w:rsidP="007C6DED">
      <w:pPr>
        <w:spacing w:line="360" w:lineRule="auto"/>
        <w:rPr>
          <w:rFonts w:ascii="Arial" w:hAnsi="Arial" w:cs="Arial"/>
          <w:iCs/>
          <w:color w:val="000000"/>
        </w:rPr>
      </w:pPr>
    </w:p>
    <w:p w:rsidR="0009059E" w:rsidRPr="0009059E" w:rsidRDefault="0009059E" w:rsidP="007C6DED">
      <w:pPr>
        <w:rPr>
          <w:rFonts w:ascii="Arial" w:hAnsi="Arial" w:cs="Arial"/>
          <w:b/>
        </w:rPr>
      </w:pPr>
    </w:p>
    <w:p w:rsidR="0009059E" w:rsidRDefault="0009059E" w:rsidP="007C6DED"/>
    <w:p w:rsidR="0009059E" w:rsidRDefault="0009059E" w:rsidP="007C6DED"/>
    <w:p w:rsidR="007C6DED" w:rsidRDefault="007C6DED" w:rsidP="007C6DED"/>
    <w:p w:rsidR="001D0DD7" w:rsidRDefault="001D0DD7" w:rsidP="007C6DED">
      <w:pPr>
        <w:rPr>
          <w:rFonts w:ascii="Arial" w:hAnsi="Arial" w:cs="Arial"/>
          <w:b/>
          <w:sz w:val="32"/>
          <w:szCs w:val="32"/>
        </w:rPr>
      </w:pPr>
    </w:p>
    <w:p w:rsidR="001D0DD7" w:rsidRDefault="001D0DD7" w:rsidP="007C6DED">
      <w:pPr>
        <w:rPr>
          <w:rFonts w:ascii="Arial" w:hAnsi="Arial" w:cs="Arial"/>
          <w:b/>
          <w:sz w:val="32"/>
          <w:szCs w:val="32"/>
        </w:rPr>
      </w:pPr>
    </w:p>
    <w:p w:rsidR="001D0DD7" w:rsidRDefault="001D0DD7" w:rsidP="007C6DED">
      <w:pPr>
        <w:rPr>
          <w:rFonts w:ascii="Arial" w:hAnsi="Arial" w:cs="Arial"/>
          <w:b/>
          <w:sz w:val="32"/>
          <w:szCs w:val="32"/>
        </w:rPr>
      </w:pPr>
    </w:p>
    <w:p w:rsidR="001D0DD7" w:rsidRDefault="001D0DD7"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A27C8B" w:rsidRDefault="00A27C8B" w:rsidP="007C6DED">
      <w:pPr>
        <w:rPr>
          <w:rFonts w:ascii="Arial" w:hAnsi="Arial" w:cs="Arial"/>
          <w:b/>
          <w:sz w:val="32"/>
          <w:szCs w:val="32"/>
        </w:rPr>
      </w:pPr>
    </w:p>
    <w:p w:rsidR="007C6DED" w:rsidRDefault="007C6DED" w:rsidP="007C6DED">
      <w:pPr>
        <w:rPr>
          <w:rFonts w:ascii="Arial" w:hAnsi="Arial" w:cs="Arial"/>
          <w:b/>
          <w:sz w:val="32"/>
          <w:szCs w:val="32"/>
        </w:rPr>
      </w:pPr>
      <w:r>
        <w:rPr>
          <w:rFonts w:ascii="Arial" w:hAnsi="Arial" w:cs="Arial"/>
          <w:b/>
          <w:sz w:val="32"/>
          <w:szCs w:val="32"/>
        </w:rPr>
        <w:t>Annex A</w:t>
      </w:r>
    </w:p>
    <w:p w:rsidR="007C6DED" w:rsidRDefault="007C6DED" w:rsidP="007C6DED">
      <w:pPr>
        <w:rPr>
          <w:rFonts w:ascii="Arial" w:hAnsi="Arial" w:cs="Arial"/>
          <w:b/>
          <w:sz w:val="32"/>
          <w:szCs w:val="32"/>
        </w:rPr>
      </w:pPr>
      <w:r>
        <w:rPr>
          <w:rFonts w:ascii="Arial" w:hAnsi="Arial" w:cs="Arial"/>
          <w:b/>
          <w:sz w:val="32"/>
          <w:szCs w:val="32"/>
        </w:rPr>
        <w:t>Background on non – jury trials in Northern Ireland</w:t>
      </w:r>
    </w:p>
    <w:p w:rsidR="007C6DED" w:rsidRDefault="007C6DED" w:rsidP="007C6DED">
      <w:pPr>
        <w:rPr>
          <w:rFonts w:ascii="Arial" w:hAnsi="Arial" w:cs="Arial"/>
          <w:b/>
          <w:sz w:val="32"/>
          <w:szCs w:val="32"/>
        </w:rPr>
      </w:pPr>
    </w:p>
    <w:p w:rsidR="007C6DED" w:rsidRDefault="007C6DED" w:rsidP="007C6DED">
      <w:pPr>
        <w:pStyle w:val="NormalWeb"/>
        <w:spacing w:before="0" w:beforeAutospacing="0" w:after="0" w:afterAutospacing="0" w:line="360" w:lineRule="auto"/>
      </w:pPr>
      <w:r>
        <w:rPr>
          <w:rFonts w:ascii="Arial" w:hAnsi="Arial" w:cs="Arial"/>
          <w:b/>
          <w:bCs/>
          <w:color w:val="000000"/>
        </w:rPr>
        <w:t>The “Diplock system” 1973 – 2007</w:t>
      </w:r>
    </w:p>
    <w:p w:rsidR="007C6DED" w:rsidRDefault="007C6DED" w:rsidP="007C6DED">
      <w:pPr>
        <w:pStyle w:val="NormalWeb"/>
        <w:spacing w:before="0" w:beforeAutospacing="0" w:after="0" w:afterAutospacing="0" w:line="360" w:lineRule="auto"/>
        <w:rPr>
          <w:rFonts w:asciiTheme="minorHAnsi" w:eastAsiaTheme="minorHAnsi" w:hAnsiTheme="minorHAnsi" w:cstheme="minorBidi"/>
          <w:sz w:val="22"/>
          <w:szCs w:val="22"/>
          <w:lang w:eastAsia="en-US"/>
        </w:rPr>
      </w:pPr>
    </w:p>
    <w:p w:rsidR="007C6DED" w:rsidRDefault="007C6DED" w:rsidP="007C6DED">
      <w:pPr>
        <w:pStyle w:val="NormalWeb"/>
        <w:spacing w:before="0" w:beforeAutospacing="0" w:after="0" w:afterAutospacing="0" w:line="360" w:lineRule="auto"/>
      </w:pPr>
      <w:r>
        <w:rPr>
          <w:rFonts w:ascii="Arial" w:hAnsi="Arial" w:cs="Arial"/>
          <w:color w:val="000000"/>
        </w:rPr>
        <w:t>The non – jury trial system contained in the Justice and Security (Northern Ireland) Act 2007 replaced the old system (that was known as Diplock) that existed in Northern Ireland from 1973 until its repeal in 2007.</w:t>
      </w:r>
    </w:p>
    <w:p w:rsidR="007C6DED" w:rsidRDefault="007C6DED" w:rsidP="007C6DED">
      <w:pPr>
        <w:spacing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 xml:space="preserve">In his 1972 report, Lord Diplock argued the terrorist intimidation of jurors in Northern Ireland was an obstacle to dealing effectively with terrorist crime in the courts. The intimidation of jurors was the key factor in Lord Diplock’s recommendation to move to non- jury trial in terrorist cases. This system of non – jury trial was given effect in the Northern Ireland (Emergency Provisions) Act 1973 and subsequent Emergency Provisions Acts and then the Terrorism Act 2000. If a person was charged with a scheduled offence they were </w:t>
      </w:r>
      <w:r>
        <w:rPr>
          <w:rFonts w:ascii="Arial" w:hAnsi="Arial" w:cs="Arial"/>
          <w:color w:val="000000"/>
          <w:u w:val="single"/>
        </w:rPr>
        <w:t>automatically</w:t>
      </w:r>
      <w:r>
        <w:rPr>
          <w:rFonts w:ascii="Arial" w:hAnsi="Arial" w:cs="Arial"/>
          <w:color w:val="000000"/>
        </w:rPr>
        <w:t xml:space="preserve"> tried before a Diplock Court unless the Attorney General certified that the offence was not to be treated as a scheduled offence (the effect of which was the case was be tried before a jury), a process known as “descheduling.”</w:t>
      </w:r>
      <w:r>
        <w:t xml:space="preserve"> </w:t>
      </w:r>
    </w:p>
    <w:p w:rsidR="007C6DED" w:rsidRDefault="007C6DED"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The average number of cases dealt with in the last five years of these arrangements (up until 2007) was 62 per year.</w:t>
      </w:r>
      <w:r>
        <w:t xml:space="preserve"> </w:t>
      </w:r>
    </w:p>
    <w:p w:rsidR="007C6DED" w:rsidRDefault="007C6DED"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 xml:space="preserve">Following a public consultation on the Diplock arrangements in 2006, and in line with “normalisation” in Northern Ireland, the then Secretary of State announced a new system would be put in place.  This system would mean </w:t>
      </w:r>
      <w:r>
        <w:rPr>
          <w:rFonts w:ascii="Arial" w:hAnsi="Arial" w:cs="Arial"/>
          <w:b/>
          <w:bCs/>
          <w:color w:val="000000"/>
        </w:rPr>
        <w:t>a presumption of jury trial in all cases.</w:t>
      </w:r>
      <w:r>
        <w:rPr>
          <w:rFonts w:ascii="Arial" w:hAnsi="Arial" w:cs="Arial"/>
          <w:color w:val="000000"/>
        </w:rPr>
        <w:t xml:space="preserve">  Non-jury trial would be retained for certain exceptional cases where there is a risk from paramilitary and community-based pressures on a jury. This system was given effect in the 2007 Act and is the subject of this public consultation. </w:t>
      </w:r>
    </w:p>
    <w:p w:rsidR="007C6DED" w:rsidRDefault="007C6DED" w:rsidP="007C6DED">
      <w:pPr>
        <w:pStyle w:val="NormalWeb"/>
        <w:spacing w:before="0" w:beforeAutospacing="0" w:after="0" w:afterAutospacing="0" w:line="360" w:lineRule="auto"/>
      </w:pPr>
      <w:r>
        <w:rPr>
          <w:color w:val="000000"/>
        </w:rPr>
        <w:lastRenderedPageBreak/>
        <w:t> </w:t>
      </w:r>
    </w:p>
    <w:p w:rsidR="007C6DED" w:rsidRDefault="007C6DED" w:rsidP="007C6DED">
      <w:pPr>
        <w:pStyle w:val="NormalWeb"/>
        <w:spacing w:before="0" w:beforeAutospacing="0" w:after="0" w:afterAutospacing="0"/>
        <w:rPr>
          <w:rFonts w:ascii="Arial" w:hAnsi="Arial" w:cs="Arial"/>
          <w:b/>
          <w:bCs/>
          <w:color w:val="000000"/>
        </w:rPr>
      </w:pPr>
    </w:p>
    <w:p w:rsidR="007C6DED" w:rsidRDefault="007C6DED" w:rsidP="007C6DED">
      <w:pPr>
        <w:pStyle w:val="NormalWeb"/>
        <w:spacing w:before="0" w:beforeAutospacing="0" w:after="0" w:afterAutospacing="0"/>
        <w:rPr>
          <w:rFonts w:ascii="Arial" w:hAnsi="Arial" w:cs="Arial"/>
          <w:b/>
          <w:bCs/>
          <w:color w:val="000000"/>
        </w:rPr>
      </w:pPr>
    </w:p>
    <w:p w:rsidR="007C6DED" w:rsidRDefault="007C6DED" w:rsidP="007C6DED">
      <w:pPr>
        <w:pStyle w:val="NormalWeb"/>
        <w:spacing w:before="0" w:beforeAutospacing="0" w:after="0" w:afterAutospacing="0"/>
        <w:rPr>
          <w:rFonts w:ascii="Arial" w:hAnsi="Arial" w:cs="Arial"/>
          <w:b/>
          <w:bCs/>
          <w:color w:val="000000"/>
        </w:rPr>
      </w:pPr>
    </w:p>
    <w:p w:rsidR="007C6DED" w:rsidRDefault="007C6DED" w:rsidP="007C6DED">
      <w:pPr>
        <w:pStyle w:val="NormalWeb"/>
        <w:spacing w:before="0" w:beforeAutospacing="0" w:after="0" w:afterAutospacing="0"/>
        <w:rPr>
          <w:rFonts w:ascii="Arial" w:hAnsi="Arial" w:cs="Arial"/>
          <w:b/>
          <w:bCs/>
          <w:color w:val="000000"/>
        </w:rPr>
      </w:pPr>
      <w:r>
        <w:rPr>
          <w:rFonts w:ascii="Arial" w:hAnsi="Arial" w:cs="Arial"/>
          <w:b/>
          <w:bCs/>
          <w:color w:val="000000"/>
        </w:rPr>
        <w:t>Policy background</w:t>
      </w:r>
    </w:p>
    <w:p w:rsidR="007C6DED" w:rsidRDefault="007C6DED" w:rsidP="007C6DED">
      <w:pPr>
        <w:pStyle w:val="NormalWeb"/>
        <w:spacing w:before="0" w:beforeAutospacing="0" w:after="0" w:afterAutospacing="0"/>
      </w:pPr>
    </w:p>
    <w:p w:rsidR="007C6DED" w:rsidRDefault="007C6DED" w:rsidP="007C6DED">
      <w:pPr>
        <w:pStyle w:val="NormalWeb"/>
        <w:spacing w:before="0" w:beforeAutospacing="0" w:after="0" w:afterAutospacing="0" w:line="360" w:lineRule="auto"/>
        <w:rPr>
          <w:rFonts w:ascii="Arial" w:hAnsi="Arial" w:cs="Arial"/>
          <w:color w:val="000000"/>
        </w:rPr>
      </w:pPr>
      <w:r>
        <w:rPr>
          <w:rFonts w:ascii="Arial" w:hAnsi="Arial" w:cs="Arial"/>
          <w:color w:val="000000"/>
        </w:rPr>
        <w:t>The system in the 2007 Act is risk-based: it enables the DPP to issue a certificate for a non-jury trial in relation to an indictable offence if he suspects one or more of four conditions in the Act apply, and he is satisfied that in view of that there is a risk that the administration of justice might be impaired if the trial were to be conducted with a jury. The four conditions relate to connections between the offence, or the defendant, and a proscribed organisation connected with the affairs of Northern Ireland; an attempt, connected to such an organisation, to prejudice the investigation or prosecution; or connections between the offence and religious or political hostility.</w:t>
      </w:r>
    </w:p>
    <w:p w:rsidR="004102E7" w:rsidRDefault="004102E7"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The system is temporary, and next expires on 31 July 2017. However, its operation can be extended for periods of two years. This reflects Government’s view that this is an exceptional system that ought to be kept in force for as short a time as </w:t>
      </w:r>
      <w:r w:rsidR="00FA029C">
        <w:rPr>
          <w:rFonts w:ascii="Arial" w:hAnsi="Arial" w:cs="Arial"/>
          <w:color w:val="000000"/>
        </w:rPr>
        <w:t>is necessary</w:t>
      </w:r>
      <w:r>
        <w:rPr>
          <w:rFonts w:ascii="Arial" w:hAnsi="Arial" w:cs="Arial"/>
          <w:color w:val="000000"/>
        </w:rPr>
        <w:t>. Government has made clear on many occasions its aspiration to return to jury trial for all cases</w:t>
      </w:r>
      <w:r w:rsidR="00B84CF2">
        <w:rPr>
          <w:rStyle w:val="FootnoteReference"/>
          <w:rFonts w:ascii="Arial" w:hAnsi="Arial" w:cs="Arial"/>
          <w:color w:val="000000"/>
        </w:rPr>
        <w:footnoteReference w:id="13"/>
      </w:r>
      <w:r>
        <w:rPr>
          <w:rFonts w:ascii="Arial" w:hAnsi="Arial" w:cs="Arial"/>
          <w:color w:val="000000"/>
        </w:rPr>
        <w:t xml:space="preserve"> as soon as the security situation in Northern Ireland allows. The threat level for Northern Ireland – related terrorism in Northern Ireland remains at SEVERE.</w:t>
      </w:r>
    </w:p>
    <w:p w:rsidR="007C6DED" w:rsidRDefault="007C6DED" w:rsidP="007C6DED">
      <w:pPr>
        <w:pStyle w:val="NormalWeb"/>
        <w:spacing w:before="0" w:beforeAutospacing="0" w:after="0" w:afterAutospacing="0" w:line="360" w:lineRule="auto"/>
        <w:rPr>
          <w:rFonts w:ascii="Arial" w:hAnsi="Arial" w:cs="Arial"/>
          <w:color w:val="000000"/>
        </w:rPr>
      </w:pPr>
    </w:p>
    <w:p w:rsidR="007C6DED" w:rsidRDefault="007C6DED" w:rsidP="007C6DED">
      <w:pPr>
        <w:pStyle w:val="NormalWeb"/>
        <w:spacing w:before="0" w:beforeAutospacing="0" w:after="0" w:afterAutospacing="0"/>
      </w:pPr>
    </w:p>
    <w:p w:rsidR="007C6DED" w:rsidRDefault="007C6DED" w:rsidP="007C6DED">
      <w:pPr>
        <w:pStyle w:val="NormalWeb"/>
        <w:spacing w:before="0" w:beforeAutospacing="0" w:after="0" w:afterAutospacing="0"/>
        <w:rPr>
          <w:rFonts w:ascii="Arial" w:hAnsi="Arial" w:cs="Arial"/>
          <w:b/>
          <w:bCs/>
          <w:color w:val="000000"/>
        </w:rPr>
      </w:pPr>
      <w:r>
        <w:rPr>
          <w:rFonts w:ascii="Arial" w:hAnsi="Arial" w:cs="Arial"/>
          <w:b/>
          <w:bCs/>
          <w:color w:val="000000"/>
        </w:rPr>
        <w:t>Targeted consultation 2015</w:t>
      </w:r>
    </w:p>
    <w:p w:rsidR="007C6DED" w:rsidRDefault="007C6DED" w:rsidP="007C6DED">
      <w:pPr>
        <w:pStyle w:val="NormalWeb"/>
        <w:spacing w:before="0" w:beforeAutospacing="0" w:after="0" w:afterAutospacing="0"/>
      </w:pPr>
    </w:p>
    <w:p w:rsidR="007C6DED" w:rsidRDefault="007C6DED" w:rsidP="007C6DED">
      <w:pPr>
        <w:pStyle w:val="NormalWeb"/>
        <w:spacing w:before="0" w:beforeAutospacing="0" w:after="0" w:afterAutospacing="0" w:line="360" w:lineRule="auto"/>
        <w:rPr>
          <w:rFonts w:ascii="Arial" w:hAnsi="Arial" w:cs="Arial"/>
          <w:color w:val="000000"/>
        </w:rPr>
      </w:pPr>
      <w:r>
        <w:rPr>
          <w:rFonts w:ascii="Arial" w:hAnsi="Arial" w:cs="Arial"/>
          <w:color w:val="000000"/>
        </w:rPr>
        <w:t>Prior to the last extension in July 2015, the Secretary of State conducted a targeted consultation in order to gather views from 35 interested groups and individuals, including the representatives of the main political parties in Northern Ireland, Independent Reviewers, Human rights and other NGOs, security forces and practitioners in the criminal justice system. This method of a targeted consultation was consistent with how extension had been approached in the past, aiming to target those with a direct interest and knowledge of the area.</w:t>
      </w:r>
    </w:p>
    <w:p w:rsidR="007C6DED" w:rsidRDefault="007C6DED"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rPr>
          <w:rFonts w:ascii="Arial" w:hAnsi="Arial" w:cs="Arial"/>
          <w:color w:val="000000"/>
        </w:rPr>
      </w:pPr>
      <w:r>
        <w:rPr>
          <w:rFonts w:ascii="Arial" w:hAnsi="Arial" w:cs="Arial"/>
          <w:color w:val="000000"/>
        </w:rPr>
        <w:lastRenderedPageBreak/>
        <w:t>Out of the 19 responses received by the Northern Ireland Office in 2015, five provided views clearly in favour of extension, three responses clearly opposed extension and 11 expressed no clear preference. Those in favour of extension cited the current security situation in Northern Ireland as justification for continuing with the provisions, considered necessary, proportionate and valid for the administration of justice in a small number of cases, to protect against the risk of perverse acquittals that may result from the intimidation of jurors. One of those in favour, Lord Carlile, QC, indicated that the intimidation of jurors is a form of perverting the course of justice that can be “formidably difficult to detect.”</w:t>
      </w:r>
    </w:p>
    <w:p w:rsidR="007C6DED" w:rsidRDefault="007C6DED"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rPr>
          <w:rFonts w:ascii="Arial" w:hAnsi="Arial" w:cs="Arial"/>
          <w:color w:val="000000"/>
        </w:rPr>
      </w:pPr>
      <w:r>
        <w:rPr>
          <w:rFonts w:ascii="Arial" w:hAnsi="Arial" w:cs="Arial"/>
          <w:color w:val="000000"/>
        </w:rPr>
        <w:t>Some of those opposed argued for an end to the current system of non-jury trial based on their view that the threats to the administration of justice in Northern Ireland are now effectively no different to those in the rest of the United Kingdom. Even if presented with a legitimate and specific threat, they argued that there are other ways to protect the integrity of trial by jury. Calls were also made to engage in a full and thorough public and parliamentary debate on the matter, to introduce stricter conditions by which the Director of Public Prosecutions can issue a certificate for non-jury trial, and to better enable certificates to be challenged. The non-jury trial system was also said to undermine Northern Ireland’s progress towards normalisation.</w:t>
      </w:r>
    </w:p>
    <w:p w:rsidR="007C6DED" w:rsidRDefault="007C6DED"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Some of those expressing no clear preference nonetheless provided information that could support the extension of the provisions for a further two years, including that the security situation in Northern Ireland has not changed greatly since the provisions were last extended in 2013. One view also indicated that the current arrangements for challenging a certificate are considerably limited but acknowledged that in 2010 the High Court held that the arrangements did not engage or breach Article 6(1) of the European Convention on Human Rights. Another view indicated that although the provisions were designed to be temporary, non-jury trials are still at this time serving a useful function. It was recognised by some that an end to non-jury trial in Northern Ireland would be a positive step towards normalisation as and when this is deemed possible.  </w:t>
      </w:r>
    </w:p>
    <w:p w:rsidR="007C6DED" w:rsidRDefault="007C6DED" w:rsidP="007C6DED"/>
    <w:p w:rsidR="007C6DED" w:rsidRDefault="007C6DED" w:rsidP="007C6DED">
      <w:pPr>
        <w:pStyle w:val="NormalWeb"/>
        <w:spacing w:before="0" w:beforeAutospacing="0" w:after="0" w:afterAutospacing="0"/>
        <w:rPr>
          <w:rFonts w:ascii="Arial" w:hAnsi="Arial" w:cs="Arial"/>
          <w:b/>
          <w:bCs/>
          <w:color w:val="000000"/>
          <w:sz w:val="28"/>
          <w:szCs w:val="28"/>
        </w:rPr>
      </w:pPr>
    </w:p>
    <w:p w:rsidR="007C6DED" w:rsidRDefault="007C6DED" w:rsidP="007C6DED">
      <w:pPr>
        <w:pStyle w:val="NormalWeb"/>
        <w:spacing w:before="0" w:beforeAutospacing="0" w:after="0" w:afterAutospacing="0"/>
        <w:rPr>
          <w:rFonts w:ascii="Arial" w:hAnsi="Arial" w:cs="Arial"/>
          <w:b/>
          <w:bCs/>
          <w:color w:val="000000"/>
          <w:sz w:val="28"/>
          <w:szCs w:val="28"/>
        </w:rPr>
      </w:pPr>
    </w:p>
    <w:p w:rsidR="007C6DED" w:rsidRDefault="007C6DED" w:rsidP="007C6DED">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Further information</w:t>
      </w:r>
    </w:p>
    <w:p w:rsidR="007C6DED" w:rsidRDefault="007C6DED" w:rsidP="007C6DED">
      <w:pPr>
        <w:pStyle w:val="NormalWeb"/>
        <w:spacing w:before="0" w:beforeAutospacing="0" w:after="0" w:afterAutospacing="0"/>
      </w:pPr>
    </w:p>
    <w:p w:rsidR="007C6DED" w:rsidRDefault="007C6DED" w:rsidP="007C6DED">
      <w:pPr>
        <w:pStyle w:val="NormalWeb"/>
        <w:spacing w:before="0" w:beforeAutospacing="0" w:after="0" w:afterAutospacing="0" w:line="360" w:lineRule="auto"/>
      </w:pPr>
      <w:r>
        <w:rPr>
          <w:rFonts w:ascii="Arial" w:hAnsi="Arial" w:cs="Arial"/>
          <w:color w:val="000000"/>
        </w:rPr>
        <w:t>Criminal Justice Act 2003, Section 44:</w:t>
      </w:r>
    </w:p>
    <w:p w:rsidR="007C6DED" w:rsidRDefault="00EA6512" w:rsidP="007C6DED">
      <w:pPr>
        <w:pStyle w:val="NormalWeb"/>
        <w:spacing w:before="0" w:beforeAutospacing="0" w:after="0" w:afterAutospacing="0" w:line="360" w:lineRule="auto"/>
      </w:pPr>
      <w:hyperlink r:id="rId13" w:history="1">
        <w:r w:rsidR="007C6DED">
          <w:rPr>
            <w:rStyle w:val="Hyperlink"/>
            <w:rFonts w:ascii="Arial" w:hAnsi="Arial" w:cs="Arial"/>
            <w:color w:val="1155CC"/>
          </w:rPr>
          <w:t>http://www.legislation.gov.uk/ukpga/2003/44/section/44</w:t>
        </w:r>
      </w:hyperlink>
    </w:p>
    <w:p w:rsidR="00AC3896" w:rsidRDefault="00AC3896"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Justice and Security (Northern Ireland) Act 2007:</w:t>
      </w:r>
      <w:hyperlink r:id="rId14" w:history="1">
        <w:r>
          <w:rPr>
            <w:rStyle w:val="Hyperlink"/>
            <w:rFonts w:ascii="Arial" w:hAnsi="Arial" w:cs="Arial"/>
            <w:color w:val="000000"/>
          </w:rPr>
          <w:t xml:space="preserve"> </w:t>
        </w:r>
        <w:r>
          <w:rPr>
            <w:rStyle w:val="Hyperlink"/>
            <w:rFonts w:ascii="Arial" w:hAnsi="Arial" w:cs="Arial"/>
            <w:color w:val="1155CC"/>
          </w:rPr>
          <w:t>http://www.legislation.gov.uk/ukpga/2007/6/contents</w:t>
        </w:r>
      </w:hyperlink>
    </w:p>
    <w:p w:rsidR="00AC3896" w:rsidRDefault="00AC3896"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The Justice and Security (Northern Ireland) Act 2007 (Extension of duration of non-jury trial provisions) Order 2015</w:t>
      </w:r>
    </w:p>
    <w:p w:rsidR="007C6DED" w:rsidRDefault="00EA6512" w:rsidP="007C6DED">
      <w:pPr>
        <w:pStyle w:val="NormalWeb"/>
        <w:spacing w:before="0" w:beforeAutospacing="0" w:after="0" w:afterAutospacing="0" w:line="360" w:lineRule="auto"/>
      </w:pPr>
      <w:hyperlink r:id="rId15" w:history="1">
        <w:r w:rsidR="007C6DED">
          <w:rPr>
            <w:rStyle w:val="Hyperlink"/>
            <w:rFonts w:ascii="Arial" w:hAnsi="Arial" w:cs="Arial"/>
            <w:color w:val="1155CC"/>
          </w:rPr>
          <w:t>http://www.legislation.gov.uk/ukdsi/2015/9780111136560/contents</w:t>
        </w:r>
      </w:hyperlink>
    </w:p>
    <w:p w:rsidR="00AC3896" w:rsidRDefault="00AC3896"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rPr>
        <w:t>The Justice and Security (Northern Ireland) Act 2007 (Extension of duration of non-jury trial provisions) Order 2015: EM Explanatory Memorandum</w:t>
      </w:r>
    </w:p>
    <w:p w:rsidR="007C6DED" w:rsidRDefault="00EA6512" w:rsidP="007C6DED">
      <w:pPr>
        <w:pStyle w:val="NormalWeb"/>
        <w:spacing w:before="0" w:beforeAutospacing="0" w:after="0" w:afterAutospacing="0" w:line="360" w:lineRule="auto"/>
      </w:pPr>
      <w:hyperlink r:id="rId16" w:history="1">
        <w:r w:rsidR="007C6DED">
          <w:rPr>
            <w:rStyle w:val="Hyperlink"/>
            <w:rFonts w:ascii="Arial" w:hAnsi="Arial" w:cs="Arial"/>
            <w:color w:val="1155CC"/>
          </w:rPr>
          <w:t>http://www.legislation.gov.uk/uksi/2015/1572/pdfs/uksiem_20151572_en.pdf</w:t>
        </w:r>
      </w:hyperlink>
    </w:p>
    <w:p w:rsidR="00AC3896" w:rsidRDefault="00AC3896" w:rsidP="007C6DED">
      <w:pPr>
        <w:pStyle w:val="NormalWeb"/>
        <w:spacing w:before="0" w:beforeAutospacing="0" w:after="0" w:afterAutospacing="0" w:line="360" w:lineRule="auto"/>
      </w:pPr>
    </w:p>
    <w:p w:rsidR="007C6DED" w:rsidRDefault="007C6DED" w:rsidP="007C6DED">
      <w:pPr>
        <w:pStyle w:val="NormalWeb"/>
        <w:spacing w:before="0" w:beforeAutospacing="0" w:after="0" w:afterAutospacing="0" w:line="360" w:lineRule="auto"/>
      </w:pPr>
      <w:r>
        <w:rPr>
          <w:rFonts w:ascii="Arial" w:hAnsi="Arial" w:cs="Arial"/>
          <w:color w:val="000000"/>
          <w:shd w:val="clear" w:color="auto" w:fill="FFFFFF"/>
        </w:rPr>
        <w:t>The Fresh Start Panel report on the Disbandment of Paramilitary Groups in Northern Ireland June 2016</w:t>
      </w:r>
    </w:p>
    <w:p w:rsidR="007C6DED" w:rsidRDefault="00EA6512" w:rsidP="007C6DED">
      <w:pPr>
        <w:pStyle w:val="NormalWeb"/>
        <w:spacing w:before="0" w:beforeAutospacing="0" w:after="0" w:afterAutospacing="0" w:line="360" w:lineRule="auto"/>
      </w:pPr>
      <w:hyperlink r:id="rId17" w:history="1">
        <w:r w:rsidR="007C6DED">
          <w:rPr>
            <w:rStyle w:val="Hyperlink"/>
            <w:rFonts w:ascii="Arial" w:hAnsi="Arial" w:cs="Arial"/>
            <w:color w:val="1155CC"/>
            <w:shd w:val="clear" w:color="auto" w:fill="FFFFFF"/>
          </w:rPr>
          <w:t>https://www.northernireland.gov.uk/publications/fresh-start-panel-report-disbandment-paramilitary-groups-northern-ireland</w:t>
        </w:r>
      </w:hyperlink>
    </w:p>
    <w:p w:rsidR="007C6DED" w:rsidRDefault="007C6DED" w:rsidP="007C6DED">
      <w:pPr>
        <w:rPr>
          <w:rFonts w:ascii="Arial" w:hAnsi="Arial" w:cs="Arial"/>
          <w:b/>
          <w:bCs/>
          <w:color w:val="000000"/>
        </w:rPr>
      </w:pPr>
    </w:p>
    <w:p w:rsidR="007C6DED" w:rsidRPr="009C7507" w:rsidRDefault="007C6DED"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rPr>
          <w:rFonts w:ascii="Arial" w:hAnsi="Arial" w:cs="Arial"/>
          <w:b/>
        </w:rPr>
      </w:pPr>
    </w:p>
    <w:p w:rsidR="009C7507" w:rsidRPr="009C7507" w:rsidRDefault="009C7507" w:rsidP="009C7507">
      <w:pPr>
        <w:autoSpaceDE w:val="0"/>
        <w:autoSpaceDN w:val="0"/>
        <w:rPr>
          <w:rFonts w:ascii="Arial" w:hAnsi="Arial" w:cs="Arial"/>
          <w:b/>
        </w:rPr>
      </w:pPr>
    </w:p>
    <w:p w:rsidR="009C7507" w:rsidRPr="009C7507" w:rsidRDefault="009C7507" w:rsidP="009C7507">
      <w:pPr>
        <w:autoSpaceDE w:val="0"/>
        <w:autoSpaceDN w:val="0"/>
        <w:rPr>
          <w:rFonts w:ascii="Arial" w:hAnsi="Arial" w:cs="Arial"/>
          <w:b/>
        </w:rPr>
      </w:pPr>
    </w:p>
    <w:p w:rsidR="009C7507" w:rsidRPr="009C7507" w:rsidRDefault="009C7507" w:rsidP="009C7507">
      <w:pPr>
        <w:autoSpaceDE w:val="0"/>
        <w:autoSpaceDN w:val="0"/>
        <w:rPr>
          <w:rFonts w:ascii="Arial" w:hAnsi="Arial" w:cs="Arial"/>
          <w:b/>
        </w:rPr>
      </w:pPr>
    </w:p>
    <w:p w:rsidR="009C7507" w:rsidRDefault="009C7507" w:rsidP="009C7507">
      <w:pPr>
        <w:autoSpaceDE w:val="0"/>
        <w:autoSpaceDN w:val="0"/>
        <w:rPr>
          <w:rFonts w:ascii="Arial" w:hAnsi="Arial" w:cs="Arial"/>
          <w:b/>
        </w:rPr>
      </w:pPr>
    </w:p>
    <w:p w:rsidR="00232065" w:rsidRDefault="00232065" w:rsidP="009C7507">
      <w:pPr>
        <w:autoSpaceDE w:val="0"/>
        <w:autoSpaceDN w:val="0"/>
        <w:rPr>
          <w:rFonts w:ascii="Arial" w:hAnsi="Arial" w:cs="Arial"/>
          <w:b/>
        </w:rPr>
      </w:pPr>
    </w:p>
    <w:p w:rsidR="00232065" w:rsidRDefault="00232065" w:rsidP="009C7507">
      <w:pPr>
        <w:autoSpaceDE w:val="0"/>
        <w:autoSpaceDN w:val="0"/>
        <w:rPr>
          <w:rFonts w:ascii="Arial" w:hAnsi="Arial" w:cs="Arial"/>
          <w:b/>
        </w:rPr>
      </w:pPr>
    </w:p>
    <w:p w:rsidR="00232065" w:rsidRDefault="00232065" w:rsidP="009C7507">
      <w:pPr>
        <w:autoSpaceDE w:val="0"/>
        <w:autoSpaceDN w:val="0"/>
        <w:rPr>
          <w:rFonts w:ascii="Arial" w:hAnsi="Arial" w:cs="Arial"/>
          <w:b/>
        </w:rPr>
      </w:pPr>
    </w:p>
    <w:p w:rsidR="00232065" w:rsidRDefault="00232065" w:rsidP="009C7507">
      <w:pPr>
        <w:autoSpaceDE w:val="0"/>
        <w:autoSpaceDN w:val="0"/>
        <w:rPr>
          <w:rFonts w:ascii="Arial" w:hAnsi="Arial" w:cs="Arial"/>
          <w:b/>
        </w:rPr>
      </w:pPr>
    </w:p>
    <w:p w:rsidR="00232065" w:rsidRPr="009C7507" w:rsidRDefault="00232065" w:rsidP="009C7507">
      <w:pPr>
        <w:autoSpaceDE w:val="0"/>
        <w:autoSpaceDN w:val="0"/>
        <w:rPr>
          <w:rFonts w:ascii="Arial" w:hAnsi="Arial" w:cs="Arial"/>
          <w:b/>
        </w:rPr>
      </w:pPr>
    </w:p>
    <w:p w:rsidR="009C7507" w:rsidRPr="009C7507" w:rsidRDefault="009C7507" w:rsidP="009C7507">
      <w:pPr>
        <w:autoSpaceDE w:val="0"/>
        <w:autoSpaceDN w:val="0"/>
        <w:rPr>
          <w:rFonts w:ascii="Arial" w:hAnsi="Arial" w:cs="Arial"/>
          <w:b/>
        </w:rPr>
      </w:pPr>
    </w:p>
    <w:p w:rsidR="005265D3" w:rsidRDefault="005265D3" w:rsidP="009C7507">
      <w:pPr>
        <w:autoSpaceDE w:val="0"/>
        <w:autoSpaceDN w:val="0"/>
        <w:rPr>
          <w:rFonts w:ascii="Arial" w:hAnsi="Arial" w:cs="Arial"/>
          <w:b/>
          <w:sz w:val="32"/>
          <w:szCs w:val="32"/>
        </w:rPr>
      </w:pPr>
    </w:p>
    <w:p w:rsidR="009C7507" w:rsidRPr="007C6DED" w:rsidRDefault="007C6DED" w:rsidP="009C7507">
      <w:pPr>
        <w:autoSpaceDE w:val="0"/>
        <w:autoSpaceDN w:val="0"/>
        <w:rPr>
          <w:rFonts w:ascii="Arial" w:hAnsi="Arial" w:cs="Arial"/>
          <w:b/>
          <w:sz w:val="32"/>
          <w:szCs w:val="32"/>
        </w:rPr>
      </w:pPr>
      <w:r w:rsidRPr="007C6DED">
        <w:rPr>
          <w:rFonts w:ascii="Arial" w:hAnsi="Arial" w:cs="Arial"/>
          <w:b/>
          <w:sz w:val="32"/>
          <w:szCs w:val="32"/>
        </w:rPr>
        <w:t>Annex B</w:t>
      </w:r>
    </w:p>
    <w:p w:rsidR="007C6DED" w:rsidRPr="007C6DED" w:rsidRDefault="007C6DED" w:rsidP="007C6DED">
      <w:pPr>
        <w:rPr>
          <w:rFonts w:ascii="Arial" w:hAnsi="Arial" w:cs="Arial"/>
          <w:b/>
          <w:bCs/>
          <w:color w:val="000000"/>
          <w:sz w:val="32"/>
          <w:szCs w:val="32"/>
        </w:rPr>
      </w:pPr>
      <w:r w:rsidRPr="007C6DED">
        <w:rPr>
          <w:rFonts w:ascii="Arial" w:hAnsi="Arial" w:cs="Arial"/>
          <w:b/>
          <w:bCs/>
          <w:color w:val="000000"/>
          <w:sz w:val="32"/>
          <w:szCs w:val="32"/>
        </w:rPr>
        <w:t>Non – jury trials in Northern Ireland statistics</w:t>
      </w:r>
    </w:p>
    <w:p w:rsidR="007C6DED" w:rsidRDefault="007C6DED" w:rsidP="007C6DED"/>
    <w:p w:rsidR="007C6DED" w:rsidRDefault="007C6DED" w:rsidP="007C6DED">
      <w:r>
        <w:rPr>
          <w:rFonts w:ascii="Arial" w:hAnsi="Arial" w:cs="Arial"/>
          <w:b/>
          <w:bCs/>
          <w:color w:val="000000"/>
          <w:sz w:val="20"/>
          <w:szCs w:val="20"/>
        </w:rPr>
        <w:t>Table 1: Certificates issued for non – jury trial by the DPP under the 2007 Act (2007 – 2016)</w:t>
      </w:r>
    </w:p>
    <w:tbl>
      <w:tblPr>
        <w:tblW w:w="0" w:type="auto"/>
        <w:tblLook w:val="04A0" w:firstRow="1" w:lastRow="0" w:firstColumn="1" w:lastColumn="0" w:noHBand="0" w:noVBand="1"/>
      </w:tblPr>
      <w:tblGrid>
        <w:gridCol w:w="1989"/>
        <w:gridCol w:w="655"/>
        <w:gridCol w:w="655"/>
        <w:gridCol w:w="655"/>
        <w:gridCol w:w="655"/>
        <w:gridCol w:w="655"/>
        <w:gridCol w:w="655"/>
        <w:gridCol w:w="655"/>
        <w:gridCol w:w="655"/>
        <w:gridCol w:w="655"/>
        <w:gridCol w:w="811"/>
      </w:tblGrid>
      <w:tr w:rsidR="007C6DED" w:rsidTr="007C6DED">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2007</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2008</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2015</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2016</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Certificates issued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12</w:t>
            </w:r>
            <w:r>
              <w:rPr>
                <w:rFonts w:ascii="Arial" w:hAnsi="Arial" w:cs="Arial"/>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14**</w:t>
            </w:r>
            <w:r w:rsidR="0069792D">
              <w:rPr>
                <w:rFonts w:ascii="Arial" w:hAnsi="Arial" w:cs="Arial"/>
                <w:b/>
                <w:bCs/>
                <w:color w:val="000000"/>
                <w:sz w:val="20"/>
                <w:szCs w:val="20"/>
              </w:rPr>
              <w:t>ca</w:t>
            </w:r>
          </w:p>
        </w:tc>
      </w:tr>
    </w:tbl>
    <w:p w:rsidR="007C6DED" w:rsidRDefault="007C6DED" w:rsidP="007C6DED">
      <w:r>
        <w:rPr>
          <w:rFonts w:ascii="Arial" w:hAnsi="Arial" w:cs="Arial"/>
          <w:color w:val="000000"/>
          <w:sz w:val="20"/>
          <w:szCs w:val="20"/>
        </w:rPr>
        <w:t>Source: Northern Ireland Director of Public Prosecution’s Office</w:t>
      </w:r>
    </w:p>
    <w:p w:rsidR="007C6DED" w:rsidRDefault="007C6DED" w:rsidP="007C6DED">
      <w:r>
        <w:rPr>
          <w:rFonts w:ascii="Arial" w:hAnsi="Arial" w:cs="Arial"/>
          <w:color w:val="000000"/>
          <w:sz w:val="20"/>
          <w:szCs w:val="20"/>
        </w:rPr>
        <w:t>*Please note, provisions under the 2007 Act were brought into effect on 1 August 2007</w:t>
      </w:r>
    </w:p>
    <w:p w:rsidR="007C6DED" w:rsidRDefault="007C6DED" w:rsidP="007C6DED">
      <w:r>
        <w:rPr>
          <w:rFonts w:ascii="Arial" w:hAnsi="Arial" w:cs="Arial"/>
          <w:color w:val="000000"/>
          <w:sz w:val="20"/>
          <w:szCs w:val="20"/>
        </w:rPr>
        <w:t>**Until 4 October 2016</w:t>
      </w:r>
    </w:p>
    <w:p w:rsidR="007C6DED" w:rsidRDefault="007C6DED" w:rsidP="007C6DED">
      <w:pPr>
        <w:rPr>
          <w:rFonts w:ascii="Arial" w:hAnsi="Arial" w:cs="Arial"/>
          <w:b/>
          <w:bCs/>
          <w:color w:val="000000"/>
          <w:sz w:val="20"/>
          <w:szCs w:val="20"/>
        </w:rPr>
      </w:pPr>
    </w:p>
    <w:p w:rsidR="007C6DED" w:rsidRDefault="007C6DED" w:rsidP="007C6DED">
      <w:pPr>
        <w:rPr>
          <w:rFonts w:ascii="Arial" w:hAnsi="Arial" w:cs="Arial"/>
          <w:b/>
          <w:bCs/>
          <w:color w:val="000000"/>
          <w:sz w:val="20"/>
          <w:szCs w:val="20"/>
        </w:rPr>
      </w:pPr>
      <w:r>
        <w:rPr>
          <w:rFonts w:ascii="Arial" w:hAnsi="Arial" w:cs="Arial"/>
          <w:b/>
          <w:bCs/>
          <w:color w:val="000000"/>
          <w:sz w:val="20"/>
          <w:szCs w:val="20"/>
        </w:rPr>
        <w:t xml:space="preserve">Table 2: Crown Court </w:t>
      </w:r>
      <w:r>
        <w:rPr>
          <w:rFonts w:ascii="Arial" w:hAnsi="Arial" w:cs="Arial"/>
          <w:b/>
          <w:bCs/>
          <w:color w:val="000000"/>
          <w:sz w:val="20"/>
          <w:szCs w:val="20"/>
          <w:u w:val="single"/>
        </w:rPr>
        <w:t>cases disposed of by means of a non - jury trial</w:t>
      </w:r>
      <w:r>
        <w:rPr>
          <w:rFonts w:ascii="Arial" w:hAnsi="Arial" w:cs="Arial"/>
          <w:b/>
          <w:bCs/>
          <w:color w:val="000000"/>
          <w:sz w:val="20"/>
          <w:szCs w:val="20"/>
        </w:rPr>
        <w:t xml:space="preserve"> under the Justice and Security (Northern Ireland) Act 2007 as a percentage of all disposals (2013 – 2016)</w:t>
      </w:r>
    </w:p>
    <w:tbl>
      <w:tblPr>
        <w:tblW w:w="0" w:type="auto"/>
        <w:tblLook w:val="04A0" w:firstRow="1" w:lastRow="0" w:firstColumn="1" w:lastColumn="0" w:noHBand="0" w:noVBand="1"/>
      </w:tblPr>
      <w:tblGrid>
        <w:gridCol w:w="2709"/>
        <w:gridCol w:w="1423"/>
        <w:gridCol w:w="744"/>
        <w:gridCol w:w="688"/>
        <w:gridCol w:w="3150"/>
      </w:tblGrid>
      <w:tr w:rsidR="007C6DED" w:rsidTr="007C6DED">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shd w:val="clear" w:color="auto" w:fill="B8CCE4"/>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J&amp;S 2007 Act</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shd w:val="clear" w:color="auto" w:fill="B8CCE4"/>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shd w:val="clear" w:color="auto" w:fill="B8CCE4"/>
              </w:rPr>
              <w:t>Total</w:t>
            </w:r>
          </w:p>
        </w:tc>
        <w:tc>
          <w:tcPr>
            <w:tcW w:w="3150" w:type="dxa"/>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shd w:val="clear" w:color="auto" w:fill="B8CCE4"/>
              </w:rPr>
              <w:t>% J&amp;S 2007 Act</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1917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1953</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1.8%</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1688</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1.7%</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1063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1080</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1.6%</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January – August 2016 [PF]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969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974</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after="240" w:line="0" w:lineRule="atLeast"/>
            </w:pPr>
            <w:r>
              <w:rPr>
                <w:rFonts w:ascii="Arial" w:hAnsi="Arial" w:cs="Arial"/>
                <w:b/>
                <w:bCs/>
                <w:color w:val="000000"/>
                <w:sz w:val="20"/>
                <w:szCs w:val="20"/>
              </w:rPr>
              <w:t>0.5%</w:t>
            </w:r>
          </w:p>
        </w:tc>
      </w:tr>
    </w:tbl>
    <w:p w:rsidR="007C6DED" w:rsidRDefault="007C6DED" w:rsidP="007C6DED">
      <w:r>
        <w:rPr>
          <w:rFonts w:ascii="Arial" w:hAnsi="Arial" w:cs="Arial"/>
          <w:color w:val="000000"/>
          <w:sz w:val="20"/>
          <w:szCs w:val="20"/>
        </w:rPr>
        <w:t>Source: NI Courts &amp; Tribunals Service</w:t>
      </w:r>
    </w:p>
    <w:p w:rsidR="007C6DED" w:rsidRDefault="007C6DED" w:rsidP="007C6DED">
      <w:r>
        <w:rPr>
          <w:rFonts w:ascii="Arial" w:hAnsi="Arial" w:cs="Arial"/>
          <w:color w:val="000000"/>
          <w:sz w:val="20"/>
          <w:szCs w:val="20"/>
        </w:rPr>
        <w:t>[PF] Provisional Figures</w:t>
      </w:r>
    </w:p>
    <w:p w:rsidR="007C6DED" w:rsidRDefault="007C6DED" w:rsidP="007C6DED"/>
    <w:p w:rsidR="007C6DED" w:rsidRDefault="007C6DED" w:rsidP="007C6DED">
      <w:r>
        <w:rPr>
          <w:rFonts w:ascii="Arial" w:hAnsi="Arial" w:cs="Arial"/>
          <w:b/>
          <w:bCs/>
          <w:color w:val="000000"/>
          <w:sz w:val="20"/>
          <w:szCs w:val="20"/>
        </w:rPr>
        <w:t xml:space="preserve">Table 3: Number of Crown Court </w:t>
      </w:r>
      <w:r>
        <w:rPr>
          <w:rFonts w:ascii="Arial" w:hAnsi="Arial" w:cs="Arial"/>
          <w:b/>
          <w:bCs/>
          <w:color w:val="000000"/>
          <w:sz w:val="20"/>
          <w:szCs w:val="20"/>
          <w:u w:val="single"/>
        </w:rPr>
        <w:t xml:space="preserve">defendants </w:t>
      </w:r>
      <w:r>
        <w:rPr>
          <w:rFonts w:ascii="Arial" w:hAnsi="Arial" w:cs="Arial"/>
          <w:b/>
          <w:bCs/>
          <w:color w:val="000000"/>
          <w:sz w:val="20"/>
          <w:szCs w:val="20"/>
        </w:rPr>
        <w:t>dealt with, whose cases were tried by means of a non - jury trial, under the Justice and Security (NI) Act 2007 as a percentage of all defendants dealt with (2013 – 2016)</w:t>
      </w:r>
    </w:p>
    <w:tbl>
      <w:tblPr>
        <w:tblW w:w="0" w:type="auto"/>
        <w:tblLook w:val="04A0" w:firstRow="1" w:lastRow="0" w:firstColumn="1" w:lastColumn="0" w:noHBand="0" w:noVBand="1"/>
      </w:tblPr>
      <w:tblGrid>
        <w:gridCol w:w="2665"/>
        <w:gridCol w:w="1422"/>
        <w:gridCol w:w="744"/>
        <w:gridCol w:w="688"/>
        <w:gridCol w:w="3195"/>
      </w:tblGrid>
      <w:tr w:rsidR="007C6DED" w:rsidTr="007C6DED">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J&amp;S 2007 Act</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Total</w:t>
            </w:r>
          </w:p>
        </w:tc>
        <w:tc>
          <w:tcPr>
            <w:tcW w:w="3195" w:type="dxa"/>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 J&amp;S 2007 Act</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2526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2591</w:t>
            </w:r>
          </w:p>
        </w:tc>
        <w:tc>
          <w:tcPr>
            <w:tcW w:w="31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2.5%</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2163</w:t>
            </w:r>
          </w:p>
        </w:tc>
        <w:tc>
          <w:tcPr>
            <w:tcW w:w="31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2.9%</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1369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1394</w:t>
            </w:r>
          </w:p>
        </w:tc>
        <w:tc>
          <w:tcPr>
            <w:tcW w:w="31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1.8%</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January - August 2016 [PF]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1186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1193</w:t>
            </w:r>
          </w:p>
        </w:tc>
        <w:tc>
          <w:tcPr>
            <w:tcW w:w="31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0.6%</w:t>
            </w:r>
          </w:p>
        </w:tc>
      </w:tr>
    </w:tbl>
    <w:p w:rsidR="007C6DED" w:rsidRDefault="007C6DED" w:rsidP="007C6DED">
      <w:r>
        <w:rPr>
          <w:rFonts w:ascii="Arial" w:hAnsi="Arial" w:cs="Arial"/>
          <w:color w:val="000000"/>
          <w:sz w:val="20"/>
          <w:szCs w:val="20"/>
        </w:rPr>
        <w:t>Source: NI Courts &amp; Tribunals Service</w:t>
      </w:r>
    </w:p>
    <w:p w:rsidR="007C6DED" w:rsidRDefault="007C6DED" w:rsidP="007C6DED">
      <w:r>
        <w:rPr>
          <w:rFonts w:ascii="Arial" w:hAnsi="Arial" w:cs="Arial"/>
          <w:color w:val="000000"/>
          <w:sz w:val="20"/>
          <w:szCs w:val="20"/>
        </w:rPr>
        <w:t>[PF] Provisional Figures</w:t>
      </w:r>
    </w:p>
    <w:p w:rsidR="007C6DED" w:rsidRDefault="007C6DED" w:rsidP="007C6DED">
      <w:pPr>
        <w:rPr>
          <w:rFonts w:ascii="Arial" w:hAnsi="Arial" w:cs="Arial"/>
          <w:b/>
          <w:bCs/>
          <w:color w:val="000000"/>
          <w:sz w:val="20"/>
          <w:szCs w:val="20"/>
        </w:rPr>
      </w:pPr>
    </w:p>
    <w:p w:rsidR="007C6DED" w:rsidRDefault="007C6DED" w:rsidP="007C6DED">
      <w:pPr>
        <w:rPr>
          <w:rFonts w:ascii="Arial" w:hAnsi="Arial" w:cs="Arial"/>
          <w:b/>
          <w:bCs/>
          <w:color w:val="000000"/>
          <w:sz w:val="20"/>
          <w:szCs w:val="20"/>
        </w:rPr>
      </w:pPr>
    </w:p>
    <w:p w:rsidR="007C6DED" w:rsidRDefault="007C6DED" w:rsidP="007C6DED">
      <w:pPr>
        <w:rPr>
          <w:rFonts w:ascii="Arial" w:hAnsi="Arial" w:cs="Arial"/>
          <w:b/>
          <w:bCs/>
          <w:color w:val="000000"/>
          <w:sz w:val="20"/>
          <w:szCs w:val="20"/>
        </w:rPr>
      </w:pPr>
    </w:p>
    <w:p w:rsidR="007C6DED" w:rsidRDefault="007C6DED" w:rsidP="007C6DED">
      <w:pPr>
        <w:rPr>
          <w:rFonts w:ascii="Arial" w:hAnsi="Arial" w:cs="Arial"/>
          <w:b/>
          <w:bCs/>
          <w:color w:val="000000"/>
          <w:sz w:val="20"/>
          <w:szCs w:val="20"/>
        </w:rPr>
      </w:pPr>
    </w:p>
    <w:p w:rsidR="007C6DED" w:rsidRDefault="007C6DED" w:rsidP="007C6DED">
      <w:pPr>
        <w:rPr>
          <w:rFonts w:ascii="Arial" w:hAnsi="Arial" w:cs="Arial"/>
          <w:b/>
          <w:bCs/>
          <w:color w:val="000000"/>
          <w:sz w:val="20"/>
          <w:szCs w:val="20"/>
        </w:rPr>
      </w:pPr>
    </w:p>
    <w:p w:rsidR="007C6DED" w:rsidRDefault="007C6DED" w:rsidP="007C6DED">
      <w:pPr>
        <w:rPr>
          <w:rFonts w:ascii="Arial" w:hAnsi="Arial" w:cs="Arial"/>
          <w:b/>
          <w:bCs/>
          <w:color w:val="000000"/>
          <w:sz w:val="20"/>
          <w:szCs w:val="20"/>
        </w:rPr>
      </w:pPr>
    </w:p>
    <w:p w:rsidR="007C6DED" w:rsidRDefault="007C6DED" w:rsidP="007C6DED">
      <w:r>
        <w:rPr>
          <w:rFonts w:ascii="Arial" w:hAnsi="Arial" w:cs="Arial"/>
          <w:b/>
          <w:bCs/>
          <w:color w:val="000000"/>
          <w:sz w:val="20"/>
          <w:szCs w:val="20"/>
        </w:rPr>
        <w:t>Table 4: Number of cases in which each condition has been met (2011 – 2016)*</w:t>
      </w:r>
    </w:p>
    <w:tbl>
      <w:tblPr>
        <w:tblW w:w="0" w:type="auto"/>
        <w:tblLook w:val="04A0" w:firstRow="1" w:lastRow="0" w:firstColumn="1" w:lastColumn="0" w:noHBand="0" w:noVBand="1"/>
      </w:tblPr>
      <w:tblGrid>
        <w:gridCol w:w="938"/>
        <w:gridCol w:w="1303"/>
        <w:gridCol w:w="1304"/>
        <w:gridCol w:w="1304"/>
        <w:gridCol w:w="1304"/>
        <w:gridCol w:w="2561"/>
      </w:tblGrid>
      <w:tr w:rsidR="007C6DED" w:rsidTr="007C6DED">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Year</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Number of Cases in which Condition Met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No. of Certificates issued</w:t>
            </w:r>
          </w:p>
        </w:tc>
      </w:tr>
      <w:tr w:rsidR="007C6DED" w:rsidTr="007C6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6DED" w:rsidRDefault="007C6DED"/>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1</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2</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3</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6DED" w:rsidRDefault="007C6DED"/>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r>
              <w:rPr>
                <w:rFonts w:ascii="Arial" w:hAnsi="Arial" w:cs="Arial"/>
                <w:b/>
                <w:bCs/>
                <w:color w:val="000000"/>
                <w:sz w:val="20"/>
                <w:szCs w:val="20"/>
              </w:rPr>
              <w:t>2011</w:t>
            </w:r>
          </w:p>
          <w:p w:rsidR="007C6DED" w:rsidRDefault="007C6DED">
            <w:r>
              <w:rPr>
                <w:rFonts w:ascii="Arial" w:hAnsi="Arial" w:cs="Arial"/>
                <w:b/>
                <w:bCs/>
                <w:color w:val="000000"/>
                <w:sz w:val="20"/>
                <w:szCs w:val="20"/>
              </w:rPr>
              <w:t>2012</w:t>
            </w:r>
          </w:p>
          <w:p w:rsidR="007C6DED" w:rsidRDefault="007C6DED">
            <w:r>
              <w:rPr>
                <w:rFonts w:ascii="Arial" w:hAnsi="Arial" w:cs="Arial"/>
                <w:b/>
                <w:bCs/>
                <w:color w:val="000000"/>
                <w:sz w:val="20"/>
                <w:szCs w:val="20"/>
              </w:rPr>
              <w:t>2013</w:t>
            </w:r>
          </w:p>
          <w:p w:rsidR="007C6DED" w:rsidRDefault="007C6DED">
            <w:r>
              <w:rPr>
                <w:rFonts w:ascii="Arial" w:hAnsi="Arial" w:cs="Arial"/>
                <w:b/>
                <w:bCs/>
                <w:color w:val="000000"/>
                <w:sz w:val="20"/>
                <w:szCs w:val="20"/>
              </w:rPr>
              <w:t>2014</w:t>
            </w:r>
          </w:p>
          <w:p w:rsidR="007C6DED" w:rsidRDefault="007C6DED">
            <w:r>
              <w:rPr>
                <w:rFonts w:ascii="Arial" w:hAnsi="Arial" w:cs="Arial"/>
                <w:b/>
                <w:bCs/>
                <w:color w:val="000000"/>
                <w:sz w:val="20"/>
                <w:szCs w:val="20"/>
              </w:rPr>
              <w:t>2015</w:t>
            </w:r>
          </w:p>
          <w:p w:rsidR="007C6DED" w:rsidRDefault="007C6DED">
            <w:pPr>
              <w:spacing w:line="0" w:lineRule="atLeast"/>
            </w:pPr>
            <w:r>
              <w:rPr>
                <w:rFonts w:ascii="Arial" w:hAnsi="Arial" w:cs="Arial"/>
                <w:b/>
                <w:bCs/>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27</w:t>
            </w:r>
          </w:p>
          <w:p w:rsidR="007C6DED" w:rsidRDefault="007C6DED">
            <w:pPr>
              <w:jc w:val="center"/>
            </w:pPr>
            <w:r>
              <w:rPr>
                <w:rFonts w:ascii="Arial" w:hAnsi="Arial" w:cs="Arial"/>
                <w:b/>
                <w:bCs/>
                <w:color w:val="000000"/>
                <w:sz w:val="20"/>
                <w:szCs w:val="20"/>
              </w:rPr>
              <w:t>21</w:t>
            </w:r>
          </w:p>
          <w:p w:rsidR="007C6DED" w:rsidRDefault="007C6DED">
            <w:pPr>
              <w:jc w:val="center"/>
            </w:pPr>
            <w:r>
              <w:rPr>
                <w:rFonts w:ascii="Arial" w:hAnsi="Arial" w:cs="Arial"/>
                <w:b/>
                <w:bCs/>
                <w:color w:val="000000"/>
                <w:sz w:val="20"/>
                <w:szCs w:val="20"/>
              </w:rPr>
              <w:t>22</w:t>
            </w:r>
          </w:p>
          <w:p w:rsidR="007C6DED" w:rsidRDefault="007C6DED">
            <w:pPr>
              <w:jc w:val="center"/>
            </w:pPr>
            <w:r>
              <w:rPr>
                <w:rFonts w:ascii="Arial" w:hAnsi="Arial" w:cs="Arial"/>
                <w:b/>
                <w:bCs/>
                <w:color w:val="000000"/>
                <w:sz w:val="20"/>
                <w:szCs w:val="20"/>
              </w:rPr>
              <w:t>18</w:t>
            </w:r>
          </w:p>
          <w:p w:rsidR="007C6DED" w:rsidRDefault="007C6DED">
            <w:pPr>
              <w:jc w:val="center"/>
            </w:pPr>
            <w:r>
              <w:rPr>
                <w:rFonts w:ascii="Arial" w:hAnsi="Arial" w:cs="Arial"/>
                <w:b/>
                <w:bCs/>
                <w:color w:val="000000"/>
                <w:sz w:val="20"/>
                <w:szCs w:val="20"/>
              </w:rPr>
              <w:t>14</w:t>
            </w:r>
          </w:p>
          <w:p w:rsidR="007C6DED" w:rsidRDefault="007C6DED">
            <w:pPr>
              <w:spacing w:line="0" w:lineRule="atLeast"/>
              <w:jc w:val="center"/>
            </w:pPr>
            <w:r>
              <w:rPr>
                <w:rFonts w:ascii="Arial" w:hAnsi="Arial" w:cs="Arial"/>
                <w:b/>
                <w:bCs/>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23</w:t>
            </w:r>
          </w:p>
          <w:p w:rsidR="007C6DED" w:rsidRDefault="007C6DED">
            <w:pPr>
              <w:jc w:val="center"/>
            </w:pPr>
            <w:r>
              <w:rPr>
                <w:rFonts w:ascii="Arial" w:hAnsi="Arial" w:cs="Arial"/>
                <w:b/>
                <w:bCs/>
                <w:color w:val="000000"/>
                <w:sz w:val="20"/>
                <w:szCs w:val="20"/>
              </w:rPr>
              <w:t>16</w:t>
            </w:r>
          </w:p>
          <w:p w:rsidR="007C6DED" w:rsidRDefault="007C6DED">
            <w:pPr>
              <w:jc w:val="center"/>
            </w:pPr>
            <w:r>
              <w:rPr>
                <w:rFonts w:ascii="Arial" w:hAnsi="Arial" w:cs="Arial"/>
                <w:b/>
                <w:bCs/>
                <w:color w:val="000000"/>
                <w:sz w:val="20"/>
                <w:szCs w:val="20"/>
              </w:rPr>
              <w:t>16</w:t>
            </w:r>
          </w:p>
          <w:p w:rsidR="007C6DED" w:rsidRDefault="007C6DED">
            <w:pPr>
              <w:jc w:val="center"/>
            </w:pPr>
            <w:r>
              <w:rPr>
                <w:rFonts w:ascii="Arial" w:hAnsi="Arial" w:cs="Arial"/>
                <w:b/>
                <w:bCs/>
                <w:color w:val="000000"/>
                <w:sz w:val="20"/>
                <w:szCs w:val="20"/>
              </w:rPr>
              <w:t>12</w:t>
            </w:r>
          </w:p>
          <w:p w:rsidR="007C6DED" w:rsidRDefault="007C6DED">
            <w:pPr>
              <w:jc w:val="center"/>
            </w:pPr>
            <w:r>
              <w:rPr>
                <w:rFonts w:ascii="Arial" w:hAnsi="Arial" w:cs="Arial"/>
                <w:b/>
                <w:bCs/>
                <w:color w:val="000000"/>
                <w:sz w:val="20"/>
                <w:szCs w:val="20"/>
              </w:rPr>
              <w:t>13</w:t>
            </w:r>
          </w:p>
          <w:p w:rsidR="007C6DED" w:rsidRDefault="007C6DED">
            <w:pPr>
              <w:spacing w:line="0" w:lineRule="atLeast"/>
              <w:jc w:val="center"/>
            </w:pPr>
            <w:r>
              <w:rPr>
                <w:rFonts w:ascii="Arial" w:hAnsi="Arial" w:cs="Arial"/>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4</w:t>
            </w:r>
          </w:p>
          <w:p w:rsidR="007C6DED" w:rsidRDefault="007C6DED">
            <w:pPr>
              <w:jc w:val="center"/>
            </w:pPr>
            <w:r>
              <w:rPr>
                <w:rFonts w:ascii="Arial" w:hAnsi="Arial" w:cs="Arial"/>
                <w:b/>
                <w:bCs/>
                <w:color w:val="000000"/>
                <w:sz w:val="20"/>
                <w:szCs w:val="20"/>
              </w:rPr>
              <w:t>1</w:t>
            </w:r>
          </w:p>
          <w:p w:rsidR="007C6DED" w:rsidRDefault="007C6DED">
            <w:pPr>
              <w:jc w:val="center"/>
            </w:pPr>
            <w:r>
              <w:rPr>
                <w:rFonts w:ascii="Arial" w:hAnsi="Arial" w:cs="Arial"/>
                <w:b/>
                <w:bCs/>
                <w:color w:val="000000"/>
                <w:sz w:val="20"/>
                <w:szCs w:val="20"/>
              </w:rPr>
              <w:t>3</w:t>
            </w:r>
          </w:p>
          <w:p w:rsidR="007C6DED" w:rsidRDefault="007C6DED">
            <w:pPr>
              <w:jc w:val="center"/>
            </w:pPr>
            <w:r>
              <w:rPr>
                <w:rFonts w:ascii="Arial" w:hAnsi="Arial" w:cs="Arial"/>
                <w:b/>
                <w:bCs/>
                <w:color w:val="000000"/>
                <w:sz w:val="20"/>
                <w:szCs w:val="20"/>
              </w:rPr>
              <w:t>0</w:t>
            </w:r>
          </w:p>
          <w:p w:rsidR="007C6DED" w:rsidRDefault="007C6DED">
            <w:pPr>
              <w:jc w:val="center"/>
            </w:pPr>
            <w:r>
              <w:rPr>
                <w:rFonts w:ascii="Arial" w:hAnsi="Arial" w:cs="Arial"/>
                <w:b/>
                <w:bCs/>
                <w:color w:val="000000"/>
                <w:sz w:val="20"/>
                <w:szCs w:val="20"/>
              </w:rPr>
              <w:t>0</w:t>
            </w:r>
          </w:p>
          <w:p w:rsidR="007C6DED" w:rsidRDefault="007C6DED">
            <w:pPr>
              <w:spacing w:line="0" w:lineRule="atLeast"/>
              <w:jc w:val="center"/>
            </w:pPr>
            <w:r>
              <w:rPr>
                <w:rFonts w:ascii="Arial" w:hAnsi="Arial" w:cs="Arial"/>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8</w:t>
            </w:r>
          </w:p>
          <w:p w:rsidR="007C6DED" w:rsidRDefault="007C6DED">
            <w:pPr>
              <w:jc w:val="center"/>
            </w:pPr>
            <w:r>
              <w:rPr>
                <w:rFonts w:ascii="Arial" w:hAnsi="Arial" w:cs="Arial"/>
                <w:b/>
                <w:bCs/>
                <w:color w:val="000000"/>
                <w:sz w:val="20"/>
                <w:szCs w:val="20"/>
              </w:rPr>
              <w:t>10</w:t>
            </w:r>
          </w:p>
          <w:p w:rsidR="007C6DED" w:rsidRDefault="007C6DED">
            <w:pPr>
              <w:jc w:val="center"/>
            </w:pPr>
            <w:r>
              <w:rPr>
                <w:rFonts w:ascii="Arial" w:hAnsi="Arial" w:cs="Arial"/>
                <w:b/>
                <w:bCs/>
                <w:color w:val="000000"/>
                <w:sz w:val="20"/>
                <w:szCs w:val="20"/>
              </w:rPr>
              <w:t>21</w:t>
            </w:r>
          </w:p>
          <w:p w:rsidR="007C6DED" w:rsidRDefault="007C6DED">
            <w:pPr>
              <w:jc w:val="center"/>
            </w:pPr>
            <w:r>
              <w:rPr>
                <w:rFonts w:ascii="Arial" w:hAnsi="Arial" w:cs="Arial"/>
                <w:b/>
                <w:bCs/>
                <w:color w:val="000000"/>
                <w:sz w:val="20"/>
                <w:szCs w:val="20"/>
              </w:rPr>
              <w:t>16</w:t>
            </w:r>
          </w:p>
          <w:p w:rsidR="007C6DED" w:rsidRDefault="007C6DED">
            <w:pPr>
              <w:jc w:val="center"/>
            </w:pPr>
            <w:r>
              <w:rPr>
                <w:rFonts w:ascii="Arial" w:hAnsi="Arial" w:cs="Arial"/>
                <w:b/>
                <w:bCs/>
                <w:color w:val="000000"/>
                <w:sz w:val="20"/>
                <w:szCs w:val="20"/>
              </w:rPr>
              <w:t>7</w:t>
            </w:r>
          </w:p>
          <w:p w:rsidR="007C6DED" w:rsidRDefault="007C6DED">
            <w:pPr>
              <w:spacing w:line="0" w:lineRule="atLeast"/>
              <w:jc w:val="center"/>
            </w:pPr>
            <w:r>
              <w:rPr>
                <w:rFonts w:ascii="Arial" w:hAnsi="Arial" w:cs="Arial"/>
                <w:b/>
                <w:bCs/>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r>
              <w:rPr>
                <w:rFonts w:ascii="Arial" w:hAnsi="Arial" w:cs="Arial"/>
                <w:b/>
                <w:bCs/>
                <w:color w:val="000000"/>
                <w:sz w:val="20"/>
                <w:szCs w:val="20"/>
              </w:rPr>
              <w:t>28</w:t>
            </w:r>
          </w:p>
          <w:p w:rsidR="007C6DED" w:rsidRDefault="007C6DED">
            <w:r>
              <w:rPr>
                <w:rFonts w:ascii="Arial" w:hAnsi="Arial" w:cs="Arial"/>
                <w:b/>
                <w:bCs/>
                <w:color w:val="000000"/>
                <w:sz w:val="20"/>
                <w:szCs w:val="20"/>
              </w:rPr>
              <w:t>25</w:t>
            </w:r>
          </w:p>
          <w:p w:rsidR="007C6DED" w:rsidRDefault="007C6DED">
            <w:r>
              <w:rPr>
                <w:rFonts w:ascii="Arial" w:hAnsi="Arial" w:cs="Arial"/>
                <w:b/>
                <w:bCs/>
                <w:color w:val="000000"/>
                <w:sz w:val="20"/>
                <w:szCs w:val="20"/>
              </w:rPr>
              <w:t>23</w:t>
            </w:r>
          </w:p>
          <w:p w:rsidR="007C6DED" w:rsidRDefault="007C6DED">
            <w:r>
              <w:rPr>
                <w:rFonts w:ascii="Arial" w:hAnsi="Arial" w:cs="Arial"/>
                <w:b/>
                <w:bCs/>
                <w:color w:val="000000"/>
                <w:sz w:val="20"/>
                <w:szCs w:val="20"/>
              </w:rPr>
              <w:t>18</w:t>
            </w:r>
          </w:p>
          <w:p w:rsidR="007C6DED" w:rsidRDefault="007C6DED">
            <w:r>
              <w:rPr>
                <w:rFonts w:ascii="Arial" w:hAnsi="Arial" w:cs="Arial"/>
                <w:b/>
                <w:bCs/>
                <w:color w:val="000000"/>
                <w:sz w:val="20"/>
                <w:szCs w:val="20"/>
              </w:rPr>
              <w:t>15</w:t>
            </w:r>
          </w:p>
          <w:p w:rsidR="007C6DED" w:rsidRDefault="007C6DED">
            <w:pPr>
              <w:spacing w:line="0" w:lineRule="atLeast"/>
            </w:pPr>
            <w:r>
              <w:rPr>
                <w:rFonts w:ascii="Arial" w:hAnsi="Arial" w:cs="Arial"/>
                <w:b/>
                <w:bCs/>
                <w:color w:val="000000"/>
                <w:sz w:val="20"/>
                <w:szCs w:val="20"/>
              </w:rPr>
              <w:t>14</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2011-16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123</w:t>
            </w:r>
          </w:p>
        </w:tc>
      </w:tr>
    </w:tbl>
    <w:p w:rsidR="007C6DED" w:rsidRDefault="007C6DED" w:rsidP="007C6DED">
      <w:r>
        <w:rPr>
          <w:rFonts w:ascii="Arial" w:hAnsi="Arial" w:cs="Arial"/>
          <w:color w:val="000000"/>
          <w:sz w:val="20"/>
          <w:szCs w:val="20"/>
        </w:rPr>
        <w:t>Source: Northern Ireland Director of Public Prosecution’s Office</w:t>
      </w:r>
    </w:p>
    <w:p w:rsidR="007C6DED" w:rsidRDefault="007C6DED" w:rsidP="007C6DED">
      <w:r>
        <w:rPr>
          <w:rFonts w:ascii="Arial" w:hAnsi="Arial" w:cs="Arial"/>
          <w:color w:val="000000"/>
          <w:sz w:val="20"/>
          <w:szCs w:val="20"/>
        </w:rPr>
        <w:t xml:space="preserve">*Please note, the DPP may decide that he suspects </w:t>
      </w:r>
      <w:r>
        <w:rPr>
          <w:rFonts w:ascii="Arial" w:hAnsi="Arial" w:cs="Arial"/>
          <w:i/>
          <w:iCs/>
          <w:color w:val="000000"/>
          <w:sz w:val="20"/>
          <w:szCs w:val="20"/>
        </w:rPr>
        <w:t>more than one condition</w:t>
      </w:r>
      <w:r>
        <w:rPr>
          <w:rFonts w:ascii="Arial" w:hAnsi="Arial" w:cs="Arial"/>
          <w:color w:val="000000"/>
          <w:sz w:val="20"/>
          <w:szCs w:val="20"/>
        </w:rPr>
        <w:t xml:space="preserve"> has been met in one case</w:t>
      </w:r>
    </w:p>
    <w:p w:rsidR="007C6DED" w:rsidRDefault="007C6DED" w:rsidP="007C6DED">
      <w:r>
        <w:rPr>
          <w:rFonts w:ascii="Arial" w:hAnsi="Arial" w:cs="Arial"/>
          <w:color w:val="000000"/>
          <w:sz w:val="20"/>
          <w:szCs w:val="20"/>
        </w:rPr>
        <w:t>**Until 4 October 2016</w:t>
      </w:r>
    </w:p>
    <w:p w:rsidR="007C6DED" w:rsidRDefault="007C6DED" w:rsidP="007C6DED"/>
    <w:p w:rsidR="007C6DED" w:rsidRDefault="007C6DED" w:rsidP="007C6DED"/>
    <w:p w:rsidR="007C6DED" w:rsidRDefault="007C6DED" w:rsidP="007C6DED">
      <w:r>
        <w:rPr>
          <w:rFonts w:ascii="Arial" w:hAnsi="Arial" w:cs="Arial"/>
          <w:b/>
          <w:bCs/>
          <w:color w:val="000000"/>
          <w:sz w:val="20"/>
          <w:szCs w:val="20"/>
        </w:rPr>
        <w:t>Table 5: Percentage of cases in which condition has been met (2011 – 2016)*</w:t>
      </w:r>
    </w:p>
    <w:tbl>
      <w:tblPr>
        <w:tblW w:w="0" w:type="auto"/>
        <w:tblLook w:val="04A0" w:firstRow="1" w:lastRow="0" w:firstColumn="1" w:lastColumn="0" w:noHBand="0" w:noVBand="1"/>
      </w:tblPr>
      <w:tblGrid>
        <w:gridCol w:w="938"/>
        <w:gridCol w:w="1303"/>
        <w:gridCol w:w="1304"/>
        <w:gridCol w:w="1304"/>
        <w:gridCol w:w="1304"/>
        <w:gridCol w:w="2561"/>
      </w:tblGrid>
      <w:tr w:rsidR="007C6DED" w:rsidTr="007C6DED">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Year</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Number of Cases in which Condition Met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No. of Certificates issued</w:t>
            </w:r>
          </w:p>
        </w:tc>
      </w:tr>
      <w:tr w:rsidR="007C6DED" w:rsidTr="007C6D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6DED" w:rsidRDefault="007C6DED"/>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1</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2</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3</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shd w:val="clear" w:color="auto" w:fill="B8CCE4"/>
              </w:rPr>
              <w:t>Condition 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6DED" w:rsidRDefault="007C6DED"/>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r>
              <w:rPr>
                <w:rFonts w:ascii="Arial" w:hAnsi="Arial" w:cs="Arial"/>
                <w:b/>
                <w:bCs/>
                <w:color w:val="000000"/>
                <w:sz w:val="20"/>
                <w:szCs w:val="20"/>
              </w:rPr>
              <w:t>2011</w:t>
            </w:r>
          </w:p>
          <w:p w:rsidR="007C6DED" w:rsidRDefault="007C6DED">
            <w:r>
              <w:rPr>
                <w:rFonts w:ascii="Arial" w:hAnsi="Arial" w:cs="Arial"/>
                <w:b/>
                <w:bCs/>
                <w:color w:val="000000"/>
                <w:sz w:val="20"/>
                <w:szCs w:val="20"/>
              </w:rPr>
              <w:t>2012</w:t>
            </w:r>
          </w:p>
          <w:p w:rsidR="007C6DED" w:rsidRDefault="007C6DED">
            <w:r>
              <w:rPr>
                <w:rFonts w:ascii="Arial" w:hAnsi="Arial" w:cs="Arial"/>
                <w:b/>
                <w:bCs/>
                <w:color w:val="000000"/>
                <w:sz w:val="20"/>
                <w:szCs w:val="20"/>
              </w:rPr>
              <w:t>2013</w:t>
            </w:r>
          </w:p>
          <w:p w:rsidR="007C6DED" w:rsidRDefault="007C6DED">
            <w:r>
              <w:rPr>
                <w:rFonts w:ascii="Arial" w:hAnsi="Arial" w:cs="Arial"/>
                <w:b/>
                <w:bCs/>
                <w:color w:val="000000"/>
                <w:sz w:val="20"/>
                <w:szCs w:val="20"/>
              </w:rPr>
              <w:t>2014</w:t>
            </w:r>
          </w:p>
          <w:p w:rsidR="007C6DED" w:rsidRDefault="007C6DED">
            <w:r>
              <w:rPr>
                <w:rFonts w:ascii="Arial" w:hAnsi="Arial" w:cs="Arial"/>
                <w:b/>
                <w:bCs/>
                <w:color w:val="000000"/>
                <w:sz w:val="20"/>
                <w:szCs w:val="20"/>
              </w:rPr>
              <w:t>2015</w:t>
            </w:r>
          </w:p>
          <w:p w:rsidR="007C6DED" w:rsidRDefault="007C6DED">
            <w:pPr>
              <w:spacing w:line="0" w:lineRule="atLeast"/>
            </w:pPr>
            <w:r>
              <w:rPr>
                <w:rFonts w:ascii="Arial" w:hAnsi="Arial" w:cs="Arial"/>
                <w:b/>
                <w:bCs/>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96%</w:t>
            </w:r>
          </w:p>
          <w:p w:rsidR="007C6DED" w:rsidRDefault="007C6DED">
            <w:pPr>
              <w:jc w:val="center"/>
            </w:pPr>
            <w:r>
              <w:rPr>
                <w:rFonts w:ascii="Arial" w:hAnsi="Arial" w:cs="Arial"/>
                <w:b/>
                <w:bCs/>
                <w:color w:val="000000"/>
                <w:sz w:val="20"/>
                <w:szCs w:val="20"/>
              </w:rPr>
              <w:t>84%</w:t>
            </w:r>
          </w:p>
          <w:p w:rsidR="007C6DED" w:rsidRDefault="007C6DED">
            <w:pPr>
              <w:jc w:val="center"/>
            </w:pPr>
            <w:r>
              <w:rPr>
                <w:rFonts w:ascii="Arial" w:hAnsi="Arial" w:cs="Arial"/>
                <w:b/>
                <w:bCs/>
                <w:color w:val="000000"/>
                <w:sz w:val="20"/>
                <w:szCs w:val="20"/>
              </w:rPr>
              <w:t>96%</w:t>
            </w:r>
          </w:p>
          <w:p w:rsidR="007C6DED" w:rsidRDefault="007C6DED">
            <w:pPr>
              <w:jc w:val="center"/>
            </w:pPr>
            <w:r>
              <w:rPr>
                <w:rFonts w:ascii="Arial" w:hAnsi="Arial" w:cs="Arial"/>
                <w:b/>
                <w:bCs/>
                <w:color w:val="000000"/>
                <w:sz w:val="20"/>
                <w:szCs w:val="20"/>
              </w:rPr>
              <w:t>100%</w:t>
            </w:r>
          </w:p>
          <w:p w:rsidR="007C6DED" w:rsidRDefault="007C6DED">
            <w:pPr>
              <w:jc w:val="center"/>
            </w:pPr>
            <w:r>
              <w:rPr>
                <w:rFonts w:ascii="Arial" w:hAnsi="Arial" w:cs="Arial"/>
                <w:b/>
                <w:bCs/>
                <w:color w:val="000000"/>
                <w:sz w:val="20"/>
                <w:szCs w:val="20"/>
              </w:rPr>
              <w:t>93%</w:t>
            </w:r>
          </w:p>
          <w:p w:rsidR="007C6DED" w:rsidRDefault="007C6DED">
            <w:pPr>
              <w:spacing w:line="0" w:lineRule="atLeast"/>
              <w:jc w:val="center"/>
            </w:pPr>
            <w:r>
              <w:rPr>
                <w:rFonts w:ascii="Arial" w:hAnsi="Arial" w:cs="Arial"/>
                <w:b/>
                <w:bCs/>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82%</w:t>
            </w:r>
          </w:p>
          <w:p w:rsidR="007C6DED" w:rsidRDefault="007C6DED">
            <w:pPr>
              <w:jc w:val="center"/>
            </w:pPr>
            <w:r>
              <w:rPr>
                <w:rFonts w:ascii="Arial" w:hAnsi="Arial" w:cs="Arial"/>
                <w:b/>
                <w:bCs/>
                <w:color w:val="000000"/>
                <w:sz w:val="20"/>
                <w:szCs w:val="20"/>
              </w:rPr>
              <w:t>64%</w:t>
            </w:r>
          </w:p>
          <w:p w:rsidR="007C6DED" w:rsidRDefault="007C6DED">
            <w:pPr>
              <w:jc w:val="center"/>
            </w:pPr>
            <w:r>
              <w:rPr>
                <w:rFonts w:ascii="Arial" w:hAnsi="Arial" w:cs="Arial"/>
                <w:b/>
                <w:bCs/>
                <w:color w:val="000000"/>
                <w:sz w:val="20"/>
                <w:szCs w:val="20"/>
              </w:rPr>
              <w:t>70%</w:t>
            </w:r>
          </w:p>
          <w:p w:rsidR="007C6DED" w:rsidRDefault="007C6DED">
            <w:pPr>
              <w:jc w:val="center"/>
            </w:pPr>
            <w:r>
              <w:rPr>
                <w:rFonts w:ascii="Arial" w:hAnsi="Arial" w:cs="Arial"/>
                <w:b/>
                <w:bCs/>
                <w:color w:val="000000"/>
                <w:sz w:val="20"/>
                <w:szCs w:val="20"/>
              </w:rPr>
              <w:t>67%</w:t>
            </w:r>
          </w:p>
          <w:p w:rsidR="007C6DED" w:rsidRDefault="007C6DED">
            <w:pPr>
              <w:jc w:val="center"/>
            </w:pPr>
            <w:r>
              <w:rPr>
                <w:rFonts w:ascii="Arial" w:hAnsi="Arial" w:cs="Arial"/>
                <w:b/>
                <w:bCs/>
                <w:color w:val="000000"/>
                <w:sz w:val="20"/>
                <w:szCs w:val="20"/>
              </w:rPr>
              <w:t>87%</w:t>
            </w:r>
          </w:p>
          <w:p w:rsidR="007C6DED" w:rsidRDefault="007C6DED">
            <w:pPr>
              <w:spacing w:line="0" w:lineRule="atLeast"/>
              <w:jc w:val="center"/>
            </w:pPr>
            <w:r>
              <w:rPr>
                <w:rFonts w:ascii="Arial" w:hAnsi="Arial" w:cs="Arial"/>
                <w:b/>
                <w:bCs/>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14%</w:t>
            </w:r>
          </w:p>
          <w:p w:rsidR="007C6DED" w:rsidRDefault="007C6DED">
            <w:pPr>
              <w:jc w:val="center"/>
            </w:pPr>
            <w:r>
              <w:rPr>
                <w:rFonts w:ascii="Arial" w:hAnsi="Arial" w:cs="Arial"/>
                <w:b/>
                <w:bCs/>
                <w:color w:val="000000"/>
                <w:sz w:val="20"/>
                <w:szCs w:val="20"/>
              </w:rPr>
              <w:t>4%</w:t>
            </w:r>
          </w:p>
          <w:p w:rsidR="007C6DED" w:rsidRDefault="007C6DED">
            <w:pPr>
              <w:jc w:val="center"/>
            </w:pPr>
            <w:r>
              <w:rPr>
                <w:rFonts w:ascii="Arial" w:hAnsi="Arial" w:cs="Arial"/>
                <w:b/>
                <w:bCs/>
                <w:color w:val="000000"/>
                <w:sz w:val="20"/>
                <w:szCs w:val="20"/>
              </w:rPr>
              <w:t>13%</w:t>
            </w:r>
          </w:p>
          <w:p w:rsidR="007C6DED" w:rsidRDefault="007C6DED">
            <w:pPr>
              <w:jc w:val="center"/>
            </w:pPr>
            <w:r>
              <w:rPr>
                <w:rFonts w:ascii="Arial" w:hAnsi="Arial" w:cs="Arial"/>
                <w:b/>
                <w:bCs/>
                <w:color w:val="000000"/>
                <w:sz w:val="20"/>
                <w:szCs w:val="20"/>
              </w:rPr>
              <w:t>0%</w:t>
            </w:r>
          </w:p>
          <w:p w:rsidR="007C6DED" w:rsidRDefault="007C6DED">
            <w:pPr>
              <w:jc w:val="center"/>
            </w:pPr>
            <w:r>
              <w:rPr>
                <w:rFonts w:ascii="Arial" w:hAnsi="Arial" w:cs="Arial"/>
                <w:b/>
                <w:bCs/>
                <w:color w:val="000000"/>
                <w:sz w:val="20"/>
                <w:szCs w:val="20"/>
              </w:rPr>
              <w:t>0%</w:t>
            </w:r>
          </w:p>
          <w:p w:rsidR="007C6DED" w:rsidRDefault="007C6DED">
            <w:pPr>
              <w:spacing w:line="0" w:lineRule="atLeast"/>
              <w:jc w:val="center"/>
            </w:pPr>
            <w:r>
              <w:rPr>
                <w:rFonts w:ascii="Arial" w:hAnsi="Arial" w:cs="Arial"/>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jc w:val="center"/>
            </w:pPr>
            <w:r>
              <w:rPr>
                <w:rFonts w:ascii="Arial" w:hAnsi="Arial" w:cs="Arial"/>
                <w:b/>
                <w:bCs/>
                <w:color w:val="000000"/>
                <w:sz w:val="20"/>
                <w:szCs w:val="20"/>
              </w:rPr>
              <w:t>29%</w:t>
            </w:r>
          </w:p>
          <w:p w:rsidR="007C6DED" w:rsidRDefault="007C6DED">
            <w:pPr>
              <w:jc w:val="center"/>
            </w:pPr>
            <w:r>
              <w:rPr>
                <w:rFonts w:ascii="Arial" w:hAnsi="Arial" w:cs="Arial"/>
                <w:b/>
                <w:bCs/>
                <w:color w:val="000000"/>
                <w:sz w:val="20"/>
                <w:szCs w:val="20"/>
              </w:rPr>
              <w:t>40%</w:t>
            </w:r>
          </w:p>
          <w:p w:rsidR="007C6DED" w:rsidRDefault="007C6DED">
            <w:pPr>
              <w:jc w:val="center"/>
            </w:pPr>
            <w:r>
              <w:rPr>
                <w:rFonts w:ascii="Arial" w:hAnsi="Arial" w:cs="Arial"/>
                <w:b/>
                <w:bCs/>
                <w:color w:val="000000"/>
                <w:sz w:val="20"/>
                <w:szCs w:val="20"/>
              </w:rPr>
              <w:t>91%</w:t>
            </w:r>
          </w:p>
          <w:p w:rsidR="007C6DED" w:rsidRDefault="007C6DED">
            <w:pPr>
              <w:jc w:val="center"/>
            </w:pPr>
            <w:r>
              <w:rPr>
                <w:rFonts w:ascii="Arial" w:hAnsi="Arial" w:cs="Arial"/>
                <w:b/>
                <w:bCs/>
                <w:color w:val="000000"/>
                <w:sz w:val="20"/>
                <w:szCs w:val="20"/>
              </w:rPr>
              <w:t>89%</w:t>
            </w:r>
          </w:p>
          <w:p w:rsidR="007C6DED" w:rsidRDefault="007C6DED">
            <w:pPr>
              <w:jc w:val="center"/>
            </w:pPr>
            <w:r>
              <w:rPr>
                <w:rFonts w:ascii="Arial" w:hAnsi="Arial" w:cs="Arial"/>
                <w:b/>
                <w:bCs/>
                <w:color w:val="000000"/>
                <w:sz w:val="20"/>
                <w:szCs w:val="20"/>
              </w:rPr>
              <w:t>47%</w:t>
            </w:r>
          </w:p>
          <w:p w:rsidR="007C6DED" w:rsidRDefault="007C6DED">
            <w:pPr>
              <w:spacing w:line="0" w:lineRule="atLeast"/>
              <w:jc w:val="center"/>
            </w:pPr>
            <w:r>
              <w:rPr>
                <w:rFonts w:ascii="Arial" w:hAnsi="Arial" w:cs="Arial"/>
                <w:b/>
                <w:bCs/>
                <w:color w:val="000000"/>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r>
              <w:rPr>
                <w:rFonts w:ascii="Arial" w:hAnsi="Arial" w:cs="Arial"/>
                <w:b/>
                <w:bCs/>
                <w:color w:val="000000"/>
                <w:sz w:val="20"/>
                <w:szCs w:val="20"/>
              </w:rPr>
              <w:t>28</w:t>
            </w:r>
          </w:p>
          <w:p w:rsidR="007C6DED" w:rsidRDefault="007C6DED">
            <w:r>
              <w:rPr>
                <w:rFonts w:ascii="Arial" w:hAnsi="Arial" w:cs="Arial"/>
                <w:b/>
                <w:bCs/>
                <w:color w:val="000000"/>
                <w:sz w:val="20"/>
                <w:szCs w:val="20"/>
              </w:rPr>
              <w:t>25</w:t>
            </w:r>
          </w:p>
          <w:p w:rsidR="007C6DED" w:rsidRDefault="007C6DED">
            <w:r>
              <w:rPr>
                <w:rFonts w:ascii="Arial" w:hAnsi="Arial" w:cs="Arial"/>
                <w:b/>
                <w:bCs/>
                <w:color w:val="000000"/>
                <w:sz w:val="20"/>
                <w:szCs w:val="20"/>
              </w:rPr>
              <w:t>23</w:t>
            </w:r>
          </w:p>
          <w:p w:rsidR="007C6DED" w:rsidRDefault="007C6DED">
            <w:r>
              <w:rPr>
                <w:rFonts w:ascii="Arial" w:hAnsi="Arial" w:cs="Arial"/>
                <w:b/>
                <w:bCs/>
                <w:color w:val="000000"/>
                <w:sz w:val="20"/>
                <w:szCs w:val="20"/>
              </w:rPr>
              <w:t>18</w:t>
            </w:r>
          </w:p>
          <w:p w:rsidR="007C6DED" w:rsidRDefault="007C6DED">
            <w:r>
              <w:rPr>
                <w:rFonts w:ascii="Arial" w:hAnsi="Arial" w:cs="Arial"/>
                <w:b/>
                <w:bCs/>
                <w:color w:val="000000"/>
                <w:sz w:val="20"/>
                <w:szCs w:val="20"/>
              </w:rPr>
              <w:t>15</w:t>
            </w:r>
          </w:p>
          <w:p w:rsidR="007C6DED" w:rsidRDefault="007C6DED">
            <w:pPr>
              <w:spacing w:line="0" w:lineRule="atLeast"/>
            </w:pPr>
            <w:r>
              <w:rPr>
                <w:rFonts w:ascii="Arial" w:hAnsi="Arial" w:cs="Arial"/>
                <w:b/>
                <w:bCs/>
                <w:color w:val="000000"/>
                <w:sz w:val="20"/>
                <w:szCs w:val="20"/>
              </w:rPr>
              <w:t>14</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2011-16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center"/>
            </w:pPr>
            <w:r>
              <w:rPr>
                <w:rFonts w:ascii="Arial" w:hAnsi="Arial" w:cs="Arial"/>
                <w:b/>
                <w:bCs/>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123</w:t>
            </w:r>
          </w:p>
        </w:tc>
      </w:tr>
    </w:tbl>
    <w:p w:rsidR="007C6DED" w:rsidRDefault="007C6DED" w:rsidP="007C6DED">
      <w:r>
        <w:rPr>
          <w:rFonts w:ascii="Arial" w:hAnsi="Arial" w:cs="Arial"/>
          <w:color w:val="000000"/>
          <w:sz w:val="20"/>
          <w:szCs w:val="20"/>
        </w:rPr>
        <w:t>Source: Northern Ireland Director of Public Prosecution’s Office</w:t>
      </w:r>
    </w:p>
    <w:p w:rsidR="007C6DED" w:rsidRDefault="007C6DED" w:rsidP="007C6DED">
      <w:r>
        <w:rPr>
          <w:rFonts w:ascii="Arial" w:hAnsi="Arial" w:cs="Arial"/>
          <w:color w:val="000000"/>
          <w:sz w:val="20"/>
          <w:szCs w:val="20"/>
        </w:rPr>
        <w:t>*Please note, the DPP may decide that he suspects more than one condition has been met in one case</w:t>
      </w:r>
    </w:p>
    <w:p w:rsidR="007C6DED" w:rsidRDefault="007C6DED" w:rsidP="007C6DED">
      <w:pPr>
        <w:rPr>
          <w:rFonts w:ascii="Arial" w:hAnsi="Arial" w:cs="Arial"/>
          <w:color w:val="000000"/>
          <w:sz w:val="20"/>
          <w:szCs w:val="20"/>
        </w:rPr>
      </w:pPr>
      <w:r>
        <w:rPr>
          <w:rFonts w:ascii="Arial" w:hAnsi="Arial" w:cs="Arial"/>
          <w:color w:val="000000"/>
          <w:sz w:val="20"/>
          <w:szCs w:val="20"/>
        </w:rPr>
        <w:t>**Until 4 October 2016</w:t>
      </w:r>
    </w:p>
    <w:p w:rsidR="007C6DED" w:rsidRDefault="007C6DED" w:rsidP="007C6DED"/>
    <w:p w:rsidR="007C6DED" w:rsidRDefault="007C6DED" w:rsidP="007C6DED">
      <w:pPr>
        <w:rPr>
          <w:rFonts w:ascii="Arial" w:hAnsi="Arial" w:cs="Arial"/>
          <w:b/>
          <w:bCs/>
          <w:color w:val="000000"/>
          <w:sz w:val="20"/>
          <w:szCs w:val="20"/>
        </w:rPr>
      </w:pPr>
      <w:r>
        <w:rPr>
          <w:rFonts w:ascii="Arial" w:hAnsi="Arial" w:cs="Arial"/>
          <w:b/>
          <w:bCs/>
          <w:color w:val="000000"/>
          <w:sz w:val="20"/>
          <w:szCs w:val="20"/>
        </w:rPr>
        <w:t xml:space="preserve">Table 6: Acquittal rates for those Crown Court Defendants dealt with </w:t>
      </w:r>
      <w:r>
        <w:rPr>
          <w:rFonts w:ascii="Arial" w:hAnsi="Arial" w:cs="Arial"/>
          <w:b/>
          <w:bCs/>
          <w:i/>
          <w:iCs/>
          <w:color w:val="000000"/>
          <w:sz w:val="20"/>
          <w:szCs w:val="20"/>
        </w:rPr>
        <w:t xml:space="preserve">where a plea of not guilty is entered </w:t>
      </w:r>
      <w:r>
        <w:rPr>
          <w:rFonts w:ascii="Arial" w:hAnsi="Arial" w:cs="Arial"/>
          <w:b/>
          <w:bCs/>
          <w:color w:val="000000"/>
          <w:sz w:val="20"/>
          <w:szCs w:val="20"/>
        </w:rPr>
        <w:t>by those in non - jury trials, compared with those in jury trials (2013 – 2016)  </w:t>
      </w:r>
    </w:p>
    <w:tbl>
      <w:tblPr>
        <w:tblW w:w="0" w:type="auto"/>
        <w:tblLook w:val="04A0" w:firstRow="1" w:lastRow="0" w:firstColumn="1" w:lastColumn="0" w:noHBand="0" w:noVBand="1"/>
      </w:tblPr>
      <w:tblGrid>
        <w:gridCol w:w="2763"/>
        <w:gridCol w:w="1665"/>
        <w:gridCol w:w="4286"/>
      </w:tblGrid>
      <w:tr w:rsidR="007C6DED" w:rsidTr="007C6DED">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Non - jury trials</w:t>
            </w:r>
          </w:p>
        </w:tc>
        <w:tc>
          <w:tcPr>
            <w:tcW w:w="4286" w:type="dxa"/>
            <w:tcBorders>
              <w:top w:val="single" w:sz="6" w:space="0" w:color="000000"/>
              <w:left w:val="single" w:sz="6" w:space="0" w:color="000000"/>
              <w:bottom w:val="single" w:sz="6" w:space="0" w:color="000000"/>
              <w:right w:val="single" w:sz="6" w:space="0" w:color="000000"/>
            </w:tcBorders>
            <w:shd w:val="clear" w:color="auto" w:fill="B8CCE4"/>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shd w:val="clear" w:color="auto" w:fill="B8CCE4"/>
              </w:rPr>
              <w:t>Jury trials</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13.64%</w:t>
            </w:r>
          </w:p>
        </w:tc>
        <w:tc>
          <w:tcPr>
            <w:tcW w:w="42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24.87%</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both"/>
            </w:pPr>
            <w:r>
              <w:rPr>
                <w:rFonts w:ascii="Arial" w:hAnsi="Arial" w:cs="Arial"/>
                <w:b/>
                <w:bCs/>
                <w:color w:val="000000"/>
                <w:sz w:val="20"/>
                <w:szCs w:val="20"/>
              </w:rPr>
              <w:t>27.45%</w:t>
            </w:r>
          </w:p>
        </w:tc>
        <w:tc>
          <w:tcPr>
            <w:tcW w:w="42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jc w:val="both"/>
            </w:pPr>
            <w:r>
              <w:rPr>
                <w:rFonts w:ascii="Arial" w:hAnsi="Arial" w:cs="Arial"/>
                <w:b/>
                <w:bCs/>
                <w:color w:val="000000"/>
                <w:sz w:val="20"/>
                <w:szCs w:val="20"/>
              </w:rPr>
              <w:t>25.21%</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47.62%</w:t>
            </w:r>
          </w:p>
        </w:tc>
        <w:tc>
          <w:tcPr>
            <w:tcW w:w="42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20.80%</w:t>
            </w:r>
          </w:p>
        </w:tc>
      </w:tr>
      <w:tr w:rsidR="007C6DED" w:rsidTr="007C6DE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January - August 2016 [PF]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20.00%</w:t>
            </w:r>
          </w:p>
        </w:tc>
        <w:tc>
          <w:tcPr>
            <w:tcW w:w="42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6DED" w:rsidRDefault="007C6DED">
            <w:pPr>
              <w:spacing w:line="0" w:lineRule="atLeast"/>
            </w:pPr>
            <w:r>
              <w:rPr>
                <w:rFonts w:ascii="Arial" w:hAnsi="Arial" w:cs="Arial"/>
                <w:b/>
                <w:bCs/>
                <w:color w:val="000000"/>
                <w:sz w:val="20"/>
                <w:szCs w:val="20"/>
              </w:rPr>
              <w:t>22.63%</w:t>
            </w:r>
          </w:p>
        </w:tc>
      </w:tr>
    </w:tbl>
    <w:p w:rsidR="007C6DED" w:rsidRDefault="007C6DED" w:rsidP="007C6DED">
      <w:r>
        <w:rPr>
          <w:rFonts w:ascii="Arial" w:hAnsi="Arial" w:cs="Arial"/>
          <w:color w:val="000000"/>
          <w:sz w:val="20"/>
          <w:szCs w:val="20"/>
        </w:rPr>
        <w:t>Source: NI Courts &amp; Tribunals Service</w:t>
      </w:r>
    </w:p>
    <w:p w:rsidR="007C6DED" w:rsidRDefault="007C6DED" w:rsidP="007C6DED">
      <w:r>
        <w:rPr>
          <w:rFonts w:ascii="Arial" w:hAnsi="Arial" w:cs="Arial"/>
          <w:color w:val="000000"/>
          <w:sz w:val="20"/>
          <w:szCs w:val="20"/>
        </w:rPr>
        <w:lastRenderedPageBreak/>
        <w:t>[PF] Provisional Figures</w:t>
      </w:r>
    </w:p>
    <w:p w:rsidR="0069792D" w:rsidRDefault="0069792D" w:rsidP="009C7507">
      <w:pPr>
        <w:rPr>
          <w:rFonts w:ascii="Arial" w:hAnsi="Arial" w:cs="Arial"/>
        </w:rPr>
      </w:pPr>
    </w:p>
    <w:p w:rsidR="009C7507" w:rsidRPr="009C7507" w:rsidRDefault="009C7507" w:rsidP="009C7507">
      <w:pPr>
        <w:rPr>
          <w:rFonts w:ascii="Arial" w:hAnsi="Arial" w:cs="Arial"/>
        </w:rPr>
      </w:pPr>
      <w:r w:rsidRPr="009C7507">
        <w:rPr>
          <w:rFonts w:ascii="Arial" w:hAnsi="Arial" w:cs="Arial"/>
        </w:rPr>
        <w:t>© Crown copyright 201</w:t>
      </w:r>
      <w:r w:rsidR="00607D43">
        <w:rPr>
          <w:rFonts w:ascii="Arial" w:hAnsi="Arial" w:cs="Arial"/>
        </w:rPr>
        <w:t>6</w:t>
      </w:r>
    </w:p>
    <w:p w:rsidR="009C7507" w:rsidRPr="009C7507" w:rsidRDefault="009C7507" w:rsidP="009C7507">
      <w:pPr>
        <w:rPr>
          <w:rFonts w:ascii="Arial" w:hAnsi="Arial" w:cs="Arial"/>
        </w:rPr>
      </w:pPr>
    </w:p>
    <w:p w:rsidR="009C7507" w:rsidRPr="009C7507" w:rsidRDefault="009C7507" w:rsidP="009C7507">
      <w:pPr>
        <w:rPr>
          <w:rFonts w:ascii="Arial" w:hAnsi="Arial" w:cs="Arial"/>
        </w:rPr>
      </w:pPr>
      <w:r w:rsidRPr="009C7507">
        <w:rPr>
          <w:rFonts w:ascii="Arial" w:hAnsi="Arial" w:cs="Arial"/>
        </w:rPr>
        <w:t xml:space="preserve">You may re-use this information (excluding logos) free of charge in any format or medium, under the terms of the Open Government Licence v.2. To view this licence visit </w:t>
      </w:r>
      <w:hyperlink r:id="rId18" w:history="1">
        <w:r w:rsidRPr="009C7507">
          <w:rPr>
            <w:rFonts w:ascii="Arial" w:hAnsi="Arial" w:cs="Arial"/>
            <w:color w:val="0000FF"/>
            <w:u w:val="single"/>
          </w:rPr>
          <w:t>www.nationalarchives.gov.uk/doc/open-government-licence/version/2/</w:t>
        </w:r>
      </w:hyperlink>
      <w:r w:rsidRPr="009C7507">
        <w:rPr>
          <w:rFonts w:ascii="Arial" w:hAnsi="Arial" w:cs="Arial"/>
        </w:rPr>
        <w:t xml:space="preserve">  or email </w:t>
      </w:r>
      <w:hyperlink r:id="rId19" w:history="1">
        <w:r w:rsidRPr="009C7507">
          <w:rPr>
            <w:rFonts w:ascii="Arial" w:hAnsi="Arial" w:cs="Arial"/>
            <w:color w:val="0000FF"/>
            <w:u w:val="single"/>
          </w:rPr>
          <w:t>PSI@nationalarchives.gsi.gov.uk</w:t>
        </w:r>
      </w:hyperlink>
      <w:r w:rsidRPr="009C7507">
        <w:rPr>
          <w:rFonts w:ascii="Arial" w:hAnsi="Arial" w:cs="Arial"/>
        </w:rPr>
        <w:t xml:space="preserve"> Where third party material has been identified, permission from the respective copyright holder must be sought.</w:t>
      </w:r>
    </w:p>
    <w:p w:rsidR="009C7507" w:rsidRPr="009C7507" w:rsidRDefault="009C7507" w:rsidP="009C7507">
      <w:pPr>
        <w:spacing w:before="100" w:beforeAutospacing="1" w:after="100" w:afterAutospacing="1"/>
        <w:rPr>
          <w:rFonts w:ascii="Arial" w:hAnsi="Arial" w:cs="Arial"/>
        </w:rPr>
      </w:pPr>
      <w:r w:rsidRPr="009C7507">
        <w:rPr>
          <w:rFonts w:ascii="Arial" w:hAnsi="Arial" w:cs="Arial"/>
        </w:rPr>
        <w:t xml:space="preserve">This publication is available at </w:t>
      </w:r>
      <w:hyperlink r:id="rId20" w:history="1">
        <w:r w:rsidRPr="009C7507">
          <w:rPr>
            <w:rFonts w:ascii="Arial" w:hAnsi="Arial" w:cs="Arial"/>
            <w:color w:val="0000FF"/>
            <w:u w:val="single"/>
          </w:rPr>
          <w:t>www.nio.gov.uk</w:t>
        </w:r>
      </w:hyperlink>
    </w:p>
    <w:p w:rsidR="009C7507" w:rsidRPr="009C7507" w:rsidRDefault="009C7507" w:rsidP="009C7507">
      <w:pPr>
        <w:spacing w:line="240" w:lineRule="atLeast"/>
        <w:rPr>
          <w:rFonts w:ascii="Arial" w:hAnsi="Arial" w:cs="Arial"/>
        </w:rPr>
      </w:pPr>
      <w:r w:rsidRPr="009C7507">
        <w:rPr>
          <w:rFonts w:ascii="Arial" w:hAnsi="Arial" w:cs="Arial"/>
        </w:rPr>
        <w:t xml:space="preserve">Any enquiries regarding this publication should be sent to us at </w:t>
      </w:r>
    </w:p>
    <w:p w:rsidR="009C7507" w:rsidRPr="009C7507" w:rsidRDefault="009C7507" w:rsidP="009C7507">
      <w:pPr>
        <w:autoSpaceDE w:val="0"/>
        <w:autoSpaceDN w:val="0"/>
        <w:rPr>
          <w:rFonts w:ascii="Arial" w:hAnsi="Arial" w:cs="Arial"/>
        </w:rPr>
      </w:pPr>
    </w:p>
    <w:p w:rsidR="00FA029C" w:rsidRDefault="009C7507" w:rsidP="00FA029C">
      <w:pPr>
        <w:autoSpaceDE w:val="0"/>
        <w:autoSpaceDN w:val="0"/>
        <w:rPr>
          <w:rFonts w:ascii="Arial" w:hAnsi="Arial" w:cs="Arial"/>
        </w:rPr>
      </w:pPr>
      <w:r w:rsidRPr="009C7507">
        <w:rPr>
          <w:rFonts w:ascii="Arial" w:hAnsi="Arial" w:cs="Arial"/>
        </w:rPr>
        <w:t>Northern Ireland Office</w:t>
      </w:r>
      <w:r w:rsidR="00FA029C">
        <w:rPr>
          <w:rFonts w:ascii="Arial" w:hAnsi="Arial" w:cs="Arial"/>
        </w:rPr>
        <w:t xml:space="preserve"> (SPG)</w:t>
      </w:r>
    </w:p>
    <w:p w:rsidR="00607D43" w:rsidRDefault="00607D43" w:rsidP="00FA029C">
      <w:pPr>
        <w:autoSpaceDE w:val="0"/>
        <w:autoSpaceDN w:val="0"/>
        <w:rPr>
          <w:rFonts w:ascii="Arial" w:hAnsi="Arial" w:cs="Arial"/>
        </w:rPr>
      </w:pPr>
      <w:r w:rsidRPr="00607D43">
        <w:rPr>
          <w:rFonts w:ascii="Arial" w:hAnsi="Arial" w:cs="Arial"/>
        </w:rPr>
        <w:t xml:space="preserve">1 Horse Guards Rd, </w:t>
      </w:r>
    </w:p>
    <w:p w:rsidR="00607D43" w:rsidRDefault="00607D43" w:rsidP="009C7507">
      <w:pPr>
        <w:spacing w:line="240" w:lineRule="atLeast"/>
        <w:rPr>
          <w:rFonts w:ascii="Arial" w:hAnsi="Arial" w:cs="Arial"/>
        </w:rPr>
      </w:pPr>
      <w:r>
        <w:rPr>
          <w:rFonts w:ascii="Arial" w:hAnsi="Arial" w:cs="Arial"/>
        </w:rPr>
        <w:t>L</w:t>
      </w:r>
      <w:r w:rsidRPr="00607D43">
        <w:rPr>
          <w:rFonts w:ascii="Arial" w:hAnsi="Arial" w:cs="Arial"/>
        </w:rPr>
        <w:t xml:space="preserve">ondon </w:t>
      </w:r>
    </w:p>
    <w:p w:rsidR="009C7507" w:rsidRPr="009C7507" w:rsidRDefault="00607D43" w:rsidP="009C7507">
      <w:pPr>
        <w:spacing w:line="240" w:lineRule="atLeast"/>
        <w:rPr>
          <w:rFonts w:ascii="Arial" w:hAnsi="Arial" w:cs="Arial"/>
          <w:b/>
          <w:bCs/>
          <w:color w:val="000000"/>
        </w:rPr>
      </w:pPr>
      <w:r w:rsidRPr="00607D43">
        <w:rPr>
          <w:rFonts w:ascii="Arial" w:hAnsi="Arial" w:cs="Arial"/>
        </w:rPr>
        <w:t>SW1A 2HQ</w:t>
      </w:r>
    </w:p>
    <w:p w:rsidR="009C7507" w:rsidRPr="009C7507" w:rsidRDefault="009C7507" w:rsidP="009C7507">
      <w:pPr>
        <w:spacing w:line="240" w:lineRule="atLeast"/>
        <w:rPr>
          <w:rFonts w:ascii="Arial" w:hAnsi="Arial" w:cs="Arial"/>
          <w:b/>
          <w:bCs/>
          <w:color w:val="000000"/>
        </w:rPr>
      </w:pPr>
    </w:p>
    <w:p w:rsidR="009C7507" w:rsidRPr="009C7507" w:rsidRDefault="009C7507" w:rsidP="009C7507">
      <w:pPr>
        <w:spacing w:line="240" w:lineRule="atLeast"/>
        <w:rPr>
          <w:rFonts w:ascii="Arial" w:hAnsi="Arial" w:cs="Arial"/>
          <w:b/>
          <w:bCs/>
          <w:color w:val="000000"/>
        </w:rPr>
      </w:pPr>
    </w:p>
    <w:p w:rsidR="005D28A4" w:rsidRPr="00C45880" w:rsidRDefault="005D28A4" w:rsidP="005D28A4">
      <w:pPr>
        <w:shd w:val="clear" w:color="auto" w:fill="FFFFFF"/>
        <w:spacing w:after="120" w:line="360" w:lineRule="auto"/>
        <w:rPr>
          <w:rStyle w:val="legamendingtext"/>
          <w:rFonts w:ascii="Arial" w:hAnsi="Arial" w:cs="Arial"/>
          <w:i/>
          <w:color w:val="000000"/>
        </w:rPr>
      </w:pPr>
    </w:p>
    <w:sectPr w:rsidR="005D28A4" w:rsidRPr="00C45880" w:rsidSect="00DD77E5">
      <w:footerReference w:type="even" r:id="rId21"/>
      <w:footerReference w:type="default" r:id="rId22"/>
      <w:pgSz w:w="11906" w:h="16838"/>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16" w:rsidRDefault="002F6E16">
      <w:r>
        <w:separator/>
      </w:r>
    </w:p>
  </w:endnote>
  <w:endnote w:type="continuationSeparator" w:id="0">
    <w:p w:rsidR="002F6E16" w:rsidRDefault="002F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C" w:rsidRPr="00932BEA" w:rsidRDefault="006F105C" w:rsidP="004D3E44">
    <w:pPr>
      <w:pStyle w:val="Footer"/>
      <w:jc w:val="right"/>
      <w:rPr>
        <w:rStyle w:val="PageNumbe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C" w:rsidRDefault="006F105C" w:rsidP="0037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05C" w:rsidRDefault="006F105C" w:rsidP="00D91F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85363"/>
      <w:docPartObj>
        <w:docPartGallery w:val="Page Numbers (Bottom of Page)"/>
        <w:docPartUnique/>
      </w:docPartObj>
    </w:sdtPr>
    <w:sdtEndPr>
      <w:rPr>
        <w:noProof/>
      </w:rPr>
    </w:sdtEndPr>
    <w:sdtContent>
      <w:p w:rsidR="006F105C" w:rsidRDefault="00FA4A7C">
        <w:pPr>
          <w:pStyle w:val="Footer"/>
        </w:pPr>
        <w:r>
          <w:fldChar w:fldCharType="begin"/>
        </w:r>
        <w:r>
          <w:instrText xml:space="preserve"> PAGE   \* MERGEFORMAT </w:instrText>
        </w:r>
        <w:r>
          <w:fldChar w:fldCharType="separate"/>
        </w:r>
        <w:r w:rsidR="00EA6512">
          <w:rPr>
            <w:noProof/>
          </w:rPr>
          <w:t>16</w:t>
        </w:r>
        <w:r>
          <w:rPr>
            <w:noProof/>
          </w:rPr>
          <w:fldChar w:fldCharType="end"/>
        </w:r>
      </w:p>
    </w:sdtContent>
  </w:sdt>
  <w:p w:rsidR="006F105C" w:rsidRPr="004D3E44" w:rsidRDefault="006F105C" w:rsidP="004D3E44">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16" w:rsidRDefault="002F6E16">
      <w:r>
        <w:separator/>
      </w:r>
    </w:p>
  </w:footnote>
  <w:footnote w:type="continuationSeparator" w:id="0">
    <w:p w:rsidR="002F6E16" w:rsidRDefault="002F6E16">
      <w:r>
        <w:continuationSeparator/>
      </w:r>
    </w:p>
  </w:footnote>
  <w:footnote w:id="1">
    <w:p w:rsidR="006F105C" w:rsidRDefault="006F105C" w:rsidP="00885230">
      <w:pPr>
        <w:pStyle w:val="FootnoteText"/>
      </w:pPr>
      <w:r>
        <w:rPr>
          <w:rStyle w:val="FootnoteReference"/>
        </w:rPr>
        <w:footnoteRef/>
      </w:r>
      <w:r>
        <w:t xml:space="preserve"> </w:t>
      </w:r>
      <w:hyperlink r:id="rId1" w:history="1">
        <w:r w:rsidRPr="00635E7D">
          <w:rPr>
            <w:rStyle w:val="Hyperlink"/>
            <w:rFonts w:asciiTheme="minorHAnsi" w:hAnsiTheme="minorHAnsi"/>
          </w:rPr>
          <w:t>Please click here for more information on the Equality Commission’s Section 75 guidance</w:t>
        </w:r>
      </w:hyperlink>
      <w:r w:rsidR="0031673E">
        <w:rPr>
          <w:rFonts w:asciiTheme="minorHAnsi" w:hAnsiTheme="minorHAnsi"/>
        </w:rPr>
        <w:t xml:space="preserve"> or go to </w:t>
      </w:r>
      <w:r w:rsidR="0031673E" w:rsidRPr="0031673E">
        <w:rPr>
          <w:rFonts w:asciiTheme="minorHAnsi" w:hAnsiTheme="minorHAnsi"/>
        </w:rPr>
        <w:t>http://www.equalityni.org/S75duties</w:t>
      </w:r>
    </w:p>
  </w:footnote>
  <w:footnote w:id="2">
    <w:p w:rsidR="006F105C" w:rsidRPr="009025A9" w:rsidRDefault="006F105C" w:rsidP="007C6DED">
      <w:pPr>
        <w:pStyle w:val="NormalWeb"/>
        <w:spacing w:before="0" w:beforeAutospacing="0" w:after="0" w:afterAutospacing="0"/>
        <w:rPr>
          <w:rFonts w:ascii="Calibri" w:hAnsi="Calibri"/>
          <w:color w:val="000000"/>
          <w:sz w:val="20"/>
          <w:szCs w:val="20"/>
        </w:rPr>
      </w:pPr>
      <w:r>
        <w:rPr>
          <w:rStyle w:val="FootnoteReference"/>
        </w:rPr>
        <w:footnoteRef/>
      </w:r>
      <w:r>
        <w:t xml:space="preserve"> </w:t>
      </w:r>
      <w:r>
        <w:rPr>
          <w:rFonts w:ascii="Calibri" w:hAnsi="Calibri"/>
          <w:color w:val="000000"/>
          <w:sz w:val="20"/>
          <w:szCs w:val="20"/>
        </w:rPr>
        <w:t xml:space="preserve">To date, one non - jury trial has been conducted under Section 44 the Criminal Justice Act in 2011 in the England and Wales Court of Appeal. </w:t>
      </w:r>
      <w:hyperlink r:id="rId2" w:history="1">
        <w:r>
          <w:rPr>
            <w:rStyle w:val="Hyperlink"/>
            <w:rFonts w:ascii="Calibri" w:hAnsi="Calibri"/>
            <w:color w:val="1155CC"/>
            <w:sz w:val="20"/>
            <w:szCs w:val="20"/>
          </w:rPr>
          <w:t>Please click here to view more information on the case.</w:t>
        </w:r>
      </w:hyperlink>
      <w:r w:rsidR="00AA6F28">
        <w:rPr>
          <w:rStyle w:val="Hyperlink"/>
          <w:rFonts w:ascii="Calibri" w:hAnsi="Calibri"/>
          <w:color w:val="1155CC"/>
          <w:sz w:val="20"/>
          <w:szCs w:val="20"/>
        </w:rPr>
        <w:t xml:space="preserve"> Or go to </w:t>
      </w:r>
      <w:r w:rsidR="00AA6F28" w:rsidRPr="00AA6F28">
        <w:rPr>
          <w:rStyle w:val="Hyperlink"/>
          <w:rFonts w:ascii="Calibri" w:hAnsi="Calibri"/>
          <w:color w:val="1155CC"/>
          <w:sz w:val="20"/>
          <w:szCs w:val="20"/>
        </w:rPr>
        <w:t>http://www.bailii.org/ew/cases/EWCA/Crim/2011/8.html</w:t>
      </w:r>
    </w:p>
    <w:p w:rsidR="006F105C" w:rsidRDefault="006F105C" w:rsidP="007C6DED">
      <w:pPr>
        <w:pStyle w:val="FootnoteText"/>
      </w:pPr>
    </w:p>
  </w:footnote>
  <w:footnote w:id="3">
    <w:p w:rsidR="006F105C" w:rsidRDefault="006F105C" w:rsidP="007C6DED">
      <w:pPr>
        <w:pStyle w:val="NormalWeb"/>
        <w:spacing w:before="0" w:beforeAutospacing="0" w:after="0" w:afterAutospacing="0"/>
      </w:pPr>
      <w:r>
        <w:rPr>
          <w:rStyle w:val="FootnoteReference"/>
        </w:rPr>
        <w:footnoteRef/>
      </w:r>
      <w:r>
        <w:t xml:space="preserve"> </w:t>
      </w:r>
      <w:r>
        <w:rPr>
          <w:rFonts w:ascii="Calibri" w:hAnsi="Calibri"/>
          <w:color w:val="000000"/>
          <w:sz w:val="20"/>
          <w:szCs w:val="20"/>
        </w:rPr>
        <w:t>Prior to the most recent extension of the provisions in July 2015, views were sought via a targeted consultation from a range of interested parties. Please see Annex A for a summary of this.</w:t>
      </w:r>
    </w:p>
    <w:p w:rsidR="006F105C" w:rsidRDefault="006F105C" w:rsidP="007C6DED">
      <w:pPr>
        <w:pStyle w:val="FootnoteText"/>
      </w:pPr>
    </w:p>
  </w:footnote>
  <w:footnote w:id="4">
    <w:p w:rsidR="006F105C" w:rsidRDefault="006F105C" w:rsidP="007C6DED">
      <w:pPr>
        <w:pStyle w:val="NormalWeb"/>
        <w:spacing w:before="0" w:beforeAutospacing="0" w:after="0" w:afterAutospacing="0"/>
      </w:pPr>
      <w:r>
        <w:rPr>
          <w:rStyle w:val="FootnoteReference"/>
        </w:rPr>
        <w:footnoteRef/>
      </w:r>
      <w:r>
        <w:t xml:space="preserve"> </w:t>
      </w:r>
      <w:r>
        <w:rPr>
          <w:rFonts w:ascii="Calibri" w:hAnsi="Calibri"/>
          <w:color w:val="000000"/>
          <w:sz w:val="20"/>
          <w:szCs w:val="20"/>
        </w:rPr>
        <w:t>Please see</w:t>
      </w:r>
      <w:r>
        <w:rPr>
          <w:rFonts w:ascii="Calibri" w:hAnsi="Calibri"/>
          <w:iCs/>
          <w:color w:val="000000"/>
          <w:sz w:val="20"/>
          <w:szCs w:val="20"/>
        </w:rPr>
        <w:t xml:space="preserve"> Annex B </w:t>
      </w:r>
      <w:r>
        <w:rPr>
          <w:rFonts w:ascii="Calibri" w:hAnsi="Calibri"/>
          <w:color w:val="000000"/>
          <w:sz w:val="20"/>
          <w:szCs w:val="20"/>
        </w:rPr>
        <w:t>for a breakdown on the use of non – jury trials in Northern Ireland over the past 5 years.</w:t>
      </w:r>
    </w:p>
    <w:p w:rsidR="006F105C" w:rsidRDefault="006F105C" w:rsidP="007C6DED">
      <w:pPr>
        <w:pStyle w:val="FootnoteText"/>
      </w:pPr>
    </w:p>
  </w:footnote>
  <w:footnote w:id="5">
    <w:p w:rsidR="006F105C" w:rsidRDefault="006F105C" w:rsidP="007C6DED">
      <w:pPr>
        <w:pStyle w:val="FootnoteText"/>
      </w:pPr>
      <w:r>
        <w:rPr>
          <w:rStyle w:val="FootnoteReference"/>
        </w:rPr>
        <w:footnoteRef/>
      </w:r>
      <w:r>
        <w:t xml:space="preserve"> </w:t>
      </w:r>
      <w:r>
        <w:rPr>
          <w:rFonts w:ascii="Calibri" w:hAnsi="Calibri"/>
          <w:color w:val="000000"/>
        </w:rPr>
        <w:t>As set out in section 7 of the</w:t>
      </w:r>
      <w:hyperlink r:id="rId3" w:history="1">
        <w:r>
          <w:rPr>
            <w:rStyle w:val="Hyperlink"/>
            <w:rFonts w:ascii="Calibri" w:hAnsi="Calibri"/>
            <w:color w:val="000000"/>
          </w:rPr>
          <w:t xml:space="preserve"> </w:t>
        </w:r>
        <w:r>
          <w:rPr>
            <w:rStyle w:val="Hyperlink"/>
            <w:rFonts w:ascii="Calibri" w:hAnsi="Calibri"/>
            <w:color w:val="1155CC"/>
          </w:rPr>
          <w:t>Justice and Security (Northern Ireland) Act 2007</w:t>
        </w:r>
      </w:hyperlink>
    </w:p>
    <w:p w:rsidR="006F105C" w:rsidRDefault="006F105C" w:rsidP="007C6DED">
      <w:pPr>
        <w:pStyle w:val="FootnoteText"/>
      </w:pPr>
    </w:p>
  </w:footnote>
  <w:footnote w:id="6">
    <w:p w:rsidR="006F105C" w:rsidRDefault="006F105C" w:rsidP="007C6DED">
      <w:pPr>
        <w:pStyle w:val="FootnoteText"/>
      </w:pPr>
      <w:r>
        <w:rPr>
          <w:rStyle w:val="FootnoteReference"/>
        </w:rPr>
        <w:footnoteRef/>
      </w:r>
      <w:r>
        <w:t xml:space="preserve"> </w:t>
      </w:r>
      <w:r>
        <w:rPr>
          <w:rFonts w:ascii="Calibri" w:hAnsi="Calibri"/>
          <w:color w:val="000000"/>
        </w:rPr>
        <w:t xml:space="preserve">Under the previous so called “Diplock system” which existed from 1973 - 2007, if a person was charged with a “scheduled” offence they were automatically tried before a Diplock Court, unless the Attorney General certified that the offence was </w:t>
      </w:r>
      <w:r>
        <w:rPr>
          <w:rFonts w:ascii="Calibri" w:hAnsi="Calibri"/>
          <w:color w:val="000000"/>
          <w:u w:val="single"/>
        </w:rPr>
        <w:t>not</w:t>
      </w:r>
      <w:r>
        <w:rPr>
          <w:rFonts w:ascii="Calibri" w:hAnsi="Calibri"/>
          <w:color w:val="000000"/>
        </w:rPr>
        <w:t xml:space="preserve"> to be treated as a scheduled offence. If this took place, the effect of this would be that the case </w:t>
      </w:r>
      <w:r>
        <w:rPr>
          <w:rFonts w:ascii="Calibri" w:hAnsi="Calibri"/>
          <w:color w:val="000000"/>
          <w:u w:val="single"/>
        </w:rPr>
        <w:t>would</w:t>
      </w:r>
      <w:r>
        <w:rPr>
          <w:rFonts w:ascii="Calibri" w:hAnsi="Calibri"/>
          <w:color w:val="000000"/>
        </w:rPr>
        <w:t xml:space="preserve"> be tried before a jury, a process known as “descheduling.”</w:t>
      </w:r>
    </w:p>
  </w:footnote>
  <w:footnote w:id="7">
    <w:p w:rsidR="006F105C" w:rsidRDefault="006F105C" w:rsidP="00607D43">
      <w:pPr>
        <w:pStyle w:val="FootnoteText"/>
        <w:rPr>
          <w:rFonts w:ascii="Calibri" w:hAnsi="Calibri"/>
          <w:color w:val="000000"/>
        </w:rPr>
      </w:pPr>
      <w:r>
        <w:rPr>
          <w:rStyle w:val="FootnoteReference"/>
        </w:rPr>
        <w:footnoteRef/>
      </w:r>
      <w:r>
        <w:t xml:space="preserve"> </w:t>
      </w:r>
      <w:r>
        <w:rPr>
          <w:rFonts w:ascii="Calibri" w:hAnsi="Calibri"/>
          <w:color w:val="000000"/>
        </w:rPr>
        <w:t>Please see Annex B for a breakdown on the use of non – jury trials in Northern Ireland over the past 5 years.</w:t>
      </w:r>
    </w:p>
    <w:p w:rsidR="006F105C" w:rsidRDefault="006F105C" w:rsidP="00607D43">
      <w:pPr>
        <w:pStyle w:val="FootnoteText"/>
        <w:rPr>
          <w:rFonts w:asciiTheme="minorHAnsi" w:hAnsiTheme="minorHAnsi"/>
        </w:rPr>
      </w:pPr>
    </w:p>
  </w:footnote>
  <w:footnote w:id="8">
    <w:p w:rsidR="006F105C" w:rsidRDefault="006F105C" w:rsidP="00607D43">
      <w:pPr>
        <w:pStyle w:val="NormalWeb"/>
        <w:spacing w:before="0" w:beforeAutospacing="0" w:after="0" w:afterAutospacing="0"/>
      </w:pPr>
      <w:r>
        <w:rPr>
          <w:rStyle w:val="FootnoteReference"/>
        </w:rPr>
        <w:footnoteRef/>
      </w:r>
      <w:r>
        <w:t xml:space="preserve"> </w:t>
      </w:r>
      <w:r>
        <w:rPr>
          <w:rFonts w:ascii="Calibri" w:hAnsi="Calibri"/>
          <w:color w:val="000000"/>
          <w:sz w:val="20"/>
          <w:szCs w:val="20"/>
        </w:rPr>
        <w:t>The Northern Ireland Housing Executive (NIHE) accepted 1,223 cases in which people were presenting as homeless as a result of intimidation over the 2012/13 – 2014/15 period. Around three – quarters of these cases were as a result of paramilitary intimidation.</w:t>
      </w:r>
      <w:hyperlink r:id="rId4" w:history="1">
        <w:r>
          <w:rPr>
            <w:rStyle w:val="Hyperlink"/>
            <w:rFonts w:ascii="Calibri" w:hAnsi="Calibri"/>
            <w:color w:val="000000"/>
            <w:sz w:val="20"/>
            <w:szCs w:val="20"/>
          </w:rPr>
          <w:t xml:space="preserve"> </w:t>
        </w:r>
        <w:r>
          <w:rPr>
            <w:rStyle w:val="Hyperlink"/>
            <w:rFonts w:ascii="Calibri" w:hAnsi="Calibri"/>
            <w:color w:val="1155CC"/>
            <w:sz w:val="20"/>
            <w:szCs w:val="20"/>
          </w:rPr>
          <w:t>The 2015 Panel Report, page 9</w:t>
        </w:r>
      </w:hyperlink>
      <w:r>
        <w:rPr>
          <w:rFonts w:ascii="Calibri" w:hAnsi="Calibri"/>
          <w:color w:val="000000"/>
          <w:sz w:val="20"/>
          <w:szCs w:val="20"/>
        </w:rPr>
        <w:t>.</w:t>
      </w:r>
    </w:p>
    <w:p w:rsidR="006F105C" w:rsidRDefault="006F105C" w:rsidP="00607D43">
      <w:pPr>
        <w:pStyle w:val="FootnoteText"/>
      </w:pPr>
    </w:p>
  </w:footnote>
  <w:footnote w:id="9">
    <w:p w:rsidR="006F105C" w:rsidRDefault="006F105C" w:rsidP="00607D43">
      <w:pPr>
        <w:pStyle w:val="NormalWeb"/>
        <w:spacing w:before="0" w:beforeAutospacing="0" w:after="0" w:afterAutospacing="0"/>
      </w:pPr>
      <w:r>
        <w:rPr>
          <w:rStyle w:val="FootnoteReference"/>
        </w:rPr>
        <w:footnoteRef/>
      </w:r>
      <w:r>
        <w:t xml:space="preserve"> </w:t>
      </w:r>
      <w:r>
        <w:rPr>
          <w:rFonts w:ascii="Calibri" w:hAnsi="Calibri"/>
          <w:color w:val="000000"/>
          <w:sz w:val="20"/>
          <w:szCs w:val="20"/>
        </w:rPr>
        <w:t>The threat level for Northern Ireland-related terrorism is set separately for Northern Ireland and Great Britain (England, Wales and Scotland)</w:t>
      </w:r>
      <w:hyperlink r:id="rId5" w:history="1">
        <w:r>
          <w:rPr>
            <w:rStyle w:val="Hyperlink"/>
            <w:rFonts w:ascii="Calibri" w:hAnsi="Calibri"/>
            <w:color w:val="000000"/>
            <w:sz w:val="20"/>
            <w:szCs w:val="20"/>
          </w:rPr>
          <w:t xml:space="preserve"> </w:t>
        </w:r>
        <w:r>
          <w:rPr>
            <w:rStyle w:val="Hyperlink"/>
            <w:rFonts w:ascii="Calibri" w:hAnsi="Calibri"/>
            <w:color w:val="1155CC"/>
            <w:sz w:val="20"/>
            <w:szCs w:val="20"/>
          </w:rPr>
          <w:t>Click here to view the latest information from MI5 on NI Threat Levels.</w:t>
        </w:r>
      </w:hyperlink>
    </w:p>
    <w:p w:rsidR="006F105C" w:rsidRDefault="006F105C" w:rsidP="00607D43">
      <w:pPr>
        <w:pStyle w:val="FootnoteText"/>
      </w:pPr>
    </w:p>
  </w:footnote>
  <w:footnote w:id="10">
    <w:p w:rsidR="006F105C" w:rsidRDefault="006F105C" w:rsidP="00607D43">
      <w:pPr>
        <w:pStyle w:val="FootnoteText"/>
        <w:rPr>
          <w:rFonts w:ascii="Calibri" w:hAnsi="Calibri"/>
          <w:color w:val="000000"/>
        </w:rPr>
      </w:pPr>
      <w:r>
        <w:rPr>
          <w:rStyle w:val="FootnoteReference"/>
        </w:rPr>
        <w:footnoteRef/>
      </w:r>
      <w:r>
        <w:t xml:space="preserve"> </w:t>
      </w:r>
      <w:r>
        <w:rPr>
          <w:rFonts w:ascii="Calibri" w:hAnsi="Calibri"/>
          <w:color w:val="000000"/>
        </w:rPr>
        <w:t>In 2015 there were 16 national security attacks, 32 paramilitary style shootings/ attacks and 209 Bomb disposal team callouts. So far this year there has been one death caused by an under-car explosion and 4 paramilitary related murders.</w:t>
      </w:r>
    </w:p>
    <w:p w:rsidR="006F105C" w:rsidRDefault="006F105C" w:rsidP="007C6DED">
      <w:pPr>
        <w:pStyle w:val="FootnoteText"/>
      </w:pPr>
    </w:p>
  </w:footnote>
  <w:footnote w:id="11">
    <w:p w:rsidR="006F105C" w:rsidRDefault="006F105C" w:rsidP="007C6DED">
      <w:pPr>
        <w:pStyle w:val="FootnoteText"/>
      </w:pPr>
      <w:r>
        <w:rPr>
          <w:rStyle w:val="FootnoteReference"/>
        </w:rPr>
        <w:footnoteRef/>
      </w:r>
      <w:r>
        <w:t xml:space="preserve"> </w:t>
      </w:r>
      <w:r>
        <w:rPr>
          <w:rFonts w:ascii="Calibri" w:hAnsi="Calibri"/>
          <w:color w:val="000000"/>
        </w:rPr>
        <w:t xml:space="preserve">Evidence provided to the 2015 Northern Ireland Office targeted consultation by Lord </w:t>
      </w:r>
      <w:proofErr w:type="spellStart"/>
      <w:r>
        <w:rPr>
          <w:rFonts w:ascii="Calibri" w:hAnsi="Calibri"/>
          <w:color w:val="000000"/>
        </w:rPr>
        <w:t>Carlile</w:t>
      </w:r>
      <w:proofErr w:type="spellEnd"/>
      <w:r>
        <w:rPr>
          <w:rFonts w:ascii="Calibri" w:hAnsi="Calibri"/>
          <w:color w:val="000000"/>
        </w:rPr>
        <w:t xml:space="preserve"> - QC, Independent Reviewer of National Security Arrangements in Northern Ireland.</w:t>
      </w:r>
    </w:p>
  </w:footnote>
  <w:footnote w:id="12">
    <w:p w:rsidR="004102E7" w:rsidRDefault="004102E7" w:rsidP="004102E7">
      <w:pPr>
        <w:pStyle w:val="FootnoteText"/>
      </w:pPr>
      <w:r>
        <w:rPr>
          <w:rStyle w:val="FootnoteReference"/>
        </w:rPr>
        <w:footnoteRef/>
      </w:r>
      <w:r>
        <w:t xml:space="preserve"> </w:t>
      </w:r>
      <w:hyperlink r:id="rId6" w:history="1">
        <w:r w:rsidRPr="00635E7D">
          <w:rPr>
            <w:rStyle w:val="Hyperlink"/>
            <w:rFonts w:asciiTheme="minorHAnsi" w:hAnsiTheme="minorHAnsi"/>
          </w:rPr>
          <w:t>Please click here for more information on the Equality Commission’s Section 75 guidance</w:t>
        </w:r>
      </w:hyperlink>
      <w:r>
        <w:rPr>
          <w:rFonts w:asciiTheme="minorHAnsi" w:hAnsiTheme="minorHAnsi"/>
        </w:rPr>
        <w:t xml:space="preserve">.  </w:t>
      </w:r>
    </w:p>
  </w:footnote>
  <w:footnote w:id="13">
    <w:p w:rsidR="006F105C" w:rsidRDefault="006F105C">
      <w:pPr>
        <w:pStyle w:val="FootnoteText"/>
      </w:pPr>
      <w:r>
        <w:rPr>
          <w:rStyle w:val="FootnoteReference"/>
        </w:rPr>
        <w:footnoteRef/>
      </w:r>
      <w:r>
        <w:t xml:space="preserve"> </w:t>
      </w:r>
      <w:r w:rsidRPr="00B84CF2">
        <w:rPr>
          <w:rFonts w:asciiTheme="minorHAnsi" w:hAnsiTheme="minorHAnsi"/>
        </w:rPr>
        <w:t>Subject to the UK wide provisions allowing for non-jury trials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C" w:rsidRPr="00607D43" w:rsidRDefault="006F105C">
    <w:pPr>
      <w:pStyle w:val="Header"/>
      <w:rPr>
        <w:rFonts w:ascii="Arial" w:hAnsi="Arial" w:cs="Arial"/>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87"/>
    <w:multiLevelType w:val="multilevel"/>
    <w:tmpl w:val="9EA0E194"/>
    <w:lvl w:ilvl="0">
      <w:start w:val="8"/>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480571C"/>
    <w:multiLevelType w:val="hybridMultilevel"/>
    <w:tmpl w:val="866E9F1A"/>
    <w:lvl w:ilvl="0" w:tplc="539AA048">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08C77E47"/>
    <w:multiLevelType w:val="multilevel"/>
    <w:tmpl w:val="735022F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BB7A82"/>
    <w:multiLevelType w:val="hybridMultilevel"/>
    <w:tmpl w:val="58DA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B26E7"/>
    <w:multiLevelType w:val="hybridMultilevel"/>
    <w:tmpl w:val="66100C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D720890"/>
    <w:multiLevelType w:val="hybridMultilevel"/>
    <w:tmpl w:val="8B3C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A550E"/>
    <w:multiLevelType w:val="hybridMultilevel"/>
    <w:tmpl w:val="2E9455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0E25E3B"/>
    <w:multiLevelType w:val="hybridMultilevel"/>
    <w:tmpl w:val="B642ADA6"/>
    <w:lvl w:ilvl="0" w:tplc="7CF432DC">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D3048D"/>
    <w:multiLevelType w:val="hybridMultilevel"/>
    <w:tmpl w:val="77A8F326"/>
    <w:lvl w:ilvl="0" w:tplc="AFFE5082">
      <w:start w:val="1"/>
      <w:numFmt w:val="lowerLetter"/>
      <w:lvlText w:val="(%1)"/>
      <w:lvlJc w:val="left"/>
      <w:pPr>
        <w:tabs>
          <w:tab w:val="num" w:pos="1080"/>
        </w:tabs>
        <w:ind w:left="1080" w:hanging="360"/>
      </w:pPr>
      <w:rPr>
        <w:rFonts w:cs="Times New Roman" w:hint="default"/>
        <w:strike w:val="0"/>
      </w:rPr>
    </w:lvl>
    <w:lvl w:ilvl="1" w:tplc="7EF278B0">
      <w:start w:val="7"/>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17F1387C"/>
    <w:multiLevelType w:val="multilevel"/>
    <w:tmpl w:val="DE40CD5C"/>
    <w:lvl w:ilvl="0">
      <w:start w:val="7"/>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val="0"/>
      </w:rPr>
    </w:lvl>
    <w:lvl w:ilvl="2">
      <w:start w:val="1"/>
      <w:numFmt w:val="none"/>
      <w:lvlText w:val="7.7"/>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1D00514B"/>
    <w:multiLevelType w:val="hybridMultilevel"/>
    <w:tmpl w:val="15F83BB0"/>
    <w:lvl w:ilvl="0" w:tplc="A6E646A4">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F53A0D"/>
    <w:multiLevelType w:val="hybridMultilevel"/>
    <w:tmpl w:val="6DCC9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FD132B"/>
    <w:multiLevelType w:val="multilevel"/>
    <w:tmpl w:val="728E232E"/>
    <w:lvl w:ilvl="0">
      <w:start w:val="8"/>
      <w:numFmt w:val="decimal"/>
      <w:lvlText w:val="%1"/>
      <w:lvlJc w:val="left"/>
      <w:pPr>
        <w:tabs>
          <w:tab w:val="num" w:pos="360"/>
        </w:tabs>
        <w:ind w:left="360" w:hanging="360"/>
      </w:pPr>
      <w:rPr>
        <w:rFonts w:cs="Times New Roman" w:hint="default"/>
        <w:b/>
      </w:rPr>
    </w:lvl>
    <w:lvl w:ilvl="1">
      <w:start w:val="11"/>
      <w:numFmt w:val="decimal"/>
      <w:lvlText w:val="%1.%2"/>
      <w:lvlJc w:val="left"/>
      <w:pPr>
        <w:tabs>
          <w:tab w:val="num" w:pos="360"/>
        </w:tabs>
        <w:ind w:left="360" w:hanging="360"/>
      </w:pPr>
      <w:rPr>
        <w:rFonts w:cs="Times New Roman" w:hint="default"/>
        <w:b w:val="0"/>
      </w:rPr>
    </w:lvl>
    <w:lvl w:ilvl="2">
      <w:start w:val="1"/>
      <w:numFmt w:val="none"/>
      <w:lvlText w:val="8.12"/>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2498153E"/>
    <w:multiLevelType w:val="hybridMultilevel"/>
    <w:tmpl w:val="F78E9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6863B8"/>
    <w:multiLevelType w:val="hybridMultilevel"/>
    <w:tmpl w:val="CB94A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531428"/>
    <w:multiLevelType w:val="multilevel"/>
    <w:tmpl w:val="6C2C4DD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Arial" w:hAnsi="Arial" w:cs="Arial" w:hint="default"/>
        <w:b w:val="0"/>
        <w:sz w:val="2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47953BC"/>
    <w:multiLevelType w:val="hybridMultilevel"/>
    <w:tmpl w:val="50DA1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736B4B"/>
    <w:multiLevelType w:val="hybridMultilevel"/>
    <w:tmpl w:val="E5FCA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AD0320"/>
    <w:multiLevelType w:val="hybridMultilevel"/>
    <w:tmpl w:val="31120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6D3963"/>
    <w:multiLevelType w:val="multilevel"/>
    <w:tmpl w:val="842AAFE6"/>
    <w:lvl w:ilvl="0">
      <w:start w:val="9"/>
      <w:numFmt w:val="decimal"/>
      <w:lvlText w:val="%1"/>
      <w:lvlJc w:val="left"/>
      <w:pPr>
        <w:tabs>
          <w:tab w:val="num" w:pos="465"/>
        </w:tabs>
        <w:ind w:left="465" w:hanging="465"/>
      </w:pPr>
      <w:rPr>
        <w:rFonts w:cs="Times New Roman" w:hint="default"/>
      </w:rPr>
    </w:lvl>
    <w:lvl w:ilvl="1">
      <w:start w:val="13"/>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DF226B7"/>
    <w:multiLevelType w:val="multilevel"/>
    <w:tmpl w:val="ED90532A"/>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9B3CEF"/>
    <w:multiLevelType w:val="hybridMultilevel"/>
    <w:tmpl w:val="DE52B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0F55EC"/>
    <w:multiLevelType w:val="hybridMultilevel"/>
    <w:tmpl w:val="5650C2C6"/>
    <w:lvl w:ilvl="0" w:tplc="C57012C4">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47A83048"/>
    <w:multiLevelType w:val="hybridMultilevel"/>
    <w:tmpl w:val="948679F0"/>
    <w:lvl w:ilvl="0" w:tplc="6774675E">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99E6A11"/>
    <w:multiLevelType w:val="hybridMultilevel"/>
    <w:tmpl w:val="DA3A99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DD40E07"/>
    <w:multiLevelType w:val="hybridMultilevel"/>
    <w:tmpl w:val="AA34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062D58"/>
    <w:multiLevelType w:val="hybridMultilevel"/>
    <w:tmpl w:val="AFA84E9C"/>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7">
    <w:nsid w:val="58586274"/>
    <w:multiLevelType w:val="hybridMultilevel"/>
    <w:tmpl w:val="6D0CD48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B970740"/>
    <w:multiLevelType w:val="hybridMultilevel"/>
    <w:tmpl w:val="BC26B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3A65D4"/>
    <w:multiLevelType w:val="multilevel"/>
    <w:tmpl w:val="A6D8417C"/>
    <w:lvl w:ilvl="0">
      <w:start w:val="7"/>
      <w:numFmt w:val="decimal"/>
      <w:lvlText w:val="%1"/>
      <w:lvlJc w:val="left"/>
      <w:pPr>
        <w:tabs>
          <w:tab w:val="num" w:pos="360"/>
        </w:tabs>
        <w:ind w:left="360" w:hanging="360"/>
      </w:pPr>
      <w:rPr>
        <w:rFonts w:cs="Times New Roman" w:hint="default"/>
        <w:b/>
        <w:color w:val="000000"/>
      </w:rPr>
    </w:lvl>
    <w:lvl w:ilvl="1">
      <w:start w:val="6"/>
      <w:numFmt w:val="decimal"/>
      <w:lvlText w:val="%1.%2"/>
      <w:lvlJc w:val="left"/>
      <w:pPr>
        <w:tabs>
          <w:tab w:val="num" w:pos="360"/>
        </w:tabs>
        <w:ind w:left="360" w:hanging="360"/>
      </w:pPr>
      <w:rPr>
        <w:rFonts w:cs="Times New Roman" w:hint="default"/>
        <w:b w:val="0"/>
        <w:color w:val="000000"/>
      </w:rPr>
    </w:lvl>
    <w:lvl w:ilvl="2">
      <w:start w:val="1"/>
      <w:numFmt w:val="none"/>
      <w:lvlText w:val="8.5"/>
      <w:lvlJc w:val="left"/>
      <w:pPr>
        <w:tabs>
          <w:tab w:val="num" w:pos="720"/>
        </w:tabs>
        <w:ind w:left="720" w:hanging="720"/>
      </w:pPr>
      <w:rPr>
        <w:rFonts w:cs="Times New Roman" w:hint="default"/>
        <w:b w:val="0"/>
        <w:color w:val="000000"/>
      </w:rPr>
    </w:lvl>
    <w:lvl w:ilvl="3">
      <w:start w:val="1"/>
      <w:numFmt w:val="decimal"/>
      <w:lvlText w:val="%1.%2.%3.%4"/>
      <w:lvlJc w:val="left"/>
      <w:pPr>
        <w:tabs>
          <w:tab w:val="num" w:pos="1080"/>
        </w:tabs>
        <w:ind w:left="1080" w:hanging="108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440"/>
        </w:tabs>
        <w:ind w:left="1440" w:hanging="144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800"/>
        </w:tabs>
        <w:ind w:left="1800" w:hanging="180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30">
    <w:nsid w:val="696B7BAC"/>
    <w:multiLevelType w:val="hybridMultilevel"/>
    <w:tmpl w:val="721E4950"/>
    <w:lvl w:ilvl="0" w:tplc="6EA060C2">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nsid w:val="6BFF6A78"/>
    <w:multiLevelType w:val="hybridMultilevel"/>
    <w:tmpl w:val="FD9862A6"/>
    <w:lvl w:ilvl="0" w:tplc="8D60FC70">
      <w:start w:val="2"/>
      <w:numFmt w:val="lowerRoman"/>
      <w:lvlText w:val="(%1)"/>
      <w:lvlJc w:val="left"/>
      <w:pPr>
        <w:tabs>
          <w:tab w:val="num" w:pos="2880"/>
        </w:tabs>
        <w:ind w:left="2880" w:hanging="720"/>
      </w:pPr>
      <w:rPr>
        <w:rFonts w:cs="Times New Roman" w:hint="default"/>
      </w:rPr>
    </w:lvl>
    <w:lvl w:ilvl="1" w:tplc="08090019">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32">
    <w:nsid w:val="6F23515C"/>
    <w:multiLevelType w:val="hybridMultilevel"/>
    <w:tmpl w:val="07406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E14DC8"/>
    <w:multiLevelType w:val="multilevel"/>
    <w:tmpl w:val="955A2FBA"/>
    <w:lvl w:ilvl="0">
      <w:start w:val="7"/>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val="0"/>
      </w:rPr>
    </w:lvl>
    <w:lvl w:ilvl="2">
      <w:start w:val="1"/>
      <w:numFmt w:val="none"/>
      <w:lvlText w:val="8.9"/>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70BC2562"/>
    <w:multiLevelType w:val="hybridMultilevel"/>
    <w:tmpl w:val="4B7E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75D16"/>
    <w:multiLevelType w:val="hybridMultilevel"/>
    <w:tmpl w:val="74569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1186F5E"/>
    <w:multiLevelType w:val="hybridMultilevel"/>
    <w:tmpl w:val="F774CAEA"/>
    <w:lvl w:ilvl="0" w:tplc="1F92792E">
      <w:start w:val="9"/>
      <w:numFmt w:val="lowerLetter"/>
      <w:lvlText w:val="(%1)"/>
      <w:lvlJc w:val="left"/>
      <w:pPr>
        <w:tabs>
          <w:tab w:val="num" w:pos="2880"/>
        </w:tabs>
        <w:ind w:left="2880" w:hanging="360"/>
      </w:pPr>
      <w:rPr>
        <w:rFonts w:cs="Times New Roman" w:hint="default"/>
      </w:rPr>
    </w:lvl>
    <w:lvl w:ilvl="1" w:tplc="072A5552">
      <w:start w:val="3"/>
      <w:numFmt w:val="lowerRoman"/>
      <w:lvlText w:val="(%2)"/>
      <w:lvlJc w:val="left"/>
      <w:pPr>
        <w:tabs>
          <w:tab w:val="num" w:pos="4140"/>
        </w:tabs>
        <w:ind w:left="4140" w:hanging="720"/>
      </w:pPr>
      <w:rPr>
        <w:rFonts w:cs="Times New Roman" w:hint="default"/>
      </w:rPr>
    </w:lvl>
    <w:lvl w:ilvl="2" w:tplc="0809001B" w:tentative="1">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abstractNum w:abstractNumId="37">
    <w:nsid w:val="726F6978"/>
    <w:multiLevelType w:val="multilevel"/>
    <w:tmpl w:val="DF08C26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C43CDA"/>
    <w:multiLevelType w:val="multilevel"/>
    <w:tmpl w:val="78AE0DC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E512BC6"/>
    <w:multiLevelType w:val="hybridMultilevel"/>
    <w:tmpl w:val="8482FD0E"/>
    <w:lvl w:ilvl="0" w:tplc="48D0B67C">
      <w:start w:val="1"/>
      <w:numFmt w:val="lowerLetter"/>
      <w:lvlText w:val="(%1)"/>
      <w:lvlJc w:val="left"/>
      <w:pPr>
        <w:tabs>
          <w:tab w:val="num" w:pos="1800"/>
        </w:tabs>
        <w:ind w:left="1800" w:hanging="360"/>
      </w:pPr>
      <w:rPr>
        <w:rFonts w:cs="Times New Roman" w:hint="default"/>
      </w:rPr>
    </w:lvl>
    <w:lvl w:ilvl="1" w:tplc="48D0B67C">
      <w:start w:val="1"/>
      <w:numFmt w:val="lowerLetter"/>
      <w:lvlText w:val="(%2)"/>
      <w:lvlJc w:val="left"/>
      <w:pPr>
        <w:tabs>
          <w:tab w:val="num" w:pos="2520"/>
        </w:tabs>
        <w:ind w:left="2520" w:hanging="360"/>
      </w:pPr>
      <w:rPr>
        <w:rFonts w:cs="Times New Roman"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7F937528"/>
    <w:multiLevelType w:val="hybridMultilevel"/>
    <w:tmpl w:val="4E2C56F4"/>
    <w:lvl w:ilvl="0" w:tplc="A8426218">
      <w:start w:val="9"/>
      <w:numFmt w:val="lowerLetter"/>
      <w:lvlText w:val="(%1)"/>
      <w:lvlJc w:val="left"/>
      <w:pPr>
        <w:tabs>
          <w:tab w:val="num" w:pos="1800"/>
        </w:tabs>
        <w:ind w:left="1800" w:hanging="360"/>
      </w:pPr>
      <w:rPr>
        <w:rFonts w:cs="Times New Roman" w:hint="default"/>
      </w:rPr>
    </w:lvl>
    <w:lvl w:ilvl="1" w:tplc="2D3E260E">
      <w:start w:val="2"/>
      <w:numFmt w:val="lowerRoman"/>
      <w:lvlText w:val="(%2)"/>
      <w:lvlJc w:val="left"/>
      <w:pPr>
        <w:tabs>
          <w:tab w:val="num" w:pos="2160"/>
        </w:tabs>
        <w:ind w:left="2160" w:hanging="720"/>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8"/>
  </w:num>
  <w:num w:numId="3">
    <w:abstractNumId w:val="15"/>
  </w:num>
  <w:num w:numId="4">
    <w:abstractNumId w:val="26"/>
  </w:num>
  <w:num w:numId="5">
    <w:abstractNumId w:val="39"/>
  </w:num>
  <w:num w:numId="6">
    <w:abstractNumId w:val="27"/>
  </w:num>
  <w:num w:numId="7">
    <w:abstractNumId w:val="37"/>
  </w:num>
  <w:num w:numId="8">
    <w:abstractNumId w:val="20"/>
  </w:num>
  <w:num w:numId="9">
    <w:abstractNumId w:val="22"/>
  </w:num>
  <w:num w:numId="10">
    <w:abstractNumId w:val="4"/>
  </w:num>
  <w:num w:numId="11">
    <w:abstractNumId w:val="38"/>
  </w:num>
  <w:num w:numId="12">
    <w:abstractNumId w:val="36"/>
  </w:num>
  <w:num w:numId="13">
    <w:abstractNumId w:val="2"/>
  </w:num>
  <w:num w:numId="14">
    <w:abstractNumId w:val="9"/>
  </w:num>
  <w:num w:numId="15">
    <w:abstractNumId w:val="11"/>
  </w:num>
  <w:num w:numId="16">
    <w:abstractNumId w:val="32"/>
  </w:num>
  <w:num w:numId="17">
    <w:abstractNumId w:val="31"/>
  </w:num>
  <w:num w:numId="18">
    <w:abstractNumId w:val="30"/>
  </w:num>
  <w:num w:numId="19">
    <w:abstractNumId w:val="40"/>
  </w:num>
  <w:num w:numId="20">
    <w:abstractNumId w:val="1"/>
  </w:num>
  <w:num w:numId="21">
    <w:abstractNumId w:val="14"/>
  </w:num>
  <w:num w:numId="22">
    <w:abstractNumId w:val="18"/>
  </w:num>
  <w:num w:numId="23">
    <w:abstractNumId w:val="10"/>
  </w:num>
  <w:num w:numId="24">
    <w:abstractNumId w:val="35"/>
  </w:num>
  <w:num w:numId="25">
    <w:abstractNumId w:val="29"/>
  </w:num>
  <w:num w:numId="26">
    <w:abstractNumId w:val="33"/>
  </w:num>
  <w:num w:numId="27">
    <w:abstractNumId w:val="12"/>
  </w:num>
  <w:num w:numId="28">
    <w:abstractNumId w:val="17"/>
  </w:num>
  <w:num w:numId="29">
    <w:abstractNumId w:val="21"/>
  </w:num>
  <w:num w:numId="30">
    <w:abstractNumId w:val="6"/>
  </w:num>
  <w:num w:numId="31">
    <w:abstractNumId w:val="16"/>
  </w:num>
  <w:num w:numId="32">
    <w:abstractNumId w:val="19"/>
  </w:num>
  <w:num w:numId="33">
    <w:abstractNumId w:val="28"/>
  </w:num>
  <w:num w:numId="34">
    <w:abstractNumId w:val="24"/>
  </w:num>
  <w:num w:numId="35">
    <w:abstractNumId w:val="23"/>
  </w:num>
  <w:num w:numId="36">
    <w:abstractNumId w:val="0"/>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
  </w:num>
  <w:num w:numId="40">
    <w:abstractNumId w:val="34"/>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24"/>
    <w:rsid w:val="00005E07"/>
    <w:rsid w:val="000133B9"/>
    <w:rsid w:val="000137B1"/>
    <w:rsid w:val="00017C06"/>
    <w:rsid w:val="000211CC"/>
    <w:rsid w:val="00027C15"/>
    <w:rsid w:val="0006599B"/>
    <w:rsid w:val="0009059E"/>
    <w:rsid w:val="000908DE"/>
    <w:rsid w:val="00092D4C"/>
    <w:rsid w:val="00097102"/>
    <w:rsid w:val="000E49F2"/>
    <w:rsid w:val="00100072"/>
    <w:rsid w:val="0010117C"/>
    <w:rsid w:val="00111C6A"/>
    <w:rsid w:val="001135BC"/>
    <w:rsid w:val="00114F89"/>
    <w:rsid w:val="00127EDB"/>
    <w:rsid w:val="0013435F"/>
    <w:rsid w:val="00150BF4"/>
    <w:rsid w:val="00155BEC"/>
    <w:rsid w:val="00187A23"/>
    <w:rsid w:val="00192AAE"/>
    <w:rsid w:val="00192B90"/>
    <w:rsid w:val="00196B1F"/>
    <w:rsid w:val="001A020F"/>
    <w:rsid w:val="001A3A3D"/>
    <w:rsid w:val="001A68C2"/>
    <w:rsid w:val="001A6B33"/>
    <w:rsid w:val="001D0DD7"/>
    <w:rsid w:val="001E39E0"/>
    <w:rsid w:val="001E66C2"/>
    <w:rsid w:val="001F157C"/>
    <w:rsid w:val="00203EDA"/>
    <w:rsid w:val="00217918"/>
    <w:rsid w:val="00222B7A"/>
    <w:rsid w:val="00223F86"/>
    <w:rsid w:val="00232065"/>
    <w:rsid w:val="00237134"/>
    <w:rsid w:val="002463DD"/>
    <w:rsid w:val="00250B47"/>
    <w:rsid w:val="002610F3"/>
    <w:rsid w:val="002A3CCB"/>
    <w:rsid w:val="002B7C2E"/>
    <w:rsid w:val="002C2681"/>
    <w:rsid w:val="002C3BEA"/>
    <w:rsid w:val="002C56D4"/>
    <w:rsid w:val="002D338D"/>
    <w:rsid w:val="002F29DC"/>
    <w:rsid w:val="002F6E16"/>
    <w:rsid w:val="00303D6F"/>
    <w:rsid w:val="00312697"/>
    <w:rsid w:val="0031673E"/>
    <w:rsid w:val="00323AE3"/>
    <w:rsid w:val="00351A0A"/>
    <w:rsid w:val="0035614E"/>
    <w:rsid w:val="0037648F"/>
    <w:rsid w:val="0037707E"/>
    <w:rsid w:val="003B5281"/>
    <w:rsid w:val="003B7FE6"/>
    <w:rsid w:val="003C6BA8"/>
    <w:rsid w:val="003E0916"/>
    <w:rsid w:val="003E6AE6"/>
    <w:rsid w:val="004102E7"/>
    <w:rsid w:val="0041471E"/>
    <w:rsid w:val="00416066"/>
    <w:rsid w:val="0042218A"/>
    <w:rsid w:val="00437884"/>
    <w:rsid w:val="00444600"/>
    <w:rsid w:val="00445D31"/>
    <w:rsid w:val="00455CF3"/>
    <w:rsid w:val="00462F0D"/>
    <w:rsid w:val="00467276"/>
    <w:rsid w:val="0046774A"/>
    <w:rsid w:val="00484EA4"/>
    <w:rsid w:val="004927E6"/>
    <w:rsid w:val="004958A3"/>
    <w:rsid w:val="004A199A"/>
    <w:rsid w:val="004B1C7B"/>
    <w:rsid w:val="004D18F7"/>
    <w:rsid w:val="004D3E44"/>
    <w:rsid w:val="004E7987"/>
    <w:rsid w:val="004F3BA6"/>
    <w:rsid w:val="004F3C6C"/>
    <w:rsid w:val="004F5E6C"/>
    <w:rsid w:val="00503FF6"/>
    <w:rsid w:val="00504C6D"/>
    <w:rsid w:val="005103E7"/>
    <w:rsid w:val="00520922"/>
    <w:rsid w:val="005265D3"/>
    <w:rsid w:val="005407DB"/>
    <w:rsid w:val="00546A70"/>
    <w:rsid w:val="0055680C"/>
    <w:rsid w:val="00560F60"/>
    <w:rsid w:val="00561493"/>
    <w:rsid w:val="00570309"/>
    <w:rsid w:val="005A0A82"/>
    <w:rsid w:val="005A3022"/>
    <w:rsid w:val="005A6067"/>
    <w:rsid w:val="005B5F57"/>
    <w:rsid w:val="005B7747"/>
    <w:rsid w:val="005C2FF3"/>
    <w:rsid w:val="005D1EED"/>
    <w:rsid w:val="005D28A4"/>
    <w:rsid w:val="005D77A9"/>
    <w:rsid w:val="005F6C87"/>
    <w:rsid w:val="00606F8E"/>
    <w:rsid w:val="00607D43"/>
    <w:rsid w:val="00611D91"/>
    <w:rsid w:val="00622082"/>
    <w:rsid w:val="00625B53"/>
    <w:rsid w:val="00625D71"/>
    <w:rsid w:val="00630A35"/>
    <w:rsid w:val="00635979"/>
    <w:rsid w:val="00635E7D"/>
    <w:rsid w:val="00642EE7"/>
    <w:rsid w:val="00646544"/>
    <w:rsid w:val="00657C6A"/>
    <w:rsid w:val="0067301A"/>
    <w:rsid w:val="006808C7"/>
    <w:rsid w:val="0069792D"/>
    <w:rsid w:val="006A576C"/>
    <w:rsid w:val="006B697F"/>
    <w:rsid w:val="006B7A88"/>
    <w:rsid w:val="006C0F8E"/>
    <w:rsid w:val="006F105C"/>
    <w:rsid w:val="006F42C5"/>
    <w:rsid w:val="00700CC9"/>
    <w:rsid w:val="0071297F"/>
    <w:rsid w:val="00714AAD"/>
    <w:rsid w:val="00715368"/>
    <w:rsid w:val="0072138A"/>
    <w:rsid w:val="00732A33"/>
    <w:rsid w:val="00743674"/>
    <w:rsid w:val="007641C9"/>
    <w:rsid w:val="007644EA"/>
    <w:rsid w:val="00766361"/>
    <w:rsid w:val="00770D7B"/>
    <w:rsid w:val="007C6DED"/>
    <w:rsid w:val="007D151B"/>
    <w:rsid w:val="007D2A37"/>
    <w:rsid w:val="007D69FC"/>
    <w:rsid w:val="007E37C5"/>
    <w:rsid w:val="00804054"/>
    <w:rsid w:val="00810DE5"/>
    <w:rsid w:val="008227CA"/>
    <w:rsid w:val="0082546B"/>
    <w:rsid w:val="0082636A"/>
    <w:rsid w:val="00835AF7"/>
    <w:rsid w:val="00843035"/>
    <w:rsid w:val="008437F4"/>
    <w:rsid w:val="00847D78"/>
    <w:rsid w:val="008708D7"/>
    <w:rsid w:val="00873381"/>
    <w:rsid w:val="00881B74"/>
    <w:rsid w:val="00885230"/>
    <w:rsid w:val="008B0960"/>
    <w:rsid w:val="008C7785"/>
    <w:rsid w:val="008F1E78"/>
    <w:rsid w:val="008F3762"/>
    <w:rsid w:val="008F7802"/>
    <w:rsid w:val="009025A9"/>
    <w:rsid w:val="009055FC"/>
    <w:rsid w:val="009062E0"/>
    <w:rsid w:val="00906C78"/>
    <w:rsid w:val="00906CDD"/>
    <w:rsid w:val="00913532"/>
    <w:rsid w:val="00916934"/>
    <w:rsid w:val="00921824"/>
    <w:rsid w:val="00926BB8"/>
    <w:rsid w:val="00933B51"/>
    <w:rsid w:val="00935B82"/>
    <w:rsid w:val="00951E90"/>
    <w:rsid w:val="009636D6"/>
    <w:rsid w:val="00982B03"/>
    <w:rsid w:val="00985308"/>
    <w:rsid w:val="009A4139"/>
    <w:rsid w:val="009C2458"/>
    <w:rsid w:val="009C7507"/>
    <w:rsid w:val="009E0EA5"/>
    <w:rsid w:val="009F6BCC"/>
    <w:rsid w:val="00A27C8B"/>
    <w:rsid w:val="00A34D02"/>
    <w:rsid w:val="00A359A9"/>
    <w:rsid w:val="00A47125"/>
    <w:rsid w:val="00A541DD"/>
    <w:rsid w:val="00A65AE7"/>
    <w:rsid w:val="00A8451C"/>
    <w:rsid w:val="00A90D1E"/>
    <w:rsid w:val="00A96590"/>
    <w:rsid w:val="00AA2354"/>
    <w:rsid w:val="00AA6429"/>
    <w:rsid w:val="00AA6F28"/>
    <w:rsid w:val="00AC0E6B"/>
    <w:rsid w:val="00AC3896"/>
    <w:rsid w:val="00AC4445"/>
    <w:rsid w:val="00B04C2B"/>
    <w:rsid w:val="00B23F34"/>
    <w:rsid w:val="00B33BCF"/>
    <w:rsid w:val="00B34C39"/>
    <w:rsid w:val="00B3699C"/>
    <w:rsid w:val="00B4440E"/>
    <w:rsid w:val="00B52CFE"/>
    <w:rsid w:val="00B72676"/>
    <w:rsid w:val="00B8438C"/>
    <w:rsid w:val="00B84CF2"/>
    <w:rsid w:val="00B915AE"/>
    <w:rsid w:val="00BC2437"/>
    <w:rsid w:val="00BC5F5F"/>
    <w:rsid w:val="00BD6B05"/>
    <w:rsid w:val="00BE34BC"/>
    <w:rsid w:val="00BE6FD4"/>
    <w:rsid w:val="00C10230"/>
    <w:rsid w:val="00C169D8"/>
    <w:rsid w:val="00C16E1A"/>
    <w:rsid w:val="00C22ABD"/>
    <w:rsid w:val="00C24730"/>
    <w:rsid w:val="00C24CDA"/>
    <w:rsid w:val="00C45880"/>
    <w:rsid w:val="00C468E9"/>
    <w:rsid w:val="00C7722B"/>
    <w:rsid w:val="00C90B17"/>
    <w:rsid w:val="00C92E03"/>
    <w:rsid w:val="00CA4DD2"/>
    <w:rsid w:val="00CC2CE2"/>
    <w:rsid w:val="00CD0ACE"/>
    <w:rsid w:val="00CD5683"/>
    <w:rsid w:val="00CF054D"/>
    <w:rsid w:val="00CF2359"/>
    <w:rsid w:val="00D00BF7"/>
    <w:rsid w:val="00D0134D"/>
    <w:rsid w:val="00D04490"/>
    <w:rsid w:val="00D1304B"/>
    <w:rsid w:val="00D13F8D"/>
    <w:rsid w:val="00D225C7"/>
    <w:rsid w:val="00D304C7"/>
    <w:rsid w:val="00D429E7"/>
    <w:rsid w:val="00D5205E"/>
    <w:rsid w:val="00D54B8B"/>
    <w:rsid w:val="00D618C4"/>
    <w:rsid w:val="00D654DB"/>
    <w:rsid w:val="00D72A4B"/>
    <w:rsid w:val="00D7399C"/>
    <w:rsid w:val="00D77000"/>
    <w:rsid w:val="00D90AB7"/>
    <w:rsid w:val="00D91F2C"/>
    <w:rsid w:val="00DA398C"/>
    <w:rsid w:val="00DA6BB7"/>
    <w:rsid w:val="00DB0463"/>
    <w:rsid w:val="00DD0E83"/>
    <w:rsid w:val="00DD4006"/>
    <w:rsid w:val="00DD77E5"/>
    <w:rsid w:val="00DE1843"/>
    <w:rsid w:val="00DF7B00"/>
    <w:rsid w:val="00E270D2"/>
    <w:rsid w:val="00E32AF3"/>
    <w:rsid w:val="00E40F19"/>
    <w:rsid w:val="00E463AB"/>
    <w:rsid w:val="00E54B4C"/>
    <w:rsid w:val="00E566D9"/>
    <w:rsid w:val="00E65CA9"/>
    <w:rsid w:val="00E83B3C"/>
    <w:rsid w:val="00E875FB"/>
    <w:rsid w:val="00E87822"/>
    <w:rsid w:val="00E92D18"/>
    <w:rsid w:val="00EA6512"/>
    <w:rsid w:val="00EC3300"/>
    <w:rsid w:val="00EC4A09"/>
    <w:rsid w:val="00EF0FBB"/>
    <w:rsid w:val="00EF1E1E"/>
    <w:rsid w:val="00F01549"/>
    <w:rsid w:val="00F0744D"/>
    <w:rsid w:val="00F15E44"/>
    <w:rsid w:val="00F24359"/>
    <w:rsid w:val="00F25EFC"/>
    <w:rsid w:val="00F26948"/>
    <w:rsid w:val="00F50CEC"/>
    <w:rsid w:val="00F623B7"/>
    <w:rsid w:val="00F80F1B"/>
    <w:rsid w:val="00FA029C"/>
    <w:rsid w:val="00FA07FB"/>
    <w:rsid w:val="00FA4A7C"/>
    <w:rsid w:val="00FA5576"/>
    <w:rsid w:val="00FC62A6"/>
    <w:rsid w:val="00FD5489"/>
    <w:rsid w:val="00FF38CC"/>
    <w:rsid w:val="00FF5F1A"/>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24730"/>
    <w:pPr>
      <w:keepNext/>
      <w:outlineLvl w:val="0"/>
    </w:pPr>
    <w:rPr>
      <w:rFonts w:ascii="FranklinGothic" w:eastAsia="Times" w:hAnsi="FranklinGothi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6544"/>
    <w:rPr>
      <w:sz w:val="20"/>
      <w:szCs w:val="20"/>
    </w:rPr>
  </w:style>
  <w:style w:type="character" w:styleId="FootnoteReference">
    <w:name w:val="footnote reference"/>
    <w:uiPriority w:val="99"/>
    <w:rsid w:val="00646544"/>
    <w:rPr>
      <w:vertAlign w:val="superscript"/>
    </w:rPr>
  </w:style>
  <w:style w:type="character" w:styleId="Hyperlink">
    <w:name w:val="Hyperlink"/>
    <w:rsid w:val="00FD5489"/>
    <w:rPr>
      <w:color w:val="0000FF"/>
      <w:u w:val="single"/>
    </w:rPr>
  </w:style>
  <w:style w:type="paragraph" w:customStyle="1" w:styleId="Default">
    <w:name w:val="Default"/>
    <w:rsid w:val="00FD548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E34BC"/>
    <w:rPr>
      <w:rFonts w:ascii="Tahoma" w:hAnsi="Tahoma" w:cs="Tahoma"/>
      <w:sz w:val="16"/>
      <w:szCs w:val="16"/>
    </w:rPr>
  </w:style>
  <w:style w:type="character" w:styleId="CommentReference">
    <w:name w:val="annotation reference"/>
    <w:semiHidden/>
    <w:rsid w:val="004F3C6C"/>
    <w:rPr>
      <w:sz w:val="16"/>
      <w:szCs w:val="16"/>
    </w:rPr>
  </w:style>
  <w:style w:type="paragraph" w:styleId="CommentText">
    <w:name w:val="annotation text"/>
    <w:basedOn w:val="Normal"/>
    <w:link w:val="CommentTextChar"/>
    <w:semiHidden/>
    <w:rsid w:val="004F3C6C"/>
    <w:rPr>
      <w:sz w:val="20"/>
      <w:szCs w:val="20"/>
    </w:rPr>
  </w:style>
  <w:style w:type="character" w:customStyle="1" w:styleId="CommentTextChar">
    <w:name w:val="Comment Text Char"/>
    <w:link w:val="CommentText"/>
    <w:semiHidden/>
    <w:locked/>
    <w:rsid w:val="004D3E44"/>
    <w:rPr>
      <w:lang w:val="en-GB" w:eastAsia="en-GB" w:bidi="ar-SA"/>
    </w:rPr>
  </w:style>
  <w:style w:type="paragraph" w:styleId="CommentSubject">
    <w:name w:val="annotation subject"/>
    <w:basedOn w:val="CommentText"/>
    <w:next w:val="CommentText"/>
    <w:semiHidden/>
    <w:rsid w:val="004F3C6C"/>
    <w:rPr>
      <w:b/>
      <w:bCs/>
    </w:rPr>
  </w:style>
  <w:style w:type="paragraph" w:styleId="Footer">
    <w:name w:val="footer"/>
    <w:basedOn w:val="Normal"/>
    <w:link w:val="FooterChar"/>
    <w:uiPriority w:val="99"/>
    <w:rsid w:val="00D91F2C"/>
    <w:pPr>
      <w:tabs>
        <w:tab w:val="center" w:pos="4153"/>
        <w:tab w:val="right" w:pos="8306"/>
      </w:tabs>
    </w:pPr>
  </w:style>
  <w:style w:type="character" w:styleId="PageNumber">
    <w:name w:val="page number"/>
    <w:basedOn w:val="DefaultParagraphFont"/>
    <w:rsid w:val="00D91F2C"/>
  </w:style>
  <w:style w:type="paragraph" w:styleId="Header">
    <w:name w:val="header"/>
    <w:basedOn w:val="Normal"/>
    <w:link w:val="HeaderChar"/>
    <w:uiPriority w:val="99"/>
    <w:rsid w:val="004D3E44"/>
    <w:pPr>
      <w:tabs>
        <w:tab w:val="center" w:pos="4153"/>
        <w:tab w:val="right" w:pos="8306"/>
      </w:tabs>
    </w:pPr>
  </w:style>
  <w:style w:type="character" w:customStyle="1" w:styleId="legamendingtext">
    <w:name w:val="legamendingtext"/>
    <w:rsid w:val="004D3E44"/>
    <w:rPr>
      <w:rFonts w:cs="Times New Roman"/>
    </w:rPr>
  </w:style>
  <w:style w:type="paragraph" w:styleId="ListParagraph">
    <w:name w:val="List Paragraph"/>
    <w:basedOn w:val="Normal"/>
    <w:qFormat/>
    <w:rsid w:val="004D3E44"/>
    <w:pPr>
      <w:ind w:left="720"/>
    </w:pPr>
    <w:rPr>
      <w:rFonts w:ascii="Times" w:hAnsi="Times"/>
      <w:szCs w:val="20"/>
      <w:lang w:val="en-US"/>
    </w:rPr>
  </w:style>
  <w:style w:type="character" w:customStyle="1" w:styleId="legdslegrhslegp3text">
    <w:name w:val="legds legrhs legp3text"/>
    <w:rsid w:val="004D3E44"/>
    <w:rPr>
      <w:rFonts w:cs="Times New Roman"/>
    </w:rPr>
  </w:style>
  <w:style w:type="character" w:customStyle="1" w:styleId="legdsleglhslegp3no">
    <w:name w:val="legds leglhs legp3no"/>
    <w:rsid w:val="004D3E44"/>
    <w:rPr>
      <w:rFonts w:cs="Times New Roman"/>
    </w:rPr>
  </w:style>
  <w:style w:type="character" w:customStyle="1" w:styleId="legdslegp1grouptitlefirst">
    <w:name w:val="legds legp1grouptitlefirst"/>
    <w:rsid w:val="004D3E44"/>
    <w:rPr>
      <w:rFonts w:cs="Times New Roman"/>
    </w:rPr>
  </w:style>
  <w:style w:type="character" w:customStyle="1" w:styleId="legextentrestriction7">
    <w:name w:val="legextentrestriction7"/>
    <w:rsid w:val="004D3E44"/>
    <w:rPr>
      <w:rFonts w:cs="Times New Roman"/>
      <w:b/>
      <w:bCs/>
      <w:vanish/>
      <w:color w:val="FFFFFF"/>
      <w:sz w:val="22"/>
      <w:szCs w:val="22"/>
      <w:shd w:val="clear" w:color="auto" w:fill="660066"/>
    </w:rPr>
  </w:style>
  <w:style w:type="character" w:customStyle="1" w:styleId="legdsleglhslegp2no">
    <w:name w:val="legds leglhs legp2no"/>
    <w:rsid w:val="004D3E44"/>
    <w:rPr>
      <w:rFonts w:cs="Times New Roman"/>
    </w:rPr>
  </w:style>
  <w:style w:type="character" w:customStyle="1" w:styleId="legdslegrhslegp2text">
    <w:name w:val="legds legrhs legp2text"/>
    <w:rsid w:val="004D3E44"/>
    <w:rPr>
      <w:rFonts w:cs="Times New Roman"/>
    </w:rPr>
  </w:style>
  <w:style w:type="character" w:customStyle="1" w:styleId="legterm">
    <w:name w:val="legterm"/>
    <w:rsid w:val="004D3E44"/>
    <w:rPr>
      <w:rFonts w:cs="Times New Roman"/>
    </w:rPr>
  </w:style>
  <w:style w:type="character" w:styleId="FollowedHyperlink">
    <w:name w:val="FollowedHyperlink"/>
    <w:rsid w:val="004D3E44"/>
    <w:rPr>
      <w:rFonts w:cs="Times New Roman"/>
      <w:color w:val="800080"/>
      <w:u w:val="single"/>
    </w:rPr>
  </w:style>
  <w:style w:type="paragraph" w:customStyle="1" w:styleId="Noparagraphstyle">
    <w:name w:val="[No paragraph style]"/>
    <w:rsid w:val="00C24730"/>
    <w:pPr>
      <w:spacing w:line="288" w:lineRule="auto"/>
    </w:pPr>
    <w:rPr>
      <w:rFonts w:ascii="Times" w:hAnsi="Times"/>
      <w:color w:val="000000"/>
      <w:sz w:val="24"/>
      <w:lang w:val="en-US" w:eastAsia="en-US"/>
    </w:rPr>
  </w:style>
  <w:style w:type="paragraph" w:styleId="NormalWeb">
    <w:name w:val="Normal (Web)"/>
    <w:basedOn w:val="Normal"/>
    <w:uiPriority w:val="99"/>
    <w:unhideWhenUsed/>
    <w:rsid w:val="00E65CA9"/>
    <w:pPr>
      <w:spacing w:before="100" w:beforeAutospacing="1" w:after="100" w:afterAutospacing="1"/>
    </w:pPr>
  </w:style>
  <w:style w:type="character" w:customStyle="1" w:styleId="HeaderChar">
    <w:name w:val="Header Char"/>
    <w:link w:val="Header"/>
    <w:uiPriority w:val="99"/>
    <w:rsid w:val="00DD0E83"/>
    <w:rPr>
      <w:sz w:val="24"/>
      <w:szCs w:val="24"/>
    </w:rPr>
  </w:style>
  <w:style w:type="character" w:customStyle="1" w:styleId="FootnoteTextChar">
    <w:name w:val="Footnote Text Char"/>
    <w:basedOn w:val="DefaultParagraphFont"/>
    <w:link w:val="FootnoteText"/>
    <w:uiPriority w:val="99"/>
    <w:semiHidden/>
    <w:rsid w:val="007C6DED"/>
  </w:style>
  <w:style w:type="character" w:customStyle="1" w:styleId="FooterChar">
    <w:name w:val="Footer Char"/>
    <w:basedOn w:val="DefaultParagraphFont"/>
    <w:link w:val="Footer"/>
    <w:uiPriority w:val="99"/>
    <w:rsid w:val="00607D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24730"/>
    <w:pPr>
      <w:keepNext/>
      <w:outlineLvl w:val="0"/>
    </w:pPr>
    <w:rPr>
      <w:rFonts w:ascii="FranklinGothic" w:eastAsia="Times" w:hAnsi="FranklinGothi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6544"/>
    <w:rPr>
      <w:sz w:val="20"/>
      <w:szCs w:val="20"/>
    </w:rPr>
  </w:style>
  <w:style w:type="character" w:styleId="FootnoteReference">
    <w:name w:val="footnote reference"/>
    <w:uiPriority w:val="99"/>
    <w:rsid w:val="00646544"/>
    <w:rPr>
      <w:vertAlign w:val="superscript"/>
    </w:rPr>
  </w:style>
  <w:style w:type="character" w:styleId="Hyperlink">
    <w:name w:val="Hyperlink"/>
    <w:rsid w:val="00FD5489"/>
    <w:rPr>
      <w:color w:val="0000FF"/>
      <w:u w:val="single"/>
    </w:rPr>
  </w:style>
  <w:style w:type="paragraph" w:customStyle="1" w:styleId="Default">
    <w:name w:val="Default"/>
    <w:rsid w:val="00FD548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E34BC"/>
    <w:rPr>
      <w:rFonts w:ascii="Tahoma" w:hAnsi="Tahoma" w:cs="Tahoma"/>
      <w:sz w:val="16"/>
      <w:szCs w:val="16"/>
    </w:rPr>
  </w:style>
  <w:style w:type="character" w:styleId="CommentReference">
    <w:name w:val="annotation reference"/>
    <w:semiHidden/>
    <w:rsid w:val="004F3C6C"/>
    <w:rPr>
      <w:sz w:val="16"/>
      <w:szCs w:val="16"/>
    </w:rPr>
  </w:style>
  <w:style w:type="paragraph" w:styleId="CommentText">
    <w:name w:val="annotation text"/>
    <w:basedOn w:val="Normal"/>
    <w:link w:val="CommentTextChar"/>
    <w:semiHidden/>
    <w:rsid w:val="004F3C6C"/>
    <w:rPr>
      <w:sz w:val="20"/>
      <w:szCs w:val="20"/>
    </w:rPr>
  </w:style>
  <w:style w:type="character" w:customStyle="1" w:styleId="CommentTextChar">
    <w:name w:val="Comment Text Char"/>
    <w:link w:val="CommentText"/>
    <w:semiHidden/>
    <w:locked/>
    <w:rsid w:val="004D3E44"/>
    <w:rPr>
      <w:lang w:val="en-GB" w:eastAsia="en-GB" w:bidi="ar-SA"/>
    </w:rPr>
  </w:style>
  <w:style w:type="paragraph" w:styleId="CommentSubject">
    <w:name w:val="annotation subject"/>
    <w:basedOn w:val="CommentText"/>
    <w:next w:val="CommentText"/>
    <w:semiHidden/>
    <w:rsid w:val="004F3C6C"/>
    <w:rPr>
      <w:b/>
      <w:bCs/>
    </w:rPr>
  </w:style>
  <w:style w:type="paragraph" w:styleId="Footer">
    <w:name w:val="footer"/>
    <w:basedOn w:val="Normal"/>
    <w:link w:val="FooterChar"/>
    <w:uiPriority w:val="99"/>
    <w:rsid w:val="00D91F2C"/>
    <w:pPr>
      <w:tabs>
        <w:tab w:val="center" w:pos="4153"/>
        <w:tab w:val="right" w:pos="8306"/>
      </w:tabs>
    </w:pPr>
  </w:style>
  <w:style w:type="character" w:styleId="PageNumber">
    <w:name w:val="page number"/>
    <w:basedOn w:val="DefaultParagraphFont"/>
    <w:rsid w:val="00D91F2C"/>
  </w:style>
  <w:style w:type="paragraph" w:styleId="Header">
    <w:name w:val="header"/>
    <w:basedOn w:val="Normal"/>
    <w:link w:val="HeaderChar"/>
    <w:uiPriority w:val="99"/>
    <w:rsid w:val="004D3E44"/>
    <w:pPr>
      <w:tabs>
        <w:tab w:val="center" w:pos="4153"/>
        <w:tab w:val="right" w:pos="8306"/>
      </w:tabs>
    </w:pPr>
  </w:style>
  <w:style w:type="character" w:customStyle="1" w:styleId="legamendingtext">
    <w:name w:val="legamendingtext"/>
    <w:rsid w:val="004D3E44"/>
    <w:rPr>
      <w:rFonts w:cs="Times New Roman"/>
    </w:rPr>
  </w:style>
  <w:style w:type="paragraph" w:styleId="ListParagraph">
    <w:name w:val="List Paragraph"/>
    <w:basedOn w:val="Normal"/>
    <w:qFormat/>
    <w:rsid w:val="004D3E44"/>
    <w:pPr>
      <w:ind w:left="720"/>
    </w:pPr>
    <w:rPr>
      <w:rFonts w:ascii="Times" w:hAnsi="Times"/>
      <w:szCs w:val="20"/>
      <w:lang w:val="en-US"/>
    </w:rPr>
  </w:style>
  <w:style w:type="character" w:customStyle="1" w:styleId="legdslegrhslegp3text">
    <w:name w:val="legds legrhs legp3text"/>
    <w:rsid w:val="004D3E44"/>
    <w:rPr>
      <w:rFonts w:cs="Times New Roman"/>
    </w:rPr>
  </w:style>
  <w:style w:type="character" w:customStyle="1" w:styleId="legdsleglhslegp3no">
    <w:name w:val="legds leglhs legp3no"/>
    <w:rsid w:val="004D3E44"/>
    <w:rPr>
      <w:rFonts w:cs="Times New Roman"/>
    </w:rPr>
  </w:style>
  <w:style w:type="character" w:customStyle="1" w:styleId="legdslegp1grouptitlefirst">
    <w:name w:val="legds legp1grouptitlefirst"/>
    <w:rsid w:val="004D3E44"/>
    <w:rPr>
      <w:rFonts w:cs="Times New Roman"/>
    </w:rPr>
  </w:style>
  <w:style w:type="character" w:customStyle="1" w:styleId="legextentrestriction7">
    <w:name w:val="legextentrestriction7"/>
    <w:rsid w:val="004D3E44"/>
    <w:rPr>
      <w:rFonts w:cs="Times New Roman"/>
      <w:b/>
      <w:bCs/>
      <w:vanish/>
      <w:color w:val="FFFFFF"/>
      <w:sz w:val="22"/>
      <w:szCs w:val="22"/>
      <w:shd w:val="clear" w:color="auto" w:fill="660066"/>
    </w:rPr>
  </w:style>
  <w:style w:type="character" w:customStyle="1" w:styleId="legdsleglhslegp2no">
    <w:name w:val="legds leglhs legp2no"/>
    <w:rsid w:val="004D3E44"/>
    <w:rPr>
      <w:rFonts w:cs="Times New Roman"/>
    </w:rPr>
  </w:style>
  <w:style w:type="character" w:customStyle="1" w:styleId="legdslegrhslegp2text">
    <w:name w:val="legds legrhs legp2text"/>
    <w:rsid w:val="004D3E44"/>
    <w:rPr>
      <w:rFonts w:cs="Times New Roman"/>
    </w:rPr>
  </w:style>
  <w:style w:type="character" w:customStyle="1" w:styleId="legterm">
    <w:name w:val="legterm"/>
    <w:rsid w:val="004D3E44"/>
    <w:rPr>
      <w:rFonts w:cs="Times New Roman"/>
    </w:rPr>
  </w:style>
  <w:style w:type="character" w:styleId="FollowedHyperlink">
    <w:name w:val="FollowedHyperlink"/>
    <w:rsid w:val="004D3E44"/>
    <w:rPr>
      <w:rFonts w:cs="Times New Roman"/>
      <w:color w:val="800080"/>
      <w:u w:val="single"/>
    </w:rPr>
  </w:style>
  <w:style w:type="paragraph" w:customStyle="1" w:styleId="Noparagraphstyle">
    <w:name w:val="[No paragraph style]"/>
    <w:rsid w:val="00C24730"/>
    <w:pPr>
      <w:spacing w:line="288" w:lineRule="auto"/>
    </w:pPr>
    <w:rPr>
      <w:rFonts w:ascii="Times" w:hAnsi="Times"/>
      <w:color w:val="000000"/>
      <w:sz w:val="24"/>
      <w:lang w:val="en-US" w:eastAsia="en-US"/>
    </w:rPr>
  </w:style>
  <w:style w:type="paragraph" w:styleId="NormalWeb">
    <w:name w:val="Normal (Web)"/>
    <w:basedOn w:val="Normal"/>
    <w:uiPriority w:val="99"/>
    <w:unhideWhenUsed/>
    <w:rsid w:val="00E65CA9"/>
    <w:pPr>
      <w:spacing w:before="100" w:beforeAutospacing="1" w:after="100" w:afterAutospacing="1"/>
    </w:pPr>
  </w:style>
  <w:style w:type="character" w:customStyle="1" w:styleId="HeaderChar">
    <w:name w:val="Header Char"/>
    <w:link w:val="Header"/>
    <w:uiPriority w:val="99"/>
    <w:rsid w:val="00DD0E83"/>
    <w:rPr>
      <w:sz w:val="24"/>
      <w:szCs w:val="24"/>
    </w:rPr>
  </w:style>
  <w:style w:type="character" w:customStyle="1" w:styleId="FootnoteTextChar">
    <w:name w:val="Footnote Text Char"/>
    <w:basedOn w:val="DefaultParagraphFont"/>
    <w:link w:val="FootnoteText"/>
    <w:uiPriority w:val="99"/>
    <w:semiHidden/>
    <w:rsid w:val="007C6DED"/>
  </w:style>
  <w:style w:type="character" w:customStyle="1" w:styleId="FooterChar">
    <w:name w:val="Footer Char"/>
    <w:basedOn w:val="DefaultParagraphFont"/>
    <w:link w:val="Footer"/>
    <w:uiPriority w:val="99"/>
    <w:rsid w:val="00607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7822">
      <w:bodyDiv w:val="1"/>
      <w:marLeft w:val="0"/>
      <w:marRight w:val="0"/>
      <w:marTop w:val="0"/>
      <w:marBottom w:val="0"/>
      <w:divBdr>
        <w:top w:val="none" w:sz="0" w:space="0" w:color="auto"/>
        <w:left w:val="none" w:sz="0" w:space="0" w:color="auto"/>
        <w:bottom w:val="none" w:sz="0" w:space="0" w:color="auto"/>
        <w:right w:val="none" w:sz="0" w:space="0" w:color="auto"/>
      </w:divBdr>
    </w:div>
    <w:div w:id="531382940">
      <w:bodyDiv w:val="1"/>
      <w:marLeft w:val="0"/>
      <w:marRight w:val="0"/>
      <w:marTop w:val="0"/>
      <w:marBottom w:val="0"/>
      <w:divBdr>
        <w:top w:val="none" w:sz="0" w:space="0" w:color="auto"/>
        <w:left w:val="none" w:sz="0" w:space="0" w:color="auto"/>
        <w:bottom w:val="none" w:sz="0" w:space="0" w:color="auto"/>
        <w:right w:val="none" w:sz="0" w:space="0" w:color="auto"/>
      </w:divBdr>
    </w:div>
    <w:div w:id="575675008">
      <w:bodyDiv w:val="1"/>
      <w:marLeft w:val="0"/>
      <w:marRight w:val="0"/>
      <w:marTop w:val="0"/>
      <w:marBottom w:val="0"/>
      <w:divBdr>
        <w:top w:val="none" w:sz="0" w:space="0" w:color="auto"/>
        <w:left w:val="none" w:sz="0" w:space="0" w:color="auto"/>
        <w:bottom w:val="none" w:sz="0" w:space="0" w:color="auto"/>
        <w:right w:val="none" w:sz="0" w:space="0" w:color="auto"/>
      </w:divBdr>
    </w:div>
    <w:div w:id="754089760">
      <w:bodyDiv w:val="1"/>
      <w:marLeft w:val="0"/>
      <w:marRight w:val="0"/>
      <w:marTop w:val="0"/>
      <w:marBottom w:val="0"/>
      <w:divBdr>
        <w:top w:val="none" w:sz="0" w:space="0" w:color="auto"/>
        <w:left w:val="none" w:sz="0" w:space="0" w:color="auto"/>
        <w:bottom w:val="none" w:sz="0" w:space="0" w:color="auto"/>
        <w:right w:val="none" w:sz="0" w:space="0" w:color="auto"/>
      </w:divBdr>
    </w:div>
    <w:div w:id="1244413534">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063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3/44/section/44" TargetMode="External"/><Relationship Id="rId18" Type="http://schemas.openxmlformats.org/officeDocument/2006/relationships/hyperlink" Target="http://www.nationalarchives.gov.uk/doc/open-government-licence/version/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orthernireland.gov.uk/publications/fresh-start-panel-report-disbandment-paramilitary-groups-northern-ireland" TargetMode="External"/><Relationship Id="rId2" Type="http://schemas.openxmlformats.org/officeDocument/2006/relationships/numbering" Target="numbering.xml"/><Relationship Id="rId16" Type="http://schemas.openxmlformats.org/officeDocument/2006/relationships/hyperlink" Target="http://www.legislation.gov.uk/uksi/2015/1572/pdfs/uksiem_20151572_en.pdf" TargetMode="External"/><Relationship Id="rId20" Type="http://schemas.openxmlformats.org/officeDocument/2006/relationships/hyperlink" Target="http://www.ni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dsi/2015/9780111136560/contents" TargetMode="External"/><Relationship Id="rId23" Type="http://schemas.openxmlformats.org/officeDocument/2006/relationships/fontTable" Target="fontTable.xml"/><Relationship Id="rId10" Type="http://schemas.openxmlformats.org/officeDocument/2006/relationships/hyperlink" Target="file:///C:\Users\donnellye\Desktop\Consultation%20Document\NJTconsultation@nio.gov.uk" TargetMode="External"/><Relationship Id="rId19" Type="http://schemas.openxmlformats.org/officeDocument/2006/relationships/hyperlink" Target="mailto:PSI@nationalarchives.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pga/2007/6/conten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7/6/pdfs/ukpga_20070006_en.pdf" TargetMode="External"/><Relationship Id="rId2" Type="http://schemas.openxmlformats.org/officeDocument/2006/relationships/hyperlink" Target="http://www.bailii.org/ew/cases/EWCA/Crim/2011/8.html" TargetMode="External"/><Relationship Id="rId1" Type="http://schemas.openxmlformats.org/officeDocument/2006/relationships/hyperlink" Target="http://www.equalityni.org/S75duties" TargetMode="External"/><Relationship Id="rId6" Type="http://schemas.openxmlformats.org/officeDocument/2006/relationships/hyperlink" Target="http://www.equalityni.org/S75duties" TargetMode="External"/><Relationship Id="rId5" Type="http://schemas.openxmlformats.org/officeDocument/2006/relationships/hyperlink" Target="https://www.mi5.gov.uk/threat-levels" TargetMode="External"/><Relationship Id="rId4" Type="http://schemas.openxmlformats.org/officeDocument/2006/relationships/hyperlink" Target="https://www.northernireland.gov.uk/sites/default/files/publications/newnigov/The%20Fresh%20Start%20Panel%20report%20on%20the%20disbandment%20of%20paramilitary%20grou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DD70-5099-4289-B941-D3242F65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5019</Words>
  <Characters>26648</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CHAPTER 1 - Background</vt:lpstr>
    </vt:vector>
  </TitlesOfParts>
  <Company>NIO</Company>
  <LinksUpToDate>false</LinksUpToDate>
  <CharactersWithSpaces>31604</CharactersWithSpaces>
  <SharedDoc>false</SharedDoc>
  <HLinks>
    <vt:vector size="354" baseType="variant">
      <vt:variant>
        <vt:i4>196668</vt:i4>
      </vt:variant>
      <vt:variant>
        <vt:i4>171</vt:i4>
      </vt:variant>
      <vt:variant>
        <vt:i4>0</vt:i4>
      </vt:variant>
      <vt:variant>
        <vt:i4>5</vt:i4>
      </vt:variant>
      <vt:variant>
        <vt:lpwstr/>
      </vt:variant>
      <vt:variant>
        <vt:lpwstr>OLE_LINK42</vt:lpwstr>
      </vt:variant>
      <vt:variant>
        <vt:i4>589884</vt:i4>
      </vt:variant>
      <vt:variant>
        <vt:i4>168</vt:i4>
      </vt:variant>
      <vt:variant>
        <vt:i4>0</vt:i4>
      </vt:variant>
      <vt:variant>
        <vt:i4>5</vt:i4>
      </vt:variant>
      <vt:variant>
        <vt:lpwstr/>
      </vt:variant>
      <vt:variant>
        <vt:lpwstr>OLE_LINK48</vt:lpwstr>
      </vt:variant>
      <vt:variant>
        <vt:i4>60</vt:i4>
      </vt:variant>
      <vt:variant>
        <vt:i4>165</vt:i4>
      </vt:variant>
      <vt:variant>
        <vt:i4>0</vt:i4>
      </vt:variant>
      <vt:variant>
        <vt:i4>5</vt:i4>
      </vt:variant>
      <vt:variant>
        <vt:lpwstr/>
      </vt:variant>
      <vt:variant>
        <vt:lpwstr>OLE_LINK41</vt:lpwstr>
      </vt:variant>
      <vt:variant>
        <vt:i4>60</vt:i4>
      </vt:variant>
      <vt:variant>
        <vt:i4>162</vt:i4>
      </vt:variant>
      <vt:variant>
        <vt:i4>0</vt:i4>
      </vt:variant>
      <vt:variant>
        <vt:i4>5</vt:i4>
      </vt:variant>
      <vt:variant>
        <vt:lpwstr/>
      </vt:variant>
      <vt:variant>
        <vt:lpwstr>OLE_LINK41</vt:lpwstr>
      </vt:variant>
      <vt:variant>
        <vt:i4>65596</vt:i4>
      </vt:variant>
      <vt:variant>
        <vt:i4>159</vt:i4>
      </vt:variant>
      <vt:variant>
        <vt:i4>0</vt:i4>
      </vt:variant>
      <vt:variant>
        <vt:i4>5</vt:i4>
      </vt:variant>
      <vt:variant>
        <vt:lpwstr/>
      </vt:variant>
      <vt:variant>
        <vt:lpwstr>OLE_LINK40</vt:lpwstr>
      </vt:variant>
      <vt:variant>
        <vt:i4>65596</vt:i4>
      </vt:variant>
      <vt:variant>
        <vt:i4>156</vt:i4>
      </vt:variant>
      <vt:variant>
        <vt:i4>0</vt:i4>
      </vt:variant>
      <vt:variant>
        <vt:i4>5</vt:i4>
      </vt:variant>
      <vt:variant>
        <vt:lpwstr/>
      </vt:variant>
      <vt:variant>
        <vt:lpwstr>OLE_LINK40</vt:lpwstr>
      </vt:variant>
      <vt:variant>
        <vt:i4>524347</vt:i4>
      </vt:variant>
      <vt:variant>
        <vt:i4>153</vt:i4>
      </vt:variant>
      <vt:variant>
        <vt:i4>0</vt:i4>
      </vt:variant>
      <vt:variant>
        <vt:i4>5</vt:i4>
      </vt:variant>
      <vt:variant>
        <vt:lpwstr/>
      </vt:variant>
      <vt:variant>
        <vt:lpwstr>OLE_LINK39</vt:lpwstr>
      </vt:variant>
      <vt:variant>
        <vt:i4>589883</vt:i4>
      </vt:variant>
      <vt:variant>
        <vt:i4>150</vt:i4>
      </vt:variant>
      <vt:variant>
        <vt:i4>0</vt:i4>
      </vt:variant>
      <vt:variant>
        <vt:i4>5</vt:i4>
      </vt:variant>
      <vt:variant>
        <vt:lpwstr/>
      </vt:variant>
      <vt:variant>
        <vt:lpwstr>OLE_LINK38</vt:lpwstr>
      </vt:variant>
      <vt:variant>
        <vt:i4>393275</vt:i4>
      </vt:variant>
      <vt:variant>
        <vt:i4>147</vt:i4>
      </vt:variant>
      <vt:variant>
        <vt:i4>0</vt:i4>
      </vt:variant>
      <vt:variant>
        <vt:i4>5</vt:i4>
      </vt:variant>
      <vt:variant>
        <vt:lpwstr/>
      </vt:variant>
      <vt:variant>
        <vt:lpwstr>OLE_LINK37</vt:lpwstr>
      </vt:variant>
      <vt:variant>
        <vt:i4>458811</vt:i4>
      </vt:variant>
      <vt:variant>
        <vt:i4>144</vt:i4>
      </vt:variant>
      <vt:variant>
        <vt:i4>0</vt:i4>
      </vt:variant>
      <vt:variant>
        <vt:i4>5</vt:i4>
      </vt:variant>
      <vt:variant>
        <vt:lpwstr/>
      </vt:variant>
      <vt:variant>
        <vt:lpwstr>OLE_LINK36</vt:lpwstr>
      </vt:variant>
      <vt:variant>
        <vt:i4>262203</vt:i4>
      </vt:variant>
      <vt:variant>
        <vt:i4>141</vt:i4>
      </vt:variant>
      <vt:variant>
        <vt:i4>0</vt:i4>
      </vt:variant>
      <vt:variant>
        <vt:i4>5</vt:i4>
      </vt:variant>
      <vt:variant>
        <vt:lpwstr/>
      </vt:variant>
      <vt:variant>
        <vt:lpwstr>OLE_LINK35</vt:lpwstr>
      </vt:variant>
      <vt:variant>
        <vt:i4>327739</vt:i4>
      </vt:variant>
      <vt:variant>
        <vt:i4>138</vt:i4>
      </vt:variant>
      <vt:variant>
        <vt:i4>0</vt:i4>
      </vt:variant>
      <vt:variant>
        <vt:i4>5</vt:i4>
      </vt:variant>
      <vt:variant>
        <vt:lpwstr/>
      </vt:variant>
      <vt:variant>
        <vt:lpwstr>OLE_LINK34</vt:lpwstr>
      </vt:variant>
      <vt:variant>
        <vt:i4>327739</vt:i4>
      </vt:variant>
      <vt:variant>
        <vt:i4>135</vt:i4>
      </vt:variant>
      <vt:variant>
        <vt:i4>0</vt:i4>
      </vt:variant>
      <vt:variant>
        <vt:i4>5</vt:i4>
      </vt:variant>
      <vt:variant>
        <vt:lpwstr/>
      </vt:variant>
      <vt:variant>
        <vt:lpwstr>OLE_LINK34</vt:lpwstr>
      </vt:variant>
      <vt:variant>
        <vt:i4>131131</vt:i4>
      </vt:variant>
      <vt:variant>
        <vt:i4>132</vt:i4>
      </vt:variant>
      <vt:variant>
        <vt:i4>0</vt:i4>
      </vt:variant>
      <vt:variant>
        <vt:i4>5</vt:i4>
      </vt:variant>
      <vt:variant>
        <vt:lpwstr/>
      </vt:variant>
      <vt:variant>
        <vt:lpwstr>OLE_LINK33</vt:lpwstr>
      </vt:variant>
      <vt:variant>
        <vt:i4>196667</vt:i4>
      </vt:variant>
      <vt:variant>
        <vt:i4>129</vt:i4>
      </vt:variant>
      <vt:variant>
        <vt:i4>0</vt:i4>
      </vt:variant>
      <vt:variant>
        <vt:i4>5</vt:i4>
      </vt:variant>
      <vt:variant>
        <vt:lpwstr/>
      </vt:variant>
      <vt:variant>
        <vt:lpwstr>OLE_LINK32</vt:lpwstr>
      </vt:variant>
      <vt:variant>
        <vt:i4>59</vt:i4>
      </vt:variant>
      <vt:variant>
        <vt:i4>126</vt:i4>
      </vt:variant>
      <vt:variant>
        <vt:i4>0</vt:i4>
      </vt:variant>
      <vt:variant>
        <vt:i4>5</vt:i4>
      </vt:variant>
      <vt:variant>
        <vt:lpwstr/>
      </vt:variant>
      <vt:variant>
        <vt:lpwstr>OLE_LINK31</vt:lpwstr>
      </vt:variant>
      <vt:variant>
        <vt:i4>65595</vt:i4>
      </vt:variant>
      <vt:variant>
        <vt:i4>123</vt:i4>
      </vt:variant>
      <vt:variant>
        <vt:i4>0</vt:i4>
      </vt:variant>
      <vt:variant>
        <vt:i4>5</vt:i4>
      </vt:variant>
      <vt:variant>
        <vt:lpwstr/>
      </vt:variant>
      <vt:variant>
        <vt:lpwstr>OLE_LINK30</vt:lpwstr>
      </vt:variant>
      <vt:variant>
        <vt:i4>524346</vt:i4>
      </vt:variant>
      <vt:variant>
        <vt:i4>120</vt:i4>
      </vt:variant>
      <vt:variant>
        <vt:i4>0</vt:i4>
      </vt:variant>
      <vt:variant>
        <vt:i4>5</vt:i4>
      </vt:variant>
      <vt:variant>
        <vt:lpwstr/>
      </vt:variant>
      <vt:variant>
        <vt:lpwstr>OLE_LINK29</vt:lpwstr>
      </vt:variant>
      <vt:variant>
        <vt:i4>589882</vt:i4>
      </vt:variant>
      <vt:variant>
        <vt:i4>117</vt:i4>
      </vt:variant>
      <vt:variant>
        <vt:i4>0</vt:i4>
      </vt:variant>
      <vt:variant>
        <vt:i4>5</vt:i4>
      </vt:variant>
      <vt:variant>
        <vt:lpwstr/>
      </vt:variant>
      <vt:variant>
        <vt:lpwstr>OLE_LINK28</vt:lpwstr>
      </vt:variant>
      <vt:variant>
        <vt:i4>393274</vt:i4>
      </vt:variant>
      <vt:variant>
        <vt:i4>114</vt:i4>
      </vt:variant>
      <vt:variant>
        <vt:i4>0</vt:i4>
      </vt:variant>
      <vt:variant>
        <vt:i4>5</vt:i4>
      </vt:variant>
      <vt:variant>
        <vt:lpwstr/>
      </vt:variant>
      <vt:variant>
        <vt:lpwstr>OLE_LINK27</vt:lpwstr>
      </vt:variant>
      <vt:variant>
        <vt:i4>458810</vt:i4>
      </vt:variant>
      <vt:variant>
        <vt:i4>111</vt:i4>
      </vt:variant>
      <vt:variant>
        <vt:i4>0</vt:i4>
      </vt:variant>
      <vt:variant>
        <vt:i4>5</vt:i4>
      </vt:variant>
      <vt:variant>
        <vt:lpwstr/>
      </vt:variant>
      <vt:variant>
        <vt:lpwstr>OLE_LINK26</vt:lpwstr>
      </vt:variant>
      <vt:variant>
        <vt:i4>262202</vt:i4>
      </vt:variant>
      <vt:variant>
        <vt:i4>108</vt:i4>
      </vt:variant>
      <vt:variant>
        <vt:i4>0</vt:i4>
      </vt:variant>
      <vt:variant>
        <vt:i4>5</vt:i4>
      </vt:variant>
      <vt:variant>
        <vt:lpwstr/>
      </vt:variant>
      <vt:variant>
        <vt:lpwstr>OLE_LINK25</vt:lpwstr>
      </vt:variant>
      <vt:variant>
        <vt:i4>327738</vt:i4>
      </vt:variant>
      <vt:variant>
        <vt:i4>105</vt:i4>
      </vt:variant>
      <vt:variant>
        <vt:i4>0</vt:i4>
      </vt:variant>
      <vt:variant>
        <vt:i4>5</vt:i4>
      </vt:variant>
      <vt:variant>
        <vt:lpwstr/>
      </vt:variant>
      <vt:variant>
        <vt:lpwstr>OLE_LINK24</vt:lpwstr>
      </vt:variant>
      <vt:variant>
        <vt:i4>131130</vt:i4>
      </vt:variant>
      <vt:variant>
        <vt:i4>102</vt:i4>
      </vt:variant>
      <vt:variant>
        <vt:i4>0</vt:i4>
      </vt:variant>
      <vt:variant>
        <vt:i4>5</vt:i4>
      </vt:variant>
      <vt:variant>
        <vt:lpwstr/>
      </vt:variant>
      <vt:variant>
        <vt:lpwstr>OLE_LINK23</vt:lpwstr>
      </vt:variant>
      <vt:variant>
        <vt:i4>196666</vt:i4>
      </vt:variant>
      <vt:variant>
        <vt:i4>99</vt:i4>
      </vt:variant>
      <vt:variant>
        <vt:i4>0</vt:i4>
      </vt:variant>
      <vt:variant>
        <vt:i4>5</vt:i4>
      </vt:variant>
      <vt:variant>
        <vt:lpwstr/>
      </vt:variant>
      <vt:variant>
        <vt:lpwstr>OLE_LINK22</vt:lpwstr>
      </vt:variant>
      <vt:variant>
        <vt:i4>58</vt:i4>
      </vt:variant>
      <vt:variant>
        <vt:i4>96</vt:i4>
      </vt:variant>
      <vt:variant>
        <vt:i4>0</vt:i4>
      </vt:variant>
      <vt:variant>
        <vt:i4>5</vt:i4>
      </vt:variant>
      <vt:variant>
        <vt:lpwstr/>
      </vt:variant>
      <vt:variant>
        <vt:lpwstr>OLE_LINK21</vt:lpwstr>
      </vt:variant>
      <vt:variant>
        <vt:i4>65594</vt:i4>
      </vt:variant>
      <vt:variant>
        <vt:i4>93</vt:i4>
      </vt:variant>
      <vt:variant>
        <vt:i4>0</vt:i4>
      </vt:variant>
      <vt:variant>
        <vt:i4>5</vt:i4>
      </vt:variant>
      <vt:variant>
        <vt:lpwstr/>
      </vt:variant>
      <vt:variant>
        <vt:lpwstr>OLE_LINK20</vt:lpwstr>
      </vt:variant>
      <vt:variant>
        <vt:i4>524345</vt:i4>
      </vt:variant>
      <vt:variant>
        <vt:i4>90</vt:i4>
      </vt:variant>
      <vt:variant>
        <vt:i4>0</vt:i4>
      </vt:variant>
      <vt:variant>
        <vt:i4>5</vt:i4>
      </vt:variant>
      <vt:variant>
        <vt:lpwstr/>
      </vt:variant>
      <vt:variant>
        <vt:lpwstr>OLE_LINK19</vt:lpwstr>
      </vt:variant>
      <vt:variant>
        <vt:i4>524345</vt:i4>
      </vt:variant>
      <vt:variant>
        <vt:i4>87</vt:i4>
      </vt:variant>
      <vt:variant>
        <vt:i4>0</vt:i4>
      </vt:variant>
      <vt:variant>
        <vt:i4>5</vt:i4>
      </vt:variant>
      <vt:variant>
        <vt:lpwstr/>
      </vt:variant>
      <vt:variant>
        <vt:lpwstr>OLE_LINK19</vt:lpwstr>
      </vt:variant>
      <vt:variant>
        <vt:i4>589881</vt:i4>
      </vt:variant>
      <vt:variant>
        <vt:i4>84</vt:i4>
      </vt:variant>
      <vt:variant>
        <vt:i4>0</vt:i4>
      </vt:variant>
      <vt:variant>
        <vt:i4>5</vt:i4>
      </vt:variant>
      <vt:variant>
        <vt:lpwstr/>
      </vt:variant>
      <vt:variant>
        <vt:lpwstr>OLE_LINK18</vt:lpwstr>
      </vt:variant>
      <vt:variant>
        <vt:i4>393273</vt:i4>
      </vt:variant>
      <vt:variant>
        <vt:i4>81</vt:i4>
      </vt:variant>
      <vt:variant>
        <vt:i4>0</vt:i4>
      </vt:variant>
      <vt:variant>
        <vt:i4>5</vt:i4>
      </vt:variant>
      <vt:variant>
        <vt:lpwstr/>
      </vt:variant>
      <vt:variant>
        <vt:lpwstr>OLE_LINK17</vt:lpwstr>
      </vt:variant>
      <vt:variant>
        <vt:i4>458809</vt:i4>
      </vt:variant>
      <vt:variant>
        <vt:i4>78</vt:i4>
      </vt:variant>
      <vt:variant>
        <vt:i4>0</vt:i4>
      </vt:variant>
      <vt:variant>
        <vt:i4>5</vt:i4>
      </vt:variant>
      <vt:variant>
        <vt:lpwstr/>
      </vt:variant>
      <vt:variant>
        <vt:lpwstr>OLE_LINK16</vt:lpwstr>
      </vt:variant>
      <vt:variant>
        <vt:i4>262201</vt:i4>
      </vt:variant>
      <vt:variant>
        <vt:i4>75</vt:i4>
      </vt:variant>
      <vt:variant>
        <vt:i4>0</vt:i4>
      </vt:variant>
      <vt:variant>
        <vt:i4>5</vt:i4>
      </vt:variant>
      <vt:variant>
        <vt:lpwstr/>
      </vt:variant>
      <vt:variant>
        <vt:lpwstr>OLE_LINK15</vt:lpwstr>
      </vt:variant>
      <vt:variant>
        <vt:i4>327737</vt:i4>
      </vt:variant>
      <vt:variant>
        <vt:i4>72</vt:i4>
      </vt:variant>
      <vt:variant>
        <vt:i4>0</vt:i4>
      </vt:variant>
      <vt:variant>
        <vt:i4>5</vt:i4>
      </vt:variant>
      <vt:variant>
        <vt:lpwstr/>
      </vt:variant>
      <vt:variant>
        <vt:lpwstr>OLE_LINK14</vt:lpwstr>
      </vt:variant>
      <vt:variant>
        <vt:i4>327737</vt:i4>
      </vt:variant>
      <vt:variant>
        <vt:i4>69</vt:i4>
      </vt:variant>
      <vt:variant>
        <vt:i4>0</vt:i4>
      </vt:variant>
      <vt:variant>
        <vt:i4>5</vt:i4>
      </vt:variant>
      <vt:variant>
        <vt:lpwstr/>
      </vt:variant>
      <vt:variant>
        <vt:lpwstr>OLE_LINK14</vt:lpwstr>
      </vt:variant>
      <vt:variant>
        <vt:i4>131129</vt:i4>
      </vt:variant>
      <vt:variant>
        <vt:i4>66</vt:i4>
      </vt:variant>
      <vt:variant>
        <vt:i4>0</vt:i4>
      </vt:variant>
      <vt:variant>
        <vt:i4>5</vt:i4>
      </vt:variant>
      <vt:variant>
        <vt:lpwstr/>
      </vt:variant>
      <vt:variant>
        <vt:lpwstr>OLE_LINK13</vt:lpwstr>
      </vt:variant>
      <vt:variant>
        <vt:i4>196665</vt:i4>
      </vt:variant>
      <vt:variant>
        <vt:i4>63</vt:i4>
      </vt:variant>
      <vt:variant>
        <vt:i4>0</vt:i4>
      </vt:variant>
      <vt:variant>
        <vt:i4>5</vt:i4>
      </vt:variant>
      <vt:variant>
        <vt:lpwstr/>
      </vt:variant>
      <vt:variant>
        <vt:lpwstr>OLE_LINK12</vt:lpwstr>
      </vt:variant>
      <vt:variant>
        <vt:i4>57</vt:i4>
      </vt:variant>
      <vt:variant>
        <vt:i4>60</vt:i4>
      </vt:variant>
      <vt:variant>
        <vt:i4>0</vt:i4>
      </vt:variant>
      <vt:variant>
        <vt:i4>5</vt:i4>
      </vt:variant>
      <vt:variant>
        <vt:lpwstr/>
      </vt:variant>
      <vt:variant>
        <vt:lpwstr>OLE_LINK11</vt:lpwstr>
      </vt:variant>
      <vt:variant>
        <vt:i4>65593</vt:i4>
      </vt:variant>
      <vt:variant>
        <vt:i4>57</vt:i4>
      </vt:variant>
      <vt:variant>
        <vt:i4>0</vt:i4>
      </vt:variant>
      <vt:variant>
        <vt:i4>5</vt:i4>
      </vt:variant>
      <vt:variant>
        <vt:lpwstr/>
      </vt:variant>
      <vt:variant>
        <vt:lpwstr>OLE_LINK10</vt:lpwstr>
      </vt:variant>
      <vt:variant>
        <vt:i4>3211272</vt:i4>
      </vt:variant>
      <vt:variant>
        <vt:i4>54</vt:i4>
      </vt:variant>
      <vt:variant>
        <vt:i4>0</vt:i4>
      </vt:variant>
      <vt:variant>
        <vt:i4>5</vt:i4>
      </vt:variant>
      <vt:variant>
        <vt:lpwstr/>
      </vt:variant>
      <vt:variant>
        <vt:lpwstr>OLE_LINK9</vt:lpwstr>
      </vt:variant>
      <vt:variant>
        <vt:i4>3211272</vt:i4>
      </vt:variant>
      <vt:variant>
        <vt:i4>51</vt:i4>
      </vt:variant>
      <vt:variant>
        <vt:i4>0</vt:i4>
      </vt:variant>
      <vt:variant>
        <vt:i4>5</vt:i4>
      </vt:variant>
      <vt:variant>
        <vt:lpwstr/>
      </vt:variant>
      <vt:variant>
        <vt:lpwstr>OLE_LINK8</vt:lpwstr>
      </vt:variant>
      <vt:variant>
        <vt:i4>3211272</vt:i4>
      </vt:variant>
      <vt:variant>
        <vt:i4>48</vt:i4>
      </vt:variant>
      <vt:variant>
        <vt:i4>0</vt:i4>
      </vt:variant>
      <vt:variant>
        <vt:i4>5</vt:i4>
      </vt:variant>
      <vt:variant>
        <vt:lpwstr/>
      </vt:variant>
      <vt:variant>
        <vt:lpwstr>OLE_LINK8</vt:lpwstr>
      </vt:variant>
      <vt:variant>
        <vt:i4>3211272</vt:i4>
      </vt:variant>
      <vt:variant>
        <vt:i4>45</vt:i4>
      </vt:variant>
      <vt:variant>
        <vt:i4>0</vt:i4>
      </vt:variant>
      <vt:variant>
        <vt:i4>5</vt:i4>
      </vt:variant>
      <vt:variant>
        <vt:lpwstr/>
      </vt:variant>
      <vt:variant>
        <vt:lpwstr>OLE_LINK7</vt:lpwstr>
      </vt:variant>
      <vt:variant>
        <vt:i4>3211272</vt:i4>
      </vt:variant>
      <vt:variant>
        <vt:i4>42</vt:i4>
      </vt:variant>
      <vt:variant>
        <vt:i4>0</vt:i4>
      </vt:variant>
      <vt:variant>
        <vt:i4>5</vt:i4>
      </vt:variant>
      <vt:variant>
        <vt:lpwstr/>
      </vt:variant>
      <vt:variant>
        <vt:lpwstr>OLE_LINK6</vt:lpwstr>
      </vt:variant>
      <vt:variant>
        <vt:i4>3211272</vt:i4>
      </vt:variant>
      <vt:variant>
        <vt:i4>39</vt:i4>
      </vt:variant>
      <vt:variant>
        <vt:i4>0</vt:i4>
      </vt:variant>
      <vt:variant>
        <vt:i4>5</vt:i4>
      </vt:variant>
      <vt:variant>
        <vt:lpwstr/>
      </vt:variant>
      <vt:variant>
        <vt:lpwstr>OLE_LINK5</vt:lpwstr>
      </vt:variant>
      <vt:variant>
        <vt:i4>3211272</vt:i4>
      </vt:variant>
      <vt:variant>
        <vt:i4>36</vt:i4>
      </vt:variant>
      <vt:variant>
        <vt:i4>0</vt:i4>
      </vt:variant>
      <vt:variant>
        <vt:i4>5</vt:i4>
      </vt:variant>
      <vt:variant>
        <vt:lpwstr/>
      </vt:variant>
      <vt:variant>
        <vt:lpwstr>OLE_LINK5</vt:lpwstr>
      </vt:variant>
      <vt:variant>
        <vt:i4>3211272</vt:i4>
      </vt:variant>
      <vt:variant>
        <vt:i4>33</vt:i4>
      </vt:variant>
      <vt:variant>
        <vt:i4>0</vt:i4>
      </vt:variant>
      <vt:variant>
        <vt:i4>5</vt:i4>
      </vt:variant>
      <vt:variant>
        <vt:lpwstr/>
      </vt:variant>
      <vt:variant>
        <vt:lpwstr>OLE_LINK4</vt:lpwstr>
      </vt:variant>
      <vt:variant>
        <vt:i4>3211272</vt:i4>
      </vt:variant>
      <vt:variant>
        <vt:i4>30</vt:i4>
      </vt:variant>
      <vt:variant>
        <vt:i4>0</vt:i4>
      </vt:variant>
      <vt:variant>
        <vt:i4>5</vt:i4>
      </vt:variant>
      <vt:variant>
        <vt:lpwstr/>
      </vt:variant>
      <vt:variant>
        <vt:lpwstr>OLE_LINK4</vt:lpwstr>
      </vt:variant>
      <vt:variant>
        <vt:i4>3211272</vt:i4>
      </vt:variant>
      <vt:variant>
        <vt:i4>27</vt:i4>
      </vt:variant>
      <vt:variant>
        <vt:i4>0</vt:i4>
      </vt:variant>
      <vt:variant>
        <vt:i4>5</vt:i4>
      </vt:variant>
      <vt:variant>
        <vt:lpwstr/>
      </vt:variant>
      <vt:variant>
        <vt:lpwstr>OLE_LINK3</vt:lpwstr>
      </vt:variant>
      <vt:variant>
        <vt:i4>3211272</vt:i4>
      </vt:variant>
      <vt:variant>
        <vt:i4>24</vt:i4>
      </vt:variant>
      <vt:variant>
        <vt:i4>0</vt:i4>
      </vt:variant>
      <vt:variant>
        <vt:i4>5</vt:i4>
      </vt:variant>
      <vt:variant>
        <vt:lpwstr/>
      </vt:variant>
      <vt:variant>
        <vt:lpwstr>OLE_LINK3</vt:lpwstr>
      </vt:variant>
      <vt:variant>
        <vt:i4>3211272</vt:i4>
      </vt:variant>
      <vt:variant>
        <vt:i4>21</vt:i4>
      </vt:variant>
      <vt:variant>
        <vt:i4>0</vt:i4>
      </vt:variant>
      <vt:variant>
        <vt:i4>5</vt:i4>
      </vt:variant>
      <vt:variant>
        <vt:lpwstr/>
      </vt:variant>
      <vt:variant>
        <vt:lpwstr>OLE_LINK2</vt:lpwstr>
      </vt:variant>
      <vt:variant>
        <vt:i4>3211272</vt:i4>
      </vt:variant>
      <vt:variant>
        <vt:i4>18</vt:i4>
      </vt:variant>
      <vt:variant>
        <vt:i4>0</vt:i4>
      </vt:variant>
      <vt:variant>
        <vt:i4>5</vt:i4>
      </vt:variant>
      <vt:variant>
        <vt:lpwstr/>
      </vt:variant>
      <vt:variant>
        <vt:lpwstr>OLE_LINK2</vt:lpwstr>
      </vt:variant>
      <vt:variant>
        <vt:i4>3211272</vt:i4>
      </vt:variant>
      <vt:variant>
        <vt:i4>15</vt:i4>
      </vt:variant>
      <vt:variant>
        <vt:i4>0</vt:i4>
      </vt:variant>
      <vt:variant>
        <vt:i4>5</vt:i4>
      </vt:variant>
      <vt:variant>
        <vt:lpwstr/>
      </vt:variant>
      <vt:variant>
        <vt:lpwstr>OLE_LINK1</vt:lpwstr>
      </vt:variant>
      <vt:variant>
        <vt:i4>3211272</vt:i4>
      </vt:variant>
      <vt:variant>
        <vt:i4>12</vt:i4>
      </vt:variant>
      <vt:variant>
        <vt:i4>0</vt:i4>
      </vt:variant>
      <vt:variant>
        <vt:i4>5</vt:i4>
      </vt:variant>
      <vt:variant>
        <vt:lpwstr/>
      </vt:variant>
      <vt:variant>
        <vt:lpwstr>OLE_LINK1</vt:lpwstr>
      </vt:variant>
      <vt:variant>
        <vt:i4>131145</vt:i4>
      </vt:variant>
      <vt:variant>
        <vt:i4>9</vt:i4>
      </vt:variant>
      <vt:variant>
        <vt:i4>0</vt:i4>
      </vt:variant>
      <vt:variant>
        <vt:i4>5</vt:i4>
      </vt:variant>
      <vt:variant>
        <vt:lpwstr>http://www.official-documents.gov.uk/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852008</vt:i4>
      </vt:variant>
      <vt:variant>
        <vt:i4>0</vt:i4>
      </vt:variant>
      <vt:variant>
        <vt:i4>0</vt:i4>
      </vt:variant>
      <vt:variant>
        <vt:i4>5</vt:i4>
      </vt:variant>
      <vt:variant>
        <vt:lpwstr>mailto:the.secretary@nio.x.gsi.gov.uk</vt:lpwstr>
      </vt:variant>
      <vt:variant>
        <vt:lpwstr/>
      </vt:variant>
      <vt:variant>
        <vt:i4>7733337</vt:i4>
      </vt:variant>
      <vt:variant>
        <vt:i4>0</vt:i4>
      </vt:variant>
      <vt:variant>
        <vt:i4>0</vt:i4>
      </vt:variant>
      <vt:variant>
        <vt:i4>5</vt:i4>
      </vt:variant>
      <vt:variant>
        <vt:lpwstr>http://www.army.mod.uk/documents/general/v_s_of_the_british_army.pdf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Background</dc:title>
  <dc:creator>patemank</dc:creator>
  <cp:lastModifiedBy>Harry Harper</cp:lastModifiedBy>
  <cp:revision>2</cp:revision>
  <cp:lastPrinted>2012-12-14T09:43:00Z</cp:lastPrinted>
  <dcterms:created xsi:type="dcterms:W3CDTF">2016-11-16T12:26:00Z</dcterms:created>
  <dcterms:modified xsi:type="dcterms:W3CDTF">2016-11-16T12:26:00Z</dcterms:modified>
</cp:coreProperties>
</file>