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B1A" w:rsidRPr="00796B31" w:rsidRDefault="00810B1A">
      <w:pPr>
        <w:tabs>
          <w:tab w:val="center" w:pos="4820"/>
          <w:tab w:val="right" w:pos="9638"/>
        </w:tabs>
        <w:spacing w:after="240"/>
        <w:jc w:val="center"/>
        <w:rPr>
          <w:b/>
        </w:rPr>
      </w:pPr>
      <w:bookmarkStart w:id="0" w:name="TimeReverse"/>
    </w:p>
    <w:p w:rsidR="00810B1A" w:rsidRPr="00796B31" w:rsidRDefault="00810B1A">
      <w:pPr>
        <w:tabs>
          <w:tab w:val="center" w:pos="4820"/>
          <w:tab w:val="right" w:pos="9638"/>
        </w:tabs>
        <w:spacing w:after="240"/>
        <w:jc w:val="center"/>
        <w:rPr>
          <w:b/>
        </w:rPr>
      </w:pPr>
    </w:p>
    <w:p w:rsidR="00810B1A" w:rsidRPr="00796B31" w:rsidRDefault="00810B1A">
      <w:pPr>
        <w:tabs>
          <w:tab w:val="center" w:pos="4820"/>
          <w:tab w:val="right" w:pos="9638"/>
        </w:tabs>
        <w:spacing w:after="240"/>
        <w:jc w:val="center"/>
        <w:rPr>
          <w:b/>
        </w:rPr>
      </w:pPr>
    </w:p>
    <w:p w:rsidR="00810B1A" w:rsidRPr="000D7CA6" w:rsidRDefault="00810B1A" w:rsidP="00796B31">
      <w:pPr>
        <w:pStyle w:val="Body"/>
      </w:pPr>
    </w:p>
    <w:p w:rsidR="00810B1A" w:rsidRPr="00796B31" w:rsidRDefault="00746499" w:rsidP="00810B1A">
      <w:pPr>
        <w:pStyle w:val="Title"/>
        <w:rPr>
          <w:rFonts w:ascii="Arial" w:hAnsi="Arial"/>
          <w:sz w:val="22"/>
          <w:lang w:val="en-GB"/>
        </w:rPr>
      </w:pPr>
      <w:r w:rsidRPr="00796B31">
        <w:rPr>
          <w:rFonts w:ascii="Arial" w:hAnsi="Arial"/>
          <w:sz w:val="22"/>
          <w:lang w:val="en-GB"/>
        </w:rPr>
        <w:t>SCHEDULE 5</w:t>
      </w:r>
      <w:r w:rsidR="00A41321" w:rsidRPr="00796B31">
        <w:rPr>
          <w:rFonts w:ascii="Arial" w:hAnsi="Arial"/>
          <w:sz w:val="22"/>
          <w:lang w:val="en-GB"/>
        </w:rPr>
        <w:t>.1</w:t>
      </w:r>
    </w:p>
    <w:p w:rsidR="001F3E6E" w:rsidRPr="00796B31" w:rsidRDefault="00746499" w:rsidP="00746499">
      <w:pPr>
        <w:pStyle w:val="Title"/>
        <w:rPr>
          <w:rFonts w:ascii="Arial" w:hAnsi="Arial"/>
          <w:sz w:val="22"/>
          <w:lang w:val="en-GB"/>
        </w:rPr>
      </w:pPr>
      <w:r w:rsidRPr="00796B31">
        <w:rPr>
          <w:rFonts w:ascii="Arial" w:hAnsi="Arial"/>
          <w:sz w:val="22"/>
          <w:lang w:val="en-GB"/>
        </w:rPr>
        <w:t xml:space="preserve">MILESTONE PAYMENTS AND </w:t>
      </w:r>
      <w:r w:rsidR="000A5491" w:rsidRPr="00796B31">
        <w:rPr>
          <w:rFonts w:ascii="Arial" w:hAnsi="Arial"/>
          <w:sz w:val="22"/>
          <w:lang w:val="en-GB"/>
        </w:rPr>
        <w:t>CLAIMS PROCEDURE</w:t>
      </w:r>
    </w:p>
    <w:p w:rsidR="00BC4680" w:rsidRPr="00B0387A" w:rsidRDefault="00BC4680" w:rsidP="00796B31">
      <w:pPr>
        <w:pStyle w:val="Body"/>
        <w:rPr>
          <w:lang w:val="en-GB"/>
        </w:rPr>
      </w:pPr>
    </w:p>
    <w:p w:rsidR="00994BD7" w:rsidRPr="00B0387A" w:rsidRDefault="00994BD7" w:rsidP="00796B31">
      <w:pPr>
        <w:pStyle w:val="Body"/>
        <w:rPr>
          <w:lang w:val="en-GB"/>
        </w:rPr>
      </w:pPr>
    </w:p>
    <w:p w:rsidR="008725F0" w:rsidRPr="00796B31" w:rsidRDefault="0090686B" w:rsidP="00796B31">
      <w:pPr>
        <w:pStyle w:val="Body"/>
        <w:jc w:val="center"/>
        <w:rPr>
          <w:b/>
          <w:lang w:val="en-GB"/>
        </w:rPr>
      </w:pPr>
      <w:r w:rsidRPr="00127152">
        <w:br w:type="page"/>
      </w:r>
      <w:r w:rsidRPr="00796B31" w:rsidDel="00CC6FE7">
        <w:rPr>
          <w:b/>
        </w:rPr>
        <w:lastRenderedPageBreak/>
        <w:t xml:space="preserve"> </w:t>
      </w:r>
      <w:r w:rsidRPr="00796B31">
        <w:rPr>
          <w:b/>
        </w:rPr>
        <w:t>CONTENTS</w:t>
      </w:r>
    </w:p>
    <w:p w:rsidR="008B179C" w:rsidRDefault="00025FC3">
      <w:pPr>
        <w:pStyle w:val="TOC1"/>
        <w:rPr>
          <w:rFonts w:asciiTheme="minorHAnsi" w:eastAsiaTheme="minorEastAsia" w:hAnsiTheme="minorHAnsi" w:cstheme="minorBidi"/>
          <w:noProof/>
          <w:sz w:val="22"/>
          <w:szCs w:val="22"/>
          <w:lang w:val="en-GB" w:eastAsia="en-GB"/>
        </w:rPr>
      </w:pPr>
      <w:r>
        <w:rPr>
          <w:b/>
        </w:rPr>
        <w:fldChar w:fldCharType="begin"/>
      </w:r>
      <w:r>
        <w:rPr>
          <w:b/>
        </w:rPr>
        <w:instrText xml:space="preserve">  TOC \f \h \z  </w:instrText>
      </w:r>
      <w:r>
        <w:rPr>
          <w:b/>
        </w:rPr>
        <w:fldChar w:fldCharType="separate"/>
      </w:r>
      <w:hyperlink w:anchor="_Toc463354103" w:history="1">
        <w:r w:rsidR="008B179C" w:rsidRPr="009A0007">
          <w:rPr>
            <w:rStyle w:val="Hyperlink"/>
            <w:noProof/>
          </w:rPr>
          <w:t>1</w:t>
        </w:r>
        <w:r w:rsidR="008B179C">
          <w:rPr>
            <w:rFonts w:asciiTheme="minorHAnsi" w:eastAsiaTheme="minorEastAsia" w:hAnsiTheme="minorHAnsi" w:cstheme="minorBidi"/>
            <w:noProof/>
            <w:sz w:val="22"/>
            <w:szCs w:val="22"/>
            <w:lang w:val="en-GB" w:eastAsia="en-GB"/>
          </w:rPr>
          <w:tab/>
        </w:r>
        <w:r w:rsidR="008B179C" w:rsidRPr="009A0007">
          <w:rPr>
            <w:rStyle w:val="Hyperlink"/>
            <w:noProof/>
          </w:rPr>
          <w:t>BACKGROUND</w:t>
        </w:r>
        <w:r w:rsidR="008B179C">
          <w:rPr>
            <w:noProof/>
            <w:webHidden/>
          </w:rPr>
          <w:tab/>
        </w:r>
        <w:r w:rsidR="008B179C">
          <w:rPr>
            <w:noProof/>
            <w:webHidden/>
          </w:rPr>
          <w:fldChar w:fldCharType="begin"/>
        </w:r>
        <w:r w:rsidR="008B179C">
          <w:rPr>
            <w:noProof/>
            <w:webHidden/>
          </w:rPr>
          <w:instrText xml:space="preserve"> PAGEREF _Toc463354103 \h </w:instrText>
        </w:r>
        <w:r w:rsidR="008B179C">
          <w:rPr>
            <w:noProof/>
            <w:webHidden/>
          </w:rPr>
        </w:r>
        <w:r w:rsidR="008B179C">
          <w:rPr>
            <w:noProof/>
            <w:webHidden/>
          </w:rPr>
          <w:fldChar w:fldCharType="separate"/>
        </w:r>
        <w:r w:rsidR="008B179C">
          <w:rPr>
            <w:noProof/>
            <w:webHidden/>
          </w:rPr>
          <w:t>4</w:t>
        </w:r>
        <w:r w:rsidR="008B179C">
          <w:rPr>
            <w:noProof/>
            <w:webHidden/>
          </w:rPr>
          <w:fldChar w:fldCharType="end"/>
        </w:r>
      </w:hyperlink>
    </w:p>
    <w:p w:rsidR="008B179C" w:rsidRDefault="00D709BC">
      <w:pPr>
        <w:pStyle w:val="TOC1"/>
        <w:rPr>
          <w:rFonts w:asciiTheme="minorHAnsi" w:eastAsiaTheme="minorEastAsia" w:hAnsiTheme="minorHAnsi" w:cstheme="minorBidi"/>
          <w:noProof/>
          <w:sz w:val="22"/>
          <w:szCs w:val="22"/>
          <w:lang w:val="en-GB" w:eastAsia="en-GB"/>
        </w:rPr>
      </w:pPr>
      <w:hyperlink w:anchor="_Toc463354104" w:history="1">
        <w:r w:rsidR="008B179C" w:rsidRPr="009A0007">
          <w:rPr>
            <w:rStyle w:val="Hyperlink"/>
            <w:noProof/>
          </w:rPr>
          <w:t>2</w:t>
        </w:r>
        <w:r w:rsidR="008B179C">
          <w:rPr>
            <w:rFonts w:asciiTheme="minorHAnsi" w:eastAsiaTheme="minorEastAsia" w:hAnsiTheme="minorHAnsi" w:cstheme="minorBidi"/>
            <w:noProof/>
            <w:sz w:val="22"/>
            <w:szCs w:val="22"/>
            <w:lang w:val="en-GB" w:eastAsia="en-GB"/>
          </w:rPr>
          <w:tab/>
        </w:r>
        <w:r w:rsidR="008B179C" w:rsidRPr="009A0007">
          <w:rPr>
            <w:rStyle w:val="Hyperlink"/>
            <w:noProof/>
          </w:rPr>
          <w:t>MILESTONE PAYMENTS</w:t>
        </w:r>
        <w:r w:rsidR="008B179C">
          <w:rPr>
            <w:noProof/>
            <w:webHidden/>
          </w:rPr>
          <w:tab/>
        </w:r>
        <w:r w:rsidR="008B179C">
          <w:rPr>
            <w:noProof/>
            <w:webHidden/>
          </w:rPr>
          <w:fldChar w:fldCharType="begin"/>
        </w:r>
        <w:r w:rsidR="008B179C">
          <w:rPr>
            <w:noProof/>
            <w:webHidden/>
          </w:rPr>
          <w:instrText xml:space="preserve"> PAGEREF _Toc463354104 \h </w:instrText>
        </w:r>
        <w:r w:rsidR="008B179C">
          <w:rPr>
            <w:noProof/>
            <w:webHidden/>
          </w:rPr>
        </w:r>
        <w:r w:rsidR="008B179C">
          <w:rPr>
            <w:noProof/>
            <w:webHidden/>
          </w:rPr>
          <w:fldChar w:fldCharType="separate"/>
        </w:r>
        <w:r w:rsidR="008B179C">
          <w:rPr>
            <w:noProof/>
            <w:webHidden/>
          </w:rPr>
          <w:t>4</w:t>
        </w:r>
        <w:r w:rsidR="008B179C">
          <w:rPr>
            <w:noProof/>
            <w:webHidden/>
          </w:rPr>
          <w:fldChar w:fldCharType="end"/>
        </w:r>
      </w:hyperlink>
    </w:p>
    <w:p w:rsidR="008B179C" w:rsidRDefault="00D709BC">
      <w:pPr>
        <w:pStyle w:val="TOC1"/>
        <w:rPr>
          <w:rFonts w:asciiTheme="minorHAnsi" w:eastAsiaTheme="minorEastAsia" w:hAnsiTheme="minorHAnsi" w:cstheme="minorBidi"/>
          <w:noProof/>
          <w:sz w:val="22"/>
          <w:szCs w:val="22"/>
          <w:lang w:val="en-GB" w:eastAsia="en-GB"/>
        </w:rPr>
      </w:pPr>
      <w:hyperlink w:anchor="_Toc463354105" w:history="1">
        <w:r w:rsidR="008B179C" w:rsidRPr="009A0007">
          <w:rPr>
            <w:rStyle w:val="Hyperlink"/>
            <w:noProof/>
          </w:rPr>
          <w:t>3</w:t>
        </w:r>
        <w:r w:rsidR="008B179C">
          <w:rPr>
            <w:rFonts w:asciiTheme="minorHAnsi" w:eastAsiaTheme="minorEastAsia" w:hAnsiTheme="minorHAnsi" w:cstheme="minorBidi"/>
            <w:noProof/>
            <w:sz w:val="22"/>
            <w:szCs w:val="22"/>
            <w:lang w:val="en-GB" w:eastAsia="en-GB"/>
          </w:rPr>
          <w:tab/>
        </w:r>
        <w:r w:rsidR="008B179C" w:rsidRPr="009A0007">
          <w:rPr>
            <w:rStyle w:val="Hyperlink"/>
            <w:noProof/>
          </w:rPr>
          <w:t>MILESTONE PAYMENT CLAIMS</w:t>
        </w:r>
        <w:r w:rsidR="008B179C">
          <w:rPr>
            <w:noProof/>
            <w:webHidden/>
          </w:rPr>
          <w:tab/>
        </w:r>
        <w:r w:rsidR="008B179C">
          <w:rPr>
            <w:noProof/>
            <w:webHidden/>
          </w:rPr>
          <w:fldChar w:fldCharType="begin"/>
        </w:r>
        <w:r w:rsidR="008B179C">
          <w:rPr>
            <w:noProof/>
            <w:webHidden/>
          </w:rPr>
          <w:instrText xml:space="preserve"> PAGEREF _Toc463354105 \h </w:instrText>
        </w:r>
        <w:r w:rsidR="008B179C">
          <w:rPr>
            <w:noProof/>
            <w:webHidden/>
          </w:rPr>
        </w:r>
        <w:r w:rsidR="008B179C">
          <w:rPr>
            <w:noProof/>
            <w:webHidden/>
          </w:rPr>
          <w:fldChar w:fldCharType="separate"/>
        </w:r>
        <w:r w:rsidR="008B179C">
          <w:rPr>
            <w:noProof/>
            <w:webHidden/>
          </w:rPr>
          <w:t>5</w:t>
        </w:r>
        <w:r w:rsidR="008B179C">
          <w:rPr>
            <w:noProof/>
            <w:webHidden/>
          </w:rPr>
          <w:fldChar w:fldCharType="end"/>
        </w:r>
      </w:hyperlink>
    </w:p>
    <w:p w:rsidR="008B179C" w:rsidRDefault="00D709BC">
      <w:pPr>
        <w:pStyle w:val="TOC1"/>
        <w:rPr>
          <w:rFonts w:asciiTheme="minorHAnsi" w:eastAsiaTheme="minorEastAsia" w:hAnsiTheme="minorHAnsi" w:cstheme="minorBidi"/>
          <w:noProof/>
          <w:sz w:val="22"/>
          <w:szCs w:val="22"/>
          <w:lang w:val="en-GB" w:eastAsia="en-GB"/>
        </w:rPr>
      </w:pPr>
      <w:hyperlink w:anchor="_Toc463354106" w:history="1">
        <w:r w:rsidR="008B179C" w:rsidRPr="009A0007">
          <w:rPr>
            <w:rStyle w:val="Hyperlink"/>
            <w:noProof/>
          </w:rPr>
          <w:t>4</w:t>
        </w:r>
        <w:r w:rsidR="008B179C">
          <w:rPr>
            <w:rFonts w:asciiTheme="minorHAnsi" w:eastAsiaTheme="minorEastAsia" w:hAnsiTheme="minorHAnsi" w:cstheme="minorBidi"/>
            <w:noProof/>
            <w:sz w:val="22"/>
            <w:szCs w:val="22"/>
            <w:lang w:val="en-GB" w:eastAsia="en-GB"/>
          </w:rPr>
          <w:tab/>
        </w:r>
        <w:r w:rsidR="008B179C" w:rsidRPr="009A0007">
          <w:rPr>
            <w:rStyle w:val="Hyperlink"/>
            <w:noProof/>
          </w:rPr>
          <w:t>MPC SUPPORTING DOCUMENTATION</w:t>
        </w:r>
        <w:r w:rsidR="008B179C">
          <w:rPr>
            <w:noProof/>
            <w:webHidden/>
          </w:rPr>
          <w:tab/>
        </w:r>
        <w:r w:rsidR="008B179C">
          <w:rPr>
            <w:noProof/>
            <w:webHidden/>
          </w:rPr>
          <w:fldChar w:fldCharType="begin"/>
        </w:r>
        <w:r w:rsidR="008B179C">
          <w:rPr>
            <w:noProof/>
            <w:webHidden/>
          </w:rPr>
          <w:instrText xml:space="preserve"> PAGEREF _Toc463354106 \h </w:instrText>
        </w:r>
        <w:r w:rsidR="008B179C">
          <w:rPr>
            <w:noProof/>
            <w:webHidden/>
          </w:rPr>
        </w:r>
        <w:r w:rsidR="008B179C">
          <w:rPr>
            <w:noProof/>
            <w:webHidden/>
          </w:rPr>
          <w:fldChar w:fldCharType="separate"/>
        </w:r>
        <w:r w:rsidR="008B179C">
          <w:rPr>
            <w:noProof/>
            <w:webHidden/>
          </w:rPr>
          <w:t>7</w:t>
        </w:r>
        <w:r w:rsidR="008B179C">
          <w:rPr>
            <w:noProof/>
            <w:webHidden/>
          </w:rPr>
          <w:fldChar w:fldCharType="end"/>
        </w:r>
      </w:hyperlink>
    </w:p>
    <w:p w:rsidR="008B179C" w:rsidRDefault="00D709BC">
      <w:pPr>
        <w:pStyle w:val="TOC1"/>
        <w:rPr>
          <w:rFonts w:asciiTheme="minorHAnsi" w:eastAsiaTheme="minorEastAsia" w:hAnsiTheme="minorHAnsi" w:cstheme="minorBidi"/>
          <w:noProof/>
          <w:sz w:val="22"/>
          <w:szCs w:val="22"/>
          <w:lang w:val="en-GB" w:eastAsia="en-GB"/>
        </w:rPr>
      </w:pPr>
      <w:hyperlink w:anchor="_Toc463354107" w:history="1">
        <w:r w:rsidR="008B179C" w:rsidRPr="009A0007">
          <w:rPr>
            <w:rStyle w:val="Hyperlink"/>
            <w:noProof/>
          </w:rPr>
          <w:t>5</w:t>
        </w:r>
        <w:r w:rsidR="008B179C">
          <w:rPr>
            <w:rFonts w:asciiTheme="minorHAnsi" w:eastAsiaTheme="minorEastAsia" w:hAnsiTheme="minorHAnsi" w:cstheme="minorBidi"/>
            <w:noProof/>
            <w:sz w:val="22"/>
            <w:szCs w:val="22"/>
            <w:lang w:val="en-GB" w:eastAsia="en-GB"/>
          </w:rPr>
          <w:tab/>
        </w:r>
        <w:r w:rsidR="008B179C" w:rsidRPr="009A0007">
          <w:rPr>
            <w:rStyle w:val="Hyperlink"/>
            <w:noProof/>
          </w:rPr>
          <w:t>PROJECT ACCOUNTS AND FINANCIAL RECORDS</w:t>
        </w:r>
        <w:r w:rsidR="008B179C">
          <w:rPr>
            <w:noProof/>
            <w:webHidden/>
          </w:rPr>
          <w:tab/>
        </w:r>
        <w:r w:rsidR="008B179C">
          <w:rPr>
            <w:noProof/>
            <w:webHidden/>
          </w:rPr>
          <w:fldChar w:fldCharType="begin"/>
        </w:r>
        <w:r w:rsidR="008B179C">
          <w:rPr>
            <w:noProof/>
            <w:webHidden/>
          </w:rPr>
          <w:instrText xml:space="preserve"> PAGEREF _Toc463354107 \h </w:instrText>
        </w:r>
        <w:r w:rsidR="008B179C">
          <w:rPr>
            <w:noProof/>
            <w:webHidden/>
          </w:rPr>
        </w:r>
        <w:r w:rsidR="008B179C">
          <w:rPr>
            <w:noProof/>
            <w:webHidden/>
          </w:rPr>
          <w:fldChar w:fldCharType="separate"/>
        </w:r>
        <w:r w:rsidR="008B179C">
          <w:rPr>
            <w:noProof/>
            <w:webHidden/>
          </w:rPr>
          <w:t>8</w:t>
        </w:r>
        <w:r w:rsidR="008B179C">
          <w:rPr>
            <w:noProof/>
            <w:webHidden/>
          </w:rPr>
          <w:fldChar w:fldCharType="end"/>
        </w:r>
      </w:hyperlink>
    </w:p>
    <w:p w:rsidR="008B179C" w:rsidRDefault="00D709BC">
      <w:pPr>
        <w:pStyle w:val="TOC1"/>
        <w:rPr>
          <w:rFonts w:asciiTheme="minorHAnsi" w:eastAsiaTheme="minorEastAsia" w:hAnsiTheme="minorHAnsi" w:cstheme="minorBidi"/>
          <w:noProof/>
          <w:sz w:val="22"/>
          <w:szCs w:val="22"/>
          <w:lang w:val="en-GB" w:eastAsia="en-GB"/>
        </w:rPr>
      </w:pPr>
      <w:hyperlink w:anchor="_Toc463354108" w:history="1">
        <w:r w:rsidR="008B179C" w:rsidRPr="009A0007">
          <w:rPr>
            <w:rStyle w:val="Hyperlink"/>
            <w:noProof/>
          </w:rPr>
          <w:t>6</w:t>
        </w:r>
        <w:r w:rsidR="008B179C">
          <w:rPr>
            <w:rFonts w:asciiTheme="minorHAnsi" w:eastAsiaTheme="minorEastAsia" w:hAnsiTheme="minorHAnsi" w:cstheme="minorBidi"/>
            <w:noProof/>
            <w:sz w:val="22"/>
            <w:szCs w:val="22"/>
            <w:lang w:val="en-GB" w:eastAsia="en-GB"/>
          </w:rPr>
          <w:tab/>
        </w:r>
        <w:r w:rsidR="008B179C" w:rsidRPr="009A0007">
          <w:rPr>
            <w:rStyle w:val="Hyperlink"/>
            <w:noProof/>
          </w:rPr>
          <w:t>SUPPLIER AUDIT AND FINANCIAL CONTROL</w:t>
        </w:r>
        <w:r w:rsidR="008B179C">
          <w:rPr>
            <w:noProof/>
            <w:webHidden/>
          </w:rPr>
          <w:tab/>
        </w:r>
        <w:r w:rsidR="008B179C">
          <w:rPr>
            <w:noProof/>
            <w:webHidden/>
          </w:rPr>
          <w:fldChar w:fldCharType="begin"/>
        </w:r>
        <w:r w:rsidR="008B179C">
          <w:rPr>
            <w:noProof/>
            <w:webHidden/>
          </w:rPr>
          <w:instrText xml:space="preserve"> PAGEREF _Toc463354108 \h </w:instrText>
        </w:r>
        <w:r w:rsidR="008B179C">
          <w:rPr>
            <w:noProof/>
            <w:webHidden/>
          </w:rPr>
        </w:r>
        <w:r w:rsidR="008B179C">
          <w:rPr>
            <w:noProof/>
            <w:webHidden/>
          </w:rPr>
          <w:fldChar w:fldCharType="separate"/>
        </w:r>
        <w:r w:rsidR="008B179C">
          <w:rPr>
            <w:noProof/>
            <w:webHidden/>
          </w:rPr>
          <w:t>9</w:t>
        </w:r>
        <w:r w:rsidR="008B179C">
          <w:rPr>
            <w:noProof/>
            <w:webHidden/>
          </w:rPr>
          <w:fldChar w:fldCharType="end"/>
        </w:r>
      </w:hyperlink>
    </w:p>
    <w:p w:rsidR="008B179C" w:rsidRDefault="00D709BC">
      <w:pPr>
        <w:pStyle w:val="TOC1"/>
        <w:rPr>
          <w:rFonts w:asciiTheme="minorHAnsi" w:eastAsiaTheme="minorEastAsia" w:hAnsiTheme="minorHAnsi" w:cstheme="minorBidi"/>
          <w:noProof/>
          <w:sz w:val="22"/>
          <w:szCs w:val="22"/>
          <w:lang w:val="en-GB" w:eastAsia="en-GB"/>
        </w:rPr>
      </w:pPr>
      <w:hyperlink w:anchor="_Toc463354109" w:history="1">
        <w:r w:rsidR="008B179C" w:rsidRPr="009A0007">
          <w:rPr>
            <w:rStyle w:val="Hyperlink"/>
            <w:noProof/>
          </w:rPr>
          <w:t>7</w:t>
        </w:r>
        <w:r w:rsidR="008B179C">
          <w:rPr>
            <w:rFonts w:asciiTheme="minorHAnsi" w:eastAsiaTheme="minorEastAsia" w:hAnsiTheme="minorHAnsi" w:cstheme="minorBidi"/>
            <w:noProof/>
            <w:sz w:val="22"/>
            <w:szCs w:val="22"/>
            <w:lang w:val="en-GB" w:eastAsia="en-GB"/>
          </w:rPr>
          <w:tab/>
        </w:r>
        <w:r w:rsidR="008B179C" w:rsidRPr="009A0007">
          <w:rPr>
            <w:rStyle w:val="Hyperlink"/>
            <w:noProof/>
            <w:lang w:val="de-DE"/>
          </w:rPr>
          <w:t>PROJECT MODEL OUTPUTS</w:t>
        </w:r>
        <w:r w:rsidR="008B179C">
          <w:rPr>
            <w:noProof/>
            <w:webHidden/>
          </w:rPr>
          <w:tab/>
        </w:r>
        <w:r w:rsidR="008B179C">
          <w:rPr>
            <w:noProof/>
            <w:webHidden/>
          </w:rPr>
          <w:fldChar w:fldCharType="begin"/>
        </w:r>
        <w:r w:rsidR="008B179C">
          <w:rPr>
            <w:noProof/>
            <w:webHidden/>
          </w:rPr>
          <w:instrText xml:space="preserve"> PAGEREF _Toc463354109 \h </w:instrText>
        </w:r>
        <w:r w:rsidR="008B179C">
          <w:rPr>
            <w:noProof/>
            <w:webHidden/>
          </w:rPr>
        </w:r>
        <w:r w:rsidR="008B179C">
          <w:rPr>
            <w:noProof/>
            <w:webHidden/>
          </w:rPr>
          <w:fldChar w:fldCharType="separate"/>
        </w:r>
        <w:r w:rsidR="008B179C">
          <w:rPr>
            <w:noProof/>
            <w:webHidden/>
          </w:rPr>
          <w:t>9</w:t>
        </w:r>
        <w:r w:rsidR="008B179C">
          <w:rPr>
            <w:noProof/>
            <w:webHidden/>
          </w:rPr>
          <w:fldChar w:fldCharType="end"/>
        </w:r>
      </w:hyperlink>
    </w:p>
    <w:p w:rsidR="008B179C" w:rsidRDefault="00D709BC">
      <w:pPr>
        <w:pStyle w:val="TOC1"/>
        <w:rPr>
          <w:rFonts w:asciiTheme="minorHAnsi" w:eastAsiaTheme="minorEastAsia" w:hAnsiTheme="minorHAnsi" w:cstheme="minorBidi"/>
          <w:noProof/>
          <w:sz w:val="22"/>
          <w:szCs w:val="22"/>
          <w:lang w:val="en-GB" w:eastAsia="en-GB"/>
        </w:rPr>
      </w:pPr>
      <w:hyperlink w:anchor="_Toc463354110" w:history="1">
        <w:r w:rsidR="008B179C" w:rsidRPr="009A0007">
          <w:rPr>
            <w:rStyle w:val="Hyperlink"/>
            <w:noProof/>
          </w:rPr>
          <w:t>8</w:t>
        </w:r>
        <w:r w:rsidR="008B179C">
          <w:rPr>
            <w:rFonts w:asciiTheme="minorHAnsi" w:eastAsiaTheme="minorEastAsia" w:hAnsiTheme="minorHAnsi" w:cstheme="minorBidi"/>
            <w:noProof/>
            <w:sz w:val="22"/>
            <w:szCs w:val="22"/>
            <w:lang w:val="en-GB" w:eastAsia="en-GB"/>
          </w:rPr>
          <w:tab/>
        </w:r>
        <w:r w:rsidR="008B179C" w:rsidRPr="009A0007">
          <w:rPr>
            <w:rStyle w:val="Hyperlink"/>
            <w:noProof/>
            <w:lang w:val="de-DE"/>
          </w:rPr>
          <w:t>DEPLOYMENT COMPLETION</w:t>
        </w:r>
        <w:r w:rsidR="008B179C">
          <w:rPr>
            <w:noProof/>
            <w:webHidden/>
          </w:rPr>
          <w:tab/>
        </w:r>
        <w:r w:rsidR="008B179C">
          <w:rPr>
            <w:noProof/>
            <w:webHidden/>
          </w:rPr>
          <w:fldChar w:fldCharType="begin"/>
        </w:r>
        <w:r w:rsidR="008B179C">
          <w:rPr>
            <w:noProof/>
            <w:webHidden/>
          </w:rPr>
          <w:instrText xml:space="preserve"> PAGEREF _Toc463354110 \h </w:instrText>
        </w:r>
        <w:r w:rsidR="008B179C">
          <w:rPr>
            <w:noProof/>
            <w:webHidden/>
          </w:rPr>
        </w:r>
        <w:r w:rsidR="008B179C">
          <w:rPr>
            <w:noProof/>
            <w:webHidden/>
          </w:rPr>
          <w:fldChar w:fldCharType="separate"/>
        </w:r>
        <w:r w:rsidR="008B179C">
          <w:rPr>
            <w:noProof/>
            <w:webHidden/>
          </w:rPr>
          <w:t>9</w:t>
        </w:r>
        <w:r w:rsidR="008B179C">
          <w:rPr>
            <w:noProof/>
            <w:webHidden/>
          </w:rPr>
          <w:fldChar w:fldCharType="end"/>
        </w:r>
      </w:hyperlink>
    </w:p>
    <w:p w:rsidR="008B179C" w:rsidRDefault="00D709BC">
      <w:pPr>
        <w:pStyle w:val="TOC1"/>
        <w:rPr>
          <w:rFonts w:asciiTheme="minorHAnsi" w:eastAsiaTheme="minorEastAsia" w:hAnsiTheme="minorHAnsi" w:cstheme="minorBidi"/>
          <w:noProof/>
          <w:sz w:val="22"/>
          <w:szCs w:val="22"/>
          <w:lang w:val="en-GB" w:eastAsia="en-GB"/>
        </w:rPr>
      </w:pPr>
      <w:hyperlink w:anchor="_Toc463354111" w:history="1">
        <w:r w:rsidR="008B179C" w:rsidRPr="009A0007">
          <w:rPr>
            <w:rStyle w:val="Hyperlink"/>
            <w:noProof/>
          </w:rPr>
          <w:t>9</w:t>
        </w:r>
        <w:r w:rsidR="008B179C">
          <w:rPr>
            <w:rFonts w:asciiTheme="minorHAnsi" w:eastAsiaTheme="minorEastAsia" w:hAnsiTheme="minorHAnsi" w:cstheme="minorBidi"/>
            <w:noProof/>
            <w:sz w:val="22"/>
            <w:szCs w:val="22"/>
            <w:lang w:val="en-GB" w:eastAsia="en-GB"/>
          </w:rPr>
          <w:tab/>
        </w:r>
        <w:r w:rsidR="008B179C" w:rsidRPr="009A0007">
          <w:rPr>
            <w:rStyle w:val="Hyperlink"/>
            <w:noProof/>
          </w:rPr>
          <w:t>OVER-SUBSIDY CLAW-BACK: POST IMPLEMENTATION</w:t>
        </w:r>
        <w:r w:rsidR="008B179C">
          <w:rPr>
            <w:noProof/>
            <w:webHidden/>
          </w:rPr>
          <w:tab/>
        </w:r>
        <w:r w:rsidR="008B179C">
          <w:rPr>
            <w:noProof/>
            <w:webHidden/>
          </w:rPr>
          <w:fldChar w:fldCharType="begin"/>
        </w:r>
        <w:r w:rsidR="008B179C">
          <w:rPr>
            <w:noProof/>
            <w:webHidden/>
          </w:rPr>
          <w:instrText xml:space="preserve"> PAGEREF _Toc463354111 \h </w:instrText>
        </w:r>
        <w:r w:rsidR="008B179C">
          <w:rPr>
            <w:noProof/>
            <w:webHidden/>
          </w:rPr>
        </w:r>
        <w:r w:rsidR="008B179C">
          <w:rPr>
            <w:noProof/>
            <w:webHidden/>
          </w:rPr>
          <w:fldChar w:fldCharType="separate"/>
        </w:r>
        <w:r w:rsidR="008B179C">
          <w:rPr>
            <w:noProof/>
            <w:webHidden/>
          </w:rPr>
          <w:t>10</w:t>
        </w:r>
        <w:r w:rsidR="008B179C">
          <w:rPr>
            <w:noProof/>
            <w:webHidden/>
          </w:rPr>
          <w:fldChar w:fldCharType="end"/>
        </w:r>
      </w:hyperlink>
    </w:p>
    <w:p w:rsidR="008B179C" w:rsidRDefault="00D709BC">
      <w:pPr>
        <w:pStyle w:val="TOC1"/>
        <w:rPr>
          <w:rFonts w:asciiTheme="minorHAnsi" w:eastAsiaTheme="minorEastAsia" w:hAnsiTheme="minorHAnsi" w:cstheme="minorBidi"/>
          <w:noProof/>
          <w:sz w:val="22"/>
          <w:szCs w:val="22"/>
          <w:lang w:val="en-GB" w:eastAsia="en-GB"/>
        </w:rPr>
      </w:pPr>
      <w:hyperlink w:anchor="_Toc463354112" w:history="1">
        <w:r w:rsidR="008B179C" w:rsidRPr="009A0007">
          <w:rPr>
            <w:rStyle w:val="Hyperlink"/>
            <w:noProof/>
          </w:rPr>
          <w:t>10</w:t>
        </w:r>
        <w:r w:rsidR="008B179C">
          <w:rPr>
            <w:rFonts w:asciiTheme="minorHAnsi" w:eastAsiaTheme="minorEastAsia" w:hAnsiTheme="minorHAnsi" w:cstheme="minorBidi"/>
            <w:noProof/>
            <w:sz w:val="22"/>
            <w:szCs w:val="22"/>
            <w:lang w:val="en-GB" w:eastAsia="en-GB"/>
          </w:rPr>
          <w:tab/>
        </w:r>
        <w:r w:rsidR="008B179C" w:rsidRPr="009A0007">
          <w:rPr>
            <w:rStyle w:val="Hyperlink"/>
            <w:noProof/>
          </w:rPr>
          <w:t>OVER-SUBSIDY CLAW-BACK: ADDITIONAL SERVICES</w:t>
        </w:r>
        <w:r w:rsidR="008B179C">
          <w:rPr>
            <w:noProof/>
            <w:webHidden/>
          </w:rPr>
          <w:tab/>
        </w:r>
        <w:r w:rsidR="008B179C">
          <w:rPr>
            <w:noProof/>
            <w:webHidden/>
          </w:rPr>
          <w:fldChar w:fldCharType="begin"/>
        </w:r>
        <w:r w:rsidR="008B179C">
          <w:rPr>
            <w:noProof/>
            <w:webHidden/>
          </w:rPr>
          <w:instrText xml:space="preserve"> PAGEREF _Toc463354112 \h </w:instrText>
        </w:r>
        <w:r w:rsidR="008B179C">
          <w:rPr>
            <w:noProof/>
            <w:webHidden/>
          </w:rPr>
        </w:r>
        <w:r w:rsidR="008B179C">
          <w:rPr>
            <w:noProof/>
            <w:webHidden/>
          </w:rPr>
          <w:fldChar w:fldCharType="separate"/>
        </w:r>
        <w:r w:rsidR="008B179C">
          <w:rPr>
            <w:noProof/>
            <w:webHidden/>
          </w:rPr>
          <w:t>11</w:t>
        </w:r>
        <w:r w:rsidR="008B179C">
          <w:rPr>
            <w:noProof/>
            <w:webHidden/>
          </w:rPr>
          <w:fldChar w:fldCharType="end"/>
        </w:r>
      </w:hyperlink>
    </w:p>
    <w:p w:rsidR="008B179C" w:rsidRDefault="00D709BC">
      <w:pPr>
        <w:pStyle w:val="TOC1"/>
        <w:rPr>
          <w:rFonts w:asciiTheme="minorHAnsi" w:eastAsiaTheme="minorEastAsia" w:hAnsiTheme="minorHAnsi" w:cstheme="minorBidi"/>
          <w:noProof/>
          <w:sz w:val="22"/>
          <w:szCs w:val="22"/>
          <w:lang w:val="en-GB" w:eastAsia="en-GB"/>
        </w:rPr>
      </w:pPr>
      <w:hyperlink w:anchor="_Toc463354113" w:history="1">
        <w:r w:rsidR="008B179C" w:rsidRPr="009A0007">
          <w:rPr>
            <w:rStyle w:val="Hyperlink"/>
            <w:noProof/>
          </w:rPr>
          <w:t>11</w:t>
        </w:r>
        <w:r w:rsidR="008B179C">
          <w:rPr>
            <w:rFonts w:asciiTheme="minorHAnsi" w:eastAsiaTheme="minorEastAsia" w:hAnsiTheme="minorHAnsi" w:cstheme="minorBidi"/>
            <w:noProof/>
            <w:sz w:val="22"/>
            <w:szCs w:val="22"/>
            <w:lang w:val="en-GB" w:eastAsia="en-GB"/>
          </w:rPr>
          <w:tab/>
        </w:r>
        <w:r w:rsidR="008B179C" w:rsidRPr="009A0007">
          <w:rPr>
            <w:rStyle w:val="Hyperlink"/>
            <w:noProof/>
            <w:lang w:val="de-DE"/>
          </w:rPr>
          <w:t>NEGATIVE CLAWBACK SUM</w:t>
        </w:r>
        <w:r w:rsidR="008B179C">
          <w:rPr>
            <w:noProof/>
            <w:webHidden/>
          </w:rPr>
          <w:tab/>
        </w:r>
        <w:r w:rsidR="008B179C">
          <w:rPr>
            <w:noProof/>
            <w:webHidden/>
          </w:rPr>
          <w:fldChar w:fldCharType="begin"/>
        </w:r>
        <w:r w:rsidR="008B179C">
          <w:rPr>
            <w:noProof/>
            <w:webHidden/>
          </w:rPr>
          <w:instrText xml:space="preserve"> PAGEREF _Toc463354113 \h </w:instrText>
        </w:r>
        <w:r w:rsidR="008B179C">
          <w:rPr>
            <w:noProof/>
            <w:webHidden/>
          </w:rPr>
        </w:r>
        <w:r w:rsidR="008B179C">
          <w:rPr>
            <w:noProof/>
            <w:webHidden/>
          </w:rPr>
          <w:fldChar w:fldCharType="separate"/>
        </w:r>
        <w:r w:rsidR="008B179C">
          <w:rPr>
            <w:noProof/>
            <w:webHidden/>
          </w:rPr>
          <w:t>12</w:t>
        </w:r>
        <w:r w:rsidR="008B179C">
          <w:rPr>
            <w:noProof/>
            <w:webHidden/>
          </w:rPr>
          <w:fldChar w:fldCharType="end"/>
        </w:r>
      </w:hyperlink>
    </w:p>
    <w:p w:rsidR="008B179C" w:rsidRDefault="00D709BC">
      <w:pPr>
        <w:pStyle w:val="TOC1"/>
        <w:rPr>
          <w:rFonts w:asciiTheme="minorHAnsi" w:eastAsiaTheme="minorEastAsia" w:hAnsiTheme="minorHAnsi" w:cstheme="minorBidi"/>
          <w:noProof/>
          <w:sz w:val="22"/>
          <w:szCs w:val="22"/>
          <w:lang w:val="en-GB" w:eastAsia="en-GB"/>
        </w:rPr>
      </w:pPr>
      <w:hyperlink w:anchor="_Toc463354114" w:history="1">
        <w:r w:rsidR="008B179C" w:rsidRPr="009A0007">
          <w:rPr>
            <w:rStyle w:val="Hyperlink"/>
            <w:noProof/>
          </w:rPr>
          <w:t>12</w:t>
        </w:r>
        <w:r w:rsidR="008B179C">
          <w:rPr>
            <w:rFonts w:asciiTheme="minorHAnsi" w:eastAsiaTheme="minorEastAsia" w:hAnsiTheme="minorHAnsi" w:cstheme="minorBidi"/>
            <w:noProof/>
            <w:sz w:val="22"/>
            <w:szCs w:val="22"/>
            <w:lang w:val="en-GB" w:eastAsia="en-GB"/>
          </w:rPr>
          <w:tab/>
        </w:r>
        <w:r w:rsidR="008B179C" w:rsidRPr="009A0007">
          <w:rPr>
            <w:rStyle w:val="Hyperlink"/>
            <w:noProof/>
            <w:lang w:val="de-DE"/>
          </w:rPr>
          <w:t>LIABILITY IN AUDITED ACCOUNTS</w:t>
        </w:r>
        <w:r w:rsidR="008B179C">
          <w:rPr>
            <w:noProof/>
            <w:webHidden/>
          </w:rPr>
          <w:tab/>
        </w:r>
        <w:r w:rsidR="008B179C">
          <w:rPr>
            <w:noProof/>
            <w:webHidden/>
          </w:rPr>
          <w:fldChar w:fldCharType="begin"/>
        </w:r>
        <w:r w:rsidR="008B179C">
          <w:rPr>
            <w:noProof/>
            <w:webHidden/>
          </w:rPr>
          <w:instrText xml:space="preserve"> PAGEREF _Toc463354114 \h </w:instrText>
        </w:r>
        <w:r w:rsidR="008B179C">
          <w:rPr>
            <w:noProof/>
            <w:webHidden/>
          </w:rPr>
        </w:r>
        <w:r w:rsidR="008B179C">
          <w:rPr>
            <w:noProof/>
            <w:webHidden/>
          </w:rPr>
          <w:fldChar w:fldCharType="separate"/>
        </w:r>
        <w:r w:rsidR="008B179C">
          <w:rPr>
            <w:noProof/>
            <w:webHidden/>
          </w:rPr>
          <w:t>12</w:t>
        </w:r>
        <w:r w:rsidR="008B179C">
          <w:rPr>
            <w:noProof/>
            <w:webHidden/>
          </w:rPr>
          <w:fldChar w:fldCharType="end"/>
        </w:r>
      </w:hyperlink>
    </w:p>
    <w:p w:rsidR="008B179C" w:rsidRDefault="00D709BC">
      <w:pPr>
        <w:pStyle w:val="TOC1"/>
        <w:rPr>
          <w:rFonts w:asciiTheme="minorHAnsi" w:eastAsiaTheme="minorEastAsia" w:hAnsiTheme="minorHAnsi" w:cstheme="minorBidi"/>
          <w:noProof/>
          <w:sz w:val="22"/>
          <w:szCs w:val="22"/>
          <w:lang w:val="en-GB" w:eastAsia="en-GB"/>
        </w:rPr>
      </w:pPr>
      <w:hyperlink w:anchor="_Toc463354115" w:history="1">
        <w:r w:rsidR="008B179C" w:rsidRPr="009A0007">
          <w:rPr>
            <w:rStyle w:val="Hyperlink"/>
            <w:noProof/>
          </w:rPr>
          <w:t>APPENDIX 1 – MILESTONE PAYMENTS</w:t>
        </w:r>
        <w:r w:rsidR="008B179C">
          <w:rPr>
            <w:noProof/>
            <w:webHidden/>
          </w:rPr>
          <w:tab/>
        </w:r>
        <w:r w:rsidR="008B179C">
          <w:rPr>
            <w:noProof/>
            <w:webHidden/>
          </w:rPr>
          <w:fldChar w:fldCharType="begin"/>
        </w:r>
        <w:r w:rsidR="008B179C">
          <w:rPr>
            <w:noProof/>
            <w:webHidden/>
          </w:rPr>
          <w:instrText xml:space="preserve"> PAGEREF _Toc463354115 \h </w:instrText>
        </w:r>
        <w:r w:rsidR="008B179C">
          <w:rPr>
            <w:noProof/>
            <w:webHidden/>
          </w:rPr>
        </w:r>
        <w:r w:rsidR="008B179C">
          <w:rPr>
            <w:noProof/>
            <w:webHidden/>
          </w:rPr>
          <w:fldChar w:fldCharType="separate"/>
        </w:r>
        <w:r w:rsidR="008B179C">
          <w:rPr>
            <w:noProof/>
            <w:webHidden/>
          </w:rPr>
          <w:t>13</w:t>
        </w:r>
        <w:r w:rsidR="008B179C">
          <w:rPr>
            <w:noProof/>
            <w:webHidden/>
          </w:rPr>
          <w:fldChar w:fldCharType="end"/>
        </w:r>
      </w:hyperlink>
    </w:p>
    <w:p w:rsidR="008B179C" w:rsidRDefault="00D709BC">
      <w:pPr>
        <w:pStyle w:val="TOC1"/>
        <w:rPr>
          <w:rFonts w:asciiTheme="minorHAnsi" w:eastAsiaTheme="minorEastAsia" w:hAnsiTheme="minorHAnsi" w:cstheme="minorBidi"/>
          <w:noProof/>
          <w:sz w:val="22"/>
          <w:szCs w:val="22"/>
          <w:lang w:val="en-GB" w:eastAsia="en-GB"/>
        </w:rPr>
      </w:pPr>
      <w:hyperlink w:anchor="_Toc463354116" w:history="1">
        <w:r w:rsidR="008B179C" w:rsidRPr="009A0007">
          <w:rPr>
            <w:rStyle w:val="Hyperlink"/>
            <w:noProof/>
          </w:rPr>
          <w:t>APPENDIX 2 – QUALIFYING CAPITAL EXPENDITURE CATEGORIES</w:t>
        </w:r>
        <w:r w:rsidR="008B179C">
          <w:rPr>
            <w:noProof/>
            <w:webHidden/>
          </w:rPr>
          <w:tab/>
        </w:r>
        <w:r w:rsidR="008B179C">
          <w:rPr>
            <w:noProof/>
            <w:webHidden/>
          </w:rPr>
          <w:fldChar w:fldCharType="begin"/>
        </w:r>
        <w:r w:rsidR="008B179C">
          <w:rPr>
            <w:noProof/>
            <w:webHidden/>
          </w:rPr>
          <w:instrText xml:space="preserve"> PAGEREF _Toc463354116 \h </w:instrText>
        </w:r>
        <w:r w:rsidR="008B179C">
          <w:rPr>
            <w:noProof/>
            <w:webHidden/>
          </w:rPr>
        </w:r>
        <w:r w:rsidR="008B179C">
          <w:rPr>
            <w:noProof/>
            <w:webHidden/>
          </w:rPr>
          <w:fldChar w:fldCharType="separate"/>
        </w:r>
        <w:r w:rsidR="008B179C">
          <w:rPr>
            <w:noProof/>
            <w:webHidden/>
          </w:rPr>
          <w:t>14</w:t>
        </w:r>
        <w:r w:rsidR="008B179C">
          <w:rPr>
            <w:noProof/>
            <w:webHidden/>
          </w:rPr>
          <w:fldChar w:fldCharType="end"/>
        </w:r>
      </w:hyperlink>
    </w:p>
    <w:p w:rsidR="008B179C" w:rsidRDefault="00D709BC">
      <w:pPr>
        <w:pStyle w:val="TOC1"/>
        <w:rPr>
          <w:rFonts w:asciiTheme="minorHAnsi" w:eastAsiaTheme="minorEastAsia" w:hAnsiTheme="minorHAnsi" w:cstheme="minorBidi"/>
          <w:noProof/>
          <w:sz w:val="22"/>
          <w:szCs w:val="22"/>
          <w:lang w:val="en-GB" w:eastAsia="en-GB"/>
        </w:rPr>
      </w:pPr>
      <w:hyperlink w:anchor="_Toc463354117" w:history="1">
        <w:r w:rsidR="008B179C" w:rsidRPr="009A0007">
          <w:rPr>
            <w:rStyle w:val="Hyperlink"/>
            <w:noProof/>
          </w:rPr>
          <w:t>APPENDIX 3 – QUALIFYING OPERATING EXPENDITURE CATEGORIES</w:t>
        </w:r>
        <w:r w:rsidR="008B179C">
          <w:rPr>
            <w:noProof/>
            <w:webHidden/>
          </w:rPr>
          <w:tab/>
        </w:r>
        <w:r w:rsidR="008B179C">
          <w:rPr>
            <w:noProof/>
            <w:webHidden/>
          </w:rPr>
          <w:fldChar w:fldCharType="begin"/>
        </w:r>
        <w:r w:rsidR="008B179C">
          <w:rPr>
            <w:noProof/>
            <w:webHidden/>
          </w:rPr>
          <w:instrText xml:space="preserve"> PAGEREF _Toc463354117 \h </w:instrText>
        </w:r>
        <w:r w:rsidR="008B179C">
          <w:rPr>
            <w:noProof/>
            <w:webHidden/>
          </w:rPr>
        </w:r>
        <w:r w:rsidR="008B179C">
          <w:rPr>
            <w:noProof/>
            <w:webHidden/>
          </w:rPr>
          <w:fldChar w:fldCharType="separate"/>
        </w:r>
        <w:r w:rsidR="008B179C">
          <w:rPr>
            <w:noProof/>
            <w:webHidden/>
          </w:rPr>
          <w:t>15</w:t>
        </w:r>
        <w:r w:rsidR="008B179C">
          <w:rPr>
            <w:noProof/>
            <w:webHidden/>
          </w:rPr>
          <w:fldChar w:fldCharType="end"/>
        </w:r>
      </w:hyperlink>
    </w:p>
    <w:p w:rsidR="008B179C" w:rsidRDefault="00D709BC">
      <w:pPr>
        <w:pStyle w:val="TOC1"/>
        <w:rPr>
          <w:rFonts w:asciiTheme="minorHAnsi" w:eastAsiaTheme="minorEastAsia" w:hAnsiTheme="minorHAnsi" w:cstheme="minorBidi"/>
          <w:noProof/>
          <w:sz w:val="22"/>
          <w:szCs w:val="22"/>
          <w:lang w:val="en-GB" w:eastAsia="en-GB"/>
        </w:rPr>
      </w:pPr>
      <w:hyperlink w:anchor="_Toc463354118" w:history="1">
        <w:r w:rsidR="008B179C" w:rsidRPr="009A0007">
          <w:rPr>
            <w:rStyle w:val="Hyperlink"/>
            <w:noProof/>
          </w:rPr>
          <w:t>APPENDIX 4 – NON-QUALIFYING CAPITAL EXPENDITURE CATEGORIES</w:t>
        </w:r>
        <w:r w:rsidR="008B179C">
          <w:rPr>
            <w:noProof/>
            <w:webHidden/>
          </w:rPr>
          <w:tab/>
        </w:r>
        <w:r w:rsidR="008B179C">
          <w:rPr>
            <w:noProof/>
            <w:webHidden/>
          </w:rPr>
          <w:fldChar w:fldCharType="begin"/>
        </w:r>
        <w:r w:rsidR="008B179C">
          <w:rPr>
            <w:noProof/>
            <w:webHidden/>
          </w:rPr>
          <w:instrText xml:space="preserve"> PAGEREF _Toc463354118 \h </w:instrText>
        </w:r>
        <w:r w:rsidR="008B179C">
          <w:rPr>
            <w:noProof/>
            <w:webHidden/>
          </w:rPr>
        </w:r>
        <w:r w:rsidR="008B179C">
          <w:rPr>
            <w:noProof/>
            <w:webHidden/>
          </w:rPr>
          <w:fldChar w:fldCharType="separate"/>
        </w:r>
        <w:r w:rsidR="008B179C">
          <w:rPr>
            <w:noProof/>
            <w:webHidden/>
          </w:rPr>
          <w:t>16</w:t>
        </w:r>
        <w:r w:rsidR="008B179C">
          <w:rPr>
            <w:noProof/>
            <w:webHidden/>
          </w:rPr>
          <w:fldChar w:fldCharType="end"/>
        </w:r>
      </w:hyperlink>
    </w:p>
    <w:p w:rsidR="008B179C" w:rsidRDefault="00D709BC">
      <w:pPr>
        <w:pStyle w:val="TOC1"/>
        <w:rPr>
          <w:rFonts w:asciiTheme="minorHAnsi" w:eastAsiaTheme="minorEastAsia" w:hAnsiTheme="minorHAnsi" w:cstheme="minorBidi"/>
          <w:noProof/>
          <w:sz w:val="22"/>
          <w:szCs w:val="22"/>
          <w:lang w:val="en-GB" w:eastAsia="en-GB"/>
        </w:rPr>
      </w:pPr>
      <w:hyperlink w:anchor="_Toc463354119" w:history="1">
        <w:r w:rsidR="008B179C" w:rsidRPr="009A0007">
          <w:rPr>
            <w:rStyle w:val="Hyperlink"/>
            <w:noProof/>
          </w:rPr>
          <w:t>APPENDIX 5 – NON-QUALIFYING OPERATING EXPENDITURE CATEGORIES</w:t>
        </w:r>
        <w:r w:rsidR="008B179C">
          <w:rPr>
            <w:noProof/>
            <w:webHidden/>
          </w:rPr>
          <w:tab/>
        </w:r>
        <w:r w:rsidR="008B179C">
          <w:rPr>
            <w:noProof/>
            <w:webHidden/>
          </w:rPr>
          <w:fldChar w:fldCharType="begin"/>
        </w:r>
        <w:r w:rsidR="008B179C">
          <w:rPr>
            <w:noProof/>
            <w:webHidden/>
          </w:rPr>
          <w:instrText xml:space="preserve"> PAGEREF _Toc463354119 \h </w:instrText>
        </w:r>
        <w:r w:rsidR="008B179C">
          <w:rPr>
            <w:noProof/>
            <w:webHidden/>
          </w:rPr>
        </w:r>
        <w:r w:rsidR="008B179C">
          <w:rPr>
            <w:noProof/>
            <w:webHidden/>
          </w:rPr>
          <w:fldChar w:fldCharType="separate"/>
        </w:r>
        <w:r w:rsidR="008B179C">
          <w:rPr>
            <w:noProof/>
            <w:webHidden/>
          </w:rPr>
          <w:t>17</w:t>
        </w:r>
        <w:r w:rsidR="008B179C">
          <w:rPr>
            <w:noProof/>
            <w:webHidden/>
          </w:rPr>
          <w:fldChar w:fldCharType="end"/>
        </w:r>
      </w:hyperlink>
    </w:p>
    <w:p w:rsidR="008B179C" w:rsidRDefault="00D709BC">
      <w:pPr>
        <w:pStyle w:val="TOC1"/>
        <w:rPr>
          <w:rFonts w:asciiTheme="minorHAnsi" w:eastAsiaTheme="minorEastAsia" w:hAnsiTheme="minorHAnsi" w:cstheme="minorBidi"/>
          <w:noProof/>
          <w:sz w:val="22"/>
          <w:szCs w:val="22"/>
          <w:lang w:val="en-GB" w:eastAsia="en-GB"/>
        </w:rPr>
      </w:pPr>
      <w:hyperlink w:anchor="_Toc463354120" w:history="1">
        <w:r w:rsidR="008B179C" w:rsidRPr="009A0007">
          <w:rPr>
            <w:rStyle w:val="Hyperlink"/>
            <w:noProof/>
          </w:rPr>
          <w:t>APPENDIX 6 – EXCLUDED EXPENDITURE CATEGORIES</w:t>
        </w:r>
        <w:r w:rsidR="008B179C">
          <w:rPr>
            <w:noProof/>
            <w:webHidden/>
          </w:rPr>
          <w:tab/>
        </w:r>
        <w:r w:rsidR="008B179C">
          <w:rPr>
            <w:noProof/>
            <w:webHidden/>
          </w:rPr>
          <w:fldChar w:fldCharType="begin"/>
        </w:r>
        <w:r w:rsidR="008B179C">
          <w:rPr>
            <w:noProof/>
            <w:webHidden/>
          </w:rPr>
          <w:instrText xml:space="preserve"> PAGEREF _Toc463354120 \h </w:instrText>
        </w:r>
        <w:r w:rsidR="008B179C">
          <w:rPr>
            <w:noProof/>
            <w:webHidden/>
          </w:rPr>
        </w:r>
        <w:r w:rsidR="008B179C">
          <w:rPr>
            <w:noProof/>
            <w:webHidden/>
          </w:rPr>
          <w:fldChar w:fldCharType="separate"/>
        </w:r>
        <w:r w:rsidR="008B179C">
          <w:rPr>
            <w:noProof/>
            <w:webHidden/>
          </w:rPr>
          <w:t>18</w:t>
        </w:r>
        <w:r w:rsidR="008B179C">
          <w:rPr>
            <w:noProof/>
            <w:webHidden/>
          </w:rPr>
          <w:fldChar w:fldCharType="end"/>
        </w:r>
      </w:hyperlink>
    </w:p>
    <w:p w:rsidR="0090686B" w:rsidRPr="00127152" w:rsidRDefault="00025FC3" w:rsidP="0090686B">
      <w:pPr>
        <w:pStyle w:val="Body"/>
        <w:jc w:val="left"/>
        <w:rPr>
          <w:b/>
        </w:rPr>
      </w:pPr>
      <w:r>
        <w:rPr>
          <w:b/>
        </w:rPr>
        <w:fldChar w:fldCharType="end"/>
      </w:r>
    </w:p>
    <w:p w:rsidR="00792D73" w:rsidRDefault="00792D73" w:rsidP="00E30AB6">
      <w:pPr>
        <w:pStyle w:val="Body"/>
        <w:jc w:val="center"/>
        <w:rPr>
          <w:b/>
          <w:lang w:val="en-GB"/>
        </w:rPr>
        <w:sectPr w:rsidR="00792D73" w:rsidSect="004B6306">
          <w:footerReference w:type="default" r:id="rId14"/>
          <w:pgSz w:w="11907" w:h="16840" w:code="9"/>
          <w:pgMar w:top="1418" w:right="1701" w:bottom="1418" w:left="1701" w:header="709" w:footer="709" w:gutter="0"/>
          <w:paperSrc w:first="11" w:other="11"/>
          <w:pgNumType w:start="1"/>
          <w:cols w:space="720"/>
          <w:titlePg/>
          <w:docGrid w:linePitch="272"/>
        </w:sectPr>
      </w:pPr>
    </w:p>
    <w:p w:rsidR="00025FC3" w:rsidRDefault="00025FC3" w:rsidP="00025FC3">
      <w:pPr>
        <w:pStyle w:val="Body"/>
        <w:jc w:val="center"/>
        <w:rPr>
          <w:b/>
        </w:rPr>
      </w:pPr>
      <w:r w:rsidRPr="0034624F">
        <w:rPr>
          <w:b/>
        </w:rPr>
        <w:lastRenderedPageBreak/>
        <w:t>VERSION CONTROL</w:t>
      </w:r>
    </w:p>
    <w:p w:rsidR="00025FC3" w:rsidRPr="0034624F" w:rsidRDefault="00025FC3" w:rsidP="00025FC3">
      <w:pPr>
        <w:pStyle w:val="Body"/>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10"/>
        <w:gridCol w:w="3680"/>
      </w:tblGrid>
      <w:tr w:rsidR="00025FC3" w:rsidRPr="0034624F" w:rsidTr="00CE45DC">
        <w:tc>
          <w:tcPr>
            <w:tcW w:w="2410" w:type="dxa"/>
          </w:tcPr>
          <w:p w:rsidR="00025FC3" w:rsidRPr="0034624F" w:rsidRDefault="00025FC3" w:rsidP="00CE45DC">
            <w:pPr>
              <w:tabs>
                <w:tab w:val="left" w:pos="737"/>
              </w:tabs>
              <w:jc w:val="center"/>
              <w:rPr>
                <w:b/>
              </w:rPr>
            </w:pPr>
            <w:r w:rsidRPr="0034624F">
              <w:rPr>
                <w:b/>
              </w:rPr>
              <w:t>VERSION NUMBER</w:t>
            </w:r>
          </w:p>
        </w:tc>
        <w:tc>
          <w:tcPr>
            <w:tcW w:w="2410" w:type="dxa"/>
          </w:tcPr>
          <w:p w:rsidR="00025FC3" w:rsidRPr="0034624F" w:rsidRDefault="00025FC3" w:rsidP="00CE45DC">
            <w:pPr>
              <w:tabs>
                <w:tab w:val="left" w:pos="737"/>
              </w:tabs>
              <w:jc w:val="center"/>
              <w:rPr>
                <w:b/>
              </w:rPr>
            </w:pPr>
            <w:r w:rsidRPr="0034624F">
              <w:rPr>
                <w:b/>
              </w:rPr>
              <w:t>DATE</w:t>
            </w:r>
          </w:p>
          <w:p w:rsidR="00025FC3" w:rsidRPr="0034624F" w:rsidRDefault="00025FC3" w:rsidP="00CE45DC">
            <w:pPr>
              <w:tabs>
                <w:tab w:val="left" w:pos="737"/>
              </w:tabs>
              <w:jc w:val="center"/>
              <w:rPr>
                <w:b/>
              </w:rPr>
            </w:pPr>
          </w:p>
        </w:tc>
        <w:tc>
          <w:tcPr>
            <w:tcW w:w="3680" w:type="dxa"/>
          </w:tcPr>
          <w:p w:rsidR="00025FC3" w:rsidRPr="0034624F" w:rsidRDefault="00025FC3" w:rsidP="00CE45DC">
            <w:pPr>
              <w:tabs>
                <w:tab w:val="left" w:pos="737"/>
              </w:tabs>
              <w:jc w:val="center"/>
              <w:rPr>
                <w:b/>
              </w:rPr>
            </w:pPr>
            <w:r w:rsidRPr="0034624F">
              <w:rPr>
                <w:b/>
              </w:rPr>
              <w:t>COMMENT</w:t>
            </w:r>
          </w:p>
        </w:tc>
      </w:tr>
      <w:tr w:rsidR="00025FC3" w:rsidRPr="006A4524" w:rsidTr="00CE4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rsidR="00025FC3" w:rsidRPr="006A4524" w:rsidRDefault="00025FC3" w:rsidP="00CE45DC">
            <w:pPr>
              <w:tabs>
                <w:tab w:val="left" w:pos="737"/>
              </w:tabs>
              <w:ind w:firstLine="100"/>
            </w:pPr>
            <w:r>
              <w:t>0.1</w:t>
            </w:r>
          </w:p>
        </w:tc>
        <w:tc>
          <w:tcPr>
            <w:tcW w:w="2410" w:type="dxa"/>
            <w:tcBorders>
              <w:top w:val="single" w:sz="4" w:space="0" w:color="auto"/>
              <w:left w:val="single" w:sz="4" w:space="0" w:color="auto"/>
              <w:bottom w:val="single" w:sz="4" w:space="0" w:color="auto"/>
              <w:right w:val="single" w:sz="4" w:space="0" w:color="auto"/>
            </w:tcBorders>
          </w:tcPr>
          <w:p w:rsidR="007C1E59" w:rsidRPr="002C4FA2" w:rsidRDefault="007F7626" w:rsidP="007C1E59">
            <w:pPr>
              <w:tabs>
                <w:tab w:val="left" w:pos="737"/>
              </w:tabs>
              <w:ind w:firstLine="122"/>
            </w:pPr>
            <w:r>
              <w:t>27</w:t>
            </w:r>
            <w:r w:rsidR="007C1E59" w:rsidRPr="002C4FA2">
              <w:t xml:space="preserve"> July 2016</w:t>
            </w:r>
          </w:p>
          <w:p w:rsidR="00025FC3" w:rsidRPr="006A4524" w:rsidRDefault="00025FC3" w:rsidP="00CE45DC">
            <w:pPr>
              <w:tabs>
                <w:tab w:val="left" w:pos="737"/>
              </w:tabs>
              <w:ind w:firstLine="122"/>
            </w:pPr>
          </w:p>
        </w:tc>
        <w:tc>
          <w:tcPr>
            <w:tcW w:w="3680" w:type="dxa"/>
            <w:tcBorders>
              <w:top w:val="single" w:sz="4" w:space="0" w:color="auto"/>
              <w:left w:val="single" w:sz="4" w:space="0" w:color="auto"/>
              <w:bottom w:val="single" w:sz="4" w:space="0" w:color="auto"/>
              <w:right w:val="single" w:sz="4" w:space="0" w:color="auto"/>
            </w:tcBorders>
          </w:tcPr>
          <w:p w:rsidR="00025FC3" w:rsidRPr="006A4524" w:rsidRDefault="00025FC3" w:rsidP="00CE45DC">
            <w:pPr>
              <w:tabs>
                <w:tab w:val="left" w:pos="737"/>
              </w:tabs>
              <w:ind w:left="136" w:hanging="20"/>
            </w:pPr>
            <w:r>
              <w:t xml:space="preserve">Preliminary </w:t>
            </w:r>
            <w:r w:rsidR="00EE009F">
              <w:t xml:space="preserve">draft </w:t>
            </w:r>
            <w:r>
              <w:t>template version made available for general comment</w:t>
            </w:r>
          </w:p>
        </w:tc>
      </w:tr>
      <w:tr w:rsidR="007C45D8" w:rsidRPr="006A4524" w:rsidTr="00BC7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rsidR="007C45D8" w:rsidRDefault="007C45D8" w:rsidP="00BC79EF">
            <w:pPr>
              <w:tabs>
                <w:tab w:val="left" w:pos="737"/>
              </w:tabs>
              <w:ind w:firstLine="100"/>
            </w:pPr>
            <w:r>
              <w:t>0.2</w:t>
            </w:r>
          </w:p>
        </w:tc>
        <w:tc>
          <w:tcPr>
            <w:tcW w:w="2410" w:type="dxa"/>
            <w:tcBorders>
              <w:top w:val="single" w:sz="4" w:space="0" w:color="auto"/>
              <w:left w:val="single" w:sz="4" w:space="0" w:color="auto"/>
              <w:bottom w:val="single" w:sz="4" w:space="0" w:color="auto"/>
              <w:right w:val="single" w:sz="4" w:space="0" w:color="auto"/>
            </w:tcBorders>
          </w:tcPr>
          <w:p w:rsidR="007C45D8" w:rsidRDefault="009877A4" w:rsidP="00BC79EF">
            <w:pPr>
              <w:tabs>
                <w:tab w:val="left" w:pos="737"/>
              </w:tabs>
              <w:ind w:firstLine="122"/>
            </w:pPr>
            <w:r w:rsidRPr="009877A4">
              <w:t>2 September 2016</w:t>
            </w:r>
          </w:p>
        </w:tc>
        <w:tc>
          <w:tcPr>
            <w:tcW w:w="3680" w:type="dxa"/>
            <w:tcBorders>
              <w:top w:val="single" w:sz="4" w:space="0" w:color="auto"/>
              <w:left w:val="single" w:sz="4" w:space="0" w:color="auto"/>
              <w:bottom w:val="single" w:sz="4" w:space="0" w:color="auto"/>
              <w:right w:val="single" w:sz="4" w:space="0" w:color="auto"/>
            </w:tcBorders>
          </w:tcPr>
          <w:p w:rsidR="007C45D8" w:rsidRDefault="007C45D8" w:rsidP="00BC79EF">
            <w:pPr>
              <w:tabs>
                <w:tab w:val="left" w:pos="737"/>
              </w:tabs>
              <w:ind w:left="136" w:hanging="20"/>
            </w:pPr>
            <w:r>
              <w:t>Uplifted draft, following feedback, made available for final comment</w:t>
            </w:r>
          </w:p>
        </w:tc>
      </w:tr>
      <w:tr w:rsidR="00641004" w:rsidRPr="006A4524" w:rsidTr="00641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rsidR="00641004" w:rsidRDefault="00641004" w:rsidP="00641004">
            <w:pPr>
              <w:tabs>
                <w:tab w:val="left" w:pos="737"/>
              </w:tabs>
              <w:ind w:firstLine="100"/>
            </w:pPr>
            <w:r>
              <w:t>0.3</w:t>
            </w:r>
          </w:p>
        </w:tc>
        <w:tc>
          <w:tcPr>
            <w:tcW w:w="2410" w:type="dxa"/>
            <w:tcBorders>
              <w:top w:val="single" w:sz="4" w:space="0" w:color="auto"/>
              <w:left w:val="single" w:sz="4" w:space="0" w:color="auto"/>
              <w:bottom w:val="single" w:sz="4" w:space="0" w:color="auto"/>
              <w:right w:val="single" w:sz="4" w:space="0" w:color="auto"/>
            </w:tcBorders>
          </w:tcPr>
          <w:p w:rsidR="00641004" w:rsidRDefault="00901D82" w:rsidP="00641004">
            <w:pPr>
              <w:tabs>
                <w:tab w:val="left" w:pos="737"/>
              </w:tabs>
              <w:ind w:firstLine="122"/>
            </w:pPr>
            <w:r>
              <w:t>25</w:t>
            </w:r>
            <w:r w:rsidR="00641004">
              <w:t xml:space="preserve"> October 2016</w:t>
            </w:r>
          </w:p>
        </w:tc>
        <w:tc>
          <w:tcPr>
            <w:tcW w:w="3680" w:type="dxa"/>
            <w:tcBorders>
              <w:top w:val="single" w:sz="4" w:space="0" w:color="auto"/>
              <w:left w:val="single" w:sz="4" w:space="0" w:color="auto"/>
              <w:bottom w:val="single" w:sz="4" w:space="0" w:color="auto"/>
              <w:right w:val="single" w:sz="4" w:space="0" w:color="auto"/>
            </w:tcBorders>
          </w:tcPr>
          <w:p w:rsidR="00641004" w:rsidRDefault="00641004" w:rsidP="00641004">
            <w:pPr>
              <w:tabs>
                <w:tab w:val="left" w:pos="737"/>
              </w:tabs>
              <w:ind w:left="136" w:hanging="20"/>
            </w:pPr>
            <w:r>
              <w:t>Uplifted following local body and supplier feedback</w:t>
            </w:r>
          </w:p>
        </w:tc>
      </w:tr>
      <w:tr w:rsidR="004D4408" w:rsidRPr="006A4524" w:rsidTr="00641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rsidR="004D4408" w:rsidRDefault="004D4408" w:rsidP="00641004">
            <w:pPr>
              <w:tabs>
                <w:tab w:val="left" w:pos="737"/>
              </w:tabs>
              <w:ind w:firstLine="100"/>
            </w:pPr>
            <w:r>
              <w:t>1.0</w:t>
            </w:r>
          </w:p>
        </w:tc>
        <w:tc>
          <w:tcPr>
            <w:tcW w:w="2410" w:type="dxa"/>
            <w:tcBorders>
              <w:top w:val="single" w:sz="4" w:space="0" w:color="auto"/>
              <w:left w:val="single" w:sz="4" w:space="0" w:color="auto"/>
              <w:bottom w:val="single" w:sz="4" w:space="0" w:color="auto"/>
              <w:right w:val="single" w:sz="4" w:space="0" w:color="auto"/>
            </w:tcBorders>
          </w:tcPr>
          <w:p w:rsidR="004D4408" w:rsidRDefault="004D4408" w:rsidP="00641004">
            <w:pPr>
              <w:tabs>
                <w:tab w:val="left" w:pos="737"/>
              </w:tabs>
              <w:ind w:firstLine="122"/>
            </w:pPr>
            <w:r>
              <w:t>16 November 2016</w:t>
            </w:r>
          </w:p>
        </w:tc>
        <w:tc>
          <w:tcPr>
            <w:tcW w:w="3680" w:type="dxa"/>
            <w:tcBorders>
              <w:top w:val="single" w:sz="4" w:space="0" w:color="auto"/>
              <w:left w:val="single" w:sz="4" w:space="0" w:color="auto"/>
              <w:bottom w:val="single" w:sz="4" w:space="0" w:color="auto"/>
              <w:right w:val="single" w:sz="4" w:space="0" w:color="auto"/>
            </w:tcBorders>
          </w:tcPr>
          <w:p w:rsidR="004D4408" w:rsidRDefault="004D4408" w:rsidP="00641004">
            <w:pPr>
              <w:tabs>
                <w:tab w:val="left" w:pos="737"/>
              </w:tabs>
              <w:ind w:left="136" w:hanging="20"/>
            </w:pPr>
            <w:r>
              <w:t>Baselined Version 1.0</w:t>
            </w:r>
          </w:p>
        </w:tc>
      </w:tr>
    </w:tbl>
    <w:p w:rsidR="00025FC3" w:rsidRDefault="00025FC3" w:rsidP="00025FC3">
      <w:pPr>
        <w:jc w:val="left"/>
      </w:pPr>
    </w:p>
    <w:p w:rsidR="00025FC3" w:rsidRDefault="00025FC3" w:rsidP="00025FC3">
      <w:pPr>
        <w:jc w:val="left"/>
        <w:rPr>
          <w:b/>
        </w:rPr>
      </w:pPr>
      <w:r>
        <w:rPr>
          <w:b/>
        </w:rPr>
        <w:br w:type="page"/>
      </w:r>
      <w:bookmarkStart w:id="1" w:name="_GoBack"/>
      <w:bookmarkEnd w:id="1"/>
    </w:p>
    <w:p w:rsidR="00025FC3" w:rsidRDefault="00025FC3">
      <w:pPr>
        <w:jc w:val="left"/>
        <w:rPr>
          <w:rFonts w:cs="Times New Roman"/>
          <w:b/>
          <w:lang w:val="x-none" w:eastAsia="x-none"/>
        </w:rPr>
      </w:pPr>
    </w:p>
    <w:p w:rsidR="0028590E" w:rsidRPr="00D61E1D" w:rsidRDefault="009B6E3C" w:rsidP="00397C0F">
      <w:pPr>
        <w:pStyle w:val="Body"/>
        <w:jc w:val="center"/>
        <w:rPr>
          <w:b/>
          <w:lang w:val="en-GB"/>
        </w:rPr>
      </w:pPr>
      <w:r w:rsidRPr="00127152">
        <w:rPr>
          <w:b/>
        </w:rPr>
        <w:t>SCHEDULE 5</w:t>
      </w:r>
      <w:r w:rsidR="00A41321" w:rsidRPr="00127152">
        <w:rPr>
          <w:b/>
        </w:rPr>
        <w:t>.1</w:t>
      </w:r>
      <w:r w:rsidR="00E30AB6" w:rsidRPr="00127152">
        <w:rPr>
          <w:b/>
        </w:rPr>
        <w:t xml:space="preserve"> – </w:t>
      </w:r>
      <w:r w:rsidRPr="00127152">
        <w:rPr>
          <w:b/>
        </w:rPr>
        <w:t xml:space="preserve">MILESTONE PAYMENTS AND </w:t>
      </w:r>
      <w:r w:rsidR="000A5491" w:rsidRPr="00127152">
        <w:rPr>
          <w:b/>
        </w:rPr>
        <w:t>CLAIMS PROCEDURE</w:t>
      </w:r>
    </w:p>
    <w:bookmarkStart w:id="2" w:name="_Ref407535676"/>
    <w:bookmarkStart w:id="3" w:name="_Ref407605571"/>
    <w:bookmarkStart w:id="4" w:name="_Ref408776660"/>
    <w:p w:rsidR="00166F4D" w:rsidRPr="00127152" w:rsidRDefault="00025FC3" w:rsidP="00D746B2">
      <w:pPr>
        <w:pStyle w:val="Level1"/>
        <w:numPr>
          <w:ilvl w:val="0"/>
          <w:numId w:val="12"/>
        </w:numPr>
      </w:pPr>
      <w:r>
        <w:rPr>
          <w:rStyle w:val="Level1asHeadingtext"/>
        </w:rPr>
        <w:fldChar w:fldCharType="begin"/>
      </w:r>
      <w:r w:rsidRPr="00025FC3">
        <w:instrText xml:space="preserve">  TC "</w:instrText>
      </w:r>
      <w:r>
        <w:fldChar w:fldCharType="begin"/>
      </w:r>
      <w:r w:rsidRPr="00025FC3">
        <w:instrText xml:space="preserve"> REF _Ref425717671 \r </w:instrText>
      </w:r>
      <w:r>
        <w:fldChar w:fldCharType="separate"/>
      </w:r>
      <w:bookmarkStart w:id="5" w:name="_Toc463354103"/>
      <w:r w:rsidR="008B179C">
        <w:instrText>1</w:instrText>
      </w:r>
      <w:r>
        <w:fldChar w:fldCharType="end"/>
      </w:r>
      <w:r>
        <w:tab/>
        <w:instrText>BACKGROUND</w:instrText>
      </w:r>
      <w:bookmarkEnd w:id="5"/>
      <w:r w:rsidRPr="00025FC3">
        <w:instrText xml:space="preserve">" \l1 </w:instrText>
      </w:r>
      <w:r>
        <w:rPr>
          <w:rStyle w:val="Level1asHeadingtext"/>
        </w:rPr>
        <w:fldChar w:fldCharType="end"/>
      </w:r>
      <w:bookmarkStart w:id="6" w:name="_Ref425717671"/>
      <w:r w:rsidR="00D010F5" w:rsidRPr="00796B31">
        <w:rPr>
          <w:rStyle w:val="Level1asHeadingtext"/>
        </w:rPr>
        <w:t>BACKGROUND</w:t>
      </w:r>
      <w:bookmarkEnd w:id="2"/>
      <w:bookmarkEnd w:id="3"/>
      <w:bookmarkEnd w:id="4"/>
      <w:bookmarkEnd w:id="6"/>
    </w:p>
    <w:p w:rsidR="009B6E3C" w:rsidRPr="00127152" w:rsidRDefault="00D010F5" w:rsidP="00796B31">
      <w:pPr>
        <w:pStyle w:val="Level2"/>
        <w:numPr>
          <w:ilvl w:val="1"/>
          <w:numId w:val="4"/>
        </w:numPr>
      </w:pPr>
      <w:r w:rsidRPr="00127152">
        <w:t xml:space="preserve">This Schedule </w:t>
      </w:r>
      <w:r w:rsidR="009B6E3C" w:rsidRPr="00127152">
        <w:t>5</w:t>
      </w:r>
      <w:r w:rsidR="00A41321" w:rsidRPr="00127152">
        <w:t>.1</w:t>
      </w:r>
      <w:r w:rsidR="00150066" w:rsidRPr="00127152">
        <w:t xml:space="preserve"> </w:t>
      </w:r>
      <w:r w:rsidRPr="00127152">
        <w:t>sets out</w:t>
      </w:r>
      <w:r w:rsidR="009B6E3C" w:rsidRPr="00127152">
        <w:t>:</w:t>
      </w:r>
    </w:p>
    <w:p w:rsidR="00E22984" w:rsidRPr="00127152" w:rsidRDefault="00E22984" w:rsidP="00796B31">
      <w:pPr>
        <w:pStyle w:val="Level3"/>
        <w:numPr>
          <w:ilvl w:val="2"/>
          <w:numId w:val="4"/>
        </w:numPr>
      </w:pPr>
      <w:r w:rsidRPr="00127152">
        <w:t>the Milestone Payment amounts associated with each Milestone;</w:t>
      </w:r>
    </w:p>
    <w:p w:rsidR="00E22984" w:rsidRPr="00127152" w:rsidRDefault="00E22984" w:rsidP="00796B31">
      <w:pPr>
        <w:pStyle w:val="Level3"/>
        <w:numPr>
          <w:ilvl w:val="2"/>
          <w:numId w:val="4"/>
        </w:numPr>
      </w:pPr>
      <w:r w:rsidRPr="00127152">
        <w:t>the claim</w:t>
      </w:r>
      <w:r w:rsidR="00567A13" w:rsidRPr="00796B31">
        <w:rPr>
          <w:lang w:val="en-GB"/>
        </w:rPr>
        <w:t>s</w:t>
      </w:r>
      <w:r w:rsidR="00567A13" w:rsidRPr="00127152">
        <w:t xml:space="preserve"> p</w:t>
      </w:r>
      <w:r w:rsidR="00567A13" w:rsidRPr="00796B31">
        <w:rPr>
          <w:lang w:val="en-GB"/>
        </w:rPr>
        <w:t>rocedure</w:t>
      </w:r>
      <w:r w:rsidR="00BB67B3" w:rsidRPr="00127152">
        <w:t xml:space="preserve"> </w:t>
      </w:r>
      <w:r w:rsidR="00567A13" w:rsidRPr="00796B31">
        <w:rPr>
          <w:lang w:val="en-GB"/>
        </w:rPr>
        <w:t>applicable to</w:t>
      </w:r>
      <w:r w:rsidR="00BB67B3" w:rsidRPr="00127152">
        <w:t xml:space="preserve"> </w:t>
      </w:r>
      <w:r w:rsidR="00567A13" w:rsidRPr="00796B31">
        <w:rPr>
          <w:lang w:val="en-GB"/>
        </w:rPr>
        <w:t>Milestone Payments</w:t>
      </w:r>
      <w:r w:rsidRPr="00127152">
        <w:t>;</w:t>
      </w:r>
    </w:p>
    <w:p w:rsidR="00E22984" w:rsidRPr="00127152" w:rsidRDefault="00E22984" w:rsidP="00796B31">
      <w:pPr>
        <w:pStyle w:val="Level3"/>
        <w:numPr>
          <w:ilvl w:val="2"/>
          <w:numId w:val="4"/>
        </w:numPr>
      </w:pPr>
      <w:r w:rsidRPr="00127152">
        <w:t>certain payment specific record keeping, a</w:t>
      </w:r>
      <w:r w:rsidR="00567A13" w:rsidRPr="00127152">
        <w:t>udit and reporting obligations</w:t>
      </w:r>
      <w:r w:rsidRPr="00127152">
        <w:t>;</w:t>
      </w:r>
    </w:p>
    <w:p w:rsidR="00E22984" w:rsidRPr="00127152" w:rsidRDefault="00E22984" w:rsidP="00796B31">
      <w:pPr>
        <w:pStyle w:val="Level3"/>
        <w:numPr>
          <w:ilvl w:val="2"/>
          <w:numId w:val="4"/>
        </w:numPr>
      </w:pPr>
      <w:r w:rsidRPr="00127152">
        <w:t xml:space="preserve">details of </w:t>
      </w:r>
      <w:r w:rsidR="00042BAA" w:rsidRPr="00C8401D">
        <w:t>classification</w:t>
      </w:r>
      <w:r w:rsidRPr="00127152">
        <w:t xml:space="preserve"> criteria </w:t>
      </w:r>
      <w:r w:rsidR="00F7005D" w:rsidRPr="00127152">
        <w:t xml:space="preserve">for </w:t>
      </w:r>
      <w:r w:rsidR="00804D9F" w:rsidRPr="00127152">
        <w:t>Qualifying</w:t>
      </w:r>
      <w:r w:rsidR="00F7005D" w:rsidRPr="00127152">
        <w:t xml:space="preserve"> Capital Expenditure</w:t>
      </w:r>
      <w:r w:rsidR="00042BAA" w:rsidRPr="00C8401D">
        <w:t>,</w:t>
      </w:r>
      <w:r w:rsidR="00E9692D" w:rsidRPr="00C8401D">
        <w:t xml:space="preserve"> Qualifying </w:t>
      </w:r>
      <w:r w:rsidR="00993E4A" w:rsidRPr="00C8401D">
        <w:t>Operati</w:t>
      </w:r>
      <w:r w:rsidR="00993E4A">
        <w:rPr>
          <w:lang w:val="en-GB"/>
        </w:rPr>
        <w:t>ng</w:t>
      </w:r>
      <w:r w:rsidR="00993E4A" w:rsidRPr="00C8401D">
        <w:t xml:space="preserve"> </w:t>
      </w:r>
      <w:r w:rsidR="00E9692D" w:rsidRPr="00C8401D">
        <w:t>Expenditure</w:t>
      </w:r>
      <w:r w:rsidR="00042BAA" w:rsidRPr="00C8401D">
        <w:t>, Non-Qualifying Capital Expenditure</w:t>
      </w:r>
      <w:bookmarkStart w:id="7" w:name="h.1fob9te" w:colFirst="0" w:colLast="0"/>
      <w:bookmarkEnd w:id="7"/>
      <w:r w:rsidR="00042BAA">
        <w:rPr>
          <w:lang w:val="en-GB"/>
        </w:rPr>
        <w:t>, Non-Qualifying Operating Expenditure and Excluded Expenditure</w:t>
      </w:r>
      <w:r w:rsidR="00D40A97" w:rsidRPr="00127152">
        <w:t>;</w:t>
      </w:r>
      <w:r w:rsidR="004F1B77" w:rsidRPr="00127152">
        <w:t xml:space="preserve"> and</w:t>
      </w:r>
    </w:p>
    <w:p w:rsidR="004F1B77" w:rsidRPr="00127152" w:rsidRDefault="00BB67B3" w:rsidP="004F1B77">
      <w:pPr>
        <w:pStyle w:val="Level3"/>
        <w:numPr>
          <w:ilvl w:val="2"/>
          <w:numId w:val="4"/>
        </w:numPr>
      </w:pPr>
      <w:r w:rsidRPr="00127152">
        <w:rPr>
          <w:lang w:val="en-GB"/>
        </w:rPr>
        <w:t>the</w:t>
      </w:r>
      <w:r w:rsidR="00E22984" w:rsidRPr="00127152">
        <w:t xml:space="preserve"> </w:t>
      </w:r>
      <w:r w:rsidR="00042BAA" w:rsidRPr="00042BAA">
        <w:rPr>
          <w:lang w:val="en-GB"/>
        </w:rPr>
        <w:t>financial</w:t>
      </w:r>
      <w:r w:rsidR="00E22984" w:rsidRPr="00127152">
        <w:t xml:space="preserve"> mechanism</w:t>
      </w:r>
      <w:r w:rsidR="00042BAA" w:rsidRPr="00042BAA">
        <w:rPr>
          <w:lang w:val="en-GB"/>
        </w:rPr>
        <w:t>s</w:t>
      </w:r>
      <w:r w:rsidR="00E22984" w:rsidRPr="00127152">
        <w:t xml:space="preserve"> applicable to </w:t>
      </w:r>
      <w:r w:rsidR="006D12B6" w:rsidRPr="00E9692D">
        <w:rPr>
          <w:lang w:val="en-GB"/>
        </w:rPr>
        <w:t xml:space="preserve">avoid </w:t>
      </w:r>
      <w:r w:rsidR="00042BAA">
        <w:rPr>
          <w:lang w:val="en-GB"/>
        </w:rPr>
        <w:t xml:space="preserve">Supplier </w:t>
      </w:r>
      <w:r w:rsidR="000B24A4" w:rsidRPr="006D12B6">
        <w:rPr>
          <w:lang w:val="en-GB"/>
        </w:rPr>
        <w:t>over-compensation</w:t>
      </w:r>
      <w:r w:rsidR="004F1B77" w:rsidRPr="00127152">
        <w:t>.</w:t>
      </w:r>
    </w:p>
    <w:p w:rsidR="003A484A" w:rsidRPr="00796B31" w:rsidRDefault="00025FC3" w:rsidP="00796B31">
      <w:pPr>
        <w:pStyle w:val="Level1"/>
        <w:keepNext/>
        <w:rPr>
          <w:rStyle w:val="Level1asHeadingtext"/>
        </w:rPr>
      </w:pPr>
      <w:r>
        <w:rPr>
          <w:rStyle w:val="Level1asHeadingtext"/>
        </w:rPr>
        <w:fldChar w:fldCharType="begin"/>
      </w:r>
      <w:r w:rsidRPr="00025FC3">
        <w:instrText xml:space="preserve">  TC "</w:instrText>
      </w:r>
      <w:r>
        <w:fldChar w:fldCharType="begin"/>
      </w:r>
      <w:r w:rsidRPr="00025FC3">
        <w:instrText xml:space="preserve"> REF _Ref425718586 \r </w:instrText>
      </w:r>
      <w:r>
        <w:fldChar w:fldCharType="separate"/>
      </w:r>
      <w:bookmarkStart w:id="8" w:name="_Toc463354104"/>
      <w:r w:rsidR="008B179C">
        <w:instrText>2</w:instrText>
      </w:r>
      <w:r>
        <w:fldChar w:fldCharType="end"/>
      </w:r>
      <w:r>
        <w:tab/>
        <w:instrText>MILESTONE PAYMENTS</w:instrText>
      </w:r>
      <w:bookmarkEnd w:id="8"/>
      <w:r w:rsidRPr="00025FC3">
        <w:instrText xml:space="preserve">" \l1 </w:instrText>
      </w:r>
      <w:r>
        <w:rPr>
          <w:rStyle w:val="Level1asHeadingtext"/>
        </w:rPr>
        <w:fldChar w:fldCharType="end"/>
      </w:r>
      <w:bookmarkStart w:id="9" w:name="_Ref408776691"/>
      <w:bookmarkStart w:id="10" w:name="_Ref425718586"/>
      <w:r w:rsidR="003A484A" w:rsidRPr="00127152">
        <w:rPr>
          <w:rStyle w:val="Level1asHeadingtext"/>
        </w:rPr>
        <w:t>Milestone payments</w:t>
      </w:r>
      <w:bookmarkEnd w:id="9"/>
      <w:bookmarkEnd w:id="10"/>
    </w:p>
    <w:p w:rsidR="006644A7" w:rsidRPr="00796B31" w:rsidRDefault="00682810" w:rsidP="00796B31">
      <w:pPr>
        <w:pStyle w:val="Level2"/>
        <w:keepNext/>
        <w:numPr>
          <w:ilvl w:val="1"/>
          <w:numId w:val="4"/>
        </w:numPr>
        <w:rPr>
          <w:b/>
          <w:caps/>
        </w:rPr>
      </w:pPr>
      <w:r w:rsidRPr="00127152">
        <w:t xml:space="preserve">The </w:t>
      </w:r>
      <w:r w:rsidR="00783028" w:rsidRPr="00127152">
        <w:t>Milestone Payments</w:t>
      </w:r>
      <w:r w:rsidRPr="00127152">
        <w:t xml:space="preserve"> payable subject to the terms of this Contract to the Supplier</w:t>
      </w:r>
      <w:r w:rsidR="00783028" w:rsidRPr="00127152">
        <w:t xml:space="preserve"> </w:t>
      </w:r>
      <w:r w:rsidR="00567A13" w:rsidRPr="00127152">
        <w:t xml:space="preserve">for </w:t>
      </w:r>
      <w:r w:rsidR="00567A13" w:rsidRPr="00796B31">
        <w:rPr>
          <w:lang w:val="en-GB"/>
        </w:rPr>
        <w:t>A</w:t>
      </w:r>
      <w:r w:rsidRPr="00127152">
        <w:t xml:space="preserve">chievement of each Milestone </w:t>
      </w:r>
      <w:r w:rsidR="00783028" w:rsidRPr="00127152">
        <w:t>(in accordance with Schedule 4.1</w:t>
      </w:r>
      <w:r w:rsidR="00711340" w:rsidRPr="00796B31">
        <w:rPr>
          <w:lang w:val="en-GB"/>
        </w:rPr>
        <w:t xml:space="preserve"> </w:t>
      </w:r>
      <w:r w:rsidR="000A4708" w:rsidRPr="00796B31">
        <w:rPr>
          <w:lang w:val="en-GB"/>
        </w:rPr>
        <w:t>(Implementation)</w:t>
      </w:r>
      <w:r w:rsidR="00783028" w:rsidRPr="00127152">
        <w:t xml:space="preserve">) </w:t>
      </w:r>
      <w:r w:rsidRPr="00127152">
        <w:t xml:space="preserve">are as detailed in Appendix </w:t>
      </w:r>
      <w:r w:rsidR="00B42F8A" w:rsidRPr="00127152">
        <w:t>1</w:t>
      </w:r>
      <w:r w:rsidRPr="00127152">
        <w:t xml:space="preserve"> to this </w:t>
      </w:r>
      <w:r w:rsidR="00E22984" w:rsidRPr="00127152">
        <w:t>Schedule</w:t>
      </w:r>
      <w:r w:rsidR="00E65CDC" w:rsidRPr="00796B31">
        <w:rPr>
          <w:lang w:val="en-GB"/>
        </w:rPr>
        <w:t xml:space="preserve"> 5.1</w:t>
      </w:r>
      <w:r w:rsidR="00E22984" w:rsidRPr="00127152">
        <w:t>.</w:t>
      </w:r>
    </w:p>
    <w:p w:rsidR="009F759E" w:rsidRPr="0069541F" w:rsidRDefault="009F759E" w:rsidP="009F759E">
      <w:pPr>
        <w:pStyle w:val="Level2"/>
      </w:pPr>
      <w:bookmarkStart w:id="11" w:name="_Ref454458046"/>
      <w:bookmarkStart w:id="12" w:name="_Ref454547431"/>
      <w:r w:rsidRPr="0069541F">
        <w:rPr>
          <w:lang w:val="en-GB"/>
        </w:rPr>
        <w:t>I</w:t>
      </w:r>
      <w:r w:rsidRPr="0069541F">
        <w:t>f actual cost for a Milestone Payment is impacted or is anticipated to be impacted due to:</w:t>
      </w:r>
      <w:bookmarkEnd w:id="11"/>
      <w:r w:rsidRPr="0069541F">
        <w:t xml:space="preserve"> </w:t>
      </w:r>
    </w:p>
    <w:p w:rsidR="009F759E" w:rsidRPr="0069541F" w:rsidRDefault="00993E4A" w:rsidP="009F759E">
      <w:pPr>
        <w:pStyle w:val="Level3"/>
      </w:pPr>
      <w:r>
        <w:rPr>
          <w:lang w:val="en-GB"/>
        </w:rPr>
        <w:t xml:space="preserve">a </w:t>
      </w:r>
      <w:r w:rsidR="009F759E" w:rsidRPr="0069541F">
        <w:t>Post</w:t>
      </w:r>
      <w:r>
        <w:rPr>
          <w:lang w:val="en-GB"/>
        </w:rPr>
        <w:t>-</w:t>
      </w:r>
      <w:r w:rsidR="009F759E" w:rsidRPr="0069541F">
        <w:t xml:space="preserve">Effective Date Survey completion taking into account the Survey Assumptions in accordance with paragraph </w:t>
      </w:r>
      <w:r w:rsidR="00042BAA" w:rsidRPr="00042BAA">
        <w:rPr>
          <w:lang w:val="en-GB"/>
        </w:rPr>
        <w:t>8</w:t>
      </w:r>
      <w:r w:rsidR="009F759E" w:rsidRPr="0069541F">
        <w:t xml:space="preserve"> of Schedule </w:t>
      </w:r>
      <w:r w:rsidR="00042BAA" w:rsidRPr="00042BAA">
        <w:rPr>
          <w:lang w:val="en-GB"/>
        </w:rPr>
        <w:t>4</w:t>
      </w:r>
      <w:r w:rsidR="009F759E" w:rsidRPr="0069541F">
        <w:t>.1</w:t>
      </w:r>
      <w:r w:rsidR="00830956" w:rsidRPr="00830956">
        <w:rPr>
          <w:lang w:val="en-GB"/>
        </w:rPr>
        <w:t xml:space="preserve"> (Implementation)</w:t>
      </w:r>
      <w:r w:rsidR="009F759E" w:rsidRPr="0069541F">
        <w:t>;</w:t>
      </w:r>
    </w:p>
    <w:p w:rsidR="001D2826" w:rsidRPr="001D2826" w:rsidRDefault="001D2826" w:rsidP="009F759E">
      <w:pPr>
        <w:pStyle w:val="Level3"/>
      </w:pPr>
      <w:r w:rsidRPr="0069541F">
        <w:t xml:space="preserve">the cost of Network Deployment to affected Premises </w:t>
      </w:r>
      <w:r>
        <w:rPr>
          <w:lang w:val="en-GB"/>
        </w:rPr>
        <w:t xml:space="preserve">being </w:t>
      </w:r>
      <w:r w:rsidR="00830956">
        <w:rPr>
          <w:lang w:val="en-GB"/>
        </w:rPr>
        <w:t>likely</w:t>
      </w:r>
      <w:r w:rsidRPr="0069541F">
        <w:t xml:space="preserve"> to exceed the </w:t>
      </w:r>
      <w:r>
        <w:rPr>
          <w:lang w:val="en-GB"/>
        </w:rPr>
        <w:t xml:space="preserve">higher of the </w:t>
      </w:r>
      <w:r w:rsidRPr="0069541F">
        <w:t>Premises Cap</w:t>
      </w:r>
      <w:r>
        <w:rPr>
          <w:lang w:val="en-GB"/>
        </w:rPr>
        <w:t xml:space="preserve"> or </w:t>
      </w:r>
      <w:r w:rsidRPr="00D806CE">
        <w:t>cost forecast for the affected End User Premises at M0</w:t>
      </w:r>
      <w:r>
        <w:rPr>
          <w:lang w:val="en-GB"/>
        </w:rPr>
        <w:t>, in accordance with paragraph 10 of Schedule 4.1</w:t>
      </w:r>
      <w:r w:rsidR="00830956">
        <w:rPr>
          <w:lang w:val="en-GB"/>
        </w:rPr>
        <w:t xml:space="preserve"> (Implementation);</w:t>
      </w:r>
    </w:p>
    <w:p w:rsidR="009F759E" w:rsidRPr="0069541F" w:rsidRDefault="00993E4A" w:rsidP="009F759E">
      <w:pPr>
        <w:pStyle w:val="Level3"/>
      </w:pPr>
      <w:r>
        <w:rPr>
          <w:lang w:val="en-GB"/>
        </w:rPr>
        <w:t xml:space="preserve">a </w:t>
      </w:r>
      <w:r w:rsidR="009F759E" w:rsidRPr="0069541F">
        <w:t>Relief Event;</w:t>
      </w:r>
    </w:p>
    <w:p w:rsidR="009F759E" w:rsidRPr="0069541F" w:rsidRDefault="00993E4A" w:rsidP="009F759E">
      <w:pPr>
        <w:pStyle w:val="Level3"/>
      </w:pPr>
      <w:r>
        <w:rPr>
          <w:lang w:val="en-GB"/>
        </w:rPr>
        <w:t xml:space="preserve">a </w:t>
      </w:r>
      <w:r w:rsidR="009F759E">
        <w:t>Force Majeure Event;</w:t>
      </w:r>
      <w:r w:rsidR="001D2826">
        <w:rPr>
          <w:lang w:val="en-GB"/>
        </w:rPr>
        <w:t xml:space="preserve"> or</w:t>
      </w:r>
    </w:p>
    <w:p w:rsidR="009F759E" w:rsidRPr="0069541F" w:rsidRDefault="00993E4A" w:rsidP="009F759E">
      <w:pPr>
        <w:pStyle w:val="Level3"/>
      </w:pPr>
      <w:r w:rsidRPr="001D2826">
        <w:rPr>
          <w:lang w:val="en-GB"/>
        </w:rPr>
        <w:t xml:space="preserve">a </w:t>
      </w:r>
      <w:r w:rsidR="001D2826">
        <w:t>Specific Change in Law</w:t>
      </w:r>
      <w:r w:rsidR="001D2826">
        <w:rPr>
          <w:lang w:val="en-GB"/>
        </w:rPr>
        <w:t>,</w:t>
      </w:r>
    </w:p>
    <w:p w:rsidR="009F759E" w:rsidRPr="00F22772" w:rsidRDefault="009F759E" w:rsidP="009F759E">
      <w:pPr>
        <w:pStyle w:val="Level1"/>
        <w:numPr>
          <w:ilvl w:val="0"/>
          <w:numId w:val="0"/>
        </w:numPr>
        <w:ind w:left="851"/>
        <w:rPr>
          <w:lang w:val="en-GB"/>
        </w:rPr>
      </w:pPr>
      <w:r w:rsidRPr="00D03E00">
        <w:t xml:space="preserve">then any adjustment to the Milestone Payments shall be dealt with in accordance with the mechanisms </w:t>
      </w:r>
      <w:r w:rsidR="001D2826">
        <w:rPr>
          <w:lang w:val="en-GB"/>
        </w:rPr>
        <w:t>set out in</w:t>
      </w:r>
      <w:r w:rsidRPr="00D03E00">
        <w:t xml:space="preserve"> this Contract. </w:t>
      </w:r>
    </w:p>
    <w:p w:rsidR="008801FB" w:rsidRPr="00FA574A" w:rsidRDefault="009F759E" w:rsidP="008801FB">
      <w:pPr>
        <w:pStyle w:val="Level2"/>
      </w:pPr>
      <w:bookmarkStart w:id="13" w:name="_Ref454816429"/>
      <w:r>
        <w:rPr>
          <w:lang w:val="en-GB"/>
        </w:rPr>
        <w:t>Notwithstanding the above provisions</w:t>
      </w:r>
      <w:r w:rsidR="00042BAA">
        <w:rPr>
          <w:lang w:val="en-GB"/>
        </w:rPr>
        <w:t xml:space="preserve"> of this paragraph </w:t>
      </w:r>
      <w:r w:rsidR="00042BAA">
        <w:rPr>
          <w:lang w:val="en-GB"/>
        </w:rPr>
        <w:fldChar w:fldCharType="begin"/>
      </w:r>
      <w:r w:rsidR="00042BAA">
        <w:rPr>
          <w:lang w:val="en-GB"/>
        </w:rPr>
        <w:instrText xml:space="preserve"> REF _Ref408776691 \r \h </w:instrText>
      </w:r>
      <w:r w:rsidR="00042BAA">
        <w:rPr>
          <w:lang w:val="en-GB"/>
        </w:rPr>
      </w:r>
      <w:r w:rsidR="00042BAA">
        <w:rPr>
          <w:lang w:val="en-GB"/>
        </w:rPr>
        <w:fldChar w:fldCharType="separate"/>
      </w:r>
      <w:r w:rsidR="008B179C">
        <w:rPr>
          <w:lang w:val="en-GB"/>
        </w:rPr>
        <w:t>2</w:t>
      </w:r>
      <w:r w:rsidR="00042BAA">
        <w:rPr>
          <w:lang w:val="en-GB"/>
        </w:rPr>
        <w:fldChar w:fldCharType="end"/>
      </w:r>
      <w:r>
        <w:rPr>
          <w:lang w:val="en-GB"/>
        </w:rPr>
        <w:t>, t</w:t>
      </w:r>
      <w:r w:rsidR="008801FB" w:rsidRPr="00FA574A">
        <w:t xml:space="preserve">he Supplier shall </w:t>
      </w:r>
      <w:r w:rsidR="00042BAA" w:rsidRPr="00042BAA">
        <w:rPr>
          <w:lang w:val="en-GB"/>
        </w:rPr>
        <w:t xml:space="preserve">in any event </w:t>
      </w:r>
      <w:r w:rsidR="008801FB" w:rsidRPr="00FA574A">
        <w:t xml:space="preserve">only be entitled to claim the lower </w:t>
      </w:r>
      <w:r w:rsidR="00EF3005">
        <w:t>of</w:t>
      </w:r>
      <w:r w:rsidR="00EF3005" w:rsidRPr="00EF3005">
        <w:rPr>
          <w:lang w:val="en-GB"/>
        </w:rPr>
        <w:t xml:space="preserve"> </w:t>
      </w:r>
      <w:r w:rsidR="00EF3005">
        <w:t>the</w:t>
      </w:r>
      <w:r w:rsidR="00EF3005" w:rsidRPr="00EF3005">
        <w:rPr>
          <w:lang w:val="en-GB"/>
        </w:rPr>
        <w:t xml:space="preserve"> </w:t>
      </w:r>
      <w:r w:rsidR="00EF3005">
        <w:rPr>
          <w:lang w:val="en-GB"/>
        </w:rPr>
        <w:t xml:space="preserve">(up to that point) </w:t>
      </w:r>
      <w:r w:rsidR="00EF3005" w:rsidRPr="00EF3005">
        <w:rPr>
          <w:lang w:val="en-GB"/>
        </w:rPr>
        <w:t>unclaimed balance of</w:t>
      </w:r>
      <w:r w:rsidR="008801FB" w:rsidRPr="00FA574A">
        <w:t>:</w:t>
      </w:r>
      <w:bookmarkEnd w:id="12"/>
      <w:bookmarkEnd w:id="13"/>
    </w:p>
    <w:p w:rsidR="00FB6789" w:rsidRPr="00FB6789" w:rsidRDefault="008801FB" w:rsidP="008801FB">
      <w:pPr>
        <w:pStyle w:val="Level3"/>
      </w:pPr>
      <w:r w:rsidRPr="00150F5A">
        <w:t xml:space="preserve">cumulative </w:t>
      </w:r>
      <w:r w:rsidRPr="00FA574A">
        <w:t>Milestone Payment</w:t>
      </w:r>
      <w:r w:rsidRPr="00150F5A">
        <w:t>s for Achieved Milestones</w:t>
      </w:r>
      <w:r w:rsidR="00EF3005">
        <w:t>;</w:t>
      </w:r>
    </w:p>
    <w:p w:rsidR="008801FB" w:rsidRPr="00FB6789" w:rsidRDefault="00FE6B02" w:rsidP="00EF3005">
      <w:pPr>
        <w:pStyle w:val="Level3"/>
      </w:pPr>
      <w:r>
        <w:rPr>
          <w:lang w:val="en-GB"/>
        </w:rPr>
        <w:t>(</w:t>
      </w:r>
      <w:r w:rsidR="008801FB">
        <w:t xml:space="preserve">cumulative </w:t>
      </w:r>
      <w:r w:rsidR="008801FB" w:rsidRPr="00FA574A">
        <w:t xml:space="preserve">Actual Qualifying Capital </w:t>
      </w:r>
      <w:r w:rsidR="008801FB">
        <w:t>Expenditure</w:t>
      </w:r>
      <w:r w:rsidR="008801FB" w:rsidRPr="00FA574A">
        <w:t xml:space="preserve"> </w:t>
      </w:r>
      <w:r w:rsidR="00FB6789" w:rsidRPr="00FB6789">
        <w:rPr>
          <w:lang w:val="en-GB"/>
        </w:rPr>
        <w:t>plus Actual Qualifying Operating Expenditure</w:t>
      </w:r>
      <w:r>
        <w:rPr>
          <w:lang w:val="en-GB"/>
        </w:rPr>
        <w:t>)</w:t>
      </w:r>
      <w:r w:rsidR="00FB6789" w:rsidRPr="00FB6789">
        <w:rPr>
          <w:lang w:val="en-GB"/>
        </w:rPr>
        <w:t xml:space="preserve"> </w:t>
      </w:r>
      <w:r w:rsidR="008801FB" w:rsidRPr="00FA574A">
        <w:t>x (1-PIR)</w:t>
      </w:r>
      <w:r w:rsidR="008801FB">
        <w:t xml:space="preserve"> for Achieved Milestones</w:t>
      </w:r>
      <w:r w:rsidR="00FB6789" w:rsidRPr="00FB6789">
        <w:rPr>
          <w:lang w:val="en-GB"/>
        </w:rPr>
        <w:t>;</w:t>
      </w:r>
      <w:r w:rsidR="00FB6789">
        <w:rPr>
          <w:lang w:val="en-GB"/>
        </w:rPr>
        <w:t xml:space="preserve"> or</w:t>
      </w:r>
    </w:p>
    <w:p w:rsidR="00FB6789" w:rsidRPr="008801FB" w:rsidRDefault="00FB6789" w:rsidP="008801FB">
      <w:pPr>
        <w:pStyle w:val="Level3"/>
      </w:pPr>
      <w:r w:rsidRPr="00FB6789">
        <w:rPr>
          <w:lang w:val="en-GB"/>
        </w:rPr>
        <w:t>cumulative Actual Qualifying Capital Expenditure</w:t>
      </w:r>
      <w:r w:rsidR="00EF3005">
        <w:rPr>
          <w:lang w:val="en-GB"/>
        </w:rPr>
        <w:t xml:space="preserve"> </w:t>
      </w:r>
      <w:r w:rsidR="00EF3005" w:rsidRPr="00150F5A">
        <w:t>for Achieved Milestones</w:t>
      </w:r>
      <w:r w:rsidRPr="00FB6789">
        <w:rPr>
          <w:lang w:val="en-GB"/>
        </w:rPr>
        <w:t>.</w:t>
      </w:r>
    </w:p>
    <w:p w:rsidR="00652473" w:rsidRPr="00C34922" w:rsidRDefault="00652473" w:rsidP="00652473">
      <w:pPr>
        <w:pStyle w:val="Level2"/>
      </w:pPr>
      <w:bookmarkStart w:id="14" w:name="_Ref459889888"/>
      <w:r>
        <w:t>Qualifying Capital Expenditure</w:t>
      </w:r>
      <w:r w:rsidR="00FE6B02">
        <w:rPr>
          <w:lang w:val="en-GB"/>
        </w:rPr>
        <w:t xml:space="preserve">, </w:t>
      </w:r>
      <w:r w:rsidR="009936D6">
        <w:rPr>
          <w:lang w:val="en-GB"/>
        </w:rPr>
        <w:t xml:space="preserve">other than </w:t>
      </w:r>
      <w:r w:rsidR="00042BAA">
        <w:rPr>
          <w:lang w:val="en-GB"/>
        </w:rPr>
        <w:t xml:space="preserve">that </w:t>
      </w:r>
      <w:r w:rsidR="009936D6">
        <w:rPr>
          <w:lang w:val="en-GB"/>
        </w:rPr>
        <w:t xml:space="preserve">falling within the scope of </w:t>
      </w:r>
      <w:r w:rsidR="00FE6B02">
        <w:rPr>
          <w:lang w:val="en-GB"/>
        </w:rPr>
        <w:t xml:space="preserve">paragraph </w:t>
      </w:r>
      <w:r w:rsidR="00042BAA">
        <w:rPr>
          <w:lang w:val="en-GB"/>
        </w:rPr>
        <w:fldChar w:fldCharType="begin"/>
      </w:r>
      <w:r w:rsidR="00042BAA">
        <w:rPr>
          <w:lang w:val="en-GB"/>
        </w:rPr>
        <w:instrText xml:space="preserve"> REF _Ref454818930 \r \h </w:instrText>
      </w:r>
      <w:r w:rsidR="00042BAA">
        <w:rPr>
          <w:lang w:val="en-GB"/>
        </w:rPr>
      </w:r>
      <w:r w:rsidR="00042BAA">
        <w:rPr>
          <w:lang w:val="en-GB"/>
        </w:rPr>
        <w:fldChar w:fldCharType="separate"/>
      </w:r>
      <w:r w:rsidR="008B179C">
        <w:rPr>
          <w:lang w:val="en-GB"/>
        </w:rPr>
        <w:t>2.5</w:t>
      </w:r>
      <w:r w:rsidR="00042BAA">
        <w:rPr>
          <w:lang w:val="en-GB"/>
        </w:rPr>
        <w:fldChar w:fldCharType="end"/>
      </w:r>
      <w:r w:rsidR="00FE6B02">
        <w:rPr>
          <w:lang w:val="en-GB"/>
        </w:rPr>
        <w:t xml:space="preserve">, </w:t>
      </w:r>
      <w:r w:rsidR="005529A2" w:rsidRPr="00921850">
        <w:rPr>
          <w:lang w:val="en-GB"/>
        </w:rPr>
        <w:t xml:space="preserve">for an Achieved Milestone </w:t>
      </w:r>
      <w:r w:rsidRPr="000C5F60">
        <w:t>may only be cl</w:t>
      </w:r>
      <w:r>
        <w:t>ai</w:t>
      </w:r>
      <w:r w:rsidRPr="000C5F60">
        <w:t xml:space="preserve">med </w:t>
      </w:r>
      <w:r>
        <w:t>(</w:t>
      </w:r>
      <w:r w:rsidRPr="000C5F60">
        <w:t xml:space="preserve">and </w:t>
      </w:r>
      <w:r w:rsidRPr="002D4717">
        <w:t>Qualifying Operating Expenditure</w:t>
      </w:r>
      <w:r>
        <w:t xml:space="preserve"> </w:t>
      </w:r>
      <w:r w:rsidRPr="000C5F60">
        <w:t xml:space="preserve">may only </w:t>
      </w:r>
      <w:r w:rsidR="009936D6" w:rsidRPr="00921850">
        <w:rPr>
          <w:lang w:val="en-GB"/>
        </w:rPr>
        <w:t xml:space="preserve">be </w:t>
      </w:r>
      <w:r w:rsidR="00D03E00" w:rsidRPr="00D03E00">
        <w:rPr>
          <w:lang w:val="en-GB"/>
        </w:rPr>
        <w:t>counted</w:t>
      </w:r>
      <w:r>
        <w:t xml:space="preserve"> within the mechanisms under this Schedule 5.1), by </w:t>
      </w:r>
      <w:r>
        <w:lastRenderedPageBreak/>
        <w:t xml:space="preserve">the end of the </w:t>
      </w:r>
      <w:r w:rsidR="00D20C33" w:rsidRPr="00D17E00">
        <w:rPr>
          <w:lang w:val="en-GB"/>
        </w:rPr>
        <w:t xml:space="preserve">second </w:t>
      </w:r>
      <w:r w:rsidR="00817961" w:rsidRPr="00C34922">
        <w:rPr>
          <w:lang w:val="en-GB"/>
        </w:rPr>
        <w:t>Q</w:t>
      </w:r>
      <w:r>
        <w:t xml:space="preserve">uarter immediately following the </w:t>
      </w:r>
      <w:r w:rsidR="00817961" w:rsidRPr="00C34922">
        <w:rPr>
          <w:lang w:val="en-GB"/>
        </w:rPr>
        <w:t>Q</w:t>
      </w:r>
      <w:r>
        <w:t xml:space="preserve">uarter in which the </w:t>
      </w:r>
      <w:r w:rsidR="005529A2">
        <w:rPr>
          <w:lang w:val="en-GB"/>
        </w:rPr>
        <w:t>corresponding</w:t>
      </w:r>
      <w:r w:rsidR="00FE6B02">
        <w:rPr>
          <w:lang w:val="en-GB"/>
        </w:rPr>
        <w:t xml:space="preserve"> </w:t>
      </w:r>
      <w:r w:rsidR="005529A2">
        <w:rPr>
          <w:lang w:val="en-GB"/>
        </w:rPr>
        <w:t>M</w:t>
      </w:r>
      <w:r w:rsidR="00DB5FBC">
        <w:rPr>
          <w:lang w:val="en-GB"/>
        </w:rPr>
        <w:t xml:space="preserve">ilestone </w:t>
      </w:r>
      <w:r w:rsidR="005529A2">
        <w:rPr>
          <w:lang w:val="en-GB"/>
        </w:rPr>
        <w:t>A</w:t>
      </w:r>
      <w:r w:rsidR="00DB5FBC">
        <w:rPr>
          <w:lang w:val="en-GB"/>
        </w:rPr>
        <w:t xml:space="preserve">chievement </w:t>
      </w:r>
      <w:r w:rsidR="005529A2">
        <w:rPr>
          <w:lang w:val="en-GB"/>
        </w:rPr>
        <w:t>C</w:t>
      </w:r>
      <w:r w:rsidR="00DB5FBC">
        <w:rPr>
          <w:lang w:val="en-GB"/>
        </w:rPr>
        <w:t>ertificate</w:t>
      </w:r>
      <w:r w:rsidR="005529A2">
        <w:rPr>
          <w:lang w:val="en-GB"/>
        </w:rPr>
        <w:t xml:space="preserve"> is issued by the Authority</w:t>
      </w:r>
      <w:r>
        <w:t>.</w:t>
      </w:r>
      <w:r w:rsidR="00D03E00" w:rsidRPr="00D03E00">
        <w:rPr>
          <w:lang w:val="en-GB"/>
        </w:rPr>
        <w:t xml:space="preserve"> A</w:t>
      </w:r>
      <w:r w:rsidR="00D03E00">
        <w:rPr>
          <w:lang w:val="en-GB"/>
        </w:rPr>
        <w:t xml:space="preserve">ny </w:t>
      </w:r>
      <w:r w:rsidR="00042BAA">
        <w:rPr>
          <w:lang w:val="en-GB"/>
        </w:rPr>
        <w:t xml:space="preserve">such </w:t>
      </w:r>
      <w:r w:rsidR="00D03E00">
        <w:t xml:space="preserve">Qualifying Capital Expenditure </w:t>
      </w:r>
      <w:r w:rsidR="00D03E00" w:rsidRPr="00D03E00">
        <w:rPr>
          <w:lang w:val="en-GB"/>
        </w:rPr>
        <w:t xml:space="preserve">not claimed within that period </w:t>
      </w:r>
      <w:r w:rsidR="00627B56">
        <w:rPr>
          <w:lang w:val="en-GB"/>
        </w:rPr>
        <w:t>can</w:t>
      </w:r>
      <w:r w:rsidR="00D03E00">
        <w:rPr>
          <w:lang w:val="en-GB"/>
        </w:rPr>
        <w:t>not be claimed from the Authority nor applied within any of the mechanisms under this Schedule 5.1</w:t>
      </w:r>
      <w:r w:rsidR="00627B56">
        <w:rPr>
          <w:lang w:val="en-GB"/>
        </w:rPr>
        <w:t xml:space="preserve"> but the corresponding parts of the Network to which the </w:t>
      </w:r>
      <w:r w:rsidR="002C1CBD">
        <w:rPr>
          <w:lang w:val="en-GB"/>
        </w:rPr>
        <w:t>e</w:t>
      </w:r>
      <w:r w:rsidR="00627B56">
        <w:rPr>
          <w:lang w:val="en-GB"/>
        </w:rPr>
        <w:t>xpenditure relates will otherwise remain subject to the terms of this Agreement</w:t>
      </w:r>
      <w:r w:rsidR="00D03E00">
        <w:rPr>
          <w:lang w:val="en-GB"/>
        </w:rPr>
        <w:t>.</w:t>
      </w:r>
      <w:bookmarkEnd w:id="14"/>
    </w:p>
    <w:p w:rsidR="00FE6B02" w:rsidRPr="00D17E00" w:rsidRDefault="008B7186" w:rsidP="00592FD0">
      <w:pPr>
        <w:pStyle w:val="Level2"/>
      </w:pPr>
      <w:bookmarkStart w:id="15" w:name="_Ref454818930"/>
      <w:r>
        <w:t xml:space="preserve">Qualifying Capital Expenditure that </w:t>
      </w:r>
      <w:r w:rsidR="009936D6">
        <w:t>can</w:t>
      </w:r>
      <w:r>
        <w:t xml:space="preserve">not </w:t>
      </w:r>
      <w:r w:rsidR="009936D6">
        <w:t xml:space="preserve">be </w:t>
      </w:r>
      <w:r>
        <w:t>directly and uniquely associated with any given milestone (</w:t>
      </w:r>
      <w:r w:rsidR="00DB5FBC">
        <w:t>i.e.</w:t>
      </w:r>
      <w:r>
        <w:t xml:space="preserve"> </w:t>
      </w:r>
      <w:r w:rsidR="00042BAA">
        <w:t>“</w:t>
      </w:r>
      <w:r w:rsidR="00042BAA" w:rsidRPr="00042BAA">
        <w:rPr>
          <w:lang w:val="en-GB"/>
        </w:rPr>
        <w:t>t</w:t>
      </w:r>
      <w:r w:rsidR="00FE6B02">
        <w:t xml:space="preserve">ime based” NGA </w:t>
      </w:r>
      <w:r w:rsidR="00042BAA" w:rsidRPr="00042BAA">
        <w:rPr>
          <w:lang w:val="en-GB"/>
        </w:rPr>
        <w:t xml:space="preserve">Network </w:t>
      </w:r>
      <w:r w:rsidR="00FE6B02">
        <w:t xml:space="preserve">Build </w:t>
      </w:r>
      <w:r w:rsidR="00042BAA" w:rsidRPr="00042BAA">
        <w:rPr>
          <w:lang w:val="en-GB"/>
        </w:rPr>
        <w:t>C</w:t>
      </w:r>
      <w:r w:rsidR="00FE6B02">
        <w:t>osts</w:t>
      </w:r>
      <w:r>
        <w:t xml:space="preserve"> such as PMO)</w:t>
      </w:r>
      <w:r w:rsidR="00FE6B02">
        <w:t xml:space="preserve">, </w:t>
      </w:r>
      <w:r w:rsidR="009936D6" w:rsidRPr="009936D6">
        <w:rPr>
          <w:lang w:val="en-GB"/>
        </w:rPr>
        <w:t xml:space="preserve">may only be claimed (and Qualifying Operating Expenditure may only </w:t>
      </w:r>
      <w:r w:rsidR="009936D6">
        <w:rPr>
          <w:lang w:val="en-GB"/>
        </w:rPr>
        <w:t xml:space="preserve">be </w:t>
      </w:r>
      <w:r w:rsidR="009936D6" w:rsidRPr="009936D6">
        <w:rPr>
          <w:lang w:val="en-GB"/>
        </w:rPr>
        <w:t xml:space="preserve">counted within the mechanisms under this Schedule 5.1), by the end of the Quarter immediately following the Quarter in which the relevant </w:t>
      </w:r>
      <w:r w:rsidR="009936D6">
        <w:rPr>
          <w:lang w:val="en-GB"/>
        </w:rPr>
        <w:t>cost is incurred</w:t>
      </w:r>
      <w:r w:rsidR="00B90FBA">
        <w:t>.</w:t>
      </w:r>
      <w:r w:rsidR="009936D6" w:rsidRPr="00921850">
        <w:rPr>
          <w:lang w:val="en-GB"/>
        </w:rPr>
        <w:t xml:space="preserve"> </w:t>
      </w:r>
      <w:r w:rsidR="009936D6" w:rsidRPr="00D03E00">
        <w:rPr>
          <w:lang w:val="en-GB"/>
        </w:rPr>
        <w:t>A</w:t>
      </w:r>
      <w:r w:rsidR="009936D6">
        <w:rPr>
          <w:lang w:val="en-GB"/>
        </w:rPr>
        <w:t xml:space="preserve">ny </w:t>
      </w:r>
      <w:r w:rsidR="00042BAA">
        <w:rPr>
          <w:lang w:val="en-GB"/>
        </w:rPr>
        <w:t xml:space="preserve">such </w:t>
      </w:r>
      <w:r w:rsidR="009936D6">
        <w:t xml:space="preserve">Qualifying Capital Expenditure </w:t>
      </w:r>
      <w:r w:rsidR="009936D6" w:rsidRPr="00D03E00">
        <w:rPr>
          <w:lang w:val="en-GB"/>
        </w:rPr>
        <w:t xml:space="preserve">not claimed within that period </w:t>
      </w:r>
      <w:r w:rsidR="00627B56">
        <w:rPr>
          <w:lang w:val="en-GB"/>
        </w:rPr>
        <w:t>can</w:t>
      </w:r>
      <w:r w:rsidR="009936D6">
        <w:rPr>
          <w:lang w:val="en-GB"/>
        </w:rPr>
        <w:t>not be claimed from the Authority nor applied within any of the mechanisms under this Schedule 5.1</w:t>
      </w:r>
      <w:r w:rsidR="00627B56">
        <w:rPr>
          <w:lang w:val="en-GB"/>
        </w:rPr>
        <w:t xml:space="preserve"> but the corresponding parts of the Network to which the </w:t>
      </w:r>
      <w:r w:rsidR="002C1CBD">
        <w:rPr>
          <w:lang w:val="en-GB"/>
        </w:rPr>
        <w:t>e</w:t>
      </w:r>
      <w:r w:rsidR="00627B56">
        <w:rPr>
          <w:lang w:val="en-GB"/>
        </w:rPr>
        <w:t>xpenditure relates will otherwise remain subject to the terms of this Agreement</w:t>
      </w:r>
      <w:r w:rsidR="009936D6">
        <w:rPr>
          <w:lang w:val="en-GB"/>
        </w:rPr>
        <w:t>.</w:t>
      </w:r>
      <w:bookmarkEnd w:id="15"/>
    </w:p>
    <w:p w:rsidR="00592FD0" w:rsidRPr="000C5F60" w:rsidRDefault="00592FD0" w:rsidP="00592FD0">
      <w:pPr>
        <w:pStyle w:val="Level2"/>
      </w:pPr>
      <w:r>
        <w:rPr>
          <w:lang w:val="en-GB"/>
        </w:rPr>
        <w:t xml:space="preserve">Paragraphs </w:t>
      </w:r>
      <w:r>
        <w:rPr>
          <w:lang w:val="en-GB"/>
        </w:rPr>
        <w:fldChar w:fldCharType="begin"/>
      </w:r>
      <w:r>
        <w:rPr>
          <w:lang w:val="en-GB"/>
        </w:rPr>
        <w:instrText xml:space="preserve"> REF _Ref459889888 \r \h </w:instrText>
      </w:r>
      <w:r>
        <w:rPr>
          <w:lang w:val="en-GB"/>
        </w:rPr>
      </w:r>
      <w:r>
        <w:rPr>
          <w:lang w:val="en-GB"/>
        </w:rPr>
        <w:fldChar w:fldCharType="separate"/>
      </w:r>
      <w:r w:rsidR="008B179C">
        <w:rPr>
          <w:lang w:val="en-GB"/>
        </w:rPr>
        <w:t>2.4</w:t>
      </w:r>
      <w:r>
        <w:rPr>
          <w:lang w:val="en-GB"/>
        </w:rPr>
        <w:fldChar w:fldCharType="end"/>
      </w:r>
      <w:r>
        <w:rPr>
          <w:lang w:val="en-GB"/>
        </w:rPr>
        <w:t xml:space="preserve"> and </w:t>
      </w:r>
      <w:r>
        <w:rPr>
          <w:lang w:val="en-GB"/>
        </w:rPr>
        <w:fldChar w:fldCharType="begin"/>
      </w:r>
      <w:r>
        <w:rPr>
          <w:lang w:val="en-GB"/>
        </w:rPr>
        <w:instrText xml:space="preserve"> REF _Ref454818930 \r \h </w:instrText>
      </w:r>
      <w:r>
        <w:rPr>
          <w:lang w:val="en-GB"/>
        </w:rPr>
      </w:r>
      <w:r>
        <w:rPr>
          <w:lang w:val="en-GB"/>
        </w:rPr>
        <w:fldChar w:fldCharType="separate"/>
      </w:r>
      <w:r w:rsidR="008B179C">
        <w:rPr>
          <w:lang w:val="en-GB"/>
        </w:rPr>
        <w:t>2.5</w:t>
      </w:r>
      <w:r>
        <w:rPr>
          <w:lang w:val="en-GB"/>
        </w:rPr>
        <w:fldChar w:fldCharType="end"/>
      </w:r>
      <w:r>
        <w:rPr>
          <w:lang w:val="en-GB"/>
        </w:rPr>
        <w:t xml:space="preserve"> above are s</w:t>
      </w:r>
      <w:r w:rsidRPr="00592FD0">
        <w:rPr>
          <w:lang w:val="en-GB"/>
        </w:rPr>
        <w:t>ubject to th</w:t>
      </w:r>
      <w:r>
        <w:rPr>
          <w:lang w:val="en-GB"/>
        </w:rPr>
        <w:t>e</w:t>
      </w:r>
      <w:r w:rsidRPr="00592FD0">
        <w:rPr>
          <w:lang w:val="en-GB"/>
        </w:rPr>
        <w:t xml:space="preserve"> </w:t>
      </w:r>
      <w:r w:rsidR="00F37EF7">
        <w:rPr>
          <w:lang w:val="en-GB"/>
        </w:rPr>
        <w:t xml:space="preserve">additional requirements </w:t>
      </w:r>
      <w:r>
        <w:rPr>
          <w:lang w:val="en-GB"/>
        </w:rPr>
        <w:t>on</w:t>
      </w:r>
      <w:r w:rsidR="009910E3">
        <w:rPr>
          <w:lang w:val="en-GB"/>
        </w:rPr>
        <w:t xml:space="preserve"> </w:t>
      </w:r>
      <w:r w:rsidR="00344279">
        <w:rPr>
          <w:lang w:val="en-GB"/>
        </w:rPr>
        <w:t xml:space="preserve">submitting Milestone Payment Claims </w:t>
      </w:r>
      <w:r>
        <w:rPr>
          <w:lang w:val="en-GB"/>
        </w:rPr>
        <w:t xml:space="preserve">for Qualifying Capital Expenditure as </w:t>
      </w:r>
      <w:r w:rsidRPr="00592FD0">
        <w:rPr>
          <w:lang w:val="en-GB"/>
        </w:rPr>
        <w:t>specified in paragraph 8.1</w:t>
      </w:r>
      <w:r>
        <w:rPr>
          <w:lang w:val="en-GB"/>
        </w:rPr>
        <w:t xml:space="preserve"> of this Schedule 5.1.</w:t>
      </w:r>
    </w:p>
    <w:p w:rsidR="00143034" w:rsidRPr="00796B31" w:rsidRDefault="00025FC3" w:rsidP="00796B31">
      <w:pPr>
        <w:pStyle w:val="Level1"/>
        <w:rPr>
          <w:rStyle w:val="Level1asHeadingtext"/>
        </w:rPr>
      </w:pPr>
      <w:r>
        <w:rPr>
          <w:rStyle w:val="Level1asHeadingtext"/>
        </w:rPr>
        <w:fldChar w:fldCharType="begin"/>
      </w:r>
      <w:r w:rsidRPr="00025FC3">
        <w:instrText xml:space="preserve">  TC "</w:instrText>
      </w:r>
      <w:r>
        <w:fldChar w:fldCharType="begin"/>
      </w:r>
      <w:r w:rsidRPr="00025FC3">
        <w:instrText xml:space="preserve"> REF _Ref425717937 \r </w:instrText>
      </w:r>
      <w:r>
        <w:fldChar w:fldCharType="separate"/>
      </w:r>
      <w:bookmarkStart w:id="16" w:name="_Toc463354105"/>
      <w:r w:rsidR="008B179C">
        <w:instrText>3</w:instrText>
      </w:r>
      <w:r>
        <w:fldChar w:fldCharType="end"/>
      </w:r>
      <w:r>
        <w:tab/>
        <w:instrText>MILESTONE PAYMENT CLAIMS</w:instrText>
      </w:r>
      <w:bookmarkEnd w:id="16"/>
      <w:r w:rsidRPr="00025FC3">
        <w:instrText xml:space="preserve">" \l1 </w:instrText>
      </w:r>
      <w:r>
        <w:rPr>
          <w:rStyle w:val="Level1asHeadingtext"/>
        </w:rPr>
        <w:fldChar w:fldCharType="end"/>
      </w:r>
      <w:bookmarkStart w:id="17" w:name="_Ref408986166"/>
      <w:bookmarkStart w:id="18" w:name="_Ref425717937"/>
      <w:r w:rsidR="00143034" w:rsidRPr="00127152">
        <w:rPr>
          <w:rStyle w:val="Level1asHeadingtext"/>
        </w:rPr>
        <w:t xml:space="preserve">Milestone </w:t>
      </w:r>
      <w:r w:rsidR="00BB67B3" w:rsidRPr="00127152">
        <w:rPr>
          <w:rStyle w:val="Level1asHeadingtext"/>
          <w:lang w:val="en-GB"/>
        </w:rPr>
        <w:t xml:space="preserve">PAYMENT </w:t>
      </w:r>
      <w:r w:rsidR="00143034" w:rsidRPr="00127152">
        <w:rPr>
          <w:rStyle w:val="Level1asHeadingtext"/>
        </w:rPr>
        <w:t>Claims</w:t>
      </w:r>
      <w:bookmarkEnd w:id="17"/>
      <w:bookmarkEnd w:id="18"/>
    </w:p>
    <w:p w:rsidR="008B7186" w:rsidRPr="00D36DBA" w:rsidRDefault="00143034" w:rsidP="00796B31">
      <w:pPr>
        <w:pStyle w:val="Level2"/>
        <w:numPr>
          <w:ilvl w:val="1"/>
          <w:numId w:val="4"/>
        </w:numPr>
      </w:pPr>
      <w:r w:rsidRPr="00095712">
        <w:t xml:space="preserve">Where the Authority has </w:t>
      </w:r>
      <w:r w:rsidR="00BB67B3" w:rsidRPr="00796B31">
        <w:rPr>
          <w:lang w:val="en-GB"/>
        </w:rPr>
        <w:t>issue</w:t>
      </w:r>
      <w:r w:rsidR="008B50AD" w:rsidRPr="00796B31">
        <w:rPr>
          <w:lang w:val="en-GB"/>
        </w:rPr>
        <w:t>d</w:t>
      </w:r>
      <w:r w:rsidRPr="00095712">
        <w:t xml:space="preserve"> a Milestone Achievement Certificate </w:t>
      </w:r>
      <w:r w:rsidR="00905676" w:rsidRPr="00796B31">
        <w:rPr>
          <w:lang w:val="en-GB"/>
        </w:rPr>
        <w:t xml:space="preserve">in respect of a Milestone </w:t>
      </w:r>
      <w:r w:rsidRPr="00095712">
        <w:t xml:space="preserve">the Supplier shall be entitled to </w:t>
      </w:r>
      <w:r w:rsidR="00CE7770" w:rsidRPr="00CE7770">
        <w:rPr>
          <w:lang w:val="en-GB"/>
        </w:rPr>
        <w:t xml:space="preserve">claim </w:t>
      </w:r>
      <w:r w:rsidR="00105FE6">
        <w:rPr>
          <w:lang w:val="en-GB"/>
        </w:rPr>
        <w:t xml:space="preserve">(subject </w:t>
      </w:r>
      <w:r w:rsidR="00344279">
        <w:rPr>
          <w:lang w:val="en-GB"/>
        </w:rPr>
        <w:t xml:space="preserve">to any constraints on </w:t>
      </w:r>
      <w:r w:rsidR="00627B56">
        <w:rPr>
          <w:lang w:val="en-GB"/>
        </w:rPr>
        <w:t>claims</w:t>
      </w:r>
      <w:r w:rsidR="00344279">
        <w:rPr>
          <w:lang w:val="en-GB"/>
        </w:rPr>
        <w:t xml:space="preserve"> specified in this Schedule</w:t>
      </w:r>
      <w:r w:rsidR="00105FE6">
        <w:rPr>
          <w:lang w:val="en-GB"/>
        </w:rPr>
        <w:t xml:space="preserve">) </w:t>
      </w:r>
      <w:r w:rsidR="00CE7770" w:rsidRPr="00CE7770">
        <w:rPr>
          <w:lang w:val="en-GB"/>
        </w:rPr>
        <w:t>the corresponding Qualifying Capital Expen</w:t>
      </w:r>
      <w:r w:rsidR="00CE7770">
        <w:rPr>
          <w:lang w:val="en-GB"/>
        </w:rPr>
        <w:t xml:space="preserve">diture in respect of that Milestone, in accordance with </w:t>
      </w:r>
      <w:r w:rsidR="00F81FD0">
        <w:rPr>
          <w:lang w:val="en-GB"/>
        </w:rPr>
        <w:t xml:space="preserve">the MPC process and other requirements of </w:t>
      </w:r>
      <w:r w:rsidR="00CE7770">
        <w:rPr>
          <w:lang w:val="en-GB"/>
        </w:rPr>
        <w:t>this Schedule</w:t>
      </w:r>
      <w:r w:rsidRPr="00D36DBA">
        <w:t>.</w:t>
      </w:r>
      <w:bookmarkStart w:id="19" w:name="_Ref124067335"/>
    </w:p>
    <w:p w:rsidR="008E588B" w:rsidRPr="00901161" w:rsidRDefault="008E588B" w:rsidP="00F86A6E">
      <w:pPr>
        <w:pStyle w:val="Level2"/>
      </w:pPr>
      <w:r w:rsidRPr="00127152">
        <w:t xml:space="preserve">The Authority shall make payment to the Supplier within </w:t>
      </w:r>
      <w:r w:rsidR="00BB67B3" w:rsidRPr="00796B31">
        <w:rPr>
          <w:lang w:val="en-GB"/>
        </w:rPr>
        <w:t>30</w:t>
      </w:r>
      <w:r w:rsidR="00BB67B3" w:rsidRPr="00127152">
        <w:t xml:space="preserve"> </w:t>
      </w:r>
      <w:r w:rsidR="005906F9">
        <w:rPr>
          <w:lang w:val="en-GB"/>
        </w:rPr>
        <w:t>calendar</w:t>
      </w:r>
      <w:r w:rsidR="005906F9" w:rsidRPr="00B0387A">
        <w:rPr>
          <w:lang w:val="en-GB"/>
        </w:rPr>
        <w:t xml:space="preserve"> </w:t>
      </w:r>
      <w:r w:rsidR="00BB67B3" w:rsidRPr="00127152">
        <w:t>days of receipt of a</w:t>
      </w:r>
      <w:r w:rsidRPr="00127152">
        <w:t xml:space="preserve"> MPC </w:t>
      </w:r>
      <w:r w:rsidR="00BB67B3" w:rsidRPr="00796B31">
        <w:rPr>
          <w:lang w:val="en-GB"/>
        </w:rPr>
        <w:t xml:space="preserve">that </w:t>
      </w:r>
      <w:r w:rsidR="00BB67B3" w:rsidRPr="00127152">
        <w:t>compl</w:t>
      </w:r>
      <w:r w:rsidR="00BB67B3" w:rsidRPr="00796B31">
        <w:rPr>
          <w:lang w:val="en-GB"/>
        </w:rPr>
        <w:t>ies</w:t>
      </w:r>
      <w:r w:rsidRPr="00127152">
        <w:t xml:space="preserve"> with th</w:t>
      </w:r>
      <w:r w:rsidR="00BB67B3" w:rsidRPr="00127152">
        <w:t>e requirements of this Schedule</w:t>
      </w:r>
      <w:r w:rsidR="00E65CDC" w:rsidRPr="00796B31">
        <w:rPr>
          <w:lang w:val="en-GB"/>
        </w:rPr>
        <w:t xml:space="preserve"> 5.1</w:t>
      </w:r>
      <w:r w:rsidRPr="00127152">
        <w:t>.</w:t>
      </w:r>
      <w:r w:rsidR="00F86A6E" w:rsidRPr="00460A2F">
        <w:rPr>
          <w:lang w:val="en-GB"/>
        </w:rPr>
        <w:t xml:space="preserve"> T</w:t>
      </w:r>
      <w:r w:rsidR="00F86A6E">
        <w:rPr>
          <w:lang w:val="en-GB"/>
        </w:rPr>
        <w:t>he Authority shall consider and verify MPCs in a timely fashion</w:t>
      </w:r>
      <w:r w:rsidR="00F86A6E" w:rsidRPr="00F86A6E">
        <w:rPr>
          <w:lang w:val="en-GB"/>
        </w:rPr>
        <w:t xml:space="preserve"> </w:t>
      </w:r>
      <w:r w:rsidR="003C3136">
        <w:rPr>
          <w:lang w:val="en-GB"/>
        </w:rPr>
        <w:t>(</w:t>
      </w:r>
      <w:r w:rsidR="00F86A6E" w:rsidRPr="00F86A6E">
        <w:rPr>
          <w:lang w:val="en-GB"/>
        </w:rPr>
        <w:t xml:space="preserve">undue delay in doing so is not to be sufficient justification for failing to regard an </w:t>
      </w:r>
      <w:r w:rsidR="003C3136">
        <w:rPr>
          <w:lang w:val="en-GB"/>
        </w:rPr>
        <w:t>MPC as complying with the requirements of this Schedule</w:t>
      </w:r>
      <w:r w:rsidR="00460A2F">
        <w:rPr>
          <w:lang w:val="en-GB"/>
        </w:rPr>
        <w:t>)</w:t>
      </w:r>
      <w:r w:rsidR="00F86A6E">
        <w:rPr>
          <w:lang w:val="en-GB"/>
        </w:rPr>
        <w:t>.</w:t>
      </w:r>
    </w:p>
    <w:p w:rsidR="00143034" w:rsidRPr="00127152" w:rsidRDefault="00143034" w:rsidP="00796B31">
      <w:pPr>
        <w:pStyle w:val="Level2"/>
        <w:numPr>
          <w:ilvl w:val="1"/>
          <w:numId w:val="4"/>
        </w:numPr>
      </w:pPr>
      <w:r w:rsidRPr="00127152">
        <w:t xml:space="preserve">The Supplier shall ensure that </w:t>
      </w:r>
      <w:r w:rsidR="00905676" w:rsidRPr="00796B31">
        <w:rPr>
          <w:lang w:val="en-GB"/>
        </w:rPr>
        <w:t xml:space="preserve">each </w:t>
      </w:r>
      <w:r w:rsidR="00905676" w:rsidRPr="00127152">
        <w:t>MPC</w:t>
      </w:r>
      <w:r w:rsidRPr="00127152">
        <w:t xml:space="preserve"> contain</w:t>
      </w:r>
      <w:r w:rsidR="00905676" w:rsidRPr="00796B31">
        <w:rPr>
          <w:lang w:val="en-GB"/>
        </w:rPr>
        <w:t>s</w:t>
      </w:r>
      <w:r w:rsidRPr="00127152">
        <w:t xml:space="preserve"> the following information:</w:t>
      </w:r>
    </w:p>
    <w:bookmarkEnd w:id="19"/>
    <w:p w:rsidR="00143034" w:rsidRPr="00127152" w:rsidRDefault="00143034" w:rsidP="00796B31">
      <w:pPr>
        <w:pStyle w:val="Level3"/>
        <w:numPr>
          <w:ilvl w:val="2"/>
          <w:numId w:val="4"/>
        </w:numPr>
      </w:pPr>
      <w:r w:rsidRPr="00127152">
        <w:t>the date of the MPC;</w:t>
      </w:r>
    </w:p>
    <w:p w:rsidR="00143034" w:rsidRPr="00127152" w:rsidRDefault="00143034" w:rsidP="00796B31">
      <w:pPr>
        <w:pStyle w:val="Level3"/>
        <w:numPr>
          <w:ilvl w:val="2"/>
          <w:numId w:val="4"/>
        </w:numPr>
      </w:pPr>
      <w:r w:rsidRPr="00127152">
        <w:t>a unique MPC number;</w:t>
      </w:r>
    </w:p>
    <w:p w:rsidR="00143034" w:rsidRPr="00127152" w:rsidRDefault="00143034" w:rsidP="00796B31">
      <w:pPr>
        <w:pStyle w:val="Level3"/>
        <w:numPr>
          <w:ilvl w:val="2"/>
          <w:numId w:val="4"/>
        </w:numPr>
      </w:pPr>
      <w:r w:rsidRPr="00127152">
        <w:t xml:space="preserve">the </w:t>
      </w:r>
      <w:r w:rsidR="000A4708" w:rsidRPr="00796B31">
        <w:rPr>
          <w:lang w:val="en-GB"/>
        </w:rPr>
        <w:t xml:space="preserve">unique </w:t>
      </w:r>
      <w:r w:rsidRPr="00127152">
        <w:t xml:space="preserve">Milestone </w:t>
      </w:r>
      <w:r w:rsidR="005906F9">
        <w:rPr>
          <w:lang w:val="en-GB"/>
        </w:rPr>
        <w:t>r</w:t>
      </w:r>
      <w:r w:rsidRPr="00127152">
        <w:t>eference</w:t>
      </w:r>
      <w:r w:rsidR="008F2B02" w:rsidRPr="00901161">
        <w:rPr>
          <w:lang w:val="en-GB"/>
        </w:rPr>
        <w:t xml:space="preserve"> as specified in Appendix 1 (Milestone Payments)</w:t>
      </w:r>
      <w:r w:rsidRPr="00127152">
        <w:t>;</w:t>
      </w:r>
    </w:p>
    <w:p w:rsidR="00F90DA9" w:rsidRPr="00901161" w:rsidRDefault="00F90DA9" w:rsidP="00625BC2">
      <w:pPr>
        <w:pStyle w:val="Level3"/>
        <w:numPr>
          <w:ilvl w:val="2"/>
          <w:numId w:val="4"/>
        </w:numPr>
      </w:pPr>
      <w:r w:rsidRPr="009C6276">
        <w:rPr>
          <w:lang w:val="en-GB"/>
        </w:rPr>
        <w:t>M</w:t>
      </w:r>
      <w:r w:rsidR="00DB5FBC" w:rsidRPr="009C6276">
        <w:rPr>
          <w:lang w:val="en-GB"/>
        </w:rPr>
        <w:t xml:space="preserve">ilestone </w:t>
      </w:r>
      <w:r w:rsidRPr="009C6276">
        <w:rPr>
          <w:lang w:val="en-GB"/>
        </w:rPr>
        <w:t>A</w:t>
      </w:r>
      <w:r w:rsidR="00DB5FBC" w:rsidRPr="009C6276">
        <w:rPr>
          <w:lang w:val="en-GB"/>
        </w:rPr>
        <w:t xml:space="preserve">chievement </w:t>
      </w:r>
      <w:r w:rsidRPr="009C6276">
        <w:rPr>
          <w:lang w:val="en-GB"/>
        </w:rPr>
        <w:t>C</w:t>
      </w:r>
      <w:r w:rsidR="00DB5FBC" w:rsidRPr="009C6276">
        <w:rPr>
          <w:lang w:val="en-GB"/>
        </w:rPr>
        <w:t>ertificate</w:t>
      </w:r>
      <w:r w:rsidRPr="009C6276">
        <w:rPr>
          <w:lang w:val="en-GB"/>
        </w:rPr>
        <w:t xml:space="preserve"> identification reference;</w:t>
      </w:r>
    </w:p>
    <w:p w:rsidR="00143034" w:rsidRPr="00127152" w:rsidRDefault="00143034" w:rsidP="00796B31">
      <w:pPr>
        <w:pStyle w:val="Level3"/>
        <w:numPr>
          <w:ilvl w:val="2"/>
          <w:numId w:val="4"/>
        </w:numPr>
      </w:pPr>
      <w:r w:rsidRPr="00127152">
        <w:t xml:space="preserve">the period </w:t>
      </w:r>
      <w:r w:rsidR="007C16FC" w:rsidRPr="00127152">
        <w:t xml:space="preserve">and activity </w:t>
      </w:r>
      <w:r w:rsidRPr="00127152">
        <w:t>to which the MPC relates;</w:t>
      </w:r>
    </w:p>
    <w:p w:rsidR="00143034" w:rsidRPr="00127152" w:rsidRDefault="00905676" w:rsidP="00796B31">
      <w:pPr>
        <w:pStyle w:val="Level3"/>
        <w:numPr>
          <w:ilvl w:val="2"/>
          <w:numId w:val="4"/>
        </w:numPr>
      </w:pPr>
      <w:r w:rsidRPr="00127152">
        <w:t>the MPC Supporting Documentatio</w:t>
      </w:r>
      <w:r w:rsidRPr="00796B31">
        <w:rPr>
          <w:lang w:val="en-GB"/>
        </w:rPr>
        <w:t>n;</w:t>
      </w:r>
    </w:p>
    <w:p w:rsidR="00143034" w:rsidRPr="00127152" w:rsidRDefault="00143034" w:rsidP="00796B31">
      <w:pPr>
        <w:pStyle w:val="Level3"/>
        <w:numPr>
          <w:ilvl w:val="2"/>
          <w:numId w:val="4"/>
        </w:numPr>
      </w:pPr>
      <w:r w:rsidRPr="00127152">
        <w:t>a contact name and telephone number of a responsible person in the Supplier's finance department in the event of administrative queries; and</w:t>
      </w:r>
    </w:p>
    <w:p w:rsidR="00143034" w:rsidRPr="00127152" w:rsidRDefault="001E6C5D" w:rsidP="00796B31">
      <w:pPr>
        <w:pStyle w:val="Level3"/>
        <w:numPr>
          <w:ilvl w:val="2"/>
          <w:numId w:val="4"/>
        </w:numPr>
      </w:pPr>
      <w:r w:rsidRPr="00127152">
        <w:t>t</w:t>
      </w:r>
      <w:r w:rsidR="00143034" w:rsidRPr="00127152">
        <w:t>he banking details for payment to the Supplier via electronic transfer of funds (i.e. name and address of bank, sort code, account name and number).</w:t>
      </w:r>
    </w:p>
    <w:p w:rsidR="00143034" w:rsidRPr="00127152" w:rsidRDefault="00143034" w:rsidP="00796B31">
      <w:pPr>
        <w:pStyle w:val="Level2"/>
        <w:numPr>
          <w:ilvl w:val="1"/>
          <w:numId w:val="4"/>
        </w:numPr>
      </w:pPr>
      <w:r w:rsidRPr="00127152">
        <w:t xml:space="preserve">Each MPC shall at all times be accompanied by </w:t>
      </w:r>
      <w:r w:rsidR="007C16FC" w:rsidRPr="00127152">
        <w:t xml:space="preserve">MPC </w:t>
      </w:r>
      <w:r w:rsidRPr="00127152">
        <w:t>Supporting Documentation</w:t>
      </w:r>
      <w:r w:rsidR="00354D8F" w:rsidRPr="00127152">
        <w:t xml:space="preserve"> </w:t>
      </w:r>
      <w:r w:rsidRPr="00127152">
        <w:t>to enable the Authority to</w:t>
      </w:r>
      <w:r w:rsidR="002D02E1" w:rsidRPr="00127152">
        <w:t xml:space="preserve"> </w:t>
      </w:r>
      <w:r w:rsidRPr="00127152">
        <w:t>assess whether the MPC</w:t>
      </w:r>
      <w:r w:rsidR="00ED7AD1" w:rsidRPr="00127152">
        <w:t xml:space="preserve"> is correctly calculated and </w:t>
      </w:r>
      <w:r w:rsidR="0051653A" w:rsidRPr="00796B31">
        <w:rPr>
          <w:lang w:val="en-GB"/>
        </w:rPr>
        <w:t xml:space="preserve">whether </w:t>
      </w:r>
      <w:r w:rsidR="00ED7AD1" w:rsidRPr="00127152">
        <w:t>any</w:t>
      </w:r>
      <w:r w:rsidRPr="00127152">
        <w:t xml:space="preserve"> pub</w:t>
      </w:r>
      <w:r w:rsidR="00354D8F" w:rsidRPr="00127152">
        <w:t>lic subsidy is properly payable</w:t>
      </w:r>
      <w:r w:rsidRPr="00127152">
        <w:t>.</w:t>
      </w:r>
    </w:p>
    <w:p w:rsidR="00143034" w:rsidRPr="00127152" w:rsidRDefault="00143034" w:rsidP="00796B31">
      <w:pPr>
        <w:pStyle w:val="Level2"/>
        <w:numPr>
          <w:ilvl w:val="1"/>
          <w:numId w:val="4"/>
        </w:numPr>
      </w:pPr>
      <w:r w:rsidRPr="00127152">
        <w:lastRenderedPageBreak/>
        <w:t xml:space="preserve">The Supplier shall submit all MPCs and </w:t>
      </w:r>
      <w:r w:rsidR="0051653A" w:rsidRPr="00796B31">
        <w:rPr>
          <w:lang w:val="en-GB"/>
        </w:rPr>
        <w:t xml:space="preserve">supporting information (including the </w:t>
      </w:r>
      <w:r w:rsidR="00E213E9" w:rsidRPr="00127152">
        <w:t xml:space="preserve">MPC </w:t>
      </w:r>
      <w:r w:rsidRPr="00127152">
        <w:t>Supporting Documentation</w:t>
      </w:r>
      <w:r w:rsidR="0051653A" w:rsidRPr="00796B31">
        <w:rPr>
          <w:lang w:val="en-GB"/>
        </w:rPr>
        <w:t>) required under this Schedule</w:t>
      </w:r>
      <w:r w:rsidRPr="00127152">
        <w:t xml:space="preserve"> </w:t>
      </w:r>
      <w:r w:rsidR="00E65CDC" w:rsidRPr="00796B31">
        <w:rPr>
          <w:lang w:val="en-GB"/>
        </w:rPr>
        <w:t xml:space="preserve">5.1 </w:t>
      </w:r>
      <w:r w:rsidRPr="00127152">
        <w:t xml:space="preserve">in such format </w:t>
      </w:r>
      <w:r w:rsidR="006F4527" w:rsidRPr="000568AD">
        <w:rPr>
          <w:lang w:val="en-GB"/>
        </w:rPr>
        <w:t xml:space="preserve">and to such address </w:t>
      </w:r>
      <w:r w:rsidRPr="00127152">
        <w:t xml:space="preserve">as the Authority may </w:t>
      </w:r>
      <w:r w:rsidR="00FE5478" w:rsidRPr="00796B31">
        <w:rPr>
          <w:lang w:val="en-GB"/>
        </w:rPr>
        <w:t xml:space="preserve">reasonably </w:t>
      </w:r>
      <w:r w:rsidRPr="00127152">
        <w:t>specify</w:t>
      </w:r>
      <w:r w:rsidR="006F4527" w:rsidRPr="000568AD">
        <w:rPr>
          <w:lang w:val="en-GB"/>
        </w:rPr>
        <w:t xml:space="preserve">, </w:t>
      </w:r>
      <w:r w:rsidR="0051653A" w:rsidRPr="00127152">
        <w:t>with a copy (</w:t>
      </w:r>
      <w:r w:rsidRPr="00127152">
        <w:t xml:space="preserve">including </w:t>
      </w:r>
      <w:r w:rsidR="0051653A" w:rsidRPr="00127152">
        <w:rPr>
          <w:lang w:val="en-GB"/>
        </w:rPr>
        <w:t>all supporting information</w:t>
      </w:r>
      <w:r w:rsidRPr="00127152">
        <w:t>)</w:t>
      </w:r>
      <w:r w:rsidRPr="00B0387A">
        <w:t xml:space="preserve"> to </w:t>
      </w:r>
      <w:r w:rsidR="004A5A3D" w:rsidRPr="00796B31">
        <w:rPr>
          <w:lang w:val="en-GB"/>
        </w:rPr>
        <w:t xml:space="preserve">the </w:t>
      </w:r>
      <w:r w:rsidR="006F4527">
        <w:rPr>
          <w:lang w:val="en-GB"/>
        </w:rPr>
        <w:t>Programme</w:t>
      </w:r>
      <w:r w:rsidR="006F4527" w:rsidRPr="00B0387A">
        <w:rPr>
          <w:lang w:val="en-GB"/>
        </w:rPr>
        <w:t xml:space="preserve"> </w:t>
      </w:r>
      <w:r w:rsidR="004A5A3D" w:rsidRPr="00B0387A">
        <w:rPr>
          <w:lang w:val="en-GB"/>
        </w:rPr>
        <w:t>Authority</w:t>
      </w:r>
      <w:r w:rsidR="00625BC2" w:rsidRPr="00127152">
        <w:t>.</w:t>
      </w:r>
    </w:p>
    <w:p w:rsidR="00143034" w:rsidRPr="00127152" w:rsidRDefault="00143034" w:rsidP="00796B31">
      <w:pPr>
        <w:pStyle w:val="Level2"/>
        <w:numPr>
          <w:ilvl w:val="1"/>
          <w:numId w:val="4"/>
        </w:numPr>
      </w:pPr>
      <w:r w:rsidRPr="00127152">
        <w:t>All Supplier MPCs shall be expressed in Pounds Sterling</w:t>
      </w:r>
      <w:r w:rsidR="004133FC" w:rsidRPr="00796B31">
        <w:rPr>
          <w:lang w:val="en-GB"/>
        </w:rPr>
        <w:t xml:space="preserve"> (£)</w:t>
      </w:r>
      <w:r w:rsidRPr="00127152">
        <w:t xml:space="preserve"> or such other currency as shall be permit</w:t>
      </w:r>
      <w:r w:rsidR="002D02E1" w:rsidRPr="00127152">
        <w:t>ted by the Authority in writing</w:t>
      </w:r>
      <w:r w:rsidRPr="00127152">
        <w:t>.</w:t>
      </w:r>
    </w:p>
    <w:p w:rsidR="00143034" w:rsidRPr="00127152" w:rsidRDefault="00143034" w:rsidP="00796B31">
      <w:pPr>
        <w:pStyle w:val="Level2"/>
        <w:numPr>
          <w:ilvl w:val="1"/>
          <w:numId w:val="4"/>
        </w:numPr>
      </w:pPr>
      <w:r w:rsidRPr="00127152">
        <w:t xml:space="preserve">The Authority shall only regard an MPC as valid if it complies with the provisions of this </w:t>
      </w:r>
      <w:r w:rsidR="002D02E1" w:rsidRPr="00127152">
        <w:t>Contract</w:t>
      </w:r>
      <w:r w:rsidRPr="00127152">
        <w:t xml:space="preserve">.  Where any MPC </w:t>
      </w:r>
      <w:r w:rsidR="00042BAA" w:rsidRPr="00042BAA">
        <w:rPr>
          <w:lang w:val="en-GB"/>
        </w:rPr>
        <w:t>is identified by the Authority a</w:t>
      </w:r>
      <w:r w:rsidRPr="00127152">
        <w:t>s not conform</w:t>
      </w:r>
      <w:r w:rsidR="00042BAA" w:rsidRPr="00042BAA">
        <w:rPr>
          <w:lang w:val="en-GB"/>
        </w:rPr>
        <w:t>ing</w:t>
      </w:r>
      <w:r w:rsidRPr="00127152">
        <w:t xml:space="preserve"> to the provisions of this </w:t>
      </w:r>
      <w:r w:rsidR="002D02E1" w:rsidRPr="00127152">
        <w:t>Contract</w:t>
      </w:r>
      <w:r w:rsidRPr="00127152">
        <w:t xml:space="preserve">, the Authority shall return the </w:t>
      </w:r>
      <w:r w:rsidR="00816239" w:rsidRPr="00796B31">
        <w:rPr>
          <w:lang w:val="en-GB"/>
        </w:rPr>
        <w:t>deficient</w:t>
      </w:r>
      <w:r w:rsidRPr="00127152">
        <w:t xml:space="preserve"> MPC to the Supplier</w:t>
      </w:r>
      <w:r w:rsidR="00FE5478" w:rsidRPr="00796B31">
        <w:rPr>
          <w:lang w:val="en-GB"/>
        </w:rPr>
        <w:t xml:space="preserve"> identifying the deficiencies</w:t>
      </w:r>
      <w:r w:rsidRPr="00127152">
        <w:t>. The Supplier shall promptly issue a replacement MPC.</w:t>
      </w:r>
    </w:p>
    <w:p w:rsidR="00462189" w:rsidRPr="00127152" w:rsidRDefault="00462189" w:rsidP="00796B31">
      <w:pPr>
        <w:pStyle w:val="Level2"/>
        <w:numPr>
          <w:ilvl w:val="1"/>
          <w:numId w:val="4"/>
        </w:numPr>
      </w:pPr>
      <w:r w:rsidRPr="00796B31">
        <w:rPr>
          <w:lang w:val="en-GB"/>
        </w:rPr>
        <w:t xml:space="preserve">Only one MPC submission </w:t>
      </w:r>
      <w:r w:rsidR="00711340" w:rsidRPr="00796B31">
        <w:rPr>
          <w:lang w:val="en-GB"/>
        </w:rPr>
        <w:t xml:space="preserve">shall </w:t>
      </w:r>
      <w:r w:rsidRPr="00796B31">
        <w:rPr>
          <w:lang w:val="en-GB"/>
        </w:rPr>
        <w:t xml:space="preserve">take place in any 30 day period, </w:t>
      </w:r>
      <w:r w:rsidR="00E50F2D">
        <w:rPr>
          <w:lang w:val="en-GB"/>
        </w:rPr>
        <w:t>unless otherwise agreed by the Authority</w:t>
      </w:r>
      <w:r w:rsidRPr="00796B31">
        <w:rPr>
          <w:lang w:val="en-GB"/>
        </w:rPr>
        <w:t>.</w:t>
      </w:r>
    </w:p>
    <w:p w:rsidR="0066418B" w:rsidRPr="00796B31" w:rsidRDefault="0066418B" w:rsidP="00796B31">
      <w:pPr>
        <w:pStyle w:val="Level2"/>
        <w:numPr>
          <w:ilvl w:val="1"/>
          <w:numId w:val="4"/>
        </w:numPr>
        <w:rPr>
          <w:lang w:val="en-GB"/>
        </w:rPr>
      </w:pPr>
      <w:bookmarkStart w:id="20" w:name="_Ref454288631"/>
      <w:r w:rsidRPr="00796B31">
        <w:rPr>
          <w:lang w:val="en-GB"/>
        </w:rPr>
        <w:t xml:space="preserve">Where either Party identifies (whether through MPC verification or otherwise) any overpayment has been made by the Authority (including administrative error and where it becomes apparent a </w:t>
      </w:r>
      <w:r w:rsidRPr="00E66097">
        <w:rPr>
          <w:rStyle w:val="Emphasis"/>
          <w:i w:val="0"/>
        </w:rPr>
        <w:t>Milestone</w:t>
      </w:r>
      <w:r w:rsidRPr="00B0387A">
        <w:rPr>
          <w:i/>
          <w:lang w:val="en-GB"/>
        </w:rPr>
        <w:t xml:space="preserve"> </w:t>
      </w:r>
      <w:r w:rsidRPr="00796B31">
        <w:rPr>
          <w:lang w:val="en-GB"/>
        </w:rPr>
        <w:t>had not in fact been achieved), the Supplier shall:</w:t>
      </w:r>
      <w:bookmarkEnd w:id="20"/>
    </w:p>
    <w:p w:rsidR="0066418B" w:rsidRDefault="00363334" w:rsidP="00796B31">
      <w:pPr>
        <w:pStyle w:val="Level3"/>
        <w:numPr>
          <w:ilvl w:val="2"/>
          <w:numId w:val="4"/>
        </w:numPr>
      </w:pPr>
      <w:r>
        <w:t>whe</w:t>
      </w:r>
      <w:r w:rsidRPr="00796B31">
        <w:rPr>
          <w:lang w:val="en-GB"/>
        </w:rPr>
        <w:t>re</w:t>
      </w:r>
      <w:r w:rsidR="0066418B" w:rsidRPr="0066418B">
        <w:t xml:space="preserve"> the next </w:t>
      </w:r>
      <w:r w:rsidR="00331A4D" w:rsidRPr="00B83B5A">
        <w:rPr>
          <w:lang w:val="en-GB"/>
        </w:rPr>
        <w:t>planned MPC</w:t>
      </w:r>
      <w:r w:rsidR="00331A4D" w:rsidRPr="00B0387A">
        <w:rPr>
          <w:lang w:val="en-GB"/>
        </w:rPr>
        <w:t xml:space="preserve"> payment</w:t>
      </w:r>
      <w:r w:rsidR="00331A4D" w:rsidRPr="00B83B5A">
        <w:rPr>
          <w:lang w:val="en-GB"/>
        </w:rPr>
        <w:t xml:space="preserve"> date</w:t>
      </w:r>
      <w:r w:rsidR="00331A4D" w:rsidRPr="00B0387A">
        <w:rPr>
          <w:lang w:val="en-GB"/>
        </w:rPr>
        <w:t xml:space="preserve"> </w:t>
      </w:r>
      <w:r w:rsidR="0066418B" w:rsidRPr="0066418B">
        <w:t>is less than 90 days after identification of the overpayment</w:t>
      </w:r>
      <w:r w:rsidRPr="00796B31">
        <w:rPr>
          <w:lang w:val="en-GB"/>
        </w:rPr>
        <w:t>,</w:t>
      </w:r>
      <w:r w:rsidR="00F72CA3" w:rsidRPr="00F72CA3">
        <w:t xml:space="preserve"> </w:t>
      </w:r>
      <w:r w:rsidR="00F72CA3" w:rsidRPr="0066418B">
        <w:t>reduce the claim for the next MPC payment</w:t>
      </w:r>
      <w:r w:rsidR="00613465">
        <w:t>; or</w:t>
      </w:r>
      <w:r w:rsidR="0066418B" w:rsidRPr="0066418B">
        <w:t xml:space="preserve"> </w:t>
      </w:r>
      <w:r w:rsidR="0066418B" w:rsidRPr="00127152">
        <w:t xml:space="preserve"> </w:t>
      </w:r>
      <w:r w:rsidR="0066418B" w:rsidRPr="0066418B">
        <w:t xml:space="preserve"> </w:t>
      </w:r>
    </w:p>
    <w:p w:rsidR="0066418B" w:rsidRDefault="0066418B" w:rsidP="00796B31">
      <w:pPr>
        <w:pStyle w:val="Level3"/>
        <w:numPr>
          <w:ilvl w:val="2"/>
          <w:numId w:val="4"/>
        </w:numPr>
      </w:pPr>
      <w:r>
        <w:t>where</w:t>
      </w:r>
      <w:r w:rsidRPr="0066418B">
        <w:t xml:space="preserve"> no further MPC payments are to be made</w:t>
      </w:r>
      <w:r>
        <w:t xml:space="preserve"> or</w:t>
      </w:r>
      <w:r w:rsidRPr="0066418B">
        <w:t xml:space="preserve"> the next planned MPC payment is more than 90 days after identification of the overpayment</w:t>
      </w:r>
      <w:r w:rsidRPr="00796B31">
        <w:rPr>
          <w:lang w:val="en-GB"/>
        </w:rPr>
        <w:t>,</w:t>
      </w:r>
      <w:r w:rsidRPr="0066418B">
        <w:t xml:space="preserve"> </w:t>
      </w:r>
      <w:r w:rsidR="00F72CA3">
        <w:t xml:space="preserve">promptly issue a </w:t>
      </w:r>
      <w:r w:rsidR="00F72CA3" w:rsidRPr="00796B31">
        <w:rPr>
          <w:lang w:val="en-GB"/>
        </w:rPr>
        <w:t>refund</w:t>
      </w:r>
      <w:r>
        <w:t xml:space="preserve"> </w:t>
      </w:r>
      <w:r w:rsidRPr="00127152">
        <w:t>for that overpayment to the Authority</w:t>
      </w:r>
      <w:r w:rsidR="00F72CA3">
        <w:t>.</w:t>
      </w:r>
    </w:p>
    <w:p w:rsidR="0066418B" w:rsidRPr="007A62C6" w:rsidRDefault="0066418B" w:rsidP="00796B31">
      <w:pPr>
        <w:pStyle w:val="Level2"/>
        <w:numPr>
          <w:ilvl w:val="0"/>
          <w:numId w:val="0"/>
        </w:numPr>
        <w:ind w:left="851"/>
      </w:pPr>
      <w:r w:rsidRPr="00796B31">
        <w:rPr>
          <w:lang w:val="en-GB"/>
        </w:rPr>
        <w:t>At the Authority’s discretion, w</w:t>
      </w:r>
      <w:r w:rsidRPr="00127152">
        <w:t xml:space="preserve">here the overpayment is due to a Default of the Supplier, </w:t>
      </w:r>
      <w:r w:rsidRPr="00796B31">
        <w:rPr>
          <w:lang w:val="en-GB"/>
        </w:rPr>
        <w:t>the</w:t>
      </w:r>
      <w:r w:rsidR="00363334">
        <w:t xml:space="preserve"> </w:t>
      </w:r>
      <w:r w:rsidR="00363334" w:rsidRPr="00796B31">
        <w:rPr>
          <w:lang w:val="en-GB"/>
        </w:rPr>
        <w:t>refund</w:t>
      </w:r>
      <w:r w:rsidRPr="00127152">
        <w:t xml:space="preserve"> </w:t>
      </w:r>
      <w:r w:rsidRPr="00796B31">
        <w:rPr>
          <w:lang w:val="en-GB"/>
        </w:rPr>
        <w:t>(or reduced claim, as applicable) shall also include an interest rate based uplift</w:t>
      </w:r>
      <w:r w:rsidRPr="00127152">
        <w:t xml:space="preserve"> calculated as follows:</w:t>
      </w:r>
    </w:p>
    <w:p w:rsidR="00143034" w:rsidRPr="00796B31" w:rsidRDefault="00143034" w:rsidP="00796B31">
      <w:pPr>
        <w:pStyle w:val="eBBodyText"/>
        <w:ind w:left="1560"/>
        <w:jc w:val="left"/>
        <w:rPr>
          <w:b/>
          <w:i/>
          <w:sz w:val="20"/>
        </w:rPr>
      </w:pPr>
      <w:r w:rsidRPr="00796B31">
        <w:rPr>
          <w:b/>
          <w:i/>
          <w:sz w:val="20"/>
        </w:rPr>
        <w:t xml:space="preserve">C = O + (O x (interest rate) x (T </w:t>
      </w:r>
      <w:r w:rsidRPr="00127152">
        <w:rPr>
          <w:b/>
          <w:i/>
          <w:sz w:val="20"/>
        </w:rPr>
        <w:sym w:font="Symbol" w:char="F0B8"/>
      </w:r>
      <w:r w:rsidRPr="00796B31">
        <w:rPr>
          <w:b/>
          <w:i/>
          <w:sz w:val="20"/>
        </w:rPr>
        <w:t xml:space="preserve"> 365))</w:t>
      </w:r>
    </w:p>
    <w:p w:rsidR="00143034" w:rsidRPr="00796B31" w:rsidRDefault="00143034" w:rsidP="00796B31">
      <w:pPr>
        <w:pStyle w:val="eBBodyText"/>
        <w:ind w:left="1560"/>
        <w:jc w:val="left"/>
        <w:rPr>
          <w:i/>
          <w:sz w:val="20"/>
        </w:rPr>
      </w:pPr>
      <w:r w:rsidRPr="00796B31">
        <w:rPr>
          <w:i/>
          <w:sz w:val="20"/>
        </w:rPr>
        <w:t>Where:</w:t>
      </w:r>
    </w:p>
    <w:p w:rsidR="00143034" w:rsidRPr="00796B31" w:rsidRDefault="00143034" w:rsidP="00796B31">
      <w:pPr>
        <w:pStyle w:val="eBBodyText"/>
        <w:ind w:left="1560"/>
        <w:jc w:val="left"/>
        <w:rPr>
          <w:i/>
          <w:sz w:val="20"/>
        </w:rPr>
      </w:pPr>
      <w:r w:rsidRPr="00796B31">
        <w:rPr>
          <w:i/>
          <w:sz w:val="20"/>
        </w:rPr>
        <w:t>C = the amount of credit;</w:t>
      </w:r>
    </w:p>
    <w:p w:rsidR="00143034" w:rsidRPr="00796B31" w:rsidRDefault="00143034" w:rsidP="00796B31">
      <w:pPr>
        <w:pStyle w:val="eBBodyText"/>
        <w:ind w:left="1560"/>
        <w:jc w:val="left"/>
        <w:rPr>
          <w:i/>
          <w:sz w:val="20"/>
        </w:rPr>
      </w:pPr>
      <w:r w:rsidRPr="00796B31">
        <w:rPr>
          <w:i/>
          <w:sz w:val="20"/>
        </w:rPr>
        <w:t>O = the overpayment;</w:t>
      </w:r>
    </w:p>
    <w:p w:rsidR="00143034" w:rsidRPr="00796B31" w:rsidRDefault="00143034" w:rsidP="00796B31">
      <w:pPr>
        <w:pStyle w:val="eBBodyText"/>
        <w:ind w:left="1560"/>
        <w:rPr>
          <w:i/>
          <w:sz w:val="20"/>
        </w:rPr>
      </w:pPr>
      <w:r w:rsidRPr="00796B31">
        <w:rPr>
          <w:i/>
          <w:sz w:val="20"/>
        </w:rPr>
        <w:t xml:space="preserve">Interest rate = an annual rate equivalent to </w:t>
      </w:r>
      <w:r w:rsidR="00292370" w:rsidRPr="00B0387A">
        <w:rPr>
          <w:i/>
          <w:sz w:val="20"/>
          <w:lang w:val="en-GB"/>
        </w:rPr>
        <w:t>2</w:t>
      </w:r>
      <w:r w:rsidRPr="00796B31">
        <w:rPr>
          <w:i/>
          <w:sz w:val="20"/>
        </w:rPr>
        <w:t xml:space="preserve">% above the </w:t>
      </w:r>
      <w:r w:rsidR="008816C0" w:rsidRPr="00796B31">
        <w:rPr>
          <w:i/>
          <w:sz w:val="20"/>
        </w:rPr>
        <w:t>Bank of England base rate (as adjusted from time to time and set out in the London Financial Times)</w:t>
      </w:r>
      <w:r w:rsidR="008E588B" w:rsidRPr="00796B31">
        <w:rPr>
          <w:i/>
          <w:sz w:val="20"/>
        </w:rPr>
        <w:t>;</w:t>
      </w:r>
    </w:p>
    <w:p w:rsidR="00C70528" w:rsidRPr="003B0C6B" w:rsidRDefault="00143034" w:rsidP="00796B31">
      <w:pPr>
        <w:pStyle w:val="eBBodyText"/>
        <w:spacing w:after="240"/>
        <w:ind w:left="1559"/>
        <w:rPr>
          <w:i/>
          <w:sz w:val="20"/>
          <w:lang w:val="en-GB"/>
        </w:rPr>
      </w:pPr>
      <w:r w:rsidRPr="00796B31">
        <w:rPr>
          <w:i/>
          <w:sz w:val="20"/>
        </w:rPr>
        <w:t xml:space="preserve">T = the number of days between the date on which the overpayment arose and the date on which the notification of the overpayment was made by the Authority or the Supplier to the other </w:t>
      </w:r>
      <w:r w:rsidR="00CF051D" w:rsidRPr="00796B31">
        <w:rPr>
          <w:i/>
          <w:sz w:val="20"/>
          <w:lang w:val="en-GB"/>
        </w:rPr>
        <w:t>P</w:t>
      </w:r>
      <w:r w:rsidRPr="00796B31">
        <w:rPr>
          <w:i/>
          <w:sz w:val="20"/>
        </w:rPr>
        <w:t>arty.</w:t>
      </w:r>
    </w:p>
    <w:p w:rsidR="009910E3" w:rsidRPr="009910E3" w:rsidRDefault="009910E3" w:rsidP="009910E3">
      <w:pPr>
        <w:pStyle w:val="eBBodyText"/>
        <w:spacing w:after="240"/>
        <w:ind w:left="851"/>
        <w:rPr>
          <w:sz w:val="20"/>
          <w:lang w:val="en-GB"/>
        </w:rPr>
      </w:pPr>
      <w:r w:rsidRPr="009910E3">
        <w:rPr>
          <w:sz w:val="20"/>
          <w:lang w:val="en-GB"/>
        </w:rPr>
        <w:t xml:space="preserve">This paragraph </w:t>
      </w:r>
      <w:r>
        <w:rPr>
          <w:sz w:val="20"/>
          <w:lang w:val="de-DE"/>
        </w:rPr>
        <w:fldChar w:fldCharType="begin"/>
      </w:r>
      <w:r w:rsidRPr="009910E3">
        <w:rPr>
          <w:sz w:val="20"/>
          <w:lang w:val="en-GB"/>
        </w:rPr>
        <w:instrText xml:space="preserve"> REF _Ref454288631 \r \h </w:instrText>
      </w:r>
      <w:r>
        <w:rPr>
          <w:sz w:val="20"/>
          <w:lang w:val="de-DE"/>
        </w:rPr>
      </w:r>
      <w:r>
        <w:rPr>
          <w:sz w:val="20"/>
          <w:lang w:val="de-DE"/>
        </w:rPr>
        <w:fldChar w:fldCharType="separate"/>
      </w:r>
      <w:r w:rsidR="008B179C">
        <w:rPr>
          <w:sz w:val="20"/>
          <w:lang w:val="en-GB"/>
        </w:rPr>
        <w:t>3.9</w:t>
      </w:r>
      <w:r>
        <w:rPr>
          <w:sz w:val="20"/>
          <w:lang w:val="de-DE"/>
        </w:rPr>
        <w:fldChar w:fldCharType="end"/>
      </w:r>
      <w:r w:rsidRPr="009910E3">
        <w:rPr>
          <w:sz w:val="20"/>
          <w:lang w:val="en-GB"/>
        </w:rPr>
        <w:t xml:space="preserve"> shall continue to</w:t>
      </w:r>
      <w:r>
        <w:rPr>
          <w:sz w:val="20"/>
          <w:lang w:val="en-GB"/>
        </w:rPr>
        <w:t xml:space="preserve"> </w:t>
      </w:r>
      <w:r w:rsidRPr="009910E3">
        <w:rPr>
          <w:sz w:val="20"/>
          <w:lang w:val="en-GB"/>
        </w:rPr>
        <w:t xml:space="preserve">be </w:t>
      </w:r>
      <w:r>
        <w:rPr>
          <w:sz w:val="20"/>
          <w:lang w:val="en-GB"/>
        </w:rPr>
        <w:t>effective unt</w:t>
      </w:r>
      <w:r w:rsidR="003B0C6B">
        <w:rPr>
          <w:sz w:val="20"/>
          <w:lang w:val="en-GB"/>
        </w:rPr>
        <w:t>i</w:t>
      </w:r>
      <w:r>
        <w:rPr>
          <w:sz w:val="20"/>
          <w:lang w:val="en-GB"/>
        </w:rPr>
        <w:t>l 7 years following the Term or early termination of this Contract.</w:t>
      </w:r>
    </w:p>
    <w:p w:rsidR="007860E4" w:rsidRPr="00B0387A" w:rsidRDefault="00FF4BEE" w:rsidP="00796B31">
      <w:pPr>
        <w:pStyle w:val="Level2"/>
        <w:numPr>
          <w:ilvl w:val="1"/>
          <w:numId w:val="4"/>
        </w:numPr>
      </w:pPr>
      <w:bookmarkStart w:id="21" w:name="_Ref326143055"/>
      <w:r w:rsidRPr="00796B31">
        <w:rPr>
          <w:lang w:val="en-GB"/>
        </w:rPr>
        <w:t xml:space="preserve">Without prejudice to paragraph </w:t>
      </w:r>
      <w:r w:rsidR="00027420">
        <w:rPr>
          <w:lang w:val="en-GB"/>
        </w:rPr>
        <w:fldChar w:fldCharType="begin"/>
      </w:r>
      <w:r w:rsidR="00027420">
        <w:rPr>
          <w:lang w:val="en-GB"/>
        </w:rPr>
        <w:instrText xml:space="preserve"> REF _Ref454288631 \r \h </w:instrText>
      </w:r>
      <w:r w:rsidR="00027420">
        <w:rPr>
          <w:lang w:val="en-GB"/>
        </w:rPr>
      </w:r>
      <w:r w:rsidR="00027420">
        <w:rPr>
          <w:lang w:val="en-GB"/>
        </w:rPr>
        <w:fldChar w:fldCharType="separate"/>
      </w:r>
      <w:r w:rsidR="008B179C">
        <w:rPr>
          <w:lang w:val="en-GB"/>
        </w:rPr>
        <w:t>3.9</w:t>
      </w:r>
      <w:r w:rsidR="00027420">
        <w:rPr>
          <w:lang w:val="en-GB"/>
        </w:rPr>
        <w:fldChar w:fldCharType="end"/>
      </w:r>
      <w:r w:rsidRPr="00127152">
        <w:rPr>
          <w:lang w:val="en-GB"/>
        </w:rPr>
        <w:t>,</w:t>
      </w:r>
      <w:r w:rsidRPr="00796B31">
        <w:rPr>
          <w:lang w:val="en-GB"/>
        </w:rPr>
        <w:t xml:space="preserve"> w</w:t>
      </w:r>
      <w:r w:rsidRPr="00127152">
        <w:t>here the Authority has reasonable grounds for bel</w:t>
      </w:r>
      <w:r w:rsidRPr="00796B31">
        <w:rPr>
          <w:lang w:val="en-GB"/>
        </w:rPr>
        <w:t>ie</w:t>
      </w:r>
      <w:r w:rsidRPr="00127152">
        <w:t xml:space="preserve">ving that an overpayment </w:t>
      </w:r>
      <w:r w:rsidRPr="00796B31">
        <w:rPr>
          <w:lang w:val="en-GB"/>
        </w:rPr>
        <w:t>ha</w:t>
      </w:r>
      <w:r w:rsidRPr="00127152">
        <w:t xml:space="preserve">s been made in respect of any MPC, it may request that the Supplier reviews and re-submits verification of the supporting evidence provided pursuant to paragraph </w:t>
      </w:r>
      <w:r w:rsidR="00E65CDC" w:rsidRPr="00127152">
        <w:fldChar w:fldCharType="begin"/>
      </w:r>
      <w:r w:rsidR="00E65CDC" w:rsidRPr="00127152">
        <w:instrText xml:space="preserve"> REF _Ref312313408 \r \h </w:instrText>
      </w:r>
      <w:r w:rsidR="00127152">
        <w:instrText xml:space="preserve"> \* MERGEFORMAT </w:instrText>
      </w:r>
      <w:r w:rsidR="00E65CDC" w:rsidRPr="00127152">
        <w:fldChar w:fldCharType="separate"/>
      </w:r>
      <w:r w:rsidR="008B179C">
        <w:t>4.1</w:t>
      </w:r>
      <w:r w:rsidR="00E65CDC" w:rsidRPr="00127152">
        <w:fldChar w:fldCharType="end"/>
      </w:r>
      <w:r w:rsidRPr="00127152">
        <w:t>.</w:t>
      </w:r>
      <w:r w:rsidRPr="00796B31">
        <w:rPr>
          <w:lang w:val="en-GB"/>
        </w:rPr>
        <w:t xml:space="preserve">  Such verification shall be provided by the Supplier within 15 Working </w:t>
      </w:r>
      <w:r w:rsidR="00C03F2A" w:rsidRPr="00796B31">
        <w:rPr>
          <w:lang w:val="en-GB"/>
        </w:rPr>
        <w:t>D</w:t>
      </w:r>
      <w:r w:rsidRPr="00796B31">
        <w:rPr>
          <w:lang w:val="en-GB"/>
        </w:rPr>
        <w:t>ays of receiving that Authority request.</w:t>
      </w:r>
      <w:bookmarkEnd w:id="21"/>
    </w:p>
    <w:p w:rsidR="00967746" w:rsidRPr="00127152" w:rsidRDefault="00967746" w:rsidP="00796B31">
      <w:pPr>
        <w:pStyle w:val="Level2"/>
        <w:numPr>
          <w:ilvl w:val="1"/>
          <w:numId w:val="4"/>
        </w:numPr>
      </w:pPr>
      <w:r>
        <w:rPr>
          <w:lang w:val="en-GB"/>
        </w:rPr>
        <w:t xml:space="preserve">Following </w:t>
      </w:r>
      <w:r w:rsidR="00E4225E">
        <w:rPr>
          <w:lang w:val="en-GB"/>
        </w:rPr>
        <w:t xml:space="preserve">successful </w:t>
      </w:r>
      <w:r>
        <w:rPr>
          <w:lang w:val="en-GB"/>
        </w:rPr>
        <w:t xml:space="preserve">completion by the Authority of its </w:t>
      </w:r>
      <w:r w:rsidR="00F22772">
        <w:rPr>
          <w:lang w:val="en-GB"/>
        </w:rPr>
        <w:t xml:space="preserve">standard </w:t>
      </w:r>
      <w:r>
        <w:rPr>
          <w:lang w:val="en-GB"/>
        </w:rPr>
        <w:t xml:space="preserve">assurance </w:t>
      </w:r>
      <w:r w:rsidR="00F22772">
        <w:rPr>
          <w:lang w:val="en-GB"/>
        </w:rPr>
        <w:t>process for</w:t>
      </w:r>
      <w:r>
        <w:rPr>
          <w:lang w:val="en-GB"/>
        </w:rPr>
        <w:t xml:space="preserve"> the final Milestone Payment Claim</w:t>
      </w:r>
      <w:r w:rsidR="00D91593" w:rsidRPr="00D91593">
        <w:rPr>
          <w:lang w:val="en-GB"/>
        </w:rPr>
        <w:t xml:space="preserve"> </w:t>
      </w:r>
      <w:r w:rsidR="00D91593">
        <w:rPr>
          <w:lang w:val="en-GB"/>
        </w:rPr>
        <w:t xml:space="preserve">and without prejudice to paragraph </w:t>
      </w:r>
      <w:r w:rsidR="00D91593">
        <w:rPr>
          <w:lang w:val="en-GB"/>
        </w:rPr>
        <w:fldChar w:fldCharType="begin"/>
      </w:r>
      <w:r w:rsidR="00D91593">
        <w:rPr>
          <w:lang w:val="en-GB"/>
        </w:rPr>
        <w:instrText xml:space="preserve"> REF _Ref454288631 \r \h </w:instrText>
      </w:r>
      <w:r w:rsidR="00D91593">
        <w:rPr>
          <w:lang w:val="en-GB"/>
        </w:rPr>
      </w:r>
      <w:r w:rsidR="00D91593">
        <w:rPr>
          <w:lang w:val="en-GB"/>
        </w:rPr>
        <w:fldChar w:fldCharType="separate"/>
      </w:r>
      <w:r w:rsidR="008B179C">
        <w:rPr>
          <w:lang w:val="en-GB"/>
        </w:rPr>
        <w:t>3.9</w:t>
      </w:r>
      <w:r w:rsidR="00D91593">
        <w:rPr>
          <w:lang w:val="en-GB"/>
        </w:rPr>
        <w:fldChar w:fldCharType="end"/>
      </w:r>
      <w:r w:rsidR="00D91593">
        <w:rPr>
          <w:lang w:val="en-GB"/>
        </w:rPr>
        <w:t xml:space="preserve">, </w:t>
      </w:r>
      <w:r w:rsidR="00D91593">
        <w:rPr>
          <w:lang w:val="en-GB"/>
        </w:rPr>
        <w:fldChar w:fldCharType="begin"/>
      </w:r>
      <w:r w:rsidR="00D91593">
        <w:rPr>
          <w:lang w:val="en-GB"/>
        </w:rPr>
        <w:instrText xml:space="preserve"> REF _Ref326143055 \r \h </w:instrText>
      </w:r>
      <w:r w:rsidR="00D91593">
        <w:rPr>
          <w:lang w:val="en-GB"/>
        </w:rPr>
      </w:r>
      <w:r w:rsidR="00D91593">
        <w:rPr>
          <w:lang w:val="en-GB"/>
        </w:rPr>
        <w:fldChar w:fldCharType="separate"/>
      </w:r>
      <w:r w:rsidR="008B179C">
        <w:rPr>
          <w:lang w:val="en-GB"/>
        </w:rPr>
        <w:t>3.10</w:t>
      </w:r>
      <w:r w:rsidR="00D91593">
        <w:rPr>
          <w:lang w:val="en-GB"/>
        </w:rPr>
        <w:fldChar w:fldCharType="end"/>
      </w:r>
      <w:r w:rsidR="00D91593">
        <w:rPr>
          <w:lang w:val="en-GB"/>
        </w:rPr>
        <w:t xml:space="preserve"> or any other related right of the Authority or Regulatory Body</w:t>
      </w:r>
      <w:r>
        <w:rPr>
          <w:lang w:val="en-GB"/>
        </w:rPr>
        <w:t xml:space="preserve">, the Authority shall issue to the </w:t>
      </w:r>
      <w:r>
        <w:rPr>
          <w:lang w:val="en-GB"/>
        </w:rPr>
        <w:lastRenderedPageBreak/>
        <w:t>Supplier a Milestone Completion Certificate</w:t>
      </w:r>
      <w:r w:rsidR="001D2826">
        <w:rPr>
          <w:lang w:val="en-GB"/>
        </w:rPr>
        <w:t xml:space="preserve"> using the pro/forma at Appendix 7 to this Schedule</w:t>
      </w:r>
      <w:r>
        <w:rPr>
          <w:lang w:val="en-GB"/>
        </w:rPr>
        <w:t>.</w:t>
      </w:r>
    </w:p>
    <w:p w:rsidR="00143034" w:rsidRPr="00796B31" w:rsidRDefault="00025FC3" w:rsidP="00796B31">
      <w:pPr>
        <w:pStyle w:val="Level1"/>
        <w:rPr>
          <w:rStyle w:val="Level1asHeadingtext"/>
        </w:rPr>
      </w:pPr>
      <w:r>
        <w:rPr>
          <w:rStyle w:val="Level1asHeadingtext"/>
          <w:lang w:val="en-GB"/>
        </w:rPr>
        <w:fldChar w:fldCharType="begin"/>
      </w:r>
      <w:r w:rsidRPr="00025FC3">
        <w:instrText xml:space="preserve">  TC "</w:instrText>
      </w:r>
      <w:r>
        <w:fldChar w:fldCharType="begin"/>
      </w:r>
      <w:r w:rsidRPr="00025FC3">
        <w:instrText xml:space="preserve"> REF _Ref425718648 \r </w:instrText>
      </w:r>
      <w:r>
        <w:fldChar w:fldCharType="separate"/>
      </w:r>
      <w:bookmarkStart w:id="22" w:name="_Toc463354106"/>
      <w:r w:rsidR="008B179C">
        <w:instrText>4</w:instrText>
      </w:r>
      <w:r>
        <w:fldChar w:fldCharType="end"/>
      </w:r>
      <w:r>
        <w:tab/>
        <w:instrText>MPC SUPPORTING DOCUMENTATION</w:instrText>
      </w:r>
      <w:bookmarkEnd w:id="22"/>
      <w:r w:rsidRPr="00025FC3">
        <w:instrText xml:space="preserve">" \l1 </w:instrText>
      </w:r>
      <w:r>
        <w:rPr>
          <w:rStyle w:val="Level1asHeadingtext"/>
          <w:lang w:val="en-GB"/>
        </w:rPr>
        <w:fldChar w:fldCharType="end"/>
      </w:r>
      <w:bookmarkStart w:id="23" w:name="_Ref408986619"/>
      <w:bookmarkStart w:id="24" w:name="_Ref425718648"/>
      <w:r w:rsidR="00816239" w:rsidRPr="00127152">
        <w:rPr>
          <w:rStyle w:val="Level1asHeadingtext"/>
          <w:lang w:val="en-GB"/>
        </w:rPr>
        <w:t>MPC SUPPORTING DOCUMENTATION</w:t>
      </w:r>
      <w:bookmarkEnd w:id="23"/>
      <w:bookmarkEnd w:id="24"/>
    </w:p>
    <w:p w:rsidR="00143034" w:rsidRPr="00127152" w:rsidRDefault="00905676" w:rsidP="00796B31">
      <w:pPr>
        <w:pStyle w:val="Level2"/>
        <w:numPr>
          <w:ilvl w:val="1"/>
          <w:numId w:val="4"/>
        </w:numPr>
      </w:pPr>
      <w:bookmarkStart w:id="25" w:name="_Ref312313408"/>
      <w:r w:rsidRPr="00796B31">
        <w:rPr>
          <w:lang w:val="en-GB"/>
        </w:rPr>
        <w:t>Each</w:t>
      </w:r>
      <w:r w:rsidRPr="00127152">
        <w:t xml:space="preserve"> MPC</w:t>
      </w:r>
      <w:r w:rsidR="00143034" w:rsidRPr="00127152">
        <w:t xml:space="preserve"> </w:t>
      </w:r>
      <w:r w:rsidR="00816239" w:rsidRPr="00796B31">
        <w:rPr>
          <w:lang w:val="en-GB"/>
        </w:rPr>
        <w:t>shall</w:t>
      </w:r>
      <w:r w:rsidR="00143034" w:rsidRPr="00127152">
        <w:t xml:space="preserve"> be provided </w:t>
      </w:r>
      <w:r w:rsidR="0036774D" w:rsidRPr="00B83B5A">
        <w:rPr>
          <w:lang w:val="en-GB"/>
        </w:rPr>
        <w:t xml:space="preserve">together </w:t>
      </w:r>
      <w:r w:rsidR="00143034" w:rsidRPr="00127152">
        <w:t xml:space="preserve">with the following </w:t>
      </w:r>
      <w:r w:rsidR="008E588B" w:rsidRPr="00127152">
        <w:t xml:space="preserve">MPC </w:t>
      </w:r>
      <w:r w:rsidR="00816239" w:rsidRPr="00127152">
        <w:t>Supporting Documentation</w:t>
      </w:r>
      <w:r w:rsidR="00143034" w:rsidRPr="00127152">
        <w:t>:</w:t>
      </w:r>
      <w:bookmarkEnd w:id="25"/>
    </w:p>
    <w:p w:rsidR="000F053C" w:rsidRPr="00433DB4" w:rsidRDefault="00B943A9" w:rsidP="007431E6">
      <w:pPr>
        <w:pStyle w:val="Level3"/>
      </w:pPr>
      <w:r w:rsidRPr="00127152">
        <w:t>evidence</w:t>
      </w:r>
      <w:r w:rsidR="00143034" w:rsidRPr="00127152">
        <w:t xml:space="preserve"> </w:t>
      </w:r>
      <w:r w:rsidR="00434F2C">
        <w:rPr>
          <w:lang w:val="en-GB"/>
        </w:rPr>
        <w:t xml:space="preserve">of the </w:t>
      </w:r>
      <w:r w:rsidR="007431E6">
        <w:rPr>
          <w:lang w:val="en-GB"/>
        </w:rPr>
        <w:t>NGA Network Build Cost</w:t>
      </w:r>
      <w:r w:rsidR="00434F2C">
        <w:rPr>
          <w:lang w:val="en-GB"/>
        </w:rPr>
        <w:t xml:space="preserve"> incurred to achieve the relevant Milestone </w:t>
      </w:r>
      <w:r w:rsidR="00143034" w:rsidRPr="00127152">
        <w:t xml:space="preserve">(through copies of invoices, receipts, timesheets, payroll records and other </w:t>
      </w:r>
      <w:r w:rsidR="000B4834" w:rsidRPr="000B4834">
        <w:rPr>
          <w:lang w:val="en-GB"/>
        </w:rPr>
        <w:t>supporting</w:t>
      </w:r>
      <w:r w:rsidR="000B4834" w:rsidRPr="00B0387A">
        <w:rPr>
          <w:lang w:val="en-GB"/>
        </w:rPr>
        <w:t xml:space="preserve"> </w:t>
      </w:r>
      <w:r w:rsidR="00143034" w:rsidRPr="00127152">
        <w:t>information)</w:t>
      </w:r>
      <w:r w:rsidR="00434F2C" w:rsidRPr="00B83B5A">
        <w:rPr>
          <w:lang w:val="en-GB"/>
        </w:rPr>
        <w:t xml:space="preserve">, </w:t>
      </w:r>
      <w:r w:rsidR="000F053C">
        <w:rPr>
          <w:lang w:val="en-GB"/>
        </w:rPr>
        <w:t>this must include</w:t>
      </w:r>
      <w:r w:rsidR="00433DB4">
        <w:rPr>
          <w:lang w:val="en-GB"/>
        </w:rPr>
        <w:t xml:space="preserve"> evidence to clearly demonstrate</w:t>
      </w:r>
      <w:r w:rsidR="00433DB4" w:rsidRPr="00B0387A">
        <w:rPr>
          <w:lang w:val="en-GB"/>
        </w:rPr>
        <w:t xml:space="preserve"> that the </w:t>
      </w:r>
      <w:r w:rsidR="00433DB4">
        <w:rPr>
          <w:lang w:val="en-GB"/>
        </w:rPr>
        <w:t>expenditure</w:t>
      </w:r>
      <w:r w:rsidR="000F053C">
        <w:rPr>
          <w:lang w:val="en-GB"/>
        </w:rPr>
        <w:t>:</w:t>
      </w:r>
    </w:p>
    <w:p w:rsidR="000F053C" w:rsidRPr="00433DB4" w:rsidRDefault="00433DB4" w:rsidP="00433DB4">
      <w:pPr>
        <w:pStyle w:val="Level4"/>
      </w:pPr>
      <w:r>
        <w:rPr>
          <w:lang w:val="en-GB"/>
        </w:rPr>
        <w:t>falls within the parameters of</w:t>
      </w:r>
      <w:r w:rsidRPr="00B0387A">
        <w:rPr>
          <w:lang w:val="en-GB"/>
        </w:rPr>
        <w:t xml:space="preserve"> Qualifying </w:t>
      </w:r>
      <w:r w:rsidR="001F3EB1" w:rsidRPr="00B0387A">
        <w:rPr>
          <w:lang w:val="en-GB"/>
        </w:rPr>
        <w:t>C</w:t>
      </w:r>
      <w:r w:rsidRPr="00B0387A">
        <w:rPr>
          <w:lang w:val="en-GB"/>
        </w:rPr>
        <w:t xml:space="preserve">apital Expenditure </w:t>
      </w:r>
      <w:r w:rsidR="00F43213">
        <w:rPr>
          <w:lang w:val="en-GB"/>
        </w:rPr>
        <w:t>or</w:t>
      </w:r>
      <w:r>
        <w:rPr>
          <w:lang w:val="en-GB"/>
        </w:rPr>
        <w:t xml:space="preserve"> Qualifying Operating Expenditure</w:t>
      </w:r>
      <w:r w:rsidR="00F43213">
        <w:rPr>
          <w:lang w:val="en-GB"/>
        </w:rPr>
        <w:t xml:space="preserve"> (as applicable)</w:t>
      </w:r>
      <w:r>
        <w:rPr>
          <w:lang w:val="en-GB"/>
        </w:rPr>
        <w:t>;</w:t>
      </w:r>
    </w:p>
    <w:p w:rsidR="00143034" w:rsidRDefault="00143034" w:rsidP="00B0387A">
      <w:pPr>
        <w:pStyle w:val="Level4"/>
      </w:pPr>
      <w:r w:rsidRPr="00127152">
        <w:t xml:space="preserve">is in relation to the scope of this </w:t>
      </w:r>
      <w:r w:rsidR="00510809" w:rsidRPr="00127152">
        <w:t>Contract</w:t>
      </w:r>
      <w:r w:rsidRPr="00127152">
        <w:t xml:space="preserve"> only;</w:t>
      </w:r>
    </w:p>
    <w:p w:rsidR="00143034" w:rsidRPr="00B83B5A" w:rsidRDefault="00D424C2" w:rsidP="00796B31">
      <w:pPr>
        <w:pStyle w:val="Level3"/>
      </w:pPr>
      <w:r w:rsidRPr="00D424C2">
        <w:t xml:space="preserve">evidence (through payment or bank records and statements, BACS lists, receipts or other confirmation) that the </w:t>
      </w:r>
      <w:r w:rsidR="007431E6" w:rsidRPr="007431E6">
        <w:t>NGA Network Build Cost</w:t>
      </w:r>
      <w:r w:rsidRPr="00D424C2">
        <w:t xml:space="preserve"> has actually been incurred by the Supplier at the date of the MPC, provided that in relation to Deployed Services performed by the Supplier's Subcontractors, </w:t>
      </w:r>
      <w:r w:rsidR="00EE092B" w:rsidRPr="007431E6">
        <w:t>NGA Network Build Cost</w:t>
      </w:r>
      <w:r w:rsidRPr="00D424C2">
        <w:t xml:space="preserve"> shall for the purposes of this Schedule be deemed "incurred" if the circumstances in paragraph 4.1.2A are satisfied (this qualification of how the word "incurred" shall be construed herein is without prejudice to any othe</w:t>
      </w:r>
      <w:r>
        <w:t>r requirement in this Schedule)</w:t>
      </w:r>
      <w:r w:rsidR="00143034" w:rsidRPr="00127152">
        <w:t>;</w:t>
      </w:r>
    </w:p>
    <w:p w:rsidR="00D424C2" w:rsidRPr="00D424C2" w:rsidRDefault="00D424C2" w:rsidP="00D424C2">
      <w:pPr>
        <w:pStyle w:val="Body"/>
        <w:ind w:left="1701" w:hanging="850"/>
      </w:pPr>
      <w:r>
        <w:t>4.1.2A</w:t>
      </w:r>
      <w:r>
        <w:tab/>
      </w:r>
      <w:r w:rsidR="00EE092B" w:rsidRPr="007431E6">
        <w:t>NGA Network Build Cost</w:t>
      </w:r>
      <w:r>
        <w:t xml:space="preserve"> in respect of Deployed Services performed by the Supplier's Subcontractors shall be deemed incurred when the Subcontractor has invoiced the Supplier for the amount to be claimed by the Supplier as Qualifying Capital Expenditure</w:t>
      </w:r>
      <w:r w:rsidR="00B83B5A" w:rsidRPr="00B83B5A">
        <w:rPr>
          <w:lang w:val="en-GB"/>
        </w:rPr>
        <w:t xml:space="preserve"> o</w:t>
      </w:r>
      <w:r w:rsidR="00B83B5A">
        <w:rPr>
          <w:lang w:val="en-GB"/>
        </w:rPr>
        <w:t>r counted as Qualifying Operati</w:t>
      </w:r>
      <w:r w:rsidR="00993E4A">
        <w:rPr>
          <w:lang w:val="en-GB"/>
        </w:rPr>
        <w:t>ng</w:t>
      </w:r>
      <w:r w:rsidR="00B83B5A">
        <w:rPr>
          <w:lang w:val="en-GB"/>
        </w:rPr>
        <w:t xml:space="preserve"> Expenditure</w:t>
      </w:r>
      <w:r>
        <w:t>, provided that:</w:t>
      </w:r>
    </w:p>
    <w:p w:rsidR="00D424C2" w:rsidRPr="00D424C2" w:rsidRDefault="00D424C2" w:rsidP="00D424C2">
      <w:pPr>
        <w:pStyle w:val="Body"/>
        <w:ind w:left="2977" w:hanging="1276"/>
      </w:pPr>
      <w:r w:rsidRPr="00D424C2">
        <w:t>4.1.2A(a)</w:t>
      </w:r>
      <w:r>
        <w:tab/>
      </w:r>
      <w:r w:rsidRPr="00D424C2">
        <w:t>the Supplier confirms in the MPC Supporting Documentation that the expenditure does not represent an advance payment for work or services;</w:t>
      </w:r>
    </w:p>
    <w:p w:rsidR="00D424C2" w:rsidRPr="00D424C2" w:rsidRDefault="00D424C2" w:rsidP="00D424C2">
      <w:pPr>
        <w:pStyle w:val="Body"/>
        <w:ind w:left="2977" w:hanging="1276"/>
      </w:pPr>
      <w:r w:rsidRPr="00D424C2">
        <w:t>4.1.2A(b)</w:t>
      </w:r>
      <w:r>
        <w:tab/>
      </w:r>
      <w:r w:rsidRPr="00D424C2">
        <w:t>the Supplier confirms in the MPC Supporting Documentation that the invoice(s) in question are otherwise correct, due and payable by the Supplier in accordance with the terms of the relevant Subcontract; and</w:t>
      </w:r>
    </w:p>
    <w:p w:rsidR="00D424C2" w:rsidRPr="00D424C2" w:rsidRDefault="00D424C2" w:rsidP="00D424C2">
      <w:pPr>
        <w:pStyle w:val="Body"/>
        <w:ind w:left="2977" w:hanging="1276"/>
      </w:pPr>
      <w:r w:rsidRPr="00D424C2">
        <w:t>4.1.2A(c)</w:t>
      </w:r>
      <w:r>
        <w:tab/>
      </w:r>
      <w:r w:rsidRPr="00D424C2">
        <w:t xml:space="preserve">providing a minimum of </w:t>
      </w:r>
      <w:r w:rsidR="008613DE">
        <w:rPr>
          <w:lang w:val="en-GB"/>
        </w:rPr>
        <w:t xml:space="preserve">90 </w:t>
      </w:r>
      <w:r w:rsidRPr="00D424C2">
        <w:t xml:space="preserve">days has elapsed since payment of the relevant MPC, the </w:t>
      </w:r>
      <w:r w:rsidR="005F2E93">
        <w:rPr>
          <w:lang w:val="en-GB"/>
        </w:rPr>
        <w:t>Authority</w:t>
      </w:r>
      <w:r w:rsidRPr="00D424C2">
        <w:t xml:space="preserve"> may subsequently request that the Supplier provide evidence to demonstrate that applicable amounts were in due course actually paid to the Subcontractors. If no such evidence can be provided, then, if the Authority requests a refunding of the payment made by the  Authority, the Supplier shall refund (as soon as reasonably practical) in the form of an electronic re-payment (with the payment details to be notified to the Supplier by the Authority) any such amounts claimed as being incurred Qualifying Capital Expenditure. If subsequently the Supplier provides evidence to demonstrate that applicable amounts were actually paid to the Subcontractors such amounts will then be re-paid by the Authority to the Supplier.</w:t>
      </w:r>
    </w:p>
    <w:p w:rsidR="000435DA" w:rsidRPr="000435DA" w:rsidRDefault="0028256A" w:rsidP="0028256A">
      <w:pPr>
        <w:pStyle w:val="Level3"/>
      </w:pPr>
      <w:r>
        <w:t xml:space="preserve">all </w:t>
      </w:r>
      <w:r w:rsidR="009B5D70" w:rsidRPr="009B5D70">
        <w:rPr>
          <w:lang w:val="en-GB"/>
        </w:rPr>
        <w:t>WIP</w:t>
      </w:r>
      <w:r>
        <w:t xml:space="preserve"> </w:t>
      </w:r>
      <w:r w:rsidR="009B5D70" w:rsidRPr="009B5D70">
        <w:rPr>
          <w:lang w:val="en-GB"/>
        </w:rPr>
        <w:t>C</w:t>
      </w:r>
      <w:r w:rsidR="00175E04" w:rsidRPr="00175E04">
        <w:rPr>
          <w:lang w:val="en-GB"/>
        </w:rPr>
        <w:t xml:space="preserve">osts </w:t>
      </w:r>
      <w:r w:rsidR="0019108D">
        <w:rPr>
          <w:lang w:val="en-GB"/>
        </w:rPr>
        <w:t xml:space="preserve">not yet </w:t>
      </w:r>
      <w:r w:rsidR="000B4834">
        <w:rPr>
          <w:lang w:val="en-GB"/>
        </w:rPr>
        <w:t>claimed under</w:t>
      </w:r>
      <w:r w:rsidR="0019108D">
        <w:rPr>
          <w:lang w:val="en-GB"/>
        </w:rPr>
        <w:t xml:space="preserve"> an MPC</w:t>
      </w:r>
      <w:r w:rsidR="000B4834">
        <w:rPr>
          <w:lang w:val="en-GB"/>
        </w:rPr>
        <w:t>,</w:t>
      </w:r>
      <w:r w:rsidR="000435DA">
        <w:rPr>
          <w:lang w:val="en-GB"/>
        </w:rPr>
        <w:t xml:space="preserve"> </w:t>
      </w:r>
      <w:r w:rsidR="008613DE">
        <w:rPr>
          <w:lang w:val="en-GB"/>
        </w:rPr>
        <w:t>broken down by:</w:t>
      </w:r>
    </w:p>
    <w:p w:rsidR="0019108D" w:rsidRPr="00025FC3" w:rsidRDefault="0019108D" w:rsidP="000B4834">
      <w:pPr>
        <w:pStyle w:val="Level4"/>
      </w:pPr>
      <w:r w:rsidRPr="000E40B2">
        <w:t xml:space="preserve">WIP related </w:t>
      </w:r>
      <w:r w:rsidRPr="00025FC3">
        <w:t xml:space="preserve">to </w:t>
      </w:r>
      <w:r w:rsidR="000B4834" w:rsidRPr="00025FC3">
        <w:rPr>
          <w:lang w:val="en-GB"/>
        </w:rPr>
        <w:t>A</w:t>
      </w:r>
      <w:r w:rsidRPr="00025FC3">
        <w:t xml:space="preserve">chieved </w:t>
      </w:r>
      <w:r w:rsidR="000B4834" w:rsidRPr="00025FC3">
        <w:rPr>
          <w:lang w:val="en-GB"/>
        </w:rPr>
        <w:t>M</w:t>
      </w:r>
      <w:r w:rsidRPr="00025FC3">
        <w:t>ilestones</w:t>
      </w:r>
      <w:r w:rsidR="000B4834" w:rsidRPr="00025FC3">
        <w:rPr>
          <w:lang w:val="en-GB"/>
        </w:rPr>
        <w:t>; and</w:t>
      </w:r>
    </w:p>
    <w:p w:rsidR="0019108D" w:rsidRPr="00025FC3" w:rsidRDefault="0019108D" w:rsidP="000B4834">
      <w:pPr>
        <w:pStyle w:val="Level4"/>
      </w:pPr>
      <w:r w:rsidRPr="00025FC3">
        <w:lastRenderedPageBreak/>
        <w:t xml:space="preserve">WIP related to future </w:t>
      </w:r>
      <w:r w:rsidR="000B4834" w:rsidRPr="00025FC3">
        <w:rPr>
          <w:lang w:val="en-GB"/>
        </w:rPr>
        <w:t>M</w:t>
      </w:r>
      <w:r w:rsidRPr="00025FC3">
        <w:t xml:space="preserve">ilestones not yet </w:t>
      </w:r>
      <w:r w:rsidR="000B4834" w:rsidRPr="00025FC3">
        <w:rPr>
          <w:lang w:val="en-GB"/>
        </w:rPr>
        <w:t>A</w:t>
      </w:r>
      <w:r w:rsidRPr="00025FC3">
        <w:t>chieved</w:t>
      </w:r>
      <w:r w:rsidR="000B4834" w:rsidRPr="00025FC3">
        <w:rPr>
          <w:lang w:val="en-GB"/>
        </w:rPr>
        <w:t>;</w:t>
      </w:r>
    </w:p>
    <w:p w:rsidR="00775430" w:rsidRPr="00025FC3" w:rsidRDefault="00E558E4" w:rsidP="00796B31">
      <w:pPr>
        <w:pStyle w:val="Level3"/>
      </w:pPr>
      <w:r w:rsidRPr="00025FC3">
        <w:t>s</w:t>
      </w:r>
      <w:r w:rsidR="00143034" w:rsidRPr="00025FC3">
        <w:t>igned confirmation from a suitably qualified finance repr</w:t>
      </w:r>
      <w:r w:rsidR="00775430" w:rsidRPr="00025FC3">
        <w:t>esentative of the Supplier that</w:t>
      </w:r>
      <w:r w:rsidR="00775430" w:rsidRPr="00025FC3">
        <w:rPr>
          <w:lang w:val="en-GB"/>
        </w:rPr>
        <w:t>:</w:t>
      </w:r>
    </w:p>
    <w:p w:rsidR="00143034" w:rsidRPr="00127152" w:rsidRDefault="00143034" w:rsidP="00796B31">
      <w:pPr>
        <w:pStyle w:val="Level4"/>
      </w:pPr>
      <w:r w:rsidRPr="00127152">
        <w:t xml:space="preserve">the </w:t>
      </w:r>
      <w:r w:rsidR="0019108D" w:rsidRPr="00025FC3">
        <w:rPr>
          <w:lang w:val="en-GB"/>
        </w:rPr>
        <w:t>Qualifying Capital Expenditure</w:t>
      </w:r>
      <w:r w:rsidRPr="00127152">
        <w:t xml:space="preserve"> is not covered </w:t>
      </w:r>
      <w:r w:rsidR="00ED7AD1" w:rsidRPr="00127152">
        <w:t xml:space="preserve">by (i) </w:t>
      </w:r>
      <w:r w:rsidRPr="00127152">
        <w:t>any other form of public subsidy</w:t>
      </w:r>
      <w:r w:rsidR="00775430" w:rsidRPr="00127152">
        <w:t xml:space="preserve">; </w:t>
      </w:r>
      <w:r w:rsidR="00775430" w:rsidRPr="00796B31">
        <w:rPr>
          <w:lang w:val="en-GB"/>
        </w:rPr>
        <w:t xml:space="preserve">or </w:t>
      </w:r>
      <w:r w:rsidR="00ED7AD1" w:rsidRPr="00127152">
        <w:t>(ii) more than one form of public subsidy</w:t>
      </w:r>
      <w:r w:rsidR="00775430" w:rsidRPr="00796B31">
        <w:rPr>
          <w:lang w:val="en-GB"/>
        </w:rPr>
        <w:t>; and</w:t>
      </w:r>
    </w:p>
    <w:p w:rsidR="00775430" w:rsidRPr="00127152" w:rsidRDefault="00775430" w:rsidP="00796B31">
      <w:pPr>
        <w:pStyle w:val="Level4"/>
      </w:pPr>
      <w:r w:rsidRPr="00796B31">
        <w:rPr>
          <w:lang w:val="en-GB"/>
        </w:rPr>
        <w:t>the Subsidy Payment claimed is matched by an equivalent sum of Qualifying Capital Expenditure;</w:t>
      </w:r>
    </w:p>
    <w:p w:rsidR="00143034" w:rsidRPr="00127152" w:rsidRDefault="00E558E4" w:rsidP="00796B31">
      <w:pPr>
        <w:pStyle w:val="Level3"/>
      </w:pPr>
      <w:r w:rsidRPr="00127152">
        <w:t>s</w:t>
      </w:r>
      <w:r w:rsidR="00143034" w:rsidRPr="00127152">
        <w:t xml:space="preserve">igned confirmation from a suitably qualified finance representative of the Supplier that part apportionment or allocation of </w:t>
      </w:r>
      <w:r w:rsidR="00175E04" w:rsidRPr="007431E6">
        <w:t>NGA Network Build Cost</w:t>
      </w:r>
      <w:r w:rsidR="00143034" w:rsidRPr="00127152">
        <w:t xml:space="preserve"> between this </w:t>
      </w:r>
      <w:r w:rsidR="009A4BA7" w:rsidRPr="00127152">
        <w:t>Contract</w:t>
      </w:r>
      <w:r w:rsidR="00143034" w:rsidRPr="00127152">
        <w:t xml:space="preserve"> and other contracts or services provided by the Supplier, is accurate and a fair reflection of the work carried out;</w:t>
      </w:r>
    </w:p>
    <w:p w:rsidR="00143034" w:rsidRPr="00127152" w:rsidRDefault="00E558E4" w:rsidP="00796B31">
      <w:pPr>
        <w:pStyle w:val="Level3"/>
      </w:pPr>
      <w:r w:rsidRPr="00127152">
        <w:t>s</w:t>
      </w:r>
      <w:r w:rsidR="00143034" w:rsidRPr="00127152">
        <w:t xml:space="preserve">igned confirmation from a suitably qualified finance representative of the Supplier that the </w:t>
      </w:r>
      <w:r w:rsidR="00175E04" w:rsidRPr="007431E6">
        <w:t>NGA Network Build Cost</w:t>
      </w:r>
      <w:r w:rsidR="00143034" w:rsidRPr="00127152">
        <w:t xml:space="preserve"> has been properly incurred and is in accordance with the financial control, financial management and internal risk processes of the Supplier.  The confirmation should also state that the </w:t>
      </w:r>
      <w:r w:rsidR="00175E04" w:rsidRPr="007431E6">
        <w:t>NGA Network Build Cost</w:t>
      </w:r>
      <w:r w:rsidR="00143034" w:rsidRPr="00127152">
        <w:t xml:space="preserve"> has been incurred and is in accordance with the accounting requirements for </w:t>
      </w:r>
      <w:r w:rsidR="00175E04" w:rsidRPr="007431E6">
        <w:t>NGA Network Build Cost</w:t>
      </w:r>
      <w:r w:rsidR="00143034" w:rsidRPr="00127152">
        <w:t xml:space="preserve">, and is consistent with </w:t>
      </w:r>
      <w:r w:rsidR="003D03D7" w:rsidRPr="00C3076D">
        <w:t xml:space="preserve">Generally Accepted </w:t>
      </w:r>
      <w:r w:rsidR="003D03D7">
        <w:t xml:space="preserve">Accountancy Principles </w:t>
      </w:r>
      <w:r w:rsidR="006D4CB8">
        <w:t>with regard to capitalisation and the accounting policies that the Supplier applies under its corporate financial reporting and audit standards</w:t>
      </w:r>
      <w:r w:rsidR="00C16A99" w:rsidRPr="00C16A99">
        <w:rPr>
          <w:lang w:val="en-GB"/>
        </w:rPr>
        <w:t>.</w:t>
      </w:r>
    </w:p>
    <w:p w:rsidR="001B487F" w:rsidRPr="009B5D70" w:rsidRDefault="00816239" w:rsidP="00796B31">
      <w:pPr>
        <w:pStyle w:val="Level2"/>
        <w:numPr>
          <w:ilvl w:val="1"/>
          <w:numId w:val="4"/>
        </w:numPr>
      </w:pPr>
      <w:r w:rsidRPr="00127152">
        <w:t xml:space="preserve">In all cases the MPC Supporting Documentation shall be of sufficient detail to allow the Authority to determine the eligibility of the </w:t>
      </w:r>
      <w:r w:rsidRPr="00796B31">
        <w:rPr>
          <w:lang w:val="en-GB"/>
        </w:rPr>
        <w:t xml:space="preserve">relevant </w:t>
      </w:r>
      <w:r w:rsidR="004557CA" w:rsidRPr="007431E6">
        <w:t>NGA Network Build Cost</w:t>
      </w:r>
      <w:r w:rsidRPr="00127152">
        <w:t xml:space="preserve"> and the validity of the MPC</w:t>
      </w:r>
      <w:r w:rsidRPr="00796B31">
        <w:rPr>
          <w:lang w:val="en-GB"/>
        </w:rPr>
        <w:t>.</w:t>
      </w:r>
    </w:p>
    <w:p w:rsidR="004B3849" w:rsidRPr="00127152" w:rsidRDefault="004557CA" w:rsidP="00EE092B">
      <w:pPr>
        <w:pStyle w:val="Level2"/>
        <w:numPr>
          <w:ilvl w:val="1"/>
          <w:numId w:val="4"/>
        </w:numPr>
      </w:pPr>
      <w:bookmarkStart w:id="26" w:name="h.17dp8vu" w:colFirst="0" w:colLast="0"/>
      <w:bookmarkEnd w:id="26"/>
      <w:r>
        <w:rPr>
          <w:lang w:val="en-GB"/>
        </w:rPr>
        <w:t xml:space="preserve">The MPC </w:t>
      </w:r>
      <w:r w:rsidR="0028256A">
        <w:rPr>
          <w:lang w:val="en-GB"/>
        </w:rPr>
        <w:t xml:space="preserve">and its supporting </w:t>
      </w:r>
      <w:r>
        <w:rPr>
          <w:lang w:val="en-GB"/>
        </w:rPr>
        <w:t>information</w:t>
      </w:r>
      <w:r w:rsidR="0028256A">
        <w:rPr>
          <w:lang w:val="en-GB"/>
        </w:rPr>
        <w:t xml:space="preserve"> must separately </w:t>
      </w:r>
      <w:r w:rsidR="00106DF0">
        <w:rPr>
          <w:lang w:val="en-GB"/>
        </w:rPr>
        <w:t>identify</w:t>
      </w:r>
      <w:r w:rsidR="001B487F">
        <w:rPr>
          <w:lang w:val="en-GB"/>
        </w:rPr>
        <w:t xml:space="preserve"> Qualifying Capital Expenditure and Qualifying Operating Expenditure in the MPC and MPC Supporting Documentation to support the operation of the mechanisms under t</w:t>
      </w:r>
      <w:r>
        <w:rPr>
          <w:lang w:val="en-GB"/>
        </w:rPr>
        <w:t>h</w:t>
      </w:r>
      <w:r w:rsidR="001B487F">
        <w:rPr>
          <w:lang w:val="en-GB"/>
        </w:rPr>
        <w:t>is Schedule 5.1</w:t>
      </w:r>
      <w:r w:rsidR="0028256A">
        <w:rPr>
          <w:lang w:val="en-GB"/>
        </w:rPr>
        <w:t>.</w:t>
      </w:r>
    </w:p>
    <w:p w:rsidR="00143034" w:rsidRPr="00796B31" w:rsidRDefault="00025FC3" w:rsidP="00796B31">
      <w:pPr>
        <w:pStyle w:val="Level1"/>
        <w:keepNext/>
        <w:rPr>
          <w:rStyle w:val="Level1asHeadingtext"/>
        </w:rPr>
      </w:pPr>
      <w:r>
        <w:rPr>
          <w:rStyle w:val="Level1asHeadingtext"/>
        </w:rPr>
        <w:fldChar w:fldCharType="begin"/>
      </w:r>
      <w:r w:rsidRPr="00025FC3">
        <w:instrText xml:space="preserve">  TC "</w:instrText>
      </w:r>
      <w:r>
        <w:fldChar w:fldCharType="begin"/>
      </w:r>
      <w:r w:rsidRPr="00025FC3">
        <w:instrText xml:space="preserve"> REF _Ref425718304 \r </w:instrText>
      </w:r>
      <w:r>
        <w:fldChar w:fldCharType="separate"/>
      </w:r>
      <w:bookmarkStart w:id="27" w:name="_Toc463354107"/>
      <w:r w:rsidR="008B179C">
        <w:instrText>5</w:instrText>
      </w:r>
      <w:r>
        <w:fldChar w:fldCharType="end"/>
      </w:r>
      <w:r>
        <w:tab/>
        <w:instrText>PROJECT ACCOUNTS AND FINANCIAL RECORDS</w:instrText>
      </w:r>
      <w:bookmarkEnd w:id="27"/>
      <w:r w:rsidRPr="00025FC3">
        <w:instrText xml:space="preserve">" \l1 </w:instrText>
      </w:r>
      <w:r>
        <w:rPr>
          <w:rStyle w:val="Level1asHeadingtext"/>
        </w:rPr>
        <w:fldChar w:fldCharType="end"/>
      </w:r>
      <w:bookmarkStart w:id="28" w:name="_Ref409634795"/>
      <w:bookmarkStart w:id="29" w:name="_Ref425718304"/>
      <w:r w:rsidR="00143034" w:rsidRPr="00127152">
        <w:rPr>
          <w:rStyle w:val="Level1asHeadingtext"/>
        </w:rPr>
        <w:t>Project accounts</w:t>
      </w:r>
      <w:r w:rsidR="00E213E9" w:rsidRPr="00127152">
        <w:rPr>
          <w:rStyle w:val="Level1asHeadingtext"/>
        </w:rPr>
        <w:t xml:space="preserve"> AND FINANCIAL Records</w:t>
      </w:r>
      <w:bookmarkEnd w:id="28"/>
      <w:bookmarkEnd w:id="29"/>
    </w:p>
    <w:p w:rsidR="00143034" w:rsidRPr="00127152" w:rsidRDefault="00143034" w:rsidP="00796B31">
      <w:pPr>
        <w:pStyle w:val="Level2"/>
        <w:keepNext/>
        <w:numPr>
          <w:ilvl w:val="1"/>
          <w:numId w:val="4"/>
        </w:numPr>
      </w:pPr>
      <w:r w:rsidRPr="00127152">
        <w:t xml:space="preserve">The Supplier shall maintain separate </w:t>
      </w:r>
      <w:r w:rsidR="00EE287E" w:rsidRPr="00127152">
        <w:t xml:space="preserve">summary </w:t>
      </w:r>
      <w:r w:rsidRPr="00127152">
        <w:t xml:space="preserve">Project Accounts </w:t>
      </w:r>
      <w:r w:rsidR="00E558E4" w:rsidRPr="00127152">
        <w:t>(for use, among other matters,</w:t>
      </w:r>
      <w:r w:rsidRPr="00127152">
        <w:t xml:space="preserve"> </w:t>
      </w:r>
      <w:r w:rsidR="00354D8F" w:rsidRPr="00796B31">
        <w:rPr>
          <w:lang w:val="en-GB"/>
        </w:rPr>
        <w:t xml:space="preserve">for </w:t>
      </w:r>
      <w:r w:rsidRPr="00127152">
        <w:t xml:space="preserve">reconciliation of MPC claims to expenditure and costs incurred and to calculate the financial reporting measures relating to </w:t>
      </w:r>
      <w:r w:rsidR="00E558E4" w:rsidRPr="00127152">
        <w:t>c</w:t>
      </w:r>
      <w:r w:rsidRPr="00127152">
        <w:t xml:space="preserve">lawback as described in </w:t>
      </w:r>
      <w:r w:rsidR="00985F65" w:rsidRPr="00985F65">
        <w:rPr>
          <w:lang w:val="en-GB"/>
        </w:rPr>
        <w:t xml:space="preserve">this </w:t>
      </w:r>
      <w:r w:rsidR="00985F65">
        <w:rPr>
          <w:lang w:val="en-GB"/>
        </w:rPr>
        <w:t>S</w:t>
      </w:r>
      <w:r w:rsidR="00985F65" w:rsidRPr="00985F65">
        <w:rPr>
          <w:lang w:val="en-GB"/>
        </w:rPr>
        <w:t>chedule</w:t>
      </w:r>
      <w:r w:rsidR="00E213E9" w:rsidRPr="00127152">
        <w:t>)</w:t>
      </w:r>
      <w:r w:rsidRPr="00127152">
        <w:t xml:space="preserve">.  The Project Accounts </w:t>
      </w:r>
      <w:r w:rsidR="00623762" w:rsidRPr="00796B31">
        <w:rPr>
          <w:lang w:val="en-GB"/>
        </w:rPr>
        <w:t>shall</w:t>
      </w:r>
      <w:r w:rsidRPr="00127152">
        <w:t xml:space="preserve"> </w:t>
      </w:r>
      <w:r w:rsidR="00E213E9" w:rsidRPr="00127152">
        <w:t>include</w:t>
      </w:r>
      <w:r w:rsidRPr="00127152">
        <w:t>:</w:t>
      </w:r>
    </w:p>
    <w:p w:rsidR="00143034" w:rsidRPr="00127152" w:rsidRDefault="00637224" w:rsidP="00796B31">
      <w:pPr>
        <w:pStyle w:val="Level3"/>
      </w:pPr>
      <w:r w:rsidRPr="00127152">
        <w:t>a</w:t>
      </w:r>
      <w:r w:rsidR="00ED7AD1" w:rsidRPr="00127152">
        <w:t xml:space="preserve"> summary</w:t>
      </w:r>
      <w:r w:rsidR="00143034" w:rsidRPr="00127152">
        <w:t xml:space="preserve"> </w:t>
      </w:r>
      <w:r w:rsidR="00B70D8E" w:rsidRPr="00127152">
        <w:t xml:space="preserve">revenue </w:t>
      </w:r>
      <w:r w:rsidR="00143034" w:rsidRPr="00127152">
        <w:t xml:space="preserve">and expenditure statement (including public subsidy received) </w:t>
      </w:r>
      <w:r w:rsidR="00E622EA" w:rsidRPr="00127152">
        <w:t>in respect of this Contract;</w:t>
      </w:r>
    </w:p>
    <w:p w:rsidR="003C28BE" w:rsidRPr="003C28BE" w:rsidRDefault="00637224" w:rsidP="00796B31">
      <w:pPr>
        <w:pStyle w:val="Level3"/>
      </w:pPr>
      <w:r w:rsidRPr="00127152">
        <w:t>a</w:t>
      </w:r>
      <w:r w:rsidR="00143034" w:rsidRPr="00127152">
        <w:t xml:space="preserve"> record of </w:t>
      </w:r>
      <w:r w:rsidR="004A5A3D" w:rsidRPr="00796B31">
        <w:rPr>
          <w:lang w:val="en-GB"/>
        </w:rPr>
        <w:t xml:space="preserve">Network </w:t>
      </w:r>
      <w:r w:rsidR="00143034" w:rsidRPr="00127152">
        <w:t xml:space="preserve">assets created or deployed </w:t>
      </w:r>
      <w:r w:rsidR="00E622EA" w:rsidRPr="00127152">
        <w:t>in respect of this Contract;</w:t>
      </w:r>
    </w:p>
    <w:p w:rsidR="00ED7AD1" w:rsidRPr="00127152" w:rsidRDefault="003C28BE" w:rsidP="004557CA">
      <w:pPr>
        <w:pStyle w:val="Level3"/>
      </w:pPr>
      <w:r>
        <w:rPr>
          <w:lang w:val="en-GB"/>
        </w:rPr>
        <w:t>details</w:t>
      </w:r>
      <w:r w:rsidRPr="003C28BE">
        <w:rPr>
          <w:lang w:val="en-GB"/>
        </w:rPr>
        <w:t xml:space="preserve"> of any re-payments made to</w:t>
      </w:r>
      <w:r w:rsidR="00E0652C">
        <w:rPr>
          <w:lang w:val="en-GB"/>
        </w:rPr>
        <w:t xml:space="preserve"> </w:t>
      </w:r>
      <w:r w:rsidRPr="003C28BE">
        <w:rPr>
          <w:lang w:val="en-GB"/>
        </w:rPr>
        <w:t>the Authority pursuant to t</w:t>
      </w:r>
      <w:r>
        <w:rPr>
          <w:lang w:val="en-GB"/>
        </w:rPr>
        <w:t>h</w:t>
      </w:r>
      <w:r w:rsidRPr="003C28BE">
        <w:rPr>
          <w:lang w:val="en-GB"/>
        </w:rPr>
        <w:t>is Schedule 5.1;</w:t>
      </w:r>
    </w:p>
    <w:p w:rsidR="00143034" w:rsidRDefault="00637224" w:rsidP="00796B31">
      <w:pPr>
        <w:pStyle w:val="Level3"/>
      </w:pPr>
      <w:r w:rsidRPr="00127152">
        <w:t>s</w:t>
      </w:r>
      <w:r w:rsidR="00143034" w:rsidRPr="00127152">
        <w:t xml:space="preserve">upporting notes and information as </w:t>
      </w:r>
      <w:r w:rsidRPr="00127152">
        <w:t>appropriate for the reasonable understanding of the Project Accounts</w:t>
      </w:r>
      <w:r w:rsidR="00596829" w:rsidRPr="00596829">
        <w:rPr>
          <w:lang w:val="en-GB"/>
        </w:rPr>
        <w:t>; and</w:t>
      </w:r>
    </w:p>
    <w:p w:rsidR="0019108D" w:rsidRPr="00127152" w:rsidRDefault="0019108D" w:rsidP="00596829">
      <w:pPr>
        <w:pStyle w:val="Level3"/>
      </w:pPr>
      <w:r>
        <w:rPr>
          <w:lang w:val="en-GB"/>
        </w:rPr>
        <w:t>actual Take-up per Project Period</w:t>
      </w:r>
      <w:r w:rsidR="00596829">
        <w:rPr>
          <w:lang w:val="en-GB"/>
        </w:rPr>
        <w:t>.</w:t>
      </w:r>
    </w:p>
    <w:p w:rsidR="00E622EA" w:rsidRPr="00127152" w:rsidRDefault="00E622EA" w:rsidP="00796B31">
      <w:pPr>
        <w:pStyle w:val="Level2"/>
        <w:numPr>
          <w:ilvl w:val="1"/>
          <w:numId w:val="4"/>
        </w:numPr>
      </w:pPr>
      <w:r w:rsidRPr="00127152">
        <w:t>The Project Accounts shall be:</w:t>
      </w:r>
    </w:p>
    <w:p w:rsidR="00E622EA" w:rsidRPr="00127152" w:rsidRDefault="00143034" w:rsidP="00796B31">
      <w:pPr>
        <w:pStyle w:val="Level3"/>
      </w:pPr>
      <w:r w:rsidRPr="00127152">
        <w:t xml:space="preserve">prepared on a basis that is consistent with the accounting policies that the Supplier applies under its </w:t>
      </w:r>
      <w:r w:rsidR="00637224" w:rsidRPr="00127152">
        <w:t xml:space="preserve">own </w:t>
      </w:r>
      <w:r w:rsidRPr="00127152">
        <w:t>corporate financial reporting and audit standards</w:t>
      </w:r>
      <w:r w:rsidR="00E622EA" w:rsidRPr="00127152">
        <w:t>;</w:t>
      </w:r>
      <w:r w:rsidR="00ED7AD1" w:rsidRPr="00127152">
        <w:t xml:space="preserve"> and </w:t>
      </w:r>
    </w:p>
    <w:p w:rsidR="00143034" w:rsidRPr="00127152" w:rsidRDefault="00ED7AD1" w:rsidP="00796B31">
      <w:pPr>
        <w:pStyle w:val="Level3"/>
      </w:pPr>
      <w:r w:rsidRPr="00127152">
        <w:lastRenderedPageBreak/>
        <w:t>subject to the Supplier's own internal and external audit procedures</w:t>
      </w:r>
      <w:r w:rsidR="00143034" w:rsidRPr="00127152">
        <w:t>.</w:t>
      </w:r>
    </w:p>
    <w:p w:rsidR="00143034" w:rsidRPr="00127152" w:rsidRDefault="00F033A9" w:rsidP="00796B31">
      <w:pPr>
        <w:pStyle w:val="Level2"/>
        <w:numPr>
          <w:ilvl w:val="1"/>
          <w:numId w:val="4"/>
        </w:numPr>
      </w:pPr>
      <w:bookmarkStart w:id="30" w:name="_Ref326143171"/>
      <w:r w:rsidRPr="00796B31">
        <w:rPr>
          <w:lang w:val="en-GB"/>
        </w:rPr>
        <w:t>W</w:t>
      </w:r>
      <w:r w:rsidRPr="00127152">
        <w:t>ithin 30 days of each anniversary of the Effective Date</w:t>
      </w:r>
      <w:r w:rsidRPr="00796B31">
        <w:rPr>
          <w:lang w:val="en-GB"/>
        </w:rPr>
        <w:t xml:space="preserve"> the Supplier shall submit to the </w:t>
      </w:r>
      <w:r w:rsidR="00143034" w:rsidRPr="00127152">
        <w:t>A</w:t>
      </w:r>
      <w:r w:rsidRPr="00796B31">
        <w:rPr>
          <w:lang w:val="en-GB"/>
        </w:rPr>
        <w:t>uthority a</w:t>
      </w:r>
      <w:r w:rsidR="00143034" w:rsidRPr="00127152">
        <w:t xml:space="preserve"> </w:t>
      </w:r>
      <w:r w:rsidR="00DE248A" w:rsidRPr="00796B31">
        <w:rPr>
          <w:lang w:val="en-GB"/>
        </w:rPr>
        <w:t xml:space="preserve">copy of the Project Accounts and an accompanying </w:t>
      </w:r>
      <w:r w:rsidR="007E08BC" w:rsidRPr="00127152">
        <w:t xml:space="preserve">short </w:t>
      </w:r>
      <w:r w:rsidR="00DE248A" w:rsidRPr="00796B31">
        <w:rPr>
          <w:lang w:val="en-GB"/>
        </w:rPr>
        <w:t xml:space="preserve">narrative </w:t>
      </w:r>
      <w:r w:rsidR="007E08BC" w:rsidRPr="00127152">
        <w:t>report for the preceding 12 months</w:t>
      </w:r>
      <w:r w:rsidR="00143034" w:rsidRPr="00127152">
        <w:t xml:space="preserve">, certified by a suitably qualified finance </w:t>
      </w:r>
      <w:r w:rsidRPr="00127152">
        <w:t xml:space="preserve">representative </w:t>
      </w:r>
      <w:r w:rsidRPr="00796B31">
        <w:rPr>
          <w:lang w:val="en-GB"/>
        </w:rPr>
        <w:t xml:space="preserve">or the external auditor </w:t>
      </w:r>
      <w:r w:rsidRPr="00127152">
        <w:t>of the Supplier</w:t>
      </w:r>
      <w:r w:rsidR="00143034" w:rsidRPr="00127152">
        <w:t>.</w:t>
      </w:r>
      <w:r w:rsidR="005D4E6F" w:rsidRPr="00796B31">
        <w:rPr>
          <w:lang w:val="en-GB"/>
        </w:rPr>
        <w:t xml:space="preserve"> </w:t>
      </w:r>
      <w:r w:rsidR="005D4E6F" w:rsidRPr="005D4E6F">
        <w:t xml:space="preserve"> On expiry or termination of this </w:t>
      </w:r>
      <w:r w:rsidR="00512024" w:rsidRPr="00796B31">
        <w:rPr>
          <w:lang w:val="en-GB"/>
        </w:rPr>
        <w:t>Contract</w:t>
      </w:r>
      <w:r w:rsidR="005D4E6F" w:rsidRPr="005D4E6F">
        <w:t xml:space="preserve">, the Supplier shall prepare an equivalent copy of the Project Accounts for the period since the preceding copy of Project Accounts produced pursuant to this paragraph </w:t>
      </w:r>
      <w:r w:rsidR="00994BD7">
        <w:rPr>
          <w:lang w:val="en-GB"/>
        </w:rPr>
        <w:t>5.3</w:t>
      </w:r>
      <w:r w:rsidR="005D4E6F" w:rsidRPr="005D4E6F">
        <w:t xml:space="preserve"> (noting that the specific timing of the production of such copy on expiry or termination must support the operation of those provisions of this </w:t>
      </w:r>
      <w:r w:rsidR="00512024" w:rsidRPr="00796B31">
        <w:rPr>
          <w:lang w:val="en-GB"/>
        </w:rPr>
        <w:t>Contract</w:t>
      </w:r>
      <w:r w:rsidR="00512024" w:rsidRPr="005D4E6F">
        <w:t xml:space="preserve"> </w:t>
      </w:r>
      <w:r w:rsidR="005D4E6F" w:rsidRPr="005D4E6F">
        <w:t xml:space="preserve">which themselves take effect at expiry or termination of this </w:t>
      </w:r>
      <w:r w:rsidR="00512024" w:rsidRPr="00796B31">
        <w:rPr>
          <w:lang w:val="en-GB"/>
        </w:rPr>
        <w:t>Contract</w:t>
      </w:r>
      <w:r w:rsidR="005D4E6F" w:rsidRPr="005D4E6F">
        <w:t>).</w:t>
      </w:r>
      <w:bookmarkEnd w:id="30"/>
    </w:p>
    <w:p w:rsidR="00143034" w:rsidRPr="00127152" w:rsidRDefault="00F033A9" w:rsidP="00796B31">
      <w:pPr>
        <w:pStyle w:val="Level2"/>
        <w:numPr>
          <w:ilvl w:val="1"/>
          <w:numId w:val="4"/>
        </w:numPr>
      </w:pPr>
      <w:r w:rsidRPr="00796B31">
        <w:rPr>
          <w:lang w:val="en-GB"/>
        </w:rPr>
        <w:t>T</w:t>
      </w:r>
      <w:r w:rsidR="00143034" w:rsidRPr="00127152">
        <w:t xml:space="preserve">he Supplier shall maintain accounting records for all </w:t>
      </w:r>
      <w:r w:rsidR="004E0968" w:rsidRPr="007431E6">
        <w:t>NGA Network Build Cost</w:t>
      </w:r>
      <w:r w:rsidR="009E1882">
        <w:rPr>
          <w:lang w:val="en-GB"/>
        </w:rPr>
        <w:t>s</w:t>
      </w:r>
      <w:r w:rsidR="00143034" w:rsidRPr="00127152">
        <w:t xml:space="preserve"> </w:t>
      </w:r>
      <w:r w:rsidR="004E0968" w:rsidRPr="003C28BE">
        <w:rPr>
          <w:lang w:val="en-GB"/>
        </w:rPr>
        <w:t>under</w:t>
      </w:r>
      <w:r w:rsidR="004E0968" w:rsidRPr="00B0387A">
        <w:rPr>
          <w:lang w:val="en-GB"/>
        </w:rPr>
        <w:t xml:space="preserve"> </w:t>
      </w:r>
      <w:r w:rsidR="00E213E9" w:rsidRPr="00127152">
        <w:t>this Contract</w:t>
      </w:r>
      <w:r w:rsidR="00143034" w:rsidRPr="00127152">
        <w:t xml:space="preserve"> </w:t>
      </w:r>
      <w:r w:rsidR="00E2760A" w:rsidRPr="00127152">
        <w:t>in accordance with Clause 37.  These</w:t>
      </w:r>
      <w:r w:rsidR="00143034" w:rsidRPr="00127152">
        <w:t xml:space="preserve"> accounting records </w:t>
      </w:r>
      <w:r w:rsidR="00E2760A" w:rsidRPr="00127152">
        <w:t>shall</w:t>
      </w:r>
      <w:r w:rsidR="00143034" w:rsidRPr="00127152">
        <w:t xml:space="preserve"> include</w:t>
      </w:r>
      <w:r w:rsidR="00E2760A" w:rsidRPr="00127152">
        <w:t>,</w:t>
      </w:r>
      <w:r w:rsidR="00143034" w:rsidRPr="00127152">
        <w:t xml:space="preserve"> original invoices, receipts, accounts, deeds, bank records and any other relevant </w:t>
      </w:r>
      <w:r w:rsidR="00E622EA" w:rsidRPr="00127152">
        <w:t>documentation whether in written</w:t>
      </w:r>
      <w:r w:rsidR="00143034" w:rsidRPr="00127152">
        <w:t xml:space="preserve"> or electronic form.</w:t>
      </w:r>
    </w:p>
    <w:p w:rsidR="00F033A9" w:rsidRPr="00127152" w:rsidRDefault="00025FC3" w:rsidP="00EE6EC2">
      <w:pPr>
        <w:pStyle w:val="Level1"/>
        <w:keepNext/>
        <w:rPr>
          <w:b/>
          <w:bCs/>
          <w:caps/>
        </w:rPr>
      </w:pPr>
      <w:r>
        <w:rPr>
          <w:rStyle w:val="Level1asHeadingtext"/>
          <w:lang w:val="en-GB"/>
        </w:rPr>
        <w:fldChar w:fldCharType="begin"/>
      </w:r>
      <w:r w:rsidRPr="00025FC3">
        <w:instrText xml:space="preserve">  TC "</w:instrText>
      </w:r>
      <w:r>
        <w:fldChar w:fldCharType="begin"/>
      </w:r>
      <w:r w:rsidRPr="00025FC3">
        <w:instrText xml:space="preserve"> REF _Ref425718569 \r </w:instrText>
      </w:r>
      <w:r>
        <w:fldChar w:fldCharType="separate"/>
      </w:r>
      <w:bookmarkStart w:id="31" w:name="_Toc463354108"/>
      <w:r w:rsidR="008B179C">
        <w:instrText>6</w:instrText>
      </w:r>
      <w:r>
        <w:fldChar w:fldCharType="end"/>
      </w:r>
      <w:r>
        <w:tab/>
        <w:instrText>SUPPLIER AUDIT AND FINANCIAL CONTROL</w:instrText>
      </w:r>
      <w:bookmarkEnd w:id="31"/>
      <w:r w:rsidRPr="00025FC3">
        <w:instrText xml:space="preserve">" \l1 </w:instrText>
      </w:r>
      <w:r>
        <w:rPr>
          <w:rStyle w:val="Level1asHeadingtext"/>
          <w:lang w:val="en-GB"/>
        </w:rPr>
        <w:fldChar w:fldCharType="end"/>
      </w:r>
      <w:bookmarkStart w:id="32" w:name="_Ref408986155"/>
      <w:bookmarkStart w:id="33" w:name="_Ref425718569"/>
      <w:r w:rsidR="002B62EA" w:rsidRPr="00127152">
        <w:rPr>
          <w:rStyle w:val="Level1asHeadingtext"/>
          <w:lang w:val="en-GB"/>
        </w:rPr>
        <w:t>SUPPLIER</w:t>
      </w:r>
      <w:r w:rsidR="0028710B" w:rsidRPr="00127152">
        <w:rPr>
          <w:rStyle w:val="Level1asHeadingtext"/>
        </w:rPr>
        <w:t xml:space="preserve"> </w:t>
      </w:r>
      <w:r w:rsidR="003836D1" w:rsidRPr="00127152">
        <w:rPr>
          <w:rStyle w:val="Level1asHeadingtext"/>
        </w:rPr>
        <w:t>audit</w:t>
      </w:r>
      <w:bookmarkEnd w:id="32"/>
      <w:r w:rsidR="001B487F" w:rsidRPr="00985F65">
        <w:rPr>
          <w:rStyle w:val="Level1asHeadingtext"/>
          <w:lang w:val="en-GB"/>
        </w:rPr>
        <w:t xml:space="preserve"> and financial control</w:t>
      </w:r>
      <w:bookmarkEnd w:id="33"/>
    </w:p>
    <w:p w:rsidR="009740C5" w:rsidRPr="00B0387A" w:rsidRDefault="00ED7AD1" w:rsidP="00B0387A">
      <w:pPr>
        <w:pStyle w:val="Level2"/>
        <w:numPr>
          <w:ilvl w:val="1"/>
          <w:numId w:val="4"/>
        </w:numPr>
        <w:rPr>
          <w:lang w:val="en-GB"/>
        </w:rPr>
      </w:pPr>
      <w:r w:rsidRPr="00127152">
        <w:t xml:space="preserve">The Supplier shall ensure that </w:t>
      </w:r>
      <w:r w:rsidR="00E7336E" w:rsidRPr="00796B31">
        <w:rPr>
          <w:lang w:val="en-GB"/>
        </w:rPr>
        <w:t>all</w:t>
      </w:r>
      <w:r w:rsidRPr="00127152">
        <w:t xml:space="preserve"> public subsidy it </w:t>
      </w:r>
      <w:r w:rsidR="00E7336E" w:rsidRPr="00796B31">
        <w:rPr>
          <w:lang w:val="en-GB"/>
        </w:rPr>
        <w:t>receives</w:t>
      </w:r>
      <w:r w:rsidRPr="00127152">
        <w:t xml:space="preserve"> </w:t>
      </w:r>
      <w:r w:rsidR="002B62EA" w:rsidRPr="00796B31">
        <w:rPr>
          <w:lang w:val="en-GB"/>
        </w:rPr>
        <w:t xml:space="preserve">pursuant to this Contract </w:t>
      </w:r>
      <w:r w:rsidRPr="00127152">
        <w:t>is subject to the Supplier's own internal and external audit processes.</w:t>
      </w:r>
    </w:p>
    <w:p w:rsidR="001B487F" w:rsidRPr="005D4E6F" w:rsidRDefault="001B487F" w:rsidP="001B487F">
      <w:pPr>
        <w:pStyle w:val="Level2"/>
        <w:numPr>
          <w:ilvl w:val="1"/>
          <w:numId w:val="4"/>
        </w:numPr>
      </w:pPr>
      <w:bookmarkStart w:id="34" w:name="_Ref454403309"/>
      <w:r w:rsidRPr="00127152">
        <w:rPr>
          <w:lang w:val="en-GB"/>
        </w:rPr>
        <w:t xml:space="preserve">As part of </w:t>
      </w:r>
      <w:r w:rsidR="0029097A">
        <w:rPr>
          <w:lang w:val="en-GB"/>
        </w:rPr>
        <w:t>the Authority's</w:t>
      </w:r>
      <w:r w:rsidRPr="00127152">
        <w:rPr>
          <w:lang w:val="en-GB"/>
        </w:rPr>
        <w:t xml:space="preserve"> own internal financial control process</w:t>
      </w:r>
      <w:r w:rsidR="0029097A">
        <w:rPr>
          <w:lang w:val="en-GB"/>
        </w:rPr>
        <w:t xml:space="preserve"> or otherwise complying with its legal duties</w:t>
      </w:r>
      <w:r w:rsidRPr="00127152">
        <w:rPr>
          <w:lang w:val="en-GB"/>
        </w:rPr>
        <w:t xml:space="preserve">, the Authority </w:t>
      </w:r>
      <w:r w:rsidRPr="00127152">
        <w:t>(and/or its agents or representatives)</w:t>
      </w:r>
      <w:r w:rsidRPr="00127152">
        <w:rPr>
          <w:lang w:val="en-GB"/>
        </w:rPr>
        <w:t xml:space="preserve"> </w:t>
      </w:r>
      <w:r w:rsidR="00985F65">
        <w:rPr>
          <w:lang w:val="en-GB"/>
        </w:rPr>
        <w:t xml:space="preserve">and/or the Programme Authority </w:t>
      </w:r>
      <w:r w:rsidRPr="00127152">
        <w:rPr>
          <w:lang w:val="en-GB"/>
        </w:rPr>
        <w:t>may undertake review</w:t>
      </w:r>
      <w:r w:rsidR="0029097A">
        <w:rPr>
          <w:lang w:val="en-GB"/>
        </w:rPr>
        <w:t>s</w:t>
      </w:r>
      <w:r w:rsidRPr="00127152">
        <w:rPr>
          <w:lang w:val="en-GB"/>
        </w:rPr>
        <w:t xml:space="preserve"> of the </w:t>
      </w:r>
      <w:r w:rsidR="004E0968" w:rsidRPr="007431E6">
        <w:t>NGA Network Build Cost</w:t>
      </w:r>
      <w:r w:rsidRPr="00127152">
        <w:rPr>
          <w:lang w:val="en-GB"/>
        </w:rPr>
        <w:t xml:space="preserve"> under this Contract. In such circumstances, the Authority </w:t>
      </w:r>
      <w:r w:rsidRPr="00127152">
        <w:t>(and/or its agents or representatives)</w:t>
      </w:r>
      <w:r w:rsidRPr="00127152">
        <w:rPr>
          <w:lang w:val="en-GB"/>
        </w:rPr>
        <w:t xml:space="preserve"> </w:t>
      </w:r>
      <w:r w:rsidR="00985F65">
        <w:rPr>
          <w:lang w:val="en-GB"/>
        </w:rPr>
        <w:t xml:space="preserve">and/or the Programme Authority </w:t>
      </w:r>
      <w:r w:rsidRPr="00127152">
        <w:rPr>
          <w:lang w:val="en-GB"/>
        </w:rPr>
        <w:t xml:space="preserve">may require the Supplier to provide, as soon as is reasonably practical, additional reasonable assistance and reasonable supporting information regarding any MPC (as supplementary assurance to the evidence provided pursuant to paragraph </w:t>
      </w:r>
      <w:r w:rsidRPr="00127152">
        <w:rPr>
          <w:lang w:val="en-GB"/>
        </w:rPr>
        <w:fldChar w:fldCharType="begin"/>
      </w:r>
      <w:r w:rsidRPr="00127152">
        <w:rPr>
          <w:lang w:val="en-GB"/>
        </w:rPr>
        <w:instrText xml:space="preserve"> REF _Ref312313408 \r \h </w:instrText>
      </w:r>
      <w:r>
        <w:rPr>
          <w:lang w:val="en-GB"/>
        </w:rPr>
        <w:instrText xml:space="preserve"> \* MERGEFORMAT </w:instrText>
      </w:r>
      <w:r w:rsidRPr="00127152">
        <w:rPr>
          <w:lang w:val="en-GB"/>
        </w:rPr>
      </w:r>
      <w:r w:rsidRPr="00127152">
        <w:rPr>
          <w:lang w:val="en-GB"/>
        </w:rPr>
        <w:fldChar w:fldCharType="separate"/>
      </w:r>
      <w:r w:rsidR="008B179C">
        <w:rPr>
          <w:lang w:val="en-GB"/>
        </w:rPr>
        <w:t>4.1</w:t>
      </w:r>
      <w:r w:rsidRPr="00127152">
        <w:rPr>
          <w:lang w:val="en-GB"/>
        </w:rPr>
        <w:fldChar w:fldCharType="end"/>
      </w:r>
      <w:r w:rsidRPr="00127152">
        <w:rPr>
          <w:lang w:val="en-GB"/>
        </w:rPr>
        <w:t>).</w:t>
      </w:r>
      <w:bookmarkEnd w:id="34"/>
    </w:p>
    <w:p w:rsidR="00461CE6" w:rsidRDefault="00461CE6" w:rsidP="00461CE6">
      <w:pPr>
        <w:pStyle w:val="Level2"/>
        <w:numPr>
          <w:ilvl w:val="1"/>
          <w:numId w:val="4"/>
        </w:numPr>
      </w:pPr>
      <w:bookmarkStart w:id="35" w:name="_Ref326143083"/>
      <w:r>
        <w:t xml:space="preserve">Paragraphs </w:t>
      </w:r>
      <w:r>
        <w:fldChar w:fldCharType="begin"/>
      </w:r>
      <w:r>
        <w:instrText xml:space="preserve"> REF _Ref326143055 \r \h </w:instrText>
      </w:r>
      <w:r>
        <w:fldChar w:fldCharType="separate"/>
      </w:r>
      <w:r w:rsidR="008B179C">
        <w:t>3.10</w:t>
      </w:r>
      <w:r>
        <w:fldChar w:fldCharType="end"/>
      </w:r>
      <w:r>
        <w:t xml:space="preserve"> and </w:t>
      </w:r>
      <w:r>
        <w:fldChar w:fldCharType="begin"/>
      </w:r>
      <w:r>
        <w:instrText xml:space="preserve"> REF _Ref454403309 \r \h </w:instrText>
      </w:r>
      <w:r>
        <w:fldChar w:fldCharType="separate"/>
      </w:r>
      <w:r w:rsidR="008B179C">
        <w:t>6.2</w:t>
      </w:r>
      <w:r>
        <w:fldChar w:fldCharType="end"/>
      </w:r>
      <w:r>
        <w:t xml:space="preserve"> of this Schedule shall continue to be effective until:</w:t>
      </w:r>
      <w:bookmarkEnd w:id="35"/>
    </w:p>
    <w:p w:rsidR="00461CE6" w:rsidRPr="005D4E6F" w:rsidRDefault="00461CE6" w:rsidP="00461CE6">
      <w:pPr>
        <w:pStyle w:val="Level3"/>
        <w:numPr>
          <w:ilvl w:val="2"/>
          <w:numId w:val="4"/>
        </w:numPr>
      </w:pPr>
      <w:r>
        <w:t xml:space="preserve">12 months following </w:t>
      </w:r>
      <w:r>
        <w:rPr>
          <w:lang w:val="en-GB"/>
        </w:rPr>
        <w:t>the Term, subject to early termination of this Contract</w:t>
      </w:r>
      <w:r>
        <w:t>; or</w:t>
      </w:r>
    </w:p>
    <w:p w:rsidR="00461CE6" w:rsidRPr="0066418B" w:rsidRDefault="00461CE6" w:rsidP="00461CE6">
      <w:pPr>
        <w:pStyle w:val="Level3"/>
        <w:numPr>
          <w:ilvl w:val="2"/>
          <w:numId w:val="4"/>
        </w:numPr>
      </w:pPr>
      <w:r>
        <w:t xml:space="preserve">in the event of early termination of this Agreement, </w:t>
      </w:r>
      <w:r>
        <w:rPr>
          <w:lang w:val="en-GB"/>
        </w:rPr>
        <w:t>24</w:t>
      </w:r>
      <w:r>
        <w:t xml:space="preserve"> months following </w:t>
      </w:r>
      <w:r>
        <w:rPr>
          <w:lang w:val="en-GB"/>
        </w:rPr>
        <w:t>such termination date</w:t>
      </w:r>
      <w:r>
        <w:t>.</w:t>
      </w:r>
    </w:p>
    <w:bookmarkStart w:id="36" w:name="_Ref459920047"/>
    <w:p w:rsidR="0044294D" w:rsidRPr="00796B31" w:rsidRDefault="00A66CD9" w:rsidP="00796B31">
      <w:pPr>
        <w:pStyle w:val="Level1"/>
        <w:rPr>
          <w:rStyle w:val="Level1asHeadingtext"/>
          <w:b w:val="0"/>
          <w:caps w:val="0"/>
        </w:rPr>
      </w:pPr>
      <w:r>
        <w:rPr>
          <w:rStyle w:val="Level1asHeadingtext"/>
          <w:lang w:val="en-GB"/>
        </w:rPr>
        <w:fldChar w:fldCharType="begin"/>
      </w:r>
      <w:r w:rsidRPr="00025FC3">
        <w:instrText xml:space="preserve">  TC "</w:instrText>
      </w:r>
      <w:r>
        <w:fldChar w:fldCharType="begin"/>
      </w:r>
      <w:r>
        <w:instrText xml:space="preserve"> REF _Ref459920047 \r \h </w:instrText>
      </w:r>
      <w:r>
        <w:fldChar w:fldCharType="separate"/>
      </w:r>
      <w:bookmarkStart w:id="37" w:name="_Toc463354109"/>
      <w:r w:rsidR="008B179C">
        <w:instrText>7</w:instrText>
      </w:r>
      <w:r>
        <w:fldChar w:fldCharType="end"/>
      </w:r>
      <w:r>
        <w:tab/>
      </w:r>
      <w:r>
        <w:rPr>
          <w:lang w:val="de-DE"/>
        </w:rPr>
        <w:instrText>PROJECT MODEL OUTPUTS</w:instrText>
      </w:r>
      <w:bookmarkEnd w:id="37"/>
      <w:r w:rsidRPr="00025FC3">
        <w:instrText xml:space="preserve">" \l1 </w:instrText>
      </w:r>
      <w:r>
        <w:rPr>
          <w:rStyle w:val="Level1asHeadingtext"/>
          <w:lang w:val="en-GB"/>
        </w:rPr>
        <w:fldChar w:fldCharType="end"/>
      </w:r>
      <w:r w:rsidR="00B61B70">
        <w:rPr>
          <w:rStyle w:val="Level1asHeadingtext"/>
          <w:lang w:val="en-GB"/>
        </w:rPr>
        <w:t>PROJECT MODEL OUTPUTS</w:t>
      </w:r>
      <w:bookmarkEnd w:id="36"/>
    </w:p>
    <w:p w:rsidR="00676428" w:rsidRPr="00127152" w:rsidRDefault="00775430" w:rsidP="00796B31">
      <w:pPr>
        <w:pStyle w:val="Level2"/>
      </w:pPr>
      <w:r w:rsidRPr="00127152">
        <w:t xml:space="preserve">The </w:t>
      </w:r>
      <w:r w:rsidR="00676428" w:rsidRPr="00796B31">
        <w:rPr>
          <w:lang w:val="en-GB"/>
        </w:rPr>
        <w:t xml:space="preserve">Supplier shall ensure that the </w:t>
      </w:r>
      <w:r w:rsidRPr="00127152">
        <w:t>Project</w:t>
      </w:r>
      <w:r w:rsidR="00676428" w:rsidRPr="00127152">
        <w:t xml:space="preserve"> Model</w:t>
      </w:r>
      <w:r w:rsidR="00676428" w:rsidRPr="00796B31">
        <w:rPr>
          <w:lang w:val="en-GB"/>
        </w:rPr>
        <w:t>:</w:t>
      </w:r>
    </w:p>
    <w:p w:rsidR="00676428" w:rsidRPr="00127152" w:rsidRDefault="00775430" w:rsidP="00796B31">
      <w:pPr>
        <w:pStyle w:val="Level3"/>
      </w:pPr>
      <w:r w:rsidRPr="00127152">
        <w:t>contain</w:t>
      </w:r>
      <w:r w:rsidR="00676428" w:rsidRPr="00796B31">
        <w:rPr>
          <w:lang w:val="en-GB"/>
        </w:rPr>
        <w:t>s</w:t>
      </w:r>
      <w:r w:rsidR="00711340" w:rsidRPr="00127152">
        <w:t xml:space="preserve"> the details of the </w:t>
      </w:r>
      <w:r w:rsidR="00540071" w:rsidRPr="00B0387A">
        <w:rPr>
          <w:lang w:val="en-GB"/>
        </w:rPr>
        <w:t xml:space="preserve">Supplier </w:t>
      </w:r>
      <w:r w:rsidR="00540071">
        <w:rPr>
          <w:lang w:val="en-GB"/>
        </w:rPr>
        <w:t xml:space="preserve">NGA Network Build </w:t>
      </w:r>
      <w:r w:rsidR="00E0652C" w:rsidRPr="00E0652C">
        <w:rPr>
          <w:lang w:val="en-GB"/>
        </w:rPr>
        <w:t xml:space="preserve">Investment </w:t>
      </w:r>
      <w:r w:rsidRPr="00127152">
        <w:t>that is forecast</w:t>
      </w:r>
      <w:r w:rsidR="00676428" w:rsidRPr="00127152">
        <w:t xml:space="preserve"> to be incurred over the </w:t>
      </w:r>
      <w:r w:rsidR="00540071">
        <w:rPr>
          <w:lang w:val="en-GB"/>
        </w:rPr>
        <w:t>Deployment Period</w:t>
      </w:r>
      <w:r w:rsidR="00676428" w:rsidRPr="00127152">
        <w:rPr>
          <w:lang w:val="en-GB"/>
        </w:rPr>
        <w:t>;</w:t>
      </w:r>
    </w:p>
    <w:p w:rsidR="00892E10" w:rsidRDefault="00775430" w:rsidP="00796B31">
      <w:pPr>
        <w:pStyle w:val="Level3"/>
      </w:pPr>
      <w:r w:rsidRPr="00127152">
        <w:t>calculate</w:t>
      </w:r>
      <w:r w:rsidR="00676428" w:rsidRPr="00796B31">
        <w:rPr>
          <w:lang w:val="en-GB"/>
        </w:rPr>
        <w:t>s</w:t>
      </w:r>
      <w:r w:rsidRPr="00127152">
        <w:t xml:space="preserve"> a Project Investment Ratio</w:t>
      </w:r>
      <w:r w:rsidR="008361EA" w:rsidRPr="008361EA">
        <w:rPr>
          <w:lang w:val="en-GB"/>
        </w:rPr>
        <w:t>;</w:t>
      </w:r>
      <w:r w:rsidR="008F29A0">
        <w:rPr>
          <w:lang w:val="en-GB"/>
        </w:rPr>
        <w:t xml:space="preserve"> and</w:t>
      </w:r>
    </w:p>
    <w:p w:rsidR="00892E10" w:rsidRPr="00127152" w:rsidRDefault="008361EA" w:rsidP="00892E10">
      <w:pPr>
        <w:pStyle w:val="Level3"/>
      </w:pPr>
      <w:r>
        <w:rPr>
          <w:lang w:val="en-GB"/>
        </w:rPr>
        <w:t>c</w:t>
      </w:r>
      <w:r w:rsidR="00892E10">
        <w:rPr>
          <w:lang w:val="en-GB"/>
        </w:rPr>
        <w:t>alculates a Project Unit Margin</w:t>
      </w:r>
      <w:r>
        <w:rPr>
          <w:lang w:val="en-GB"/>
        </w:rPr>
        <w:t>.</w:t>
      </w:r>
    </w:p>
    <w:p w:rsidR="00CE45DC" w:rsidRPr="006310D5" w:rsidRDefault="00CE45DC" w:rsidP="00CE45DC">
      <w:pPr>
        <w:pStyle w:val="Level2"/>
        <w:numPr>
          <w:ilvl w:val="1"/>
          <w:numId w:val="4"/>
        </w:numPr>
      </w:pPr>
      <w:r w:rsidRPr="006310D5">
        <w:t xml:space="preserve">Where </w:t>
      </w:r>
      <w:r w:rsidRPr="006310D5">
        <w:rPr>
          <w:lang w:val="en-GB"/>
        </w:rPr>
        <w:t xml:space="preserve">the forecast NGA Network Build </w:t>
      </w:r>
      <w:r w:rsidR="00F31584">
        <w:rPr>
          <w:lang w:val="en-GB"/>
        </w:rPr>
        <w:t xml:space="preserve">Cost </w:t>
      </w:r>
      <w:r w:rsidRPr="006310D5">
        <w:rPr>
          <w:lang w:val="en-GB"/>
        </w:rPr>
        <w:t xml:space="preserve">is expected to be less than that forecast in Project Model, </w:t>
      </w:r>
      <w:r w:rsidRPr="006310D5">
        <w:t xml:space="preserve">then the </w:t>
      </w:r>
      <w:r w:rsidRPr="006310D5">
        <w:rPr>
          <w:lang w:val="en-GB"/>
        </w:rPr>
        <w:t>Authority shall require an appropriate reduction to the Milestone Payments such that on</w:t>
      </w:r>
      <w:r w:rsidRPr="006310D5">
        <w:t xml:space="preserve"> </w:t>
      </w:r>
      <w:r w:rsidR="00627B56" w:rsidRPr="003B0C6B">
        <w:rPr>
          <w:lang w:val="en-GB"/>
        </w:rPr>
        <w:t>A</w:t>
      </w:r>
      <w:r w:rsidRPr="006310D5">
        <w:t xml:space="preserve">chievement of the final </w:t>
      </w:r>
      <w:r w:rsidRPr="006310D5">
        <w:rPr>
          <w:lang w:val="en-GB"/>
        </w:rPr>
        <w:t xml:space="preserve">NGA </w:t>
      </w:r>
      <w:r w:rsidRPr="006310D5">
        <w:t>Milestone type 2</w:t>
      </w:r>
      <w:r w:rsidRPr="006310D5">
        <w:rPr>
          <w:lang w:val="en-GB"/>
        </w:rPr>
        <w:t xml:space="preserve">, </w:t>
      </w:r>
      <w:r w:rsidRPr="006310D5">
        <w:t xml:space="preserve">Actual </w:t>
      </w:r>
      <w:r w:rsidRPr="006310D5">
        <w:rPr>
          <w:lang w:val="en-GB"/>
        </w:rPr>
        <w:t>Supplier NGA Network Investment</w:t>
      </w:r>
      <w:r w:rsidRPr="006310D5">
        <w:t xml:space="preserve"> </w:t>
      </w:r>
      <w:r w:rsidRPr="006310D5">
        <w:rPr>
          <w:lang w:val="en-GB"/>
        </w:rPr>
        <w:t>should be</w:t>
      </w:r>
      <w:r w:rsidRPr="006310D5">
        <w:t xml:space="preserve"> equal to th</w:t>
      </w:r>
      <w:r w:rsidRPr="006310D5">
        <w:rPr>
          <w:lang w:val="en-GB"/>
        </w:rPr>
        <w:t xml:space="preserve">at </w:t>
      </w:r>
      <w:r w:rsidRPr="006310D5">
        <w:t>forecast in the Project Model.</w:t>
      </w:r>
    </w:p>
    <w:p w:rsidR="005F0F36" w:rsidRPr="0015196E" w:rsidRDefault="00A66CD9" w:rsidP="0015196E">
      <w:pPr>
        <w:pStyle w:val="Level1"/>
        <w:keepNext/>
        <w:rPr>
          <w:rStyle w:val="Level1asHeadingtext"/>
        </w:rPr>
      </w:pPr>
      <w:r>
        <w:rPr>
          <w:rStyle w:val="Level1asHeadingtext"/>
          <w:lang w:val="en-GB"/>
        </w:rPr>
        <w:fldChar w:fldCharType="begin"/>
      </w:r>
      <w:r w:rsidRPr="00025FC3">
        <w:instrText xml:space="preserve">  TC "</w:instrText>
      </w:r>
      <w:r>
        <w:fldChar w:fldCharType="begin"/>
      </w:r>
      <w:r>
        <w:instrText xml:space="preserve"> REF _Ref459920077 \r \h </w:instrText>
      </w:r>
      <w:r>
        <w:fldChar w:fldCharType="separate"/>
      </w:r>
      <w:bookmarkStart w:id="38" w:name="_Toc463354110"/>
      <w:r w:rsidR="008B179C">
        <w:instrText>8</w:instrText>
      </w:r>
      <w:r>
        <w:fldChar w:fldCharType="end"/>
      </w:r>
      <w:r>
        <w:tab/>
      </w:r>
      <w:r>
        <w:rPr>
          <w:lang w:val="de-DE"/>
        </w:rPr>
        <w:instrText>DEPLOYMENT COMPLETION</w:instrText>
      </w:r>
      <w:bookmarkEnd w:id="38"/>
      <w:r w:rsidRPr="00025FC3">
        <w:instrText xml:space="preserve">" \l1 </w:instrText>
      </w:r>
      <w:r>
        <w:rPr>
          <w:rStyle w:val="Level1asHeadingtext"/>
          <w:lang w:val="en-GB"/>
        </w:rPr>
        <w:fldChar w:fldCharType="end"/>
      </w:r>
      <w:bookmarkStart w:id="39" w:name="_Ref459920077"/>
      <w:r w:rsidR="00CF0EC7" w:rsidRPr="00144839">
        <w:rPr>
          <w:rStyle w:val="Level1asHeadingtext"/>
          <w:lang w:val="en-GB"/>
        </w:rPr>
        <w:t>DEPLOYMENT COMPL</w:t>
      </w:r>
      <w:r w:rsidR="00CF0EC7">
        <w:rPr>
          <w:rStyle w:val="Level1asHeadingtext"/>
          <w:lang w:val="en-GB"/>
        </w:rPr>
        <w:t>E</w:t>
      </w:r>
      <w:r w:rsidR="00CF0EC7" w:rsidRPr="00144839">
        <w:rPr>
          <w:rStyle w:val="Level1asHeadingtext"/>
          <w:lang w:val="en-GB"/>
        </w:rPr>
        <w:t>TION</w:t>
      </w:r>
      <w:bookmarkStart w:id="40" w:name="_Ref309215416"/>
      <w:bookmarkEnd w:id="39"/>
    </w:p>
    <w:p w:rsidR="001D1FC1" w:rsidRDefault="001D1FC1" w:rsidP="00144839">
      <w:pPr>
        <w:pStyle w:val="Level2"/>
        <w:numPr>
          <w:ilvl w:val="1"/>
          <w:numId w:val="4"/>
        </w:numPr>
      </w:pPr>
      <w:bookmarkStart w:id="41" w:name="_Ref459736451"/>
      <w:r w:rsidRPr="001D1FC1">
        <w:rPr>
          <w:lang w:val="en-GB"/>
        </w:rPr>
        <w:t>Notwithstanding</w:t>
      </w:r>
      <w:r w:rsidRPr="00144839">
        <w:rPr>
          <w:lang w:val="en-GB"/>
        </w:rPr>
        <w:t xml:space="preserve"> </w:t>
      </w:r>
      <w:r>
        <w:rPr>
          <w:lang w:val="en-GB"/>
        </w:rPr>
        <w:t>paragraph</w:t>
      </w:r>
      <w:r w:rsidR="00E5102D">
        <w:rPr>
          <w:lang w:val="en-GB"/>
        </w:rPr>
        <w:t xml:space="preserve">s </w:t>
      </w:r>
      <w:r w:rsidR="00E5102D">
        <w:rPr>
          <w:lang w:val="en-GB"/>
        </w:rPr>
        <w:fldChar w:fldCharType="begin"/>
      </w:r>
      <w:r w:rsidR="00E5102D">
        <w:rPr>
          <w:lang w:val="en-GB"/>
        </w:rPr>
        <w:instrText xml:space="preserve"> REF _Ref459889888 \r \h </w:instrText>
      </w:r>
      <w:r w:rsidR="00E5102D">
        <w:rPr>
          <w:lang w:val="en-GB"/>
        </w:rPr>
      </w:r>
      <w:r w:rsidR="00E5102D">
        <w:rPr>
          <w:lang w:val="en-GB"/>
        </w:rPr>
        <w:fldChar w:fldCharType="separate"/>
      </w:r>
      <w:r w:rsidR="008B179C">
        <w:rPr>
          <w:lang w:val="en-GB"/>
        </w:rPr>
        <w:t>2.4</w:t>
      </w:r>
      <w:r w:rsidR="00E5102D">
        <w:rPr>
          <w:lang w:val="en-GB"/>
        </w:rPr>
        <w:fldChar w:fldCharType="end"/>
      </w:r>
      <w:r w:rsidR="00E5102D">
        <w:rPr>
          <w:lang w:val="en-GB"/>
        </w:rPr>
        <w:t xml:space="preserve"> and </w:t>
      </w:r>
      <w:r w:rsidR="00E5102D">
        <w:rPr>
          <w:lang w:val="en-GB"/>
        </w:rPr>
        <w:fldChar w:fldCharType="begin"/>
      </w:r>
      <w:r w:rsidR="00E5102D">
        <w:rPr>
          <w:lang w:val="en-GB"/>
        </w:rPr>
        <w:instrText xml:space="preserve"> REF _Ref454818930 \r \h </w:instrText>
      </w:r>
      <w:r w:rsidR="00E5102D">
        <w:rPr>
          <w:lang w:val="en-GB"/>
        </w:rPr>
      </w:r>
      <w:r w:rsidR="00E5102D">
        <w:rPr>
          <w:lang w:val="en-GB"/>
        </w:rPr>
        <w:fldChar w:fldCharType="separate"/>
      </w:r>
      <w:r w:rsidR="008B179C">
        <w:rPr>
          <w:lang w:val="en-GB"/>
        </w:rPr>
        <w:t>2.5</w:t>
      </w:r>
      <w:r w:rsidR="00E5102D">
        <w:rPr>
          <w:lang w:val="en-GB"/>
        </w:rPr>
        <w:fldChar w:fldCharType="end"/>
      </w:r>
      <w:r>
        <w:rPr>
          <w:lang w:val="en-GB"/>
        </w:rPr>
        <w:t xml:space="preserve">, </w:t>
      </w:r>
      <w:r w:rsidR="008B59BE">
        <w:rPr>
          <w:lang w:val="en-GB"/>
        </w:rPr>
        <w:t xml:space="preserve">claims evidencing NGA Network Build Cost </w:t>
      </w:r>
      <w:r w:rsidRPr="00CF0EC7">
        <w:rPr>
          <w:lang w:val="en-GB"/>
        </w:rPr>
        <w:t>can only</w:t>
      </w:r>
      <w:r>
        <w:t xml:space="preserve"> be submitted by the Supplier </w:t>
      </w:r>
      <w:r>
        <w:rPr>
          <w:lang w:val="en-GB"/>
        </w:rPr>
        <w:t>up to</w:t>
      </w:r>
      <w:r w:rsidRPr="009936D6">
        <w:rPr>
          <w:lang w:val="en-GB"/>
        </w:rPr>
        <w:t xml:space="preserve"> the end of the Quarter immediately </w:t>
      </w:r>
      <w:r w:rsidRPr="009936D6">
        <w:rPr>
          <w:lang w:val="en-GB"/>
        </w:rPr>
        <w:lastRenderedPageBreak/>
        <w:t xml:space="preserve">following the Quarter in which the </w:t>
      </w:r>
      <w:r w:rsidR="00144839">
        <w:rPr>
          <w:lang w:val="en-GB"/>
        </w:rPr>
        <w:t>Full Service Commencement Date is Achieved</w:t>
      </w:r>
      <w:r w:rsidR="008B59BE">
        <w:rPr>
          <w:lang w:val="en-GB"/>
        </w:rPr>
        <w:t xml:space="preserve">. </w:t>
      </w:r>
      <w:r w:rsidR="00144839">
        <w:rPr>
          <w:lang w:val="en-GB"/>
        </w:rPr>
        <w:t xml:space="preserve">Milestone Payment Claims </w:t>
      </w:r>
      <w:r w:rsidR="002C1CBD">
        <w:rPr>
          <w:lang w:val="en-GB"/>
        </w:rPr>
        <w:t>in respect of</w:t>
      </w:r>
      <w:r w:rsidR="00144839">
        <w:rPr>
          <w:lang w:val="en-GB"/>
        </w:rPr>
        <w:t xml:space="preserve"> type M3 Milestones</w:t>
      </w:r>
      <w:r w:rsidR="008B59BE">
        <w:rPr>
          <w:lang w:val="en-GB"/>
        </w:rPr>
        <w:t xml:space="preserve"> may be submitted after that date but these can only provide for Subsidy Payment corresponding to NGA Network Build Cost</w:t>
      </w:r>
      <w:r w:rsidR="00F37EF7">
        <w:rPr>
          <w:lang w:val="en-GB"/>
        </w:rPr>
        <w:t xml:space="preserve"> already evidenced in claims submitted within the time-limit specified in the first sentence of this paragraph</w:t>
      </w:r>
      <w:r>
        <w:t>.</w:t>
      </w:r>
      <w:bookmarkEnd w:id="41"/>
      <w:r>
        <w:t xml:space="preserve"> </w:t>
      </w:r>
      <w:r w:rsidRPr="00D03E00">
        <w:rPr>
          <w:lang w:val="en-GB"/>
        </w:rPr>
        <w:t xml:space="preserve"> A</w:t>
      </w:r>
      <w:r>
        <w:rPr>
          <w:lang w:val="en-GB"/>
        </w:rPr>
        <w:t xml:space="preserve">ny </w:t>
      </w:r>
      <w:r w:rsidR="00144839">
        <w:rPr>
          <w:lang w:val="en-GB"/>
        </w:rPr>
        <w:t xml:space="preserve">Milestone Payment Claims </w:t>
      </w:r>
      <w:r w:rsidRPr="00D03E00">
        <w:rPr>
          <w:lang w:val="en-GB"/>
        </w:rPr>
        <w:t xml:space="preserve">not </w:t>
      </w:r>
      <w:r w:rsidR="00144839">
        <w:rPr>
          <w:lang w:val="en-GB"/>
        </w:rPr>
        <w:t xml:space="preserve">submitted in accordance with the foregoing </w:t>
      </w:r>
      <w:r w:rsidR="00F37EF7">
        <w:rPr>
          <w:lang w:val="en-GB"/>
        </w:rPr>
        <w:t xml:space="preserve">provisions of this paragraph </w:t>
      </w:r>
      <w:r w:rsidR="00144839">
        <w:rPr>
          <w:lang w:val="en-GB"/>
        </w:rPr>
        <w:t>are invalid and the Qu</w:t>
      </w:r>
      <w:r w:rsidR="00627B56">
        <w:rPr>
          <w:lang w:val="en-GB"/>
        </w:rPr>
        <w:t>a</w:t>
      </w:r>
      <w:r w:rsidR="00144839">
        <w:rPr>
          <w:lang w:val="en-GB"/>
        </w:rPr>
        <w:t>lifying Capital Expenditure covered by such claims cannot</w:t>
      </w:r>
      <w:r>
        <w:rPr>
          <w:lang w:val="en-GB"/>
        </w:rPr>
        <w:t xml:space="preserve"> be claimed from the Authority nor applied within any of the mechanisms under this Schedule 5.1</w:t>
      </w:r>
      <w:r w:rsidR="00627B56">
        <w:rPr>
          <w:lang w:val="en-GB"/>
        </w:rPr>
        <w:t xml:space="preserve"> but the corresponding parts of the Network to which the </w:t>
      </w:r>
      <w:r w:rsidR="002C1CBD">
        <w:rPr>
          <w:lang w:val="en-GB"/>
        </w:rPr>
        <w:t>e</w:t>
      </w:r>
      <w:r w:rsidR="00627B56">
        <w:rPr>
          <w:lang w:val="en-GB"/>
        </w:rPr>
        <w:t>xpenditure relates will otherwise remain subject to the terms of this Agreement</w:t>
      </w:r>
      <w:r>
        <w:rPr>
          <w:lang w:val="en-GB"/>
        </w:rPr>
        <w:t>.</w:t>
      </w:r>
    </w:p>
    <w:p w:rsidR="008613DE" w:rsidRDefault="00581182" w:rsidP="00144839">
      <w:pPr>
        <w:pStyle w:val="Level2"/>
        <w:numPr>
          <w:ilvl w:val="1"/>
          <w:numId w:val="4"/>
        </w:numPr>
        <w:rPr>
          <w:lang w:val="en-GB"/>
        </w:rPr>
      </w:pPr>
      <w:r w:rsidRPr="00127152">
        <w:t xml:space="preserve">Where </w:t>
      </w:r>
      <w:r w:rsidR="00492B41" w:rsidRPr="008613DE">
        <w:t>at the Full Service Commencement Date</w:t>
      </w:r>
      <w:r w:rsidR="00B130EE" w:rsidRPr="008613DE">
        <w:t>,</w:t>
      </w:r>
      <w:r w:rsidR="00B130EE" w:rsidRPr="00127152">
        <w:t xml:space="preserve"> </w:t>
      </w:r>
      <w:r w:rsidRPr="008613DE">
        <w:t xml:space="preserve">the </w:t>
      </w:r>
      <w:r w:rsidR="00C045FC" w:rsidRPr="005F0F36">
        <w:t xml:space="preserve">Supplier has not incurred and satisfied (without Subsidy </w:t>
      </w:r>
      <w:r w:rsidR="00A420A6" w:rsidRPr="00C3076D">
        <w:t xml:space="preserve">Payment </w:t>
      </w:r>
      <w:r w:rsidR="00C045FC" w:rsidRPr="005F0F36">
        <w:t xml:space="preserve">being paid or payable) </w:t>
      </w:r>
      <w:r w:rsidR="00A420A6" w:rsidRPr="00C3076D">
        <w:t xml:space="preserve">the Supplier </w:t>
      </w:r>
      <w:bookmarkStart w:id="42" w:name="h.1ksv4uv" w:colFirst="0" w:colLast="0"/>
      <w:bookmarkEnd w:id="42"/>
      <w:r w:rsidR="00A420A6" w:rsidRPr="00C3076D">
        <w:t xml:space="preserve">NGA Network Build Investment set out in the </w:t>
      </w:r>
      <w:r w:rsidR="00A420A6" w:rsidRPr="008613DE">
        <w:rPr>
          <w:lang w:val="en-GB"/>
        </w:rPr>
        <w:t>Project Model</w:t>
      </w:r>
      <w:r w:rsidR="00C045FC" w:rsidRPr="005F0F36">
        <w:t>,</w:t>
      </w:r>
      <w:r w:rsidR="00C045FC" w:rsidRPr="00796B31">
        <w:t xml:space="preserve"> </w:t>
      </w:r>
      <w:r w:rsidR="008613DE">
        <w:rPr>
          <w:lang w:val="en-GB"/>
        </w:rPr>
        <w:t>then:</w:t>
      </w:r>
    </w:p>
    <w:p w:rsidR="00915691" w:rsidRPr="00025FC3" w:rsidRDefault="00915691" w:rsidP="00025FC3">
      <w:pPr>
        <w:pStyle w:val="Level3"/>
        <w:rPr>
          <w:lang w:val="en-GB"/>
        </w:rPr>
      </w:pPr>
      <w:r>
        <w:rPr>
          <w:lang w:val="en-GB"/>
        </w:rPr>
        <w:t xml:space="preserve">the Supplier </w:t>
      </w:r>
      <w:r w:rsidR="00C045FC" w:rsidRPr="005F0F36">
        <w:t xml:space="preserve">shall pay directly to </w:t>
      </w:r>
      <w:r w:rsidR="00C045FC" w:rsidRPr="008613DE">
        <w:t xml:space="preserve">the Authority </w:t>
      </w:r>
      <w:r w:rsidR="00C045FC" w:rsidRPr="005F0F36">
        <w:t xml:space="preserve">within </w:t>
      </w:r>
      <w:r w:rsidR="00BC79EF">
        <w:rPr>
          <w:lang w:val="en-GB"/>
        </w:rPr>
        <w:t>2</w:t>
      </w:r>
      <w:r w:rsidR="00C045FC" w:rsidRPr="005F0F36">
        <w:t xml:space="preserve">0 </w:t>
      </w:r>
      <w:r w:rsidR="00C3076D">
        <w:rPr>
          <w:lang w:val="en-GB"/>
        </w:rPr>
        <w:t>Working Days</w:t>
      </w:r>
      <w:r>
        <w:rPr>
          <w:lang w:val="en-GB"/>
        </w:rPr>
        <w:t xml:space="preserve"> </w:t>
      </w:r>
      <w:r w:rsidR="006D002B" w:rsidRPr="00025FC3">
        <w:rPr>
          <w:lang w:val="en-GB"/>
        </w:rPr>
        <w:t>of receipt of the final MPC</w:t>
      </w:r>
      <w:r w:rsidRPr="00025FC3">
        <w:rPr>
          <w:lang w:val="en-GB"/>
        </w:rPr>
        <w:t xml:space="preserve"> </w:t>
      </w:r>
      <w:r>
        <w:rPr>
          <w:lang w:val="en-GB"/>
        </w:rPr>
        <w:t>the difference between Supplier NGA Network Build Investment incurred and the Supplier NGA Network Build Investment set out in the Project Model</w:t>
      </w:r>
      <w:r w:rsidR="0015196E">
        <w:rPr>
          <w:lang w:val="en-GB"/>
        </w:rPr>
        <w:t>;</w:t>
      </w:r>
      <w:r>
        <w:rPr>
          <w:lang w:val="en-GB"/>
        </w:rPr>
        <w:t xml:space="preserve"> </w:t>
      </w:r>
      <w:r w:rsidR="0015196E">
        <w:rPr>
          <w:lang w:val="en-GB"/>
        </w:rPr>
        <w:t>and</w:t>
      </w:r>
    </w:p>
    <w:p w:rsidR="00F56889" w:rsidRDefault="00915691" w:rsidP="00025FC3">
      <w:pPr>
        <w:pStyle w:val="Level3"/>
        <w:rPr>
          <w:lang w:val="en-GB"/>
        </w:rPr>
      </w:pPr>
      <w:r w:rsidRPr="00025FC3">
        <w:rPr>
          <w:lang w:val="en-GB"/>
        </w:rPr>
        <w:t>where, following completion by the Authority of its assurance in respect of the</w:t>
      </w:r>
      <w:r w:rsidR="001B4A6B">
        <w:rPr>
          <w:lang w:val="en-GB"/>
        </w:rPr>
        <w:t xml:space="preserve"> final MPC, if there remains </w:t>
      </w:r>
      <w:r w:rsidRPr="00025FC3">
        <w:rPr>
          <w:lang w:val="en-GB"/>
        </w:rPr>
        <w:t>any further difference between the Supplier NGA Network Build Investment incurred and the NGA Network Build Investment set out in the Project Model, then the Supplier shall pay any such resid</w:t>
      </w:r>
      <w:r w:rsidR="00967746" w:rsidRPr="00025FC3">
        <w:rPr>
          <w:lang w:val="en-GB"/>
        </w:rPr>
        <w:t xml:space="preserve">ual balance directly to the </w:t>
      </w:r>
      <w:r w:rsidRPr="00025FC3">
        <w:rPr>
          <w:lang w:val="en-GB"/>
        </w:rPr>
        <w:t xml:space="preserve">Authority within </w:t>
      </w:r>
      <w:r w:rsidR="00BC79EF">
        <w:rPr>
          <w:lang w:val="en-GB"/>
        </w:rPr>
        <w:t>2</w:t>
      </w:r>
      <w:r w:rsidRPr="00025FC3">
        <w:rPr>
          <w:lang w:val="en-GB"/>
        </w:rPr>
        <w:t>0 Working Days of the</w:t>
      </w:r>
      <w:r w:rsidR="00967746" w:rsidRPr="00025FC3">
        <w:rPr>
          <w:lang w:val="en-GB"/>
        </w:rPr>
        <w:t xml:space="preserve"> Authority issuing to the Supplier a Milestone Completion Certificate</w:t>
      </w:r>
      <w:r w:rsidR="006D002B" w:rsidRPr="00025FC3">
        <w:rPr>
          <w:lang w:val="en-GB"/>
        </w:rPr>
        <w:t>.</w:t>
      </w:r>
    </w:p>
    <w:bookmarkEnd w:id="40"/>
    <w:p w:rsidR="009B6E3C" w:rsidRPr="00025FC3" w:rsidRDefault="00025FC3" w:rsidP="007B6A5B">
      <w:pPr>
        <w:pStyle w:val="Level1"/>
        <w:keepNext/>
        <w:rPr>
          <w:rStyle w:val="Level1asHeadingtext"/>
        </w:rPr>
      </w:pPr>
      <w:r>
        <w:rPr>
          <w:rStyle w:val="Level1asHeadingtext"/>
        </w:rPr>
        <w:fldChar w:fldCharType="begin"/>
      </w:r>
      <w:r w:rsidRPr="00025FC3">
        <w:instrText xml:space="preserve">  TC "</w:instrText>
      </w:r>
      <w:r>
        <w:fldChar w:fldCharType="begin"/>
      </w:r>
      <w:r w:rsidRPr="00025FC3">
        <w:instrText xml:space="preserve"> REF _Ref425717690 \r </w:instrText>
      </w:r>
      <w:r>
        <w:fldChar w:fldCharType="separate"/>
      </w:r>
      <w:bookmarkStart w:id="43" w:name="_Toc463354111"/>
      <w:r w:rsidR="008B179C">
        <w:instrText>9</w:instrText>
      </w:r>
      <w:r>
        <w:fldChar w:fldCharType="end"/>
      </w:r>
      <w:r>
        <w:tab/>
        <w:instrText>OVER-SUBSIDY CLAW-BACK: POST IMPLEMENTATION</w:instrText>
      </w:r>
      <w:bookmarkEnd w:id="43"/>
      <w:r w:rsidRPr="00025FC3">
        <w:instrText xml:space="preserve">" \l1 </w:instrText>
      </w:r>
      <w:r>
        <w:rPr>
          <w:rStyle w:val="Level1asHeadingtext"/>
        </w:rPr>
        <w:fldChar w:fldCharType="end"/>
      </w:r>
      <w:bookmarkStart w:id="44" w:name="_Ref309213361"/>
      <w:bookmarkStart w:id="45" w:name="_Ref408776894"/>
      <w:bookmarkStart w:id="46" w:name="_Ref425717690"/>
      <w:r w:rsidR="009B6E3C" w:rsidRPr="00552393">
        <w:rPr>
          <w:rStyle w:val="Level1asHeadingtext"/>
        </w:rPr>
        <w:t>Over-subsidy claw-back</w:t>
      </w:r>
      <w:r w:rsidR="00B81FE8" w:rsidRPr="00552393">
        <w:rPr>
          <w:rStyle w:val="Level1asHeadingtext"/>
        </w:rPr>
        <w:t>:</w:t>
      </w:r>
      <w:r w:rsidR="009B6E3C" w:rsidRPr="00552393">
        <w:rPr>
          <w:rStyle w:val="Level1asHeadingtext"/>
        </w:rPr>
        <w:t xml:space="preserve"> post Implementation</w:t>
      </w:r>
      <w:bookmarkEnd w:id="44"/>
      <w:bookmarkEnd w:id="45"/>
      <w:bookmarkEnd w:id="46"/>
      <w:r w:rsidR="006D68E5">
        <w:rPr>
          <w:rStyle w:val="Level1asHeadingtext"/>
          <w:lang w:val="en-GB"/>
        </w:rPr>
        <w:t xml:space="preserve"> </w:t>
      </w:r>
    </w:p>
    <w:p w:rsidR="009B6E3C" w:rsidRPr="00552393" w:rsidRDefault="003771C7" w:rsidP="007B6A5B">
      <w:pPr>
        <w:pStyle w:val="Level2"/>
        <w:keepNext/>
        <w:numPr>
          <w:ilvl w:val="1"/>
          <w:numId w:val="4"/>
        </w:numPr>
      </w:pPr>
      <w:bookmarkStart w:id="47" w:name="h.xf8mq2iec4dj" w:colFirst="0" w:colLast="0"/>
      <w:bookmarkEnd w:id="47"/>
      <w:r w:rsidRPr="00552393">
        <w:rPr>
          <w:lang w:val="en-GB"/>
        </w:rPr>
        <w:t>At each Take-up Review Point the Supplier shall perform</w:t>
      </w:r>
      <w:r w:rsidR="009B6E3C" w:rsidRPr="00552393">
        <w:t xml:space="preserve"> an assessment of</w:t>
      </w:r>
      <w:r w:rsidR="0000187A" w:rsidRPr="00552393">
        <w:t xml:space="preserve"> </w:t>
      </w:r>
      <w:r w:rsidR="00E4021B" w:rsidRPr="00552393">
        <w:rPr>
          <w:lang w:val="en-GB"/>
        </w:rPr>
        <w:t>T</w:t>
      </w:r>
      <w:r w:rsidR="009B6E3C" w:rsidRPr="00552393">
        <w:t>ake-</w:t>
      </w:r>
      <w:r w:rsidR="00E50C33" w:rsidRPr="00552393">
        <w:rPr>
          <w:lang w:val="en-GB"/>
        </w:rPr>
        <w:t>u</w:t>
      </w:r>
      <w:r w:rsidR="009B6E3C" w:rsidRPr="00552393">
        <w:t xml:space="preserve">p </w:t>
      </w:r>
      <w:r w:rsidRPr="00552393">
        <w:rPr>
          <w:lang w:val="en-GB"/>
        </w:rPr>
        <w:t>in accordance with</w:t>
      </w:r>
      <w:r w:rsidRPr="00552393">
        <w:t xml:space="preserve"> </w:t>
      </w:r>
      <w:r w:rsidRPr="00552393">
        <w:rPr>
          <w:lang w:val="en-GB"/>
        </w:rPr>
        <w:t>p</w:t>
      </w:r>
      <w:r w:rsidR="0000187A" w:rsidRPr="00552393">
        <w:t xml:space="preserve">aragraph </w:t>
      </w:r>
      <w:r w:rsidR="0000187A" w:rsidRPr="00BA7AA6">
        <w:fldChar w:fldCharType="begin"/>
      </w:r>
      <w:r w:rsidR="0000187A" w:rsidRPr="00552393">
        <w:instrText xml:space="preserve"> REF _Ref309215630 \r \h </w:instrText>
      </w:r>
      <w:r w:rsidR="00127152" w:rsidRPr="00552393">
        <w:instrText xml:space="preserve"> \* MERGEFORMAT </w:instrText>
      </w:r>
      <w:r w:rsidR="0000187A" w:rsidRPr="00BA7AA6">
        <w:fldChar w:fldCharType="separate"/>
      </w:r>
      <w:r w:rsidR="008B179C">
        <w:t>9.2</w:t>
      </w:r>
      <w:r w:rsidR="0000187A" w:rsidRPr="00BA7AA6">
        <w:fldChar w:fldCharType="end"/>
      </w:r>
      <w:r w:rsidR="009B6E3C" w:rsidRPr="00552393">
        <w:t>.</w:t>
      </w:r>
    </w:p>
    <w:p w:rsidR="003F3153" w:rsidRPr="00552393" w:rsidRDefault="009B6E3C" w:rsidP="00446082">
      <w:pPr>
        <w:pStyle w:val="Level2"/>
        <w:numPr>
          <w:ilvl w:val="1"/>
          <w:numId w:val="4"/>
        </w:numPr>
      </w:pPr>
      <w:bookmarkStart w:id="48" w:name="_Ref309215630"/>
      <w:r w:rsidRPr="00552393">
        <w:t xml:space="preserve">At each </w:t>
      </w:r>
      <w:r w:rsidR="0007594B" w:rsidRPr="00552393">
        <w:t xml:space="preserve">Take-up </w:t>
      </w:r>
      <w:r w:rsidRPr="00552393">
        <w:t>R</w:t>
      </w:r>
      <w:r w:rsidR="006B25F4" w:rsidRPr="00552393">
        <w:t>eview Point</w:t>
      </w:r>
      <w:r w:rsidRPr="00552393">
        <w:t xml:space="preserve"> the Supplier </w:t>
      </w:r>
      <w:r w:rsidR="006B25F4" w:rsidRPr="00552393">
        <w:rPr>
          <w:lang w:val="en-GB"/>
        </w:rPr>
        <w:t>shall</w:t>
      </w:r>
      <w:r w:rsidRPr="00552393">
        <w:t xml:space="preserve"> submit updated Project Accounts to the Authority</w:t>
      </w:r>
      <w:r w:rsidR="003771C7" w:rsidRPr="00552393">
        <w:rPr>
          <w:lang w:val="en-GB"/>
        </w:rPr>
        <w:t xml:space="preserve"> which shall i</w:t>
      </w:r>
      <w:r w:rsidR="00E16226" w:rsidRPr="00552393">
        <w:t>nclude</w:t>
      </w:r>
      <w:r w:rsidR="00945D04" w:rsidRPr="00552393">
        <w:t xml:space="preserve"> </w:t>
      </w:r>
      <w:r w:rsidR="004C7CB7" w:rsidRPr="00552393">
        <w:t xml:space="preserve">actual </w:t>
      </w:r>
      <w:r w:rsidR="00B77189" w:rsidRPr="00552393">
        <w:t xml:space="preserve">total </w:t>
      </w:r>
      <w:r w:rsidR="00311D8D" w:rsidRPr="00552393">
        <w:rPr>
          <w:lang w:val="en-GB"/>
        </w:rPr>
        <w:t>Take-</w:t>
      </w:r>
      <w:r w:rsidR="00E50C33" w:rsidRPr="00552393">
        <w:rPr>
          <w:lang w:val="en-GB"/>
        </w:rPr>
        <w:t>u</w:t>
      </w:r>
      <w:r w:rsidR="00311D8D" w:rsidRPr="00552393">
        <w:rPr>
          <w:lang w:val="en-GB"/>
        </w:rPr>
        <w:t>p</w:t>
      </w:r>
      <w:r w:rsidRPr="00552393">
        <w:t xml:space="preserve"> </w:t>
      </w:r>
      <w:r w:rsidR="006D55B9" w:rsidRPr="00552393">
        <w:t>per Project Period</w:t>
      </w:r>
      <w:r w:rsidRPr="00552393">
        <w:t xml:space="preserve">.  </w:t>
      </w:r>
      <w:r w:rsidR="003771C7" w:rsidRPr="00552393">
        <w:rPr>
          <w:lang w:val="en-GB"/>
        </w:rPr>
        <w:t>The</w:t>
      </w:r>
      <w:r w:rsidRPr="00552393">
        <w:t xml:space="preserve"> </w:t>
      </w:r>
      <w:r w:rsidR="004C7CB7" w:rsidRPr="00552393">
        <w:t xml:space="preserve">actual </w:t>
      </w:r>
      <w:r w:rsidR="00E4021B" w:rsidRPr="00552393">
        <w:rPr>
          <w:lang w:val="en-GB"/>
        </w:rPr>
        <w:t>T</w:t>
      </w:r>
      <w:r w:rsidRPr="00552393">
        <w:t xml:space="preserve">ake-up </w:t>
      </w:r>
      <w:r w:rsidR="003771C7" w:rsidRPr="00552393">
        <w:rPr>
          <w:lang w:val="en-GB"/>
        </w:rPr>
        <w:t>shall</w:t>
      </w:r>
      <w:r w:rsidRPr="00552393">
        <w:t xml:space="preserve"> be compared to th</w:t>
      </w:r>
      <w:r w:rsidR="00E4021B" w:rsidRPr="00552393">
        <w:t xml:space="preserve">e forecast </w:t>
      </w:r>
      <w:r w:rsidR="00E4021B" w:rsidRPr="00552393">
        <w:rPr>
          <w:lang w:val="en-GB"/>
        </w:rPr>
        <w:t>T</w:t>
      </w:r>
      <w:r w:rsidRPr="00552393">
        <w:t xml:space="preserve">ake-up as shown </w:t>
      </w:r>
      <w:r w:rsidR="00A306E5" w:rsidRPr="00552393">
        <w:rPr>
          <w:lang w:val="en-GB"/>
        </w:rPr>
        <w:t xml:space="preserve">in the </w:t>
      </w:r>
      <w:r w:rsidR="005A3CE5">
        <w:rPr>
          <w:lang w:val="en-GB"/>
        </w:rPr>
        <w:t>'</w:t>
      </w:r>
      <w:r w:rsidR="00A306E5" w:rsidRPr="00552393">
        <w:rPr>
          <w:lang w:val="en-GB"/>
        </w:rPr>
        <w:t>Solution Volumes Tab</w:t>
      </w:r>
      <w:r w:rsidR="005A3CE5">
        <w:rPr>
          <w:lang w:val="en-GB"/>
        </w:rPr>
        <w:t>'</w:t>
      </w:r>
      <w:r w:rsidR="00A306E5" w:rsidRPr="00025FC3">
        <w:rPr>
          <w:lang w:val="en-GB"/>
        </w:rPr>
        <w:t xml:space="preserve"> </w:t>
      </w:r>
      <w:r w:rsidRPr="00552393">
        <w:t>in the Project Model</w:t>
      </w:r>
      <w:r w:rsidR="006D55B9" w:rsidRPr="00552393">
        <w:t xml:space="preserve">, for each Project Period, from the Effective Date to the </w:t>
      </w:r>
      <w:r w:rsidR="003771C7" w:rsidRPr="00552393">
        <w:rPr>
          <w:lang w:val="en-GB"/>
        </w:rPr>
        <w:t xml:space="preserve">relevant </w:t>
      </w:r>
      <w:r w:rsidR="006D55B9" w:rsidRPr="00552393">
        <w:t>Take-up Review Point</w:t>
      </w:r>
      <w:r w:rsidRPr="00552393">
        <w:t xml:space="preserve">.  If the </w:t>
      </w:r>
      <w:r w:rsidR="00B77344" w:rsidRPr="00552393">
        <w:t xml:space="preserve">sum of the </w:t>
      </w:r>
      <w:r w:rsidR="003F3153" w:rsidRPr="00552393">
        <w:rPr>
          <w:lang w:val="en-GB"/>
        </w:rPr>
        <w:t xml:space="preserve">cumulative </w:t>
      </w:r>
      <w:r w:rsidR="00E4021B" w:rsidRPr="00552393">
        <w:t xml:space="preserve">actual </w:t>
      </w:r>
      <w:r w:rsidR="00E4021B" w:rsidRPr="00552393">
        <w:rPr>
          <w:lang w:val="en-GB"/>
        </w:rPr>
        <w:t>T</w:t>
      </w:r>
      <w:r w:rsidRPr="00552393">
        <w:t xml:space="preserve">ake-up </w:t>
      </w:r>
      <w:r w:rsidR="00B77344" w:rsidRPr="00552393">
        <w:t xml:space="preserve">per Project Period </w:t>
      </w:r>
      <w:r w:rsidR="00F2063F" w:rsidRPr="00552393">
        <w:rPr>
          <w:lang w:val="en-GB"/>
        </w:rPr>
        <w:t xml:space="preserve">(being the </w:t>
      </w:r>
      <w:r w:rsidR="005A3CE5">
        <w:rPr>
          <w:lang w:val="en-GB"/>
        </w:rPr>
        <w:t>'</w:t>
      </w:r>
      <w:r w:rsidR="00F2063F" w:rsidRPr="00552393">
        <w:rPr>
          <w:lang w:val="en-GB"/>
        </w:rPr>
        <w:t>Cumulative Sum</w:t>
      </w:r>
      <w:r w:rsidR="005A3CE5">
        <w:rPr>
          <w:lang w:val="en-GB"/>
        </w:rPr>
        <w:t>'</w:t>
      </w:r>
      <w:r w:rsidR="002847D0" w:rsidRPr="00552393">
        <w:rPr>
          <w:lang w:val="en-GB"/>
        </w:rPr>
        <w:t xml:space="preserve"> in the column of the table exampled below</w:t>
      </w:r>
      <w:r w:rsidR="00F2063F" w:rsidRPr="00552393">
        <w:rPr>
          <w:lang w:val="en-GB"/>
        </w:rPr>
        <w:t xml:space="preserve">) </w:t>
      </w:r>
      <w:r w:rsidR="00E4021B" w:rsidRPr="00552393">
        <w:t xml:space="preserve">is more than the </w:t>
      </w:r>
      <w:r w:rsidR="003F3153" w:rsidRPr="00552393">
        <w:rPr>
          <w:lang w:val="en-GB"/>
        </w:rPr>
        <w:t xml:space="preserve">cumulative </w:t>
      </w:r>
      <w:r w:rsidR="00E4021B" w:rsidRPr="00552393">
        <w:t xml:space="preserve">forecast </w:t>
      </w:r>
      <w:r w:rsidR="00E4021B" w:rsidRPr="00552393">
        <w:rPr>
          <w:lang w:val="en-GB"/>
        </w:rPr>
        <w:t>T</w:t>
      </w:r>
      <w:r w:rsidRPr="00552393">
        <w:t xml:space="preserve">ake-up </w:t>
      </w:r>
      <w:r w:rsidR="00B77344" w:rsidRPr="00552393">
        <w:t xml:space="preserve">per Project Period </w:t>
      </w:r>
      <w:r w:rsidR="00BF1B4A" w:rsidRPr="00552393">
        <w:t>the difference represents a</w:t>
      </w:r>
      <w:r w:rsidRPr="00552393">
        <w:t xml:space="preserve"> </w:t>
      </w:r>
      <w:r w:rsidR="00836D15" w:rsidRPr="00552393">
        <w:t>"</w:t>
      </w:r>
      <w:r w:rsidRPr="00552393">
        <w:rPr>
          <w:b/>
        </w:rPr>
        <w:t>Net Additional Take-up</w:t>
      </w:r>
      <w:r w:rsidR="00836D15" w:rsidRPr="00552393">
        <w:t>"</w:t>
      </w:r>
      <w:r w:rsidR="003F3153" w:rsidRPr="00552393">
        <w:rPr>
          <w:lang w:val="en-GB"/>
        </w:rPr>
        <w:t xml:space="preserve"> - see table below for example:</w:t>
      </w:r>
      <w:r w:rsidRPr="00552393">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992"/>
        <w:gridCol w:w="992"/>
        <w:gridCol w:w="1134"/>
        <w:gridCol w:w="992"/>
        <w:gridCol w:w="2376"/>
      </w:tblGrid>
      <w:tr w:rsidR="00E66097" w:rsidRPr="00127152" w:rsidTr="00582AF9">
        <w:tc>
          <w:tcPr>
            <w:tcW w:w="1701" w:type="dxa"/>
            <w:shd w:val="pct10" w:color="auto" w:fill="auto"/>
          </w:tcPr>
          <w:p w:rsidR="003F3153" w:rsidRPr="00552393" w:rsidRDefault="00D403C0" w:rsidP="00E66097">
            <w:pPr>
              <w:rPr>
                <w:rFonts w:eastAsia="Arial" w:cs="Times New Roman"/>
                <w:b/>
                <w:bCs/>
                <w:lang w:eastAsia="x-none"/>
              </w:rPr>
            </w:pPr>
            <w:r w:rsidRPr="00552393">
              <w:rPr>
                <w:rFonts w:eastAsia="Arial" w:cs="Times New Roman"/>
                <w:b/>
                <w:bCs/>
                <w:lang w:eastAsia="x-none"/>
              </w:rPr>
              <w:t xml:space="preserve">Project </w:t>
            </w:r>
            <w:r w:rsidR="003F3153" w:rsidRPr="00552393">
              <w:rPr>
                <w:rFonts w:eastAsia="Arial" w:cs="Times New Roman"/>
                <w:b/>
                <w:bCs/>
                <w:lang w:eastAsia="x-none"/>
              </w:rPr>
              <w:t>Period</w:t>
            </w:r>
          </w:p>
        </w:tc>
        <w:tc>
          <w:tcPr>
            <w:tcW w:w="992" w:type="dxa"/>
            <w:shd w:val="pct10" w:color="auto" w:fill="auto"/>
          </w:tcPr>
          <w:p w:rsidR="003F3153" w:rsidRPr="00552393" w:rsidRDefault="003F3153">
            <w:pPr>
              <w:rPr>
                <w:rFonts w:eastAsia="Arial" w:cs="Times New Roman"/>
                <w:b/>
                <w:bCs/>
                <w:lang w:eastAsia="x-none"/>
              </w:rPr>
            </w:pPr>
            <w:r w:rsidRPr="00552393">
              <w:rPr>
                <w:rFonts w:eastAsia="Arial" w:cs="Times New Roman"/>
                <w:b/>
                <w:bCs/>
                <w:lang w:eastAsia="x-none"/>
              </w:rPr>
              <w:t>1</w:t>
            </w:r>
          </w:p>
        </w:tc>
        <w:tc>
          <w:tcPr>
            <w:tcW w:w="992" w:type="dxa"/>
            <w:shd w:val="pct10" w:color="auto" w:fill="auto"/>
          </w:tcPr>
          <w:p w:rsidR="003F3153" w:rsidRPr="00552393" w:rsidRDefault="003F3153">
            <w:pPr>
              <w:rPr>
                <w:rFonts w:eastAsia="Arial" w:cs="Times New Roman"/>
                <w:b/>
                <w:bCs/>
                <w:lang w:eastAsia="x-none"/>
              </w:rPr>
            </w:pPr>
            <w:r w:rsidRPr="00552393">
              <w:rPr>
                <w:rFonts w:eastAsia="Arial" w:cs="Times New Roman"/>
                <w:b/>
                <w:bCs/>
                <w:lang w:eastAsia="x-none"/>
              </w:rPr>
              <w:t>2</w:t>
            </w:r>
          </w:p>
        </w:tc>
        <w:tc>
          <w:tcPr>
            <w:tcW w:w="1134" w:type="dxa"/>
            <w:shd w:val="pct10" w:color="auto" w:fill="auto"/>
          </w:tcPr>
          <w:p w:rsidR="003F3153" w:rsidRPr="00552393" w:rsidRDefault="003F3153">
            <w:pPr>
              <w:rPr>
                <w:rFonts w:eastAsia="Arial" w:cs="Times New Roman"/>
                <w:b/>
                <w:bCs/>
                <w:lang w:eastAsia="x-none"/>
              </w:rPr>
            </w:pPr>
            <w:r w:rsidRPr="00552393">
              <w:rPr>
                <w:rFonts w:eastAsia="Arial" w:cs="Times New Roman"/>
                <w:b/>
                <w:bCs/>
                <w:lang w:eastAsia="x-none"/>
              </w:rPr>
              <w:t>3</w:t>
            </w:r>
          </w:p>
        </w:tc>
        <w:tc>
          <w:tcPr>
            <w:tcW w:w="992" w:type="dxa"/>
            <w:shd w:val="pct10" w:color="auto" w:fill="auto"/>
          </w:tcPr>
          <w:p w:rsidR="003F3153" w:rsidRPr="00552393" w:rsidRDefault="003F3153">
            <w:pPr>
              <w:rPr>
                <w:rFonts w:eastAsia="Arial" w:cs="Times New Roman"/>
                <w:b/>
                <w:bCs/>
                <w:lang w:eastAsia="x-none"/>
              </w:rPr>
            </w:pPr>
            <w:r w:rsidRPr="00552393">
              <w:rPr>
                <w:rFonts w:eastAsia="Arial" w:cs="Times New Roman"/>
                <w:b/>
                <w:bCs/>
                <w:lang w:eastAsia="x-none"/>
              </w:rPr>
              <w:t>4</w:t>
            </w:r>
          </w:p>
        </w:tc>
        <w:tc>
          <w:tcPr>
            <w:tcW w:w="2376" w:type="dxa"/>
            <w:shd w:val="pct10" w:color="auto" w:fill="auto"/>
          </w:tcPr>
          <w:p w:rsidR="003F3153" w:rsidRPr="00127152" w:rsidRDefault="003F3153" w:rsidP="00A92E42">
            <w:pPr>
              <w:rPr>
                <w:rFonts w:eastAsia="Arial" w:cs="Times New Roman"/>
                <w:b/>
                <w:bCs/>
                <w:lang w:eastAsia="x-none"/>
              </w:rPr>
            </w:pPr>
            <w:r w:rsidRPr="00552393">
              <w:rPr>
                <w:rFonts w:eastAsia="Arial" w:cs="Times New Roman"/>
                <w:b/>
                <w:bCs/>
                <w:lang w:eastAsia="x-none"/>
              </w:rPr>
              <w:t>Cumulative Sum</w:t>
            </w:r>
            <w:r w:rsidR="00582AF9" w:rsidRPr="00552393">
              <w:rPr>
                <w:rFonts w:eastAsia="Arial" w:cs="Times New Roman"/>
                <w:b/>
                <w:bCs/>
                <w:lang w:eastAsia="x-none"/>
              </w:rPr>
              <w:t xml:space="preserve"> Across Periods 1-4</w:t>
            </w:r>
          </w:p>
        </w:tc>
      </w:tr>
      <w:tr w:rsidR="00F2063F" w:rsidRPr="00127152" w:rsidTr="00025FC3">
        <w:tc>
          <w:tcPr>
            <w:tcW w:w="1701" w:type="dxa"/>
            <w:shd w:val="pct10" w:color="auto" w:fill="auto"/>
          </w:tcPr>
          <w:p w:rsidR="00F2063F" w:rsidRPr="00127152" w:rsidRDefault="00F2063F" w:rsidP="00F2063F">
            <w:pPr>
              <w:spacing w:after="120"/>
              <w:rPr>
                <w:rFonts w:eastAsia="Arial" w:cs="Times New Roman"/>
                <w:b/>
                <w:bCs/>
                <w:lang w:eastAsia="x-none"/>
              </w:rPr>
            </w:pPr>
            <w:r w:rsidRPr="00127152">
              <w:rPr>
                <w:rFonts w:eastAsia="Arial" w:cs="Times New Roman"/>
                <w:b/>
                <w:bCs/>
                <w:lang w:eastAsia="x-none"/>
              </w:rPr>
              <w:t>Project Model</w:t>
            </w:r>
          </w:p>
        </w:tc>
        <w:tc>
          <w:tcPr>
            <w:tcW w:w="992" w:type="dxa"/>
          </w:tcPr>
          <w:p w:rsidR="00F2063F" w:rsidRPr="00127152" w:rsidRDefault="00F2063F" w:rsidP="00F2063F">
            <w:pPr>
              <w:spacing w:after="120"/>
              <w:rPr>
                <w:rFonts w:eastAsia="Arial" w:cs="Times New Roman"/>
                <w:bCs/>
                <w:i/>
                <w:lang w:eastAsia="x-none"/>
              </w:rPr>
            </w:pPr>
            <w:r w:rsidRPr="00127152">
              <w:rPr>
                <w:rFonts w:eastAsia="Arial" w:cs="Times New Roman"/>
                <w:bCs/>
                <w:i/>
                <w:lang w:eastAsia="x-none"/>
              </w:rPr>
              <w:t>150</w:t>
            </w:r>
          </w:p>
        </w:tc>
        <w:tc>
          <w:tcPr>
            <w:tcW w:w="992" w:type="dxa"/>
          </w:tcPr>
          <w:p w:rsidR="00F2063F" w:rsidRPr="00127152" w:rsidRDefault="00F2063F" w:rsidP="00F2063F">
            <w:pPr>
              <w:spacing w:after="120"/>
              <w:rPr>
                <w:rFonts w:eastAsia="Arial" w:cs="Times New Roman"/>
                <w:bCs/>
                <w:i/>
                <w:lang w:eastAsia="x-none"/>
              </w:rPr>
            </w:pPr>
            <w:r w:rsidRPr="00127152">
              <w:rPr>
                <w:rFonts w:eastAsia="Arial" w:cs="Times New Roman"/>
                <w:bCs/>
                <w:i/>
                <w:lang w:eastAsia="x-none"/>
              </w:rPr>
              <w:t>200</w:t>
            </w:r>
          </w:p>
        </w:tc>
        <w:tc>
          <w:tcPr>
            <w:tcW w:w="1134" w:type="dxa"/>
          </w:tcPr>
          <w:p w:rsidR="00F2063F" w:rsidRPr="00127152" w:rsidRDefault="00F2063F" w:rsidP="00F2063F">
            <w:pPr>
              <w:spacing w:after="120"/>
              <w:rPr>
                <w:rFonts w:eastAsia="Arial" w:cs="Times New Roman"/>
                <w:bCs/>
                <w:i/>
                <w:lang w:eastAsia="x-none"/>
              </w:rPr>
            </w:pPr>
            <w:r w:rsidRPr="00127152">
              <w:rPr>
                <w:rFonts w:eastAsia="Arial" w:cs="Times New Roman"/>
                <w:bCs/>
                <w:i/>
                <w:lang w:eastAsia="x-none"/>
              </w:rPr>
              <w:t>250</w:t>
            </w:r>
          </w:p>
        </w:tc>
        <w:tc>
          <w:tcPr>
            <w:tcW w:w="992" w:type="dxa"/>
          </w:tcPr>
          <w:p w:rsidR="00F2063F" w:rsidRPr="00127152" w:rsidRDefault="00F2063F" w:rsidP="00F2063F">
            <w:pPr>
              <w:spacing w:after="120"/>
              <w:rPr>
                <w:rFonts w:eastAsia="Arial" w:cs="Times New Roman"/>
                <w:bCs/>
                <w:i/>
                <w:lang w:eastAsia="x-none"/>
              </w:rPr>
            </w:pPr>
            <w:r w:rsidRPr="00127152">
              <w:rPr>
                <w:rFonts w:eastAsia="Arial" w:cs="Times New Roman"/>
                <w:bCs/>
                <w:i/>
                <w:lang w:eastAsia="x-none"/>
              </w:rPr>
              <w:t>250</w:t>
            </w:r>
          </w:p>
        </w:tc>
        <w:tc>
          <w:tcPr>
            <w:tcW w:w="2376" w:type="dxa"/>
          </w:tcPr>
          <w:p w:rsidR="00F2063F" w:rsidRPr="00127152" w:rsidRDefault="00311D8D" w:rsidP="00F2063F">
            <w:pPr>
              <w:spacing w:after="120"/>
              <w:rPr>
                <w:rFonts w:eastAsia="Arial" w:cs="Times New Roman"/>
                <w:bCs/>
                <w:lang w:eastAsia="x-none"/>
              </w:rPr>
            </w:pPr>
            <w:r w:rsidRPr="00127152">
              <w:rPr>
                <w:rFonts w:eastAsia="Arial" w:cs="Times New Roman"/>
                <w:bCs/>
                <w:lang w:eastAsia="x-none"/>
              </w:rPr>
              <w:t>850</w:t>
            </w:r>
          </w:p>
        </w:tc>
      </w:tr>
      <w:tr w:rsidR="003F3153" w:rsidRPr="00127152" w:rsidTr="00956342">
        <w:tc>
          <w:tcPr>
            <w:tcW w:w="1701" w:type="dxa"/>
            <w:shd w:val="pct10" w:color="auto" w:fill="auto"/>
          </w:tcPr>
          <w:p w:rsidR="003F3153" w:rsidRPr="00127152" w:rsidRDefault="00F2063F" w:rsidP="00A92E42">
            <w:pPr>
              <w:spacing w:after="120"/>
              <w:rPr>
                <w:rFonts w:eastAsia="Arial" w:cs="Times New Roman"/>
                <w:b/>
                <w:bCs/>
                <w:lang w:eastAsia="x-none"/>
              </w:rPr>
            </w:pPr>
            <w:r w:rsidRPr="00127152">
              <w:rPr>
                <w:rFonts w:eastAsia="Arial" w:cs="Times New Roman"/>
                <w:b/>
                <w:bCs/>
                <w:lang w:eastAsia="x-none"/>
              </w:rPr>
              <w:t>Actual</w:t>
            </w:r>
          </w:p>
        </w:tc>
        <w:tc>
          <w:tcPr>
            <w:tcW w:w="992" w:type="dxa"/>
          </w:tcPr>
          <w:p w:rsidR="003F3153" w:rsidRPr="00127152" w:rsidRDefault="003F3153" w:rsidP="00A92E42">
            <w:pPr>
              <w:spacing w:after="120"/>
              <w:rPr>
                <w:rFonts w:eastAsia="Arial" w:cs="Times New Roman"/>
                <w:bCs/>
                <w:i/>
                <w:lang w:eastAsia="x-none"/>
              </w:rPr>
            </w:pPr>
            <w:r w:rsidRPr="00127152">
              <w:rPr>
                <w:rFonts w:eastAsia="Arial" w:cs="Times New Roman"/>
                <w:bCs/>
                <w:i/>
                <w:lang w:eastAsia="x-none"/>
              </w:rPr>
              <w:t>1</w:t>
            </w:r>
            <w:r w:rsidR="00311D8D" w:rsidRPr="00127152">
              <w:rPr>
                <w:rFonts w:eastAsia="Arial" w:cs="Times New Roman"/>
                <w:bCs/>
                <w:i/>
                <w:lang w:eastAsia="x-none"/>
              </w:rPr>
              <w:t>7</w:t>
            </w:r>
            <w:r w:rsidRPr="00127152">
              <w:rPr>
                <w:rFonts w:eastAsia="Arial" w:cs="Times New Roman"/>
                <w:bCs/>
                <w:i/>
                <w:lang w:eastAsia="x-none"/>
              </w:rPr>
              <w:t>5</w:t>
            </w:r>
          </w:p>
        </w:tc>
        <w:tc>
          <w:tcPr>
            <w:tcW w:w="992" w:type="dxa"/>
          </w:tcPr>
          <w:p w:rsidR="003F3153" w:rsidRPr="00127152" w:rsidRDefault="003F3153" w:rsidP="00A92E42">
            <w:pPr>
              <w:spacing w:after="120"/>
              <w:rPr>
                <w:rFonts w:eastAsia="Arial" w:cs="Times New Roman"/>
                <w:bCs/>
                <w:i/>
                <w:lang w:eastAsia="x-none"/>
              </w:rPr>
            </w:pPr>
            <w:r w:rsidRPr="00127152">
              <w:rPr>
                <w:rFonts w:eastAsia="Arial" w:cs="Times New Roman"/>
                <w:bCs/>
                <w:i/>
                <w:lang w:eastAsia="x-none"/>
              </w:rPr>
              <w:t>200</w:t>
            </w:r>
          </w:p>
        </w:tc>
        <w:tc>
          <w:tcPr>
            <w:tcW w:w="1134" w:type="dxa"/>
          </w:tcPr>
          <w:p w:rsidR="003F3153" w:rsidRPr="00127152" w:rsidRDefault="003F3153" w:rsidP="00A92E42">
            <w:pPr>
              <w:spacing w:after="120"/>
              <w:rPr>
                <w:rFonts w:eastAsia="Arial" w:cs="Times New Roman"/>
                <w:bCs/>
                <w:i/>
                <w:lang w:eastAsia="x-none"/>
              </w:rPr>
            </w:pPr>
            <w:r w:rsidRPr="00127152">
              <w:rPr>
                <w:rFonts w:eastAsia="Arial" w:cs="Times New Roman"/>
                <w:bCs/>
                <w:i/>
                <w:lang w:eastAsia="x-none"/>
              </w:rPr>
              <w:t>2</w:t>
            </w:r>
            <w:r w:rsidR="00F2063F" w:rsidRPr="00127152">
              <w:rPr>
                <w:rFonts w:eastAsia="Arial" w:cs="Times New Roman"/>
                <w:bCs/>
                <w:i/>
                <w:lang w:eastAsia="x-none"/>
              </w:rPr>
              <w:t>0</w:t>
            </w:r>
            <w:r w:rsidRPr="00127152">
              <w:rPr>
                <w:rFonts w:eastAsia="Arial" w:cs="Times New Roman"/>
                <w:bCs/>
                <w:i/>
                <w:lang w:eastAsia="x-none"/>
              </w:rPr>
              <w:t>0</w:t>
            </w:r>
          </w:p>
        </w:tc>
        <w:tc>
          <w:tcPr>
            <w:tcW w:w="992" w:type="dxa"/>
          </w:tcPr>
          <w:p w:rsidR="003F3153" w:rsidRPr="00127152" w:rsidRDefault="00311D8D" w:rsidP="00A92E42">
            <w:pPr>
              <w:spacing w:after="120"/>
              <w:rPr>
                <w:rFonts w:eastAsia="Arial" w:cs="Times New Roman"/>
                <w:bCs/>
                <w:i/>
                <w:lang w:eastAsia="x-none"/>
              </w:rPr>
            </w:pPr>
            <w:r w:rsidRPr="00127152">
              <w:rPr>
                <w:rFonts w:eastAsia="Arial" w:cs="Times New Roman"/>
                <w:bCs/>
                <w:i/>
                <w:lang w:eastAsia="x-none"/>
              </w:rPr>
              <w:t>300</w:t>
            </w:r>
          </w:p>
        </w:tc>
        <w:tc>
          <w:tcPr>
            <w:tcW w:w="2376" w:type="dxa"/>
          </w:tcPr>
          <w:p w:rsidR="003F3153" w:rsidRPr="00127152" w:rsidRDefault="00F2063F" w:rsidP="00A92E42">
            <w:pPr>
              <w:spacing w:after="120"/>
              <w:rPr>
                <w:rFonts w:eastAsia="Arial" w:cs="Times New Roman"/>
                <w:bCs/>
                <w:lang w:eastAsia="x-none"/>
              </w:rPr>
            </w:pPr>
            <w:r w:rsidRPr="00127152">
              <w:rPr>
                <w:rFonts w:eastAsia="Arial" w:cs="Times New Roman"/>
                <w:bCs/>
                <w:lang w:eastAsia="x-none"/>
              </w:rPr>
              <w:t>8</w:t>
            </w:r>
            <w:r w:rsidR="00311D8D" w:rsidRPr="00127152">
              <w:rPr>
                <w:rFonts w:eastAsia="Arial" w:cs="Times New Roman"/>
                <w:bCs/>
                <w:lang w:eastAsia="x-none"/>
              </w:rPr>
              <w:t>75</w:t>
            </w:r>
          </w:p>
        </w:tc>
      </w:tr>
    </w:tbl>
    <w:p w:rsidR="003F3153" w:rsidRPr="00127152" w:rsidRDefault="003F3153" w:rsidP="00D403C0">
      <w:pPr>
        <w:pStyle w:val="Level1"/>
        <w:numPr>
          <w:ilvl w:val="0"/>
          <w:numId w:val="0"/>
        </w:numPr>
        <w:spacing w:after="0"/>
        <w:ind w:left="426"/>
        <w:rPr>
          <w:sz w:val="16"/>
          <w:szCs w:val="16"/>
        </w:rPr>
      </w:pPr>
      <w:r w:rsidRPr="00127152">
        <w:rPr>
          <w:sz w:val="16"/>
          <w:szCs w:val="16"/>
        </w:rPr>
        <w:t>Notes: The Take-</w:t>
      </w:r>
      <w:r w:rsidR="00E50C33" w:rsidRPr="00127152">
        <w:rPr>
          <w:sz w:val="16"/>
          <w:szCs w:val="16"/>
          <w:lang w:val="en-GB"/>
        </w:rPr>
        <w:t>u</w:t>
      </w:r>
      <w:r w:rsidRPr="00127152">
        <w:rPr>
          <w:sz w:val="16"/>
          <w:szCs w:val="16"/>
        </w:rPr>
        <w:t>p numbers included in columns 1-4 are the Take-</w:t>
      </w:r>
      <w:r w:rsidR="00E50C33" w:rsidRPr="00127152">
        <w:rPr>
          <w:sz w:val="16"/>
          <w:szCs w:val="16"/>
          <w:lang w:val="en-GB"/>
        </w:rPr>
        <w:t>u</w:t>
      </w:r>
      <w:r w:rsidRPr="00127152">
        <w:rPr>
          <w:sz w:val="16"/>
          <w:szCs w:val="16"/>
        </w:rPr>
        <w:t>p total at the end of the Project Period.</w:t>
      </w:r>
    </w:p>
    <w:p w:rsidR="00D403C0" w:rsidRPr="00127152" w:rsidRDefault="003F3153" w:rsidP="00D403C0">
      <w:pPr>
        <w:pStyle w:val="Level1"/>
        <w:numPr>
          <w:ilvl w:val="0"/>
          <w:numId w:val="0"/>
        </w:numPr>
        <w:spacing w:after="0"/>
        <w:ind w:left="425"/>
        <w:rPr>
          <w:sz w:val="16"/>
          <w:szCs w:val="16"/>
          <w:lang w:val="en-GB"/>
        </w:rPr>
      </w:pPr>
      <w:r w:rsidRPr="00127152">
        <w:rPr>
          <w:sz w:val="16"/>
          <w:szCs w:val="16"/>
        </w:rPr>
        <w:t xml:space="preserve">In this example the </w:t>
      </w:r>
      <w:r w:rsidR="00F2063F" w:rsidRPr="00127152">
        <w:rPr>
          <w:sz w:val="16"/>
          <w:szCs w:val="16"/>
          <w:lang w:val="en-GB"/>
        </w:rPr>
        <w:t xml:space="preserve">Net Additional </w:t>
      </w:r>
      <w:r w:rsidRPr="00127152">
        <w:rPr>
          <w:sz w:val="16"/>
          <w:szCs w:val="16"/>
        </w:rPr>
        <w:t>Take-</w:t>
      </w:r>
      <w:r w:rsidR="00E50C33" w:rsidRPr="00127152">
        <w:rPr>
          <w:sz w:val="16"/>
          <w:szCs w:val="16"/>
          <w:lang w:val="en-GB"/>
        </w:rPr>
        <w:t>u</w:t>
      </w:r>
      <w:r w:rsidRPr="00127152">
        <w:rPr>
          <w:sz w:val="16"/>
          <w:szCs w:val="16"/>
        </w:rPr>
        <w:t>p</w:t>
      </w:r>
      <w:r w:rsidRPr="00796B31">
        <w:rPr>
          <w:sz w:val="16"/>
        </w:rPr>
        <w:t xml:space="preserve"> </w:t>
      </w:r>
      <w:r w:rsidR="00F2063F" w:rsidRPr="00796B31">
        <w:rPr>
          <w:sz w:val="16"/>
        </w:rPr>
        <w:t xml:space="preserve">would be </w:t>
      </w:r>
      <w:r w:rsidR="00311D8D" w:rsidRPr="00127152">
        <w:rPr>
          <w:sz w:val="16"/>
          <w:szCs w:val="16"/>
          <w:lang w:val="en-GB"/>
        </w:rPr>
        <w:t>25</w:t>
      </w:r>
      <w:r w:rsidR="00F2063F" w:rsidRPr="00127152">
        <w:rPr>
          <w:sz w:val="16"/>
          <w:szCs w:val="16"/>
        </w:rPr>
        <w:t xml:space="preserve"> i.e. 8</w:t>
      </w:r>
      <w:r w:rsidR="00311D8D" w:rsidRPr="00127152">
        <w:rPr>
          <w:sz w:val="16"/>
          <w:szCs w:val="16"/>
          <w:lang w:val="en-GB"/>
        </w:rPr>
        <w:t>75</w:t>
      </w:r>
      <w:r w:rsidRPr="00127152">
        <w:rPr>
          <w:sz w:val="16"/>
          <w:szCs w:val="16"/>
        </w:rPr>
        <w:t xml:space="preserve"> minus </w:t>
      </w:r>
      <w:r w:rsidR="00311D8D" w:rsidRPr="00127152">
        <w:rPr>
          <w:sz w:val="16"/>
          <w:szCs w:val="16"/>
          <w:lang w:val="en-GB"/>
        </w:rPr>
        <w:t>8</w:t>
      </w:r>
      <w:r w:rsidRPr="00127152">
        <w:rPr>
          <w:sz w:val="16"/>
          <w:szCs w:val="16"/>
        </w:rPr>
        <w:t>50.</w:t>
      </w:r>
    </w:p>
    <w:p w:rsidR="00D403C0" w:rsidRPr="00127152" w:rsidRDefault="00D403C0" w:rsidP="00D403C0">
      <w:pPr>
        <w:pStyle w:val="Level1"/>
        <w:numPr>
          <w:ilvl w:val="0"/>
          <w:numId w:val="0"/>
        </w:numPr>
        <w:ind w:left="426"/>
        <w:rPr>
          <w:sz w:val="16"/>
          <w:szCs w:val="16"/>
          <w:lang w:val="en-GB"/>
        </w:rPr>
      </w:pPr>
      <w:r w:rsidRPr="00127152">
        <w:rPr>
          <w:sz w:val="16"/>
          <w:szCs w:val="16"/>
          <w:lang w:val="en-GB"/>
        </w:rPr>
        <w:t>The above table is solely a simplified set of numbers to example the principles of this paragraph 10.2 – the figures have no other application or relevance.</w:t>
      </w:r>
    </w:p>
    <w:p w:rsidR="00704C8B" w:rsidRPr="00127152" w:rsidRDefault="00704C8B" w:rsidP="00704C8B">
      <w:pPr>
        <w:pStyle w:val="Level2"/>
        <w:numPr>
          <w:ilvl w:val="1"/>
          <w:numId w:val="4"/>
        </w:numPr>
      </w:pPr>
      <w:bookmarkStart w:id="49" w:name="_Ref316566993"/>
      <w:bookmarkEnd w:id="48"/>
      <w:r w:rsidRPr="00127152">
        <w:t xml:space="preserve">Exposure to claw-back at </w:t>
      </w:r>
      <w:r w:rsidRPr="00127152">
        <w:rPr>
          <w:lang w:val="en-GB"/>
        </w:rPr>
        <w:t>each</w:t>
      </w:r>
      <w:r w:rsidRPr="00127152">
        <w:t xml:space="preserve"> interim Take-up Review Point </w:t>
      </w:r>
      <w:r w:rsidRPr="00127152">
        <w:rPr>
          <w:lang w:val="en-GB"/>
        </w:rPr>
        <w:t>shall</w:t>
      </w:r>
      <w:r w:rsidRPr="00127152">
        <w:t xml:space="preserve"> be calculated as follows:</w:t>
      </w:r>
      <w:bookmarkEnd w:id="49"/>
    </w:p>
    <w:p w:rsidR="00704C8B" w:rsidRPr="004316A5" w:rsidRDefault="00704C8B" w:rsidP="00704C8B">
      <w:pPr>
        <w:pStyle w:val="BulletBDUK"/>
        <w:numPr>
          <w:ilvl w:val="0"/>
          <w:numId w:val="9"/>
        </w:numPr>
        <w:spacing w:after="240"/>
        <w:ind w:left="1418" w:hanging="567"/>
        <w:rPr>
          <w:rFonts w:ascii="Arial" w:hAnsi="Arial" w:cs="Arial"/>
          <w:i/>
          <w:sz w:val="20"/>
          <w:szCs w:val="20"/>
        </w:rPr>
      </w:pPr>
      <w:r w:rsidRPr="00127152">
        <w:rPr>
          <w:rFonts w:ascii="Arial" w:hAnsi="Arial" w:cs="Arial"/>
          <w:i/>
          <w:sz w:val="20"/>
          <w:szCs w:val="20"/>
        </w:rPr>
        <w:t>Exposure to claw-back at Take-up Review Point = Net Additional Take-up x Project Unit Margin  x (1 – the higher of (i) the Project Investment Ratio; or (ii) the Outturn Investment Ratio</w:t>
      </w:r>
      <w:r w:rsidR="00B61B70" w:rsidRPr="00B61B70">
        <w:rPr>
          <w:rFonts w:ascii="Arial" w:hAnsi="Arial" w:cs="Arial"/>
          <w:i/>
          <w:sz w:val="20"/>
          <w:szCs w:val="20"/>
          <w:lang w:val="en-GB"/>
        </w:rPr>
        <w:t xml:space="preserve"> if calculable at that time</w:t>
      </w:r>
      <w:r w:rsidRPr="00127152">
        <w:rPr>
          <w:i/>
        </w:rPr>
        <w:t>)</w:t>
      </w:r>
    </w:p>
    <w:p w:rsidR="00704C8B" w:rsidRPr="00956342" w:rsidRDefault="00704C8B" w:rsidP="00704C8B">
      <w:pPr>
        <w:pStyle w:val="Level2"/>
        <w:numPr>
          <w:ilvl w:val="1"/>
          <w:numId w:val="4"/>
        </w:numPr>
        <w:rPr>
          <w:rFonts w:cs="Arial"/>
        </w:rPr>
      </w:pPr>
      <w:r w:rsidRPr="00956342">
        <w:rPr>
          <w:rFonts w:cs="Arial"/>
        </w:rPr>
        <w:t xml:space="preserve">At </w:t>
      </w:r>
      <w:r w:rsidRPr="00956342">
        <w:rPr>
          <w:rFonts w:cs="Arial"/>
          <w:lang w:val="en-GB"/>
        </w:rPr>
        <w:t>each</w:t>
      </w:r>
      <w:r w:rsidRPr="00956342">
        <w:rPr>
          <w:rFonts w:cs="Arial"/>
        </w:rPr>
        <w:t xml:space="preserve"> interim Take-</w:t>
      </w:r>
      <w:r w:rsidRPr="00956342">
        <w:rPr>
          <w:rFonts w:cs="Arial"/>
          <w:lang w:val="en-GB"/>
        </w:rPr>
        <w:t>u</w:t>
      </w:r>
      <w:r w:rsidRPr="00956342">
        <w:rPr>
          <w:rFonts w:cs="Arial"/>
        </w:rPr>
        <w:t xml:space="preserve">p Review Point, a Take-up </w:t>
      </w:r>
      <w:r w:rsidR="001166EB" w:rsidRPr="00956342">
        <w:rPr>
          <w:rFonts w:cs="Arial"/>
        </w:rPr>
        <w:t>Claw Back</w:t>
      </w:r>
      <w:r w:rsidRPr="00956342">
        <w:rPr>
          <w:rFonts w:cs="Arial"/>
        </w:rPr>
        <w:t xml:space="preserve"> Amount </w:t>
      </w:r>
      <w:r w:rsidRPr="00956342">
        <w:rPr>
          <w:rFonts w:cs="Arial"/>
          <w:lang w:val="en-GB"/>
        </w:rPr>
        <w:t>shall be</w:t>
      </w:r>
      <w:r w:rsidRPr="00956342">
        <w:rPr>
          <w:rFonts w:cs="Arial"/>
        </w:rPr>
        <w:t xml:space="preserve"> calculated as follows</w:t>
      </w:r>
      <w:r w:rsidR="00552393" w:rsidRPr="00956342">
        <w:rPr>
          <w:rFonts w:cs="Arial"/>
          <w:lang w:val="en-GB"/>
        </w:rPr>
        <w:t>:</w:t>
      </w:r>
    </w:p>
    <w:p w:rsidR="00704C8B" w:rsidRPr="00025FC3" w:rsidRDefault="00704C8B" w:rsidP="00704C8B">
      <w:pPr>
        <w:pStyle w:val="BulletBDUK"/>
        <w:numPr>
          <w:ilvl w:val="0"/>
          <w:numId w:val="9"/>
        </w:numPr>
        <w:spacing w:after="240"/>
        <w:ind w:left="1418" w:hanging="567"/>
        <w:rPr>
          <w:rFonts w:ascii="Arial" w:hAnsi="Arial" w:cs="Arial"/>
          <w:i/>
          <w:sz w:val="20"/>
          <w:szCs w:val="20"/>
        </w:rPr>
      </w:pPr>
      <w:r w:rsidRPr="00956342">
        <w:rPr>
          <w:rFonts w:ascii="Arial" w:hAnsi="Arial" w:cs="Arial"/>
          <w:i/>
          <w:sz w:val="20"/>
          <w:szCs w:val="20"/>
        </w:rPr>
        <w:lastRenderedPageBreak/>
        <w:t xml:space="preserve">Take-up </w:t>
      </w:r>
      <w:r w:rsidR="001166EB" w:rsidRPr="00956342">
        <w:rPr>
          <w:rFonts w:ascii="Arial" w:hAnsi="Arial" w:cs="Arial"/>
          <w:i/>
          <w:sz w:val="20"/>
          <w:szCs w:val="20"/>
        </w:rPr>
        <w:t>Claw Back</w:t>
      </w:r>
      <w:r w:rsidRPr="00956342">
        <w:rPr>
          <w:rFonts w:ascii="Arial" w:hAnsi="Arial" w:cs="Arial"/>
          <w:i/>
          <w:sz w:val="20"/>
          <w:szCs w:val="20"/>
        </w:rPr>
        <w:t xml:space="preserve"> Amount = (Exposure to claw-back at Take-up Review Point less any Take-up </w:t>
      </w:r>
      <w:r w:rsidR="001166EB" w:rsidRPr="00956342">
        <w:rPr>
          <w:rFonts w:ascii="Arial" w:hAnsi="Arial" w:cs="Arial"/>
          <w:i/>
          <w:sz w:val="20"/>
          <w:szCs w:val="20"/>
        </w:rPr>
        <w:t>Claw Back</w:t>
      </w:r>
      <w:r w:rsidRPr="00956342">
        <w:rPr>
          <w:rFonts w:ascii="Arial" w:hAnsi="Arial" w:cs="Arial"/>
          <w:i/>
          <w:sz w:val="20"/>
          <w:szCs w:val="20"/>
        </w:rPr>
        <w:t xml:space="preserve"> Amounts previously </w:t>
      </w:r>
      <w:r w:rsidR="00AA3E86" w:rsidRPr="00956342">
        <w:rPr>
          <w:rFonts w:ascii="Arial" w:hAnsi="Arial" w:cs="Arial"/>
          <w:i/>
          <w:sz w:val="20"/>
          <w:szCs w:val="20"/>
          <w:lang w:val="en-GB"/>
        </w:rPr>
        <w:t>paid back</w:t>
      </w:r>
      <w:r w:rsidR="00AA3E86" w:rsidRPr="00956342">
        <w:rPr>
          <w:rFonts w:ascii="Arial" w:hAnsi="Arial"/>
          <w:i/>
          <w:sz w:val="20"/>
          <w:lang w:val="en-GB"/>
        </w:rPr>
        <w:t xml:space="preserve"> to the </w:t>
      </w:r>
      <w:r w:rsidR="00AA3E86" w:rsidRPr="00956342">
        <w:rPr>
          <w:rFonts w:ascii="Arial" w:hAnsi="Arial" w:cs="Arial"/>
          <w:i/>
          <w:sz w:val="20"/>
          <w:szCs w:val="20"/>
          <w:lang w:val="en-GB"/>
        </w:rPr>
        <w:t>Authority</w:t>
      </w:r>
      <w:r w:rsidRPr="00956342">
        <w:rPr>
          <w:rFonts w:ascii="Arial" w:hAnsi="Arial" w:cs="Arial"/>
          <w:i/>
          <w:sz w:val="20"/>
          <w:szCs w:val="20"/>
        </w:rPr>
        <w:t>)</w:t>
      </w:r>
    </w:p>
    <w:p w:rsidR="00704C8B" w:rsidRPr="00956342" w:rsidRDefault="00704C8B" w:rsidP="00704C8B">
      <w:pPr>
        <w:pStyle w:val="Body"/>
        <w:ind w:left="851"/>
      </w:pPr>
      <w:bookmarkStart w:id="50" w:name="_Ref309222742"/>
      <w:r w:rsidRPr="00956342">
        <w:t>Any positive Take</w:t>
      </w:r>
      <w:r w:rsidRPr="00956342">
        <w:rPr>
          <w:lang w:val="en-GB"/>
        </w:rPr>
        <w:t>-</w:t>
      </w:r>
      <w:r w:rsidRPr="00956342">
        <w:t xml:space="preserve">up </w:t>
      </w:r>
      <w:r w:rsidR="001166EB" w:rsidRPr="00956342">
        <w:t>Claw Back</w:t>
      </w:r>
      <w:r w:rsidRPr="00956342">
        <w:t xml:space="preserve"> Amount </w:t>
      </w:r>
      <w:r w:rsidR="005D5F83" w:rsidRPr="00956342">
        <w:t xml:space="preserve">shall be repaid direct to the Authority within </w:t>
      </w:r>
      <w:r w:rsidR="00BC79EF" w:rsidRPr="00BC79EF">
        <w:rPr>
          <w:lang w:val="en-GB"/>
        </w:rPr>
        <w:t>2</w:t>
      </w:r>
      <w:r w:rsidR="00396AD0" w:rsidRPr="00956342">
        <w:t>0 Working Days</w:t>
      </w:r>
      <w:r w:rsidR="005D5F83" w:rsidRPr="00956342">
        <w:t xml:space="preserve"> of the Take-up Review Point</w:t>
      </w:r>
      <w:r w:rsidRPr="00956342">
        <w:t>.</w:t>
      </w:r>
    </w:p>
    <w:bookmarkEnd w:id="50"/>
    <w:p w:rsidR="00BF1B4A" w:rsidRPr="00956342" w:rsidRDefault="00A856B7" w:rsidP="00446082">
      <w:pPr>
        <w:pStyle w:val="Level2"/>
        <w:numPr>
          <w:ilvl w:val="1"/>
          <w:numId w:val="4"/>
        </w:numPr>
      </w:pPr>
      <w:r w:rsidRPr="00956342">
        <w:t>A</w:t>
      </w:r>
      <w:r w:rsidR="00BF1B4A" w:rsidRPr="00956342">
        <w:t xml:space="preserve">t the </w:t>
      </w:r>
      <w:r w:rsidR="00F22D67" w:rsidRPr="00956342">
        <w:t>f</w:t>
      </w:r>
      <w:r w:rsidR="00BF1B4A" w:rsidRPr="00956342">
        <w:t xml:space="preserve">inal Take-up Review Point </w:t>
      </w:r>
      <w:r w:rsidRPr="00956342">
        <w:t xml:space="preserve">a </w:t>
      </w:r>
      <w:r w:rsidR="005A748A" w:rsidRPr="00956342">
        <w:rPr>
          <w:lang w:val="en-GB"/>
        </w:rPr>
        <w:t>F</w:t>
      </w:r>
      <w:r w:rsidR="00F22D67" w:rsidRPr="00956342">
        <w:t xml:space="preserve">inal </w:t>
      </w:r>
      <w:r w:rsidRPr="00956342">
        <w:t xml:space="preserve">Take-up </w:t>
      </w:r>
      <w:r w:rsidR="008D0273" w:rsidRPr="00956342">
        <w:t>Claw Back</w:t>
      </w:r>
      <w:r w:rsidRPr="00956342">
        <w:t xml:space="preserve"> Amount </w:t>
      </w:r>
      <w:r w:rsidR="0042752F" w:rsidRPr="00956342">
        <w:rPr>
          <w:lang w:val="en-GB"/>
        </w:rPr>
        <w:t>shall</w:t>
      </w:r>
      <w:r w:rsidR="00BF1B4A" w:rsidRPr="00956342">
        <w:t xml:space="preserve"> be calculated, with reference to the Net Additional Take-up</w:t>
      </w:r>
      <w:r w:rsidR="00845831" w:rsidRPr="00956342">
        <w:t xml:space="preserve"> </w:t>
      </w:r>
      <w:r w:rsidR="00607EE8" w:rsidRPr="00956342">
        <w:t>across the Term</w:t>
      </w:r>
      <w:r w:rsidR="00BF1B4A" w:rsidRPr="00956342">
        <w:t>, as follows:</w:t>
      </w:r>
    </w:p>
    <w:p w:rsidR="009B6E3C" w:rsidRPr="00956342" w:rsidRDefault="009B6E3C" w:rsidP="00446082">
      <w:pPr>
        <w:pStyle w:val="BulletBDUK"/>
        <w:numPr>
          <w:ilvl w:val="0"/>
          <w:numId w:val="9"/>
        </w:numPr>
        <w:spacing w:after="240"/>
        <w:ind w:left="1418" w:hanging="567"/>
        <w:rPr>
          <w:rFonts w:ascii="Arial" w:hAnsi="Arial" w:cs="Arial"/>
          <w:i/>
          <w:sz w:val="20"/>
          <w:szCs w:val="20"/>
        </w:rPr>
      </w:pPr>
      <w:r w:rsidRPr="00956342">
        <w:rPr>
          <w:rFonts w:ascii="Arial" w:hAnsi="Arial" w:cs="Arial"/>
          <w:i/>
          <w:sz w:val="20"/>
          <w:szCs w:val="20"/>
        </w:rPr>
        <w:t xml:space="preserve">Final Take-up Claw-back Amount = </w:t>
      </w:r>
      <w:r w:rsidR="00EC0011" w:rsidRPr="00956342">
        <w:rPr>
          <w:rFonts w:ascii="Arial" w:hAnsi="Arial" w:cs="Arial"/>
          <w:i/>
          <w:sz w:val="20"/>
          <w:szCs w:val="20"/>
        </w:rPr>
        <w:t xml:space="preserve">Exposure to claw-back at Take-up Review Point less any Take-up </w:t>
      </w:r>
      <w:r w:rsidR="001166EB" w:rsidRPr="00956342">
        <w:rPr>
          <w:rFonts w:ascii="Arial" w:hAnsi="Arial" w:cs="Arial"/>
          <w:i/>
          <w:sz w:val="20"/>
          <w:szCs w:val="20"/>
        </w:rPr>
        <w:t>Claw Back</w:t>
      </w:r>
      <w:r w:rsidR="00EC0011" w:rsidRPr="00956342">
        <w:rPr>
          <w:rFonts w:ascii="Arial" w:hAnsi="Arial" w:cs="Arial"/>
          <w:i/>
          <w:sz w:val="20"/>
          <w:szCs w:val="20"/>
        </w:rPr>
        <w:t xml:space="preserve"> Amounts previously </w:t>
      </w:r>
      <w:r w:rsidR="00396AD0" w:rsidRPr="00956342">
        <w:rPr>
          <w:rFonts w:ascii="Arial" w:hAnsi="Arial" w:cs="Arial"/>
          <w:i/>
          <w:sz w:val="20"/>
          <w:szCs w:val="20"/>
          <w:lang w:val="en-GB"/>
        </w:rPr>
        <w:t>paid</w:t>
      </w:r>
      <w:r w:rsidR="00EC0011" w:rsidRPr="00956342">
        <w:rPr>
          <w:rFonts w:ascii="Arial" w:hAnsi="Arial" w:cs="Arial"/>
          <w:i/>
          <w:sz w:val="20"/>
          <w:szCs w:val="20"/>
        </w:rPr>
        <w:t xml:space="preserve"> to the </w:t>
      </w:r>
      <w:r w:rsidR="00E16226" w:rsidRPr="00956342">
        <w:rPr>
          <w:rFonts w:ascii="Arial" w:hAnsi="Arial" w:cs="Arial"/>
          <w:i/>
          <w:sz w:val="20"/>
          <w:szCs w:val="20"/>
          <w:lang w:val="en-GB"/>
        </w:rPr>
        <w:t>Authority</w:t>
      </w:r>
      <w:r w:rsidR="00396AD0" w:rsidRPr="00956342">
        <w:rPr>
          <w:rFonts w:ascii="Arial" w:hAnsi="Arial" w:cs="Arial"/>
          <w:i/>
          <w:sz w:val="20"/>
          <w:szCs w:val="20"/>
          <w:lang w:val="en-GB"/>
        </w:rPr>
        <w:t>.</w:t>
      </w:r>
      <w:r w:rsidR="00E16226" w:rsidRPr="00956342">
        <w:rPr>
          <w:rFonts w:ascii="Arial" w:hAnsi="Arial"/>
          <w:i/>
          <w:sz w:val="20"/>
          <w:lang w:val="en-GB"/>
        </w:rPr>
        <w:t xml:space="preserve"> </w:t>
      </w:r>
    </w:p>
    <w:p w:rsidR="00EC0011" w:rsidRPr="00127152" w:rsidRDefault="002E5775" w:rsidP="00EC0011">
      <w:pPr>
        <w:pStyle w:val="Body"/>
        <w:ind w:left="851"/>
      </w:pPr>
      <w:r w:rsidRPr="00127152">
        <w:t xml:space="preserve">Any Final </w:t>
      </w:r>
      <w:r w:rsidR="00A3449C" w:rsidRPr="00127152">
        <w:t>Take-up Claw-back</w:t>
      </w:r>
      <w:r w:rsidRPr="00127152">
        <w:t xml:space="preserve"> Amount shall be </w:t>
      </w:r>
      <w:r w:rsidR="005D5F83" w:rsidRPr="005D5F83">
        <w:rPr>
          <w:lang w:val="en-GB"/>
        </w:rPr>
        <w:t>rep</w:t>
      </w:r>
      <w:r w:rsidR="005D5F83">
        <w:rPr>
          <w:lang w:val="en-GB"/>
        </w:rPr>
        <w:t>a</w:t>
      </w:r>
      <w:r w:rsidR="005D5F83" w:rsidRPr="005D5F83">
        <w:rPr>
          <w:lang w:val="en-GB"/>
        </w:rPr>
        <w:t>id direct</w:t>
      </w:r>
      <w:r w:rsidR="005D5F83" w:rsidRPr="00956342">
        <w:rPr>
          <w:lang w:val="en-GB"/>
        </w:rPr>
        <w:t xml:space="preserve"> to the </w:t>
      </w:r>
      <w:r w:rsidR="00BC79EF">
        <w:rPr>
          <w:lang w:val="en-GB"/>
        </w:rPr>
        <w:t>Authority within 2</w:t>
      </w:r>
      <w:r w:rsidR="005D5F83">
        <w:rPr>
          <w:lang w:val="en-GB"/>
        </w:rPr>
        <w:t xml:space="preserve">0 </w:t>
      </w:r>
      <w:r w:rsidR="00396AD0">
        <w:rPr>
          <w:lang w:val="en-GB"/>
        </w:rPr>
        <w:t>Working D</w:t>
      </w:r>
      <w:r w:rsidR="005D5F83">
        <w:rPr>
          <w:lang w:val="en-GB"/>
        </w:rPr>
        <w:t xml:space="preserve">ays of the </w:t>
      </w:r>
      <w:r w:rsidR="005D5F83" w:rsidRPr="005D5F83">
        <w:rPr>
          <w:lang w:val="en-GB"/>
        </w:rPr>
        <w:t>final Take-up Review Point</w:t>
      </w:r>
      <w:r w:rsidRPr="00127152">
        <w:t>.</w:t>
      </w:r>
    </w:p>
    <w:p w:rsidR="00FE56DC" w:rsidRPr="00127152" w:rsidRDefault="00025FC3" w:rsidP="00FE56DC">
      <w:pPr>
        <w:pStyle w:val="Level1"/>
        <w:numPr>
          <w:ilvl w:val="0"/>
          <w:numId w:val="4"/>
        </w:numPr>
        <w:rPr>
          <w:rStyle w:val="Level1asHeadingtext"/>
        </w:rPr>
      </w:pPr>
      <w:r>
        <w:rPr>
          <w:rStyle w:val="Level1asHeadingtext"/>
        </w:rPr>
        <w:fldChar w:fldCharType="begin"/>
      </w:r>
      <w:r w:rsidRPr="00025FC3">
        <w:instrText xml:space="preserve">  TC "</w:instrText>
      </w:r>
      <w:r>
        <w:fldChar w:fldCharType="begin"/>
      </w:r>
      <w:r w:rsidRPr="00025FC3">
        <w:instrText xml:space="preserve"> REF _Ref425718182 \r </w:instrText>
      </w:r>
      <w:r>
        <w:fldChar w:fldCharType="separate"/>
      </w:r>
      <w:bookmarkStart w:id="51" w:name="_Toc463354112"/>
      <w:r w:rsidR="008B179C">
        <w:instrText>10</w:instrText>
      </w:r>
      <w:r>
        <w:fldChar w:fldCharType="end"/>
      </w:r>
      <w:r>
        <w:tab/>
        <w:instrText>OVER-SUBSIDY CLAW-BACK: ADDITIONAL SERVICES</w:instrText>
      </w:r>
      <w:bookmarkEnd w:id="51"/>
      <w:r w:rsidRPr="00025FC3">
        <w:instrText xml:space="preserve">" \l1 </w:instrText>
      </w:r>
      <w:r>
        <w:rPr>
          <w:rStyle w:val="Level1asHeadingtext"/>
        </w:rPr>
        <w:fldChar w:fldCharType="end"/>
      </w:r>
      <w:bookmarkStart w:id="52" w:name="_Ref408777003"/>
      <w:bookmarkStart w:id="53" w:name="_Ref425718182"/>
      <w:r w:rsidR="00FE56DC" w:rsidRPr="00127152">
        <w:rPr>
          <w:rStyle w:val="Level1asHeadingtext"/>
        </w:rPr>
        <w:t>Over-subsidy claw-back: ADDITIONAL SERVICES</w:t>
      </w:r>
      <w:bookmarkEnd w:id="52"/>
      <w:bookmarkEnd w:id="53"/>
    </w:p>
    <w:p w:rsidR="00611906" w:rsidRPr="00127152" w:rsidRDefault="00611906" w:rsidP="00611906">
      <w:pPr>
        <w:pStyle w:val="Level2"/>
        <w:numPr>
          <w:ilvl w:val="1"/>
          <w:numId w:val="4"/>
        </w:numPr>
      </w:pPr>
      <w:r w:rsidRPr="00127152">
        <w:t>At</w:t>
      </w:r>
      <w:r w:rsidRPr="00127152">
        <w:rPr>
          <w:lang w:val="en-GB"/>
        </w:rPr>
        <w:t xml:space="preserve"> each Additional Service Review Point the Supplier shall perform </w:t>
      </w:r>
      <w:r w:rsidRPr="00127152">
        <w:t xml:space="preserve">an assessment of Additional Service Revenue </w:t>
      </w:r>
      <w:r w:rsidRPr="00127152">
        <w:rPr>
          <w:lang w:val="en-GB"/>
        </w:rPr>
        <w:t>in accordance with</w:t>
      </w:r>
      <w:r w:rsidRPr="00127152">
        <w:t xml:space="preserve"> paragraph </w:t>
      </w:r>
      <w:r w:rsidRPr="00127152">
        <w:fldChar w:fldCharType="begin"/>
      </w:r>
      <w:r w:rsidRPr="00127152">
        <w:instrText xml:space="preserve"> REF _Ref310435229 \r \h </w:instrText>
      </w:r>
      <w:r>
        <w:instrText xml:space="preserve"> \* MERGEFORMAT </w:instrText>
      </w:r>
      <w:r w:rsidRPr="00127152">
        <w:fldChar w:fldCharType="separate"/>
      </w:r>
      <w:r w:rsidR="008B179C">
        <w:t>10.2</w:t>
      </w:r>
      <w:r w:rsidRPr="00127152">
        <w:fldChar w:fldCharType="end"/>
      </w:r>
      <w:r w:rsidRPr="00127152">
        <w:t>.</w:t>
      </w:r>
    </w:p>
    <w:p w:rsidR="00611906" w:rsidRPr="00127152" w:rsidRDefault="00611906" w:rsidP="00611906">
      <w:pPr>
        <w:pStyle w:val="Level2"/>
        <w:numPr>
          <w:ilvl w:val="1"/>
          <w:numId w:val="4"/>
        </w:numPr>
      </w:pPr>
      <w:bookmarkStart w:id="54" w:name="_Ref310435229"/>
      <w:r w:rsidRPr="00127152">
        <w:t xml:space="preserve">At each Additional Service Review Point the Supplier </w:t>
      </w:r>
      <w:r w:rsidRPr="00127152">
        <w:rPr>
          <w:lang w:val="en-GB"/>
        </w:rPr>
        <w:t xml:space="preserve">shall </w:t>
      </w:r>
      <w:r w:rsidRPr="00127152">
        <w:t xml:space="preserve">submit updated Project Accounts to the Authority, additionally showing actual total Additional Service Revenue </w:t>
      </w:r>
      <w:r w:rsidRPr="00127152">
        <w:rPr>
          <w:lang w:val="en-GB"/>
        </w:rPr>
        <w:t>in relation to this Contract</w:t>
      </w:r>
      <w:r w:rsidRPr="00127152">
        <w:t>.  T</w:t>
      </w:r>
      <w:r w:rsidRPr="00127152">
        <w:rPr>
          <w:lang w:val="en-GB"/>
        </w:rPr>
        <w:t>he</w:t>
      </w:r>
      <w:r w:rsidRPr="00127152">
        <w:t xml:space="preserve"> actual Additional Service Revenue </w:t>
      </w:r>
      <w:r w:rsidRPr="00127152">
        <w:rPr>
          <w:lang w:val="en-GB"/>
        </w:rPr>
        <w:t>shall</w:t>
      </w:r>
      <w:r w:rsidRPr="00127152">
        <w:t xml:space="preserve"> be compared to the forecast Additional Service Revenue as shown in the Project Model, from the Effective Date to the </w:t>
      </w:r>
      <w:r w:rsidRPr="00127152">
        <w:rPr>
          <w:lang w:val="en-GB"/>
        </w:rPr>
        <w:t xml:space="preserve">relevant </w:t>
      </w:r>
      <w:r w:rsidRPr="00127152">
        <w:t xml:space="preserve">Additional Service Review Point.  If the actual Additional Service Revenue is more than the forecast Additional Service Revenue the difference represents a </w:t>
      </w:r>
      <w:r w:rsidRPr="00127152">
        <w:rPr>
          <w:b/>
        </w:rPr>
        <w:t>"Net Additional Service Revenue"</w:t>
      </w:r>
      <w:r w:rsidRPr="00127152">
        <w:t xml:space="preserve">.  Exposure to claw-back at </w:t>
      </w:r>
      <w:r w:rsidRPr="00127152">
        <w:rPr>
          <w:lang w:val="en-GB"/>
        </w:rPr>
        <w:t xml:space="preserve">each </w:t>
      </w:r>
      <w:r w:rsidRPr="00127152">
        <w:t xml:space="preserve">interim Additional Service Review Point </w:t>
      </w:r>
      <w:r w:rsidRPr="00127152">
        <w:rPr>
          <w:lang w:val="en-GB"/>
        </w:rPr>
        <w:t>shall</w:t>
      </w:r>
      <w:r w:rsidRPr="00127152">
        <w:t xml:space="preserve"> be calculated as follows:</w:t>
      </w:r>
      <w:bookmarkEnd w:id="54"/>
    </w:p>
    <w:p w:rsidR="00611906" w:rsidRPr="00624337" w:rsidRDefault="00611906" w:rsidP="00611906">
      <w:pPr>
        <w:pStyle w:val="BulletBDUK"/>
        <w:numPr>
          <w:ilvl w:val="0"/>
          <w:numId w:val="9"/>
        </w:numPr>
        <w:spacing w:after="240"/>
        <w:ind w:left="1418" w:hanging="567"/>
        <w:rPr>
          <w:rFonts w:ascii="Arial" w:hAnsi="Arial" w:cs="Arial"/>
          <w:i/>
          <w:sz w:val="20"/>
          <w:szCs w:val="20"/>
          <w:lang w:val="en-GB"/>
        </w:rPr>
      </w:pPr>
      <w:r w:rsidRPr="00624337">
        <w:rPr>
          <w:rFonts w:ascii="Arial" w:hAnsi="Arial" w:cs="Arial"/>
          <w:i/>
          <w:sz w:val="20"/>
          <w:szCs w:val="20"/>
          <w:lang w:val="en-GB"/>
        </w:rPr>
        <w:t xml:space="preserve">Additional Service </w:t>
      </w:r>
      <w:r w:rsidR="0056616C">
        <w:rPr>
          <w:rFonts w:ascii="Arial" w:hAnsi="Arial" w:cs="Arial"/>
          <w:i/>
          <w:sz w:val="20"/>
          <w:szCs w:val="20"/>
          <w:lang w:val="en-GB"/>
        </w:rPr>
        <w:t>Claw Back</w:t>
      </w:r>
      <w:r w:rsidRPr="00624337">
        <w:rPr>
          <w:rFonts w:ascii="Arial" w:hAnsi="Arial" w:cs="Arial"/>
          <w:i/>
          <w:sz w:val="20"/>
          <w:szCs w:val="20"/>
          <w:lang w:val="en-GB"/>
        </w:rPr>
        <w:t xml:space="preserve"> Amount = (Net Additional Service Revenue x A%, less any Additional Service </w:t>
      </w:r>
      <w:r w:rsidR="0056616C">
        <w:rPr>
          <w:rFonts w:ascii="Arial" w:hAnsi="Arial" w:cs="Arial"/>
          <w:i/>
          <w:sz w:val="20"/>
          <w:szCs w:val="20"/>
          <w:lang w:val="en-GB"/>
        </w:rPr>
        <w:t>Claw Back</w:t>
      </w:r>
      <w:r w:rsidRPr="00624337">
        <w:rPr>
          <w:rFonts w:ascii="Arial" w:hAnsi="Arial" w:cs="Arial"/>
          <w:i/>
          <w:sz w:val="20"/>
          <w:szCs w:val="20"/>
          <w:lang w:val="en-GB"/>
        </w:rPr>
        <w:t xml:space="preserve"> Amounts previously </w:t>
      </w:r>
      <w:r w:rsidR="00E16226">
        <w:rPr>
          <w:rFonts w:ascii="Arial" w:hAnsi="Arial" w:cs="Arial"/>
          <w:i/>
          <w:sz w:val="20"/>
          <w:szCs w:val="20"/>
          <w:lang w:val="en-GB"/>
        </w:rPr>
        <w:t>paid</w:t>
      </w:r>
      <w:r w:rsidR="00E10B20">
        <w:rPr>
          <w:rFonts w:ascii="Arial" w:hAnsi="Arial" w:cs="Arial"/>
          <w:i/>
          <w:sz w:val="20"/>
          <w:szCs w:val="20"/>
          <w:lang w:val="en-GB"/>
        </w:rPr>
        <w:t xml:space="preserve"> </w:t>
      </w:r>
      <w:r w:rsidRPr="00624337">
        <w:rPr>
          <w:rFonts w:ascii="Arial" w:hAnsi="Arial" w:cs="Arial"/>
          <w:i/>
          <w:sz w:val="20"/>
          <w:szCs w:val="20"/>
          <w:lang w:val="en-GB"/>
        </w:rPr>
        <w:t>to the</w:t>
      </w:r>
      <w:r w:rsidR="00E10B20">
        <w:rPr>
          <w:rFonts w:ascii="Arial" w:hAnsi="Arial" w:cs="Arial"/>
          <w:i/>
          <w:sz w:val="20"/>
          <w:szCs w:val="20"/>
          <w:lang w:val="en-GB"/>
        </w:rPr>
        <w:t xml:space="preserve"> </w:t>
      </w:r>
      <w:r w:rsidR="00E16226">
        <w:rPr>
          <w:rFonts w:ascii="Arial" w:hAnsi="Arial" w:cs="Arial"/>
          <w:i/>
          <w:sz w:val="20"/>
          <w:szCs w:val="20"/>
          <w:lang w:val="en-GB"/>
        </w:rPr>
        <w:t>Authority</w:t>
      </w:r>
      <w:r w:rsidRPr="00624337">
        <w:rPr>
          <w:rFonts w:ascii="Arial" w:hAnsi="Arial" w:cs="Arial"/>
          <w:i/>
          <w:sz w:val="20"/>
          <w:szCs w:val="20"/>
          <w:lang w:val="en-GB"/>
        </w:rPr>
        <w:t>)</w:t>
      </w:r>
    </w:p>
    <w:p w:rsidR="00611906" w:rsidRPr="00127152" w:rsidRDefault="00611906" w:rsidP="00611906">
      <w:pPr>
        <w:pStyle w:val="Body"/>
        <w:ind w:left="851"/>
      </w:pPr>
      <w:r w:rsidRPr="00127152">
        <w:t xml:space="preserve">Any Additional Service </w:t>
      </w:r>
      <w:r w:rsidR="0056616C" w:rsidRPr="0056616C">
        <w:rPr>
          <w:lang w:val="en-GB"/>
        </w:rPr>
        <w:t>Claw Back</w:t>
      </w:r>
      <w:r w:rsidRPr="00127152">
        <w:t xml:space="preserve"> Amount shall be </w:t>
      </w:r>
      <w:r w:rsidR="00227795" w:rsidRPr="00227795">
        <w:t>shall be repaid direct to</w:t>
      </w:r>
      <w:r w:rsidR="0056616C">
        <w:t xml:space="preserve"> the Authority</w:t>
      </w:r>
      <w:r w:rsidRPr="00127152">
        <w:rPr>
          <w:lang w:val="en-GB"/>
        </w:rPr>
        <w:t xml:space="preserve"> within </w:t>
      </w:r>
      <w:r w:rsidR="00BC79EF">
        <w:rPr>
          <w:lang w:val="en-GB"/>
        </w:rPr>
        <w:t>2</w:t>
      </w:r>
      <w:r w:rsidR="001166EB">
        <w:rPr>
          <w:lang w:val="en-GB"/>
        </w:rPr>
        <w:t>0</w:t>
      </w:r>
      <w:r w:rsidRPr="00127152">
        <w:rPr>
          <w:lang w:val="en-GB"/>
        </w:rPr>
        <w:t xml:space="preserve"> Working Days</w:t>
      </w:r>
      <w:r w:rsidRPr="00127152">
        <w:t>.</w:t>
      </w:r>
    </w:p>
    <w:p w:rsidR="00611906" w:rsidRPr="00127152" w:rsidRDefault="00611906" w:rsidP="00611906">
      <w:pPr>
        <w:pStyle w:val="Level2"/>
        <w:numPr>
          <w:ilvl w:val="1"/>
          <w:numId w:val="4"/>
        </w:numPr>
      </w:pPr>
      <w:bookmarkStart w:id="55" w:name="_Ref455562987"/>
      <w:r w:rsidRPr="00127152">
        <w:t xml:space="preserve">At the final Additional Service Review Point a Final Additional Service Claw Back Amount </w:t>
      </w:r>
      <w:r w:rsidRPr="00127152">
        <w:rPr>
          <w:lang w:val="en-GB"/>
        </w:rPr>
        <w:t>shall</w:t>
      </w:r>
      <w:r w:rsidRPr="00127152">
        <w:t xml:space="preserve"> be calculated, with reference to the Net Additional Service Revenue across the Term, as follows:</w:t>
      </w:r>
      <w:bookmarkEnd w:id="55"/>
    </w:p>
    <w:p w:rsidR="00611906" w:rsidRPr="00624337" w:rsidRDefault="00611906" w:rsidP="00611906">
      <w:pPr>
        <w:pStyle w:val="BulletBDUK"/>
        <w:numPr>
          <w:ilvl w:val="0"/>
          <w:numId w:val="9"/>
        </w:numPr>
        <w:spacing w:after="240"/>
        <w:ind w:left="1418" w:hanging="567"/>
        <w:rPr>
          <w:rFonts w:ascii="Arial" w:hAnsi="Arial" w:cs="Arial"/>
          <w:i/>
          <w:sz w:val="20"/>
          <w:szCs w:val="20"/>
          <w:lang w:val="en-GB"/>
        </w:rPr>
      </w:pPr>
      <w:r w:rsidRPr="00624337">
        <w:rPr>
          <w:rFonts w:ascii="Arial" w:hAnsi="Arial" w:cs="Arial"/>
          <w:i/>
          <w:sz w:val="20"/>
          <w:szCs w:val="20"/>
          <w:lang w:val="en-GB"/>
        </w:rPr>
        <w:t xml:space="preserve">Final Additional Service Claw Back Amount = Net Additional Service Revenue x A%, less any Additional Service Revenue Amounts previously </w:t>
      </w:r>
      <w:r w:rsidR="00E16226">
        <w:rPr>
          <w:rFonts w:ascii="Arial" w:hAnsi="Arial" w:cs="Arial"/>
          <w:i/>
          <w:sz w:val="20"/>
          <w:szCs w:val="20"/>
          <w:lang w:val="en-GB"/>
        </w:rPr>
        <w:t>paid</w:t>
      </w:r>
      <w:r w:rsidR="00E10B20">
        <w:rPr>
          <w:rFonts w:ascii="Arial" w:hAnsi="Arial" w:cs="Arial"/>
          <w:i/>
          <w:sz w:val="20"/>
          <w:szCs w:val="20"/>
          <w:lang w:val="en-GB"/>
        </w:rPr>
        <w:t xml:space="preserve"> </w:t>
      </w:r>
      <w:r w:rsidRPr="00624337">
        <w:rPr>
          <w:rFonts w:ascii="Arial" w:hAnsi="Arial" w:cs="Arial"/>
          <w:i/>
          <w:sz w:val="20"/>
          <w:szCs w:val="20"/>
          <w:lang w:val="en-GB"/>
        </w:rPr>
        <w:t xml:space="preserve">to </w:t>
      </w:r>
      <w:r w:rsidRPr="00796B31">
        <w:rPr>
          <w:rFonts w:ascii="Arial" w:hAnsi="Arial"/>
          <w:i/>
          <w:sz w:val="20"/>
          <w:lang w:val="en-GB"/>
        </w:rPr>
        <w:t xml:space="preserve">the </w:t>
      </w:r>
      <w:r w:rsidR="00E16226">
        <w:rPr>
          <w:rFonts w:ascii="Arial" w:hAnsi="Arial" w:cs="Arial"/>
          <w:i/>
          <w:sz w:val="20"/>
          <w:szCs w:val="20"/>
          <w:lang w:val="en-GB"/>
        </w:rPr>
        <w:t>Authority</w:t>
      </w:r>
    </w:p>
    <w:p w:rsidR="00611906" w:rsidRPr="00B44B4A" w:rsidRDefault="00611906" w:rsidP="00956342">
      <w:pPr>
        <w:pStyle w:val="Body"/>
        <w:ind w:left="851"/>
      </w:pPr>
      <w:r w:rsidRPr="00127152">
        <w:t>Any Final Additional Service Claw Back Amount shall</w:t>
      </w:r>
      <w:r w:rsidRPr="00796B31">
        <w:t xml:space="preserve"> be </w:t>
      </w:r>
      <w:r w:rsidR="00227795" w:rsidRPr="00227795">
        <w:t xml:space="preserve">repaid direct to the Authority </w:t>
      </w:r>
      <w:r w:rsidRPr="00B44B4A">
        <w:t xml:space="preserve">within </w:t>
      </w:r>
      <w:r w:rsidR="00BC79EF">
        <w:rPr>
          <w:lang w:val="en-GB"/>
        </w:rPr>
        <w:t>2</w:t>
      </w:r>
      <w:r w:rsidR="00031DDA" w:rsidRPr="00FA6B4C">
        <w:rPr>
          <w:lang w:val="en-GB"/>
        </w:rPr>
        <w:t>0</w:t>
      </w:r>
      <w:r w:rsidR="00031DDA" w:rsidRPr="00B44B4A">
        <w:t xml:space="preserve"> </w:t>
      </w:r>
      <w:r w:rsidRPr="00B44B4A">
        <w:t>Working Days</w:t>
      </w:r>
      <w:r w:rsidRPr="00127152">
        <w:t>.</w:t>
      </w:r>
    </w:p>
    <w:p w:rsidR="00611906" w:rsidRDefault="00611906" w:rsidP="00611906">
      <w:pPr>
        <w:pStyle w:val="Level2"/>
        <w:numPr>
          <w:ilvl w:val="1"/>
          <w:numId w:val="4"/>
        </w:numPr>
      </w:pPr>
      <w:r>
        <w:t xml:space="preserve">For the purposes of paragraphs </w:t>
      </w:r>
      <w:r w:rsidR="001166EB">
        <w:fldChar w:fldCharType="begin"/>
      </w:r>
      <w:r w:rsidR="001166EB">
        <w:instrText xml:space="preserve"> REF _Ref310435229 \r \h </w:instrText>
      </w:r>
      <w:r w:rsidR="001166EB">
        <w:fldChar w:fldCharType="separate"/>
      </w:r>
      <w:r w:rsidR="008B179C">
        <w:t>10.2</w:t>
      </w:r>
      <w:r w:rsidR="001166EB">
        <w:fldChar w:fldCharType="end"/>
      </w:r>
      <w:r>
        <w:t xml:space="preserve"> and </w:t>
      </w:r>
      <w:r w:rsidR="001166EB">
        <w:fldChar w:fldCharType="begin"/>
      </w:r>
      <w:r w:rsidR="001166EB">
        <w:instrText xml:space="preserve"> REF _Ref455562987 \r \h </w:instrText>
      </w:r>
      <w:r w:rsidR="001166EB">
        <w:fldChar w:fldCharType="separate"/>
      </w:r>
      <w:r w:rsidR="008B179C">
        <w:t>10.3</w:t>
      </w:r>
      <w:r w:rsidR="001166EB">
        <w:fldChar w:fldCharType="end"/>
      </w:r>
      <w:r>
        <w:t>, "A%" shall be determined at each Additional Service Review Point as follows</w:t>
      </w:r>
      <w:r>
        <w:rPr>
          <w:lang w:val="en-GB"/>
        </w:rPr>
        <w:t>:</w:t>
      </w:r>
    </w:p>
    <w:p w:rsidR="00611906" w:rsidRPr="00611906" w:rsidRDefault="00611906" w:rsidP="00611906">
      <w:pPr>
        <w:pStyle w:val="Level3"/>
        <w:numPr>
          <w:ilvl w:val="2"/>
          <w:numId w:val="4"/>
        </w:numPr>
      </w:pPr>
      <w:r>
        <w:rPr>
          <w:lang w:val="en-GB"/>
        </w:rPr>
        <w:t>T</w:t>
      </w:r>
      <w:r>
        <w:t>he Supplier shall</w:t>
      </w:r>
      <w:r>
        <w:rPr>
          <w:lang w:val="en-GB"/>
        </w:rPr>
        <w:t xml:space="preserve"> provide to the Authority </w:t>
      </w:r>
      <w:r>
        <w:t>details of the total margin achieved in respect of the Net Additional Service Revenue</w:t>
      </w:r>
      <w:r>
        <w:rPr>
          <w:lang w:val="en-GB"/>
        </w:rPr>
        <w:t xml:space="preserve"> </w:t>
      </w:r>
      <w:r>
        <w:t>including the accounting principles used to calculate that margin;</w:t>
      </w:r>
    </w:p>
    <w:p w:rsidR="00FE56DC" w:rsidRPr="0014457D" w:rsidRDefault="00611906" w:rsidP="00611906">
      <w:pPr>
        <w:pStyle w:val="Level3"/>
        <w:numPr>
          <w:ilvl w:val="2"/>
          <w:numId w:val="4"/>
        </w:numPr>
      </w:pPr>
      <w:r w:rsidRPr="00132B50">
        <w:rPr>
          <w:lang w:val="en-GB"/>
        </w:rPr>
        <w:t xml:space="preserve">As part of the Additional Service Review Point concerned, the Parties shall, acting reasonably, agree A% such that it represents an appropriate portion of the margin achieved on the Net Additional Service Revenue (taking into account relevant factors including (i) the extent to which the infrastructure used by the Wholesale Access Products and Services concerned was </w:t>
      </w:r>
      <w:r w:rsidRPr="00132B50">
        <w:rPr>
          <w:lang w:val="en-GB"/>
        </w:rPr>
        <w:lastRenderedPageBreak/>
        <w:t>funded under this Contract; and (ii) the Commission Decision</w:t>
      </w:r>
      <w:r w:rsidRPr="002A17C6">
        <w:rPr>
          <w:lang w:val="en-GB"/>
        </w:rPr>
        <w:t>). If agreement of A% is not achieved within 10 Working Days from commencing that Additional Services Review Point this shall represent a Dispute.</w:t>
      </w:r>
    </w:p>
    <w:p w:rsidR="00C850AF" w:rsidRPr="003B0C6B" w:rsidRDefault="00A66CD9" w:rsidP="00CC23BA">
      <w:pPr>
        <w:pStyle w:val="Level1"/>
        <w:keepNext/>
        <w:rPr>
          <w:rStyle w:val="Level1asHeadingtext"/>
        </w:rPr>
      </w:pPr>
      <w:r>
        <w:rPr>
          <w:rStyle w:val="Level1asHeadingtext"/>
        </w:rPr>
        <w:fldChar w:fldCharType="begin"/>
      </w:r>
      <w:r w:rsidRPr="00025FC3">
        <w:instrText xml:space="preserve">  TC "</w:instrText>
      </w:r>
      <w:r>
        <w:fldChar w:fldCharType="begin"/>
      </w:r>
      <w:r>
        <w:instrText xml:space="preserve"> REF _Ref459920135 \r \h </w:instrText>
      </w:r>
      <w:r>
        <w:fldChar w:fldCharType="separate"/>
      </w:r>
      <w:bookmarkStart w:id="56" w:name="_Toc463354113"/>
      <w:r w:rsidR="008B179C">
        <w:instrText>11</w:instrText>
      </w:r>
      <w:r>
        <w:fldChar w:fldCharType="end"/>
      </w:r>
      <w:r>
        <w:tab/>
      </w:r>
      <w:r>
        <w:rPr>
          <w:lang w:val="de-DE"/>
        </w:rPr>
        <w:instrText>NEGATIVE CLAWBACK SUM</w:instrText>
      </w:r>
      <w:bookmarkEnd w:id="56"/>
      <w:r w:rsidRPr="00025FC3">
        <w:instrText xml:space="preserve">" \l1 </w:instrText>
      </w:r>
      <w:r>
        <w:rPr>
          <w:rStyle w:val="Level1asHeadingtext"/>
        </w:rPr>
        <w:fldChar w:fldCharType="end"/>
      </w:r>
      <w:bookmarkStart w:id="57" w:name="_Ref459920135"/>
      <w:r w:rsidR="00C850AF">
        <w:rPr>
          <w:rStyle w:val="Level1asHeadingtext"/>
          <w:lang w:val="de-DE"/>
        </w:rPr>
        <w:t>NEGATIVE CLAWBACK SUM</w:t>
      </w:r>
      <w:bookmarkEnd w:id="57"/>
    </w:p>
    <w:p w:rsidR="00C850AF" w:rsidRPr="003B0C6B" w:rsidRDefault="00C850AF" w:rsidP="003B0C6B">
      <w:pPr>
        <w:pStyle w:val="Level2"/>
        <w:numPr>
          <w:ilvl w:val="0"/>
          <w:numId w:val="0"/>
        </w:numPr>
        <w:ind w:left="851"/>
      </w:pPr>
      <w:r w:rsidRPr="003B0C6B">
        <w:rPr>
          <w:lang w:val="en-GB"/>
        </w:rPr>
        <w:t>W</w:t>
      </w:r>
      <w:r w:rsidRPr="00D7121A">
        <w:t xml:space="preserve">here </w:t>
      </w:r>
      <w:r w:rsidRPr="003B0C6B">
        <w:rPr>
          <w:lang w:val="en-GB"/>
        </w:rPr>
        <w:t xml:space="preserve">any of </w:t>
      </w:r>
      <w:r w:rsidRPr="00D7121A">
        <w:t xml:space="preserve">the calculations at </w:t>
      </w:r>
      <w:r w:rsidR="00A044E8" w:rsidRPr="003B0C6B">
        <w:rPr>
          <w:lang w:val="en-GB"/>
        </w:rPr>
        <w:t>paragraph</w:t>
      </w:r>
      <w:r w:rsidR="00A96628">
        <w:rPr>
          <w:lang w:val="en-GB"/>
        </w:rPr>
        <w:t>s</w:t>
      </w:r>
      <w:r w:rsidR="00A044E8" w:rsidRPr="003B0C6B">
        <w:rPr>
          <w:lang w:val="en-GB"/>
        </w:rPr>
        <w:t xml:space="preserve"> </w:t>
      </w:r>
      <w:r w:rsidR="00A96628">
        <w:rPr>
          <w:lang w:val="en-GB"/>
        </w:rPr>
        <w:fldChar w:fldCharType="begin"/>
      </w:r>
      <w:r w:rsidR="00A96628">
        <w:rPr>
          <w:lang w:val="en-GB"/>
        </w:rPr>
        <w:instrText xml:space="preserve"> REF _Ref309213361 \r \h </w:instrText>
      </w:r>
      <w:r w:rsidR="00A96628">
        <w:rPr>
          <w:lang w:val="en-GB"/>
        </w:rPr>
      </w:r>
      <w:r w:rsidR="00A96628">
        <w:rPr>
          <w:lang w:val="en-GB"/>
        </w:rPr>
        <w:fldChar w:fldCharType="separate"/>
      </w:r>
      <w:r w:rsidR="008B179C">
        <w:rPr>
          <w:lang w:val="en-GB"/>
        </w:rPr>
        <w:t>9</w:t>
      </w:r>
      <w:r w:rsidR="00A96628">
        <w:rPr>
          <w:lang w:val="en-GB"/>
        </w:rPr>
        <w:fldChar w:fldCharType="end"/>
      </w:r>
      <w:r w:rsidRPr="003B0C6B">
        <w:rPr>
          <w:lang w:val="en-GB"/>
        </w:rPr>
        <w:t xml:space="preserve"> or </w:t>
      </w:r>
      <w:r w:rsidR="00A96628">
        <w:rPr>
          <w:lang w:val="en-GB"/>
        </w:rPr>
        <w:fldChar w:fldCharType="begin"/>
      </w:r>
      <w:r w:rsidR="00A96628">
        <w:rPr>
          <w:lang w:val="en-GB"/>
        </w:rPr>
        <w:instrText xml:space="preserve"> REF _Ref408777003 \r \h </w:instrText>
      </w:r>
      <w:r w:rsidR="00A96628">
        <w:rPr>
          <w:lang w:val="en-GB"/>
        </w:rPr>
      </w:r>
      <w:r w:rsidR="00A96628">
        <w:rPr>
          <w:lang w:val="en-GB"/>
        </w:rPr>
        <w:fldChar w:fldCharType="separate"/>
      </w:r>
      <w:r w:rsidR="008B179C">
        <w:rPr>
          <w:lang w:val="en-GB"/>
        </w:rPr>
        <w:t>10</w:t>
      </w:r>
      <w:r w:rsidR="00A96628">
        <w:rPr>
          <w:lang w:val="en-GB"/>
        </w:rPr>
        <w:fldChar w:fldCharType="end"/>
      </w:r>
      <w:r w:rsidRPr="003B0C6B">
        <w:rPr>
          <w:lang w:val="en-GB"/>
        </w:rPr>
        <w:t xml:space="preserve"> </w:t>
      </w:r>
      <w:r w:rsidR="00A044E8">
        <w:rPr>
          <w:lang w:val="en-GB"/>
        </w:rPr>
        <w:t xml:space="preserve">demonstrate a prior over-payment </w:t>
      </w:r>
      <w:r w:rsidR="00A96628">
        <w:rPr>
          <w:lang w:val="en-GB"/>
        </w:rPr>
        <w:t xml:space="preserve">by the Supplier to the Authority </w:t>
      </w:r>
      <w:r w:rsidR="00A044E8">
        <w:rPr>
          <w:lang w:val="en-GB"/>
        </w:rPr>
        <w:t xml:space="preserve">pursuant to those provisions, the over-payment shall be refunded by the Authority directly to the Supplier within </w:t>
      </w:r>
      <w:r w:rsidR="00BC79EF">
        <w:rPr>
          <w:lang w:val="en-GB"/>
        </w:rPr>
        <w:t>2</w:t>
      </w:r>
      <w:r w:rsidR="00031DDA">
        <w:rPr>
          <w:lang w:val="en-GB"/>
        </w:rPr>
        <w:t>0</w:t>
      </w:r>
      <w:r w:rsidR="00A044E8" w:rsidRPr="00127152">
        <w:rPr>
          <w:lang w:val="en-GB"/>
        </w:rPr>
        <w:t xml:space="preserve"> Working Days</w:t>
      </w:r>
      <w:r w:rsidR="00A044E8">
        <w:rPr>
          <w:lang w:val="en-GB"/>
        </w:rPr>
        <w:t>.</w:t>
      </w:r>
    </w:p>
    <w:p w:rsidR="00227795" w:rsidRPr="00CC23BA" w:rsidRDefault="00A66CD9" w:rsidP="00CC23BA">
      <w:pPr>
        <w:pStyle w:val="Level1"/>
        <w:keepNext/>
        <w:rPr>
          <w:rStyle w:val="Level1asHeadingtext"/>
        </w:rPr>
      </w:pPr>
      <w:r>
        <w:rPr>
          <w:rStyle w:val="Level1asHeadingtext"/>
        </w:rPr>
        <w:fldChar w:fldCharType="begin"/>
      </w:r>
      <w:r w:rsidRPr="00025FC3">
        <w:instrText xml:space="preserve">  TC "</w:instrText>
      </w:r>
      <w:r>
        <w:fldChar w:fldCharType="begin"/>
      </w:r>
      <w:r>
        <w:instrText xml:space="preserve"> REF _Ref459920153 \r \h </w:instrText>
      </w:r>
      <w:r>
        <w:fldChar w:fldCharType="separate"/>
      </w:r>
      <w:bookmarkStart w:id="58" w:name="_Toc463354114"/>
      <w:r w:rsidR="008B179C">
        <w:instrText>12</w:instrText>
      </w:r>
      <w:r>
        <w:fldChar w:fldCharType="end"/>
      </w:r>
      <w:r>
        <w:tab/>
      </w:r>
      <w:r>
        <w:rPr>
          <w:lang w:val="de-DE"/>
        </w:rPr>
        <w:instrText>LIABILITY IN AUDITED ACCOUNTS</w:instrText>
      </w:r>
      <w:bookmarkEnd w:id="58"/>
      <w:r w:rsidRPr="00025FC3">
        <w:instrText xml:space="preserve">" \l1 </w:instrText>
      </w:r>
      <w:r>
        <w:rPr>
          <w:rStyle w:val="Level1asHeadingtext"/>
        </w:rPr>
        <w:fldChar w:fldCharType="end"/>
      </w:r>
      <w:bookmarkStart w:id="59" w:name="_Ref459920153"/>
      <w:r w:rsidR="00C850AF" w:rsidRPr="003B0C6B">
        <w:rPr>
          <w:rStyle w:val="Level1asHeadingtext"/>
          <w:lang w:val="en-GB"/>
        </w:rPr>
        <w:t>LIABILITY IN AUDITED ACCOUNTS</w:t>
      </w:r>
      <w:bookmarkEnd w:id="59"/>
    </w:p>
    <w:p w:rsidR="00227795" w:rsidRDefault="00227795" w:rsidP="003B0C6B">
      <w:pPr>
        <w:pStyle w:val="Level2"/>
        <w:numPr>
          <w:ilvl w:val="0"/>
          <w:numId w:val="0"/>
        </w:numPr>
        <w:ind w:left="851"/>
        <w:rPr>
          <w:lang w:val="en-GB"/>
        </w:rPr>
      </w:pPr>
      <w:r w:rsidRPr="003B0C6B">
        <w:rPr>
          <w:lang w:val="en-GB"/>
        </w:rPr>
        <w:t xml:space="preserve">Where at any Take-up Review Point or Additional Service Review Point a greater  liability </w:t>
      </w:r>
      <w:r w:rsidR="00226046" w:rsidRPr="004D2D04">
        <w:rPr>
          <w:lang w:val="en-GB"/>
        </w:rPr>
        <w:t xml:space="preserve">is shown in the Supplier's audited accounts </w:t>
      </w:r>
      <w:r w:rsidR="00226046" w:rsidRPr="003B0C6B">
        <w:rPr>
          <w:lang w:val="en-GB"/>
        </w:rPr>
        <w:t xml:space="preserve">for anticipated re-payment pursuant to </w:t>
      </w:r>
      <w:r w:rsidR="00226046" w:rsidRPr="00226046">
        <w:rPr>
          <w:lang w:val="en-GB"/>
        </w:rPr>
        <w:t>paragraphs 9 or 10</w:t>
      </w:r>
      <w:r w:rsidR="00226046">
        <w:rPr>
          <w:lang w:val="en-GB"/>
        </w:rPr>
        <w:t xml:space="preserve"> </w:t>
      </w:r>
      <w:r w:rsidR="00226046" w:rsidRPr="003B0C6B">
        <w:rPr>
          <w:lang w:val="en-GB"/>
        </w:rPr>
        <w:t xml:space="preserve">than would otherwise be re-payable at that time to the Authority under </w:t>
      </w:r>
      <w:r w:rsidR="00226046" w:rsidRPr="004D2D04">
        <w:rPr>
          <w:lang w:val="en-GB"/>
        </w:rPr>
        <w:t xml:space="preserve">those </w:t>
      </w:r>
      <w:r w:rsidR="00226046" w:rsidRPr="003B0C6B">
        <w:rPr>
          <w:lang w:val="en-GB"/>
        </w:rPr>
        <w:t>paragraphs</w:t>
      </w:r>
      <w:r w:rsidR="00226046" w:rsidRPr="004D2D04">
        <w:rPr>
          <w:lang w:val="en-GB"/>
        </w:rPr>
        <w:t>, the Supplier shall re-pay that higher amount</w:t>
      </w:r>
      <w:r w:rsidR="00226046">
        <w:rPr>
          <w:lang w:val="en-GB"/>
        </w:rPr>
        <w:t xml:space="preserve"> in accordance with the corresponding re-payment timing</w:t>
      </w:r>
      <w:r w:rsidR="004D2D04">
        <w:rPr>
          <w:lang w:val="en-GB"/>
        </w:rPr>
        <w:t>s</w:t>
      </w:r>
      <w:r w:rsidR="00226046">
        <w:rPr>
          <w:lang w:val="en-GB"/>
        </w:rPr>
        <w:t xml:space="preserve"> noted </w:t>
      </w:r>
      <w:r w:rsidR="004D2D04">
        <w:rPr>
          <w:lang w:val="en-GB"/>
        </w:rPr>
        <w:t xml:space="preserve">in </w:t>
      </w:r>
      <w:r w:rsidR="004D2D04" w:rsidRPr="004D2D04">
        <w:rPr>
          <w:lang w:val="en-GB"/>
        </w:rPr>
        <w:t>paragraphs 9 or 10</w:t>
      </w:r>
      <w:r w:rsidR="004D2D04">
        <w:rPr>
          <w:lang w:val="en-GB"/>
        </w:rPr>
        <w:t xml:space="preserve"> (as applicable)</w:t>
      </w:r>
      <w:r w:rsidR="00226046">
        <w:rPr>
          <w:lang w:val="en-GB"/>
        </w:rPr>
        <w:t>.</w:t>
      </w:r>
    </w:p>
    <w:p w:rsidR="00AA7CC7" w:rsidRPr="00AA7CC7" w:rsidRDefault="00AA7CC7" w:rsidP="00AA7CC7">
      <w:pPr>
        <w:pStyle w:val="Level1"/>
        <w:keepNext/>
        <w:rPr>
          <w:rStyle w:val="Level1asHeadingtext"/>
        </w:rPr>
      </w:pPr>
      <w:r w:rsidRPr="00AA7CC7">
        <w:rPr>
          <w:rStyle w:val="Level1asHeadingtext"/>
        </w:rPr>
        <w:t>CONTINGENCY</w:t>
      </w:r>
    </w:p>
    <w:p w:rsidR="00AA7CC7" w:rsidRPr="00AA7CC7" w:rsidRDefault="00AA7CC7" w:rsidP="00AA7CC7">
      <w:pPr>
        <w:pStyle w:val="Level1"/>
        <w:keepNext/>
        <w:numPr>
          <w:ilvl w:val="0"/>
          <w:numId w:val="0"/>
        </w:numPr>
        <w:ind w:left="851"/>
        <w:rPr>
          <w:rStyle w:val="Level1asHeadingtext"/>
          <w:lang w:val="en-GB"/>
        </w:rPr>
      </w:pPr>
      <w:r w:rsidRPr="00AA7CC7">
        <w:rPr>
          <w:rStyle w:val="Level1asHeadingtext"/>
          <w:lang w:val="en-GB"/>
        </w:rPr>
        <w:t>[</w:t>
      </w:r>
      <w:r>
        <w:rPr>
          <w:rStyle w:val="Level1asHeadingtext"/>
          <w:caps w:val="0"/>
          <w:lang w:val="en-GB"/>
        </w:rPr>
        <w:t>Template N</w:t>
      </w:r>
      <w:r w:rsidRPr="00AA7CC7">
        <w:rPr>
          <w:rStyle w:val="Level1asHeadingtext"/>
          <w:caps w:val="0"/>
          <w:lang w:val="en-GB"/>
        </w:rPr>
        <w:t xml:space="preserve">ote: </w:t>
      </w:r>
      <w:r>
        <w:rPr>
          <w:rStyle w:val="Level1asHeadingtext"/>
          <w:caps w:val="0"/>
          <w:lang w:val="en-GB"/>
        </w:rPr>
        <w:t>A</w:t>
      </w:r>
      <w:r w:rsidRPr="00AA7CC7">
        <w:rPr>
          <w:rStyle w:val="Level1asHeadingtext"/>
          <w:caps w:val="0"/>
          <w:lang w:val="en-GB"/>
        </w:rPr>
        <w:t xml:space="preserve"> </w:t>
      </w:r>
      <w:r>
        <w:rPr>
          <w:rStyle w:val="Level1asHeadingtext"/>
          <w:caps w:val="0"/>
          <w:lang w:val="en-GB"/>
        </w:rPr>
        <w:t>L</w:t>
      </w:r>
      <w:r w:rsidRPr="00AA7CC7">
        <w:rPr>
          <w:rStyle w:val="Level1asHeadingtext"/>
          <w:caps w:val="0"/>
          <w:lang w:val="en-GB"/>
        </w:rPr>
        <w:t xml:space="preserve">ocal </w:t>
      </w:r>
      <w:r>
        <w:rPr>
          <w:rStyle w:val="Level1asHeadingtext"/>
          <w:caps w:val="0"/>
          <w:lang w:val="en-GB"/>
        </w:rPr>
        <w:t>B</w:t>
      </w:r>
      <w:r w:rsidRPr="00AA7CC7">
        <w:rPr>
          <w:rStyle w:val="Level1asHeadingtext"/>
          <w:caps w:val="0"/>
          <w:lang w:val="en-GB"/>
        </w:rPr>
        <w:t xml:space="preserve">ody may incorporate contingency arrangements in </w:t>
      </w:r>
      <w:r>
        <w:rPr>
          <w:rStyle w:val="Level1asHeadingtext"/>
          <w:caps w:val="0"/>
          <w:lang w:val="en-GB"/>
        </w:rPr>
        <w:t>its</w:t>
      </w:r>
      <w:r w:rsidRPr="00AA7CC7">
        <w:rPr>
          <w:rStyle w:val="Level1asHeadingtext"/>
          <w:lang w:val="en-GB"/>
        </w:rPr>
        <w:t xml:space="preserve"> </w:t>
      </w:r>
      <w:r w:rsidRPr="00AA7CC7">
        <w:rPr>
          <w:rStyle w:val="Level1asHeadingtext"/>
          <w:caps w:val="0"/>
          <w:lang w:val="en-GB"/>
        </w:rPr>
        <w:t xml:space="preserve">contract </w:t>
      </w:r>
      <w:r w:rsidRPr="00AA7CC7">
        <w:rPr>
          <w:rStyle w:val="Level1asHeadingtext"/>
          <w:lang w:val="en-GB"/>
        </w:rPr>
        <w:t>–</w:t>
      </w:r>
      <w:r w:rsidRPr="00AA7CC7">
        <w:rPr>
          <w:rStyle w:val="Level1asHeadingtext"/>
          <w:caps w:val="0"/>
          <w:lang w:val="en-GB"/>
        </w:rPr>
        <w:t xml:space="preserve"> i.e. </w:t>
      </w:r>
      <w:r>
        <w:rPr>
          <w:rStyle w:val="Level1asHeadingtext"/>
          <w:caps w:val="0"/>
          <w:lang w:val="en-GB"/>
        </w:rPr>
        <w:t>an identified contingency sum (to be funded by the parties on an agreed specified basis) for funding additional cost exposure</w:t>
      </w:r>
      <w:r w:rsidR="00FA6B4C">
        <w:rPr>
          <w:rStyle w:val="Level1asHeadingtext"/>
          <w:caps w:val="0"/>
          <w:lang w:val="en-GB"/>
        </w:rPr>
        <w:t xml:space="preserve"> in certain limited expressly specified circumstances</w:t>
      </w:r>
      <w:r>
        <w:rPr>
          <w:rStyle w:val="Level1asHeadingtext"/>
          <w:caps w:val="0"/>
          <w:lang w:val="en-GB"/>
        </w:rPr>
        <w:t>. The detail of these contingency arrangements would be identified in the applicable ITT and the contractual arrangements set out here.</w:t>
      </w:r>
      <w:r w:rsidRPr="00AA7CC7">
        <w:rPr>
          <w:rStyle w:val="Level1asHeadingtext"/>
          <w:lang w:val="en-GB"/>
        </w:rPr>
        <w:t>]</w:t>
      </w:r>
    </w:p>
    <w:p w:rsidR="00C708DD" w:rsidRPr="00796B31" w:rsidRDefault="00825C43" w:rsidP="00956342">
      <w:pPr>
        <w:pStyle w:val="Heading3"/>
        <w:numPr>
          <w:ilvl w:val="0"/>
          <w:numId w:val="0"/>
        </w:numPr>
        <w:spacing w:after="240"/>
        <w:jc w:val="center"/>
        <w:rPr>
          <w:b/>
          <w:lang w:val="en-GB"/>
        </w:rPr>
      </w:pPr>
      <w:bookmarkStart w:id="60" w:name="h.44sinio" w:colFirst="0" w:colLast="0"/>
      <w:bookmarkStart w:id="61" w:name="h.2jxsxqh" w:colFirst="0" w:colLast="0"/>
      <w:bookmarkStart w:id="62" w:name="h.z337ya" w:colFirst="0" w:colLast="0"/>
      <w:bookmarkStart w:id="63" w:name="h.3j2qqm3" w:colFirst="0" w:colLast="0"/>
      <w:bookmarkStart w:id="64" w:name="h.1y810tw" w:colFirst="0" w:colLast="0"/>
      <w:bookmarkStart w:id="65" w:name="h.4i7ojhp" w:colFirst="0" w:colLast="0"/>
      <w:bookmarkStart w:id="66" w:name="h.2xcytpi" w:colFirst="0" w:colLast="0"/>
      <w:bookmarkStart w:id="67" w:name="h.1ci93xb" w:colFirst="0" w:colLast="0"/>
      <w:bookmarkStart w:id="68" w:name="h.3whwml4" w:colFirst="0" w:colLast="0"/>
      <w:bookmarkStart w:id="69" w:name="h.2bn6wsx" w:colFirst="0" w:colLast="0"/>
      <w:bookmarkStart w:id="70" w:name="h.qsh70q" w:colFirst="0" w:colLast="0"/>
      <w:bookmarkStart w:id="71" w:name="h.3as4poj" w:colFirst="0" w:colLast="0"/>
      <w:bookmarkStart w:id="72" w:name="h.1pxezwc" w:colFirst="0" w:colLast="0"/>
      <w:bookmarkStart w:id="73" w:name="h.49x2ik5" w:colFirst="0" w:colLast="0"/>
      <w:bookmarkStart w:id="74" w:name="h.2p2csry" w:colFirst="0" w:colLast="0"/>
      <w:bookmarkStart w:id="75" w:name="h.147n2zr" w:colFirst="0" w:colLast="0"/>
      <w:bookmarkStart w:id="76" w:name="h.3o7alnk" w:colFirst="0" w:colLast="0"/>
      <w:bookmarkStart w:id="77" w:name="h.23ckvvd" w:colFirst="0" w:colLast="0"/>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025FC3">
        <w:rPr>
          <w:b/>
          <w:lang w:val="en-GB"/>
        </w:rPr>
        <w:br w:type="page"/>
      </w:r>
      <w:r w:rsidR="00025FC3">
        <w:rPr>
          <w:b/>
          <w:lang w:val="en-GB"/>
        </w:rPr>
        <w:lastRenderedPageBreak/>
        <w:fldChar w:fldCharType="begin"/>
      </w:r>
      <w:r w:rsidR="00025FC3" w:rsidRPr="00025FC3">
        <w:instrText xml:space="preserve">  TC "</w:instrText>
      </w:r>
      <w:bookmarkStart w:id="78" w:name="_Toc463354115"/>
      <w:r w:rsidR="00025FC3">
        <w:instrText>APPENDIX 1 – MILESTONE PAYMENTS</w:instrText>
      </w:r>
      <w:bookmarkEnd w:id="78"/>
      <w:r w:rsidR="00025FC3" w:rsidRPr="00025FC3">
        <w:instrText xml:space="preserve">" \l1 </w:instrText>
      </w:r>
      <w:r w:rsidR="00025FC3">
        <w:rPr>
          <w:b/>
          <w:lang w:val="en-GB"/>
        </w:rPr>
        <w:fldChar w:fldCharType="end"/>
      </w:r>
      <w:r w:rsidRPr="00956342">
        <w:rPr>
          <w:b/>
          <w:lang w:val="en-GB"/>
        </w:rPr>
        <w:t xml:space="preserve">APPENDIX </w:t>
      </w:r>
      <w:r w:rsidRPr="00796B31">
        <w:rPr>
          <w:b/>
          <w:lang w:val="en-GB"/>
        </w:rPr>
        <w:t xml:space="preserve">1 </w:t>
      </w:r>
      <w:r>
        <w:rPr>
          <w:b/>
        </w:rPr>
        <w:t>– MILESTONE PAYMENTS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52"/>
        <w:gridCol w:w="3952"/>
      </w:tblGrid>
      <w:tr w:rsidR="003C28AD" w:rsidTr="00956342">
        <w:tc>
          <w:tcPr>
            <w:tcW w:w="817" w:type="dxa"/>
            <w:tcBorders>
              <w:top w:val="single" w:sz="4" w:space="0" w:color="000000"/>
              <w:left w:val="single" w:sz="4" w:space="0" w:color="000000"/>
              <w:bottom w:val="single" w:sz="4" w:space="0" w:color="000000"/>
              <w:right w:val="single" w:sz="4" w:space="0" w:color="000000"/>
            </w:tcBorders>
            <w:shd w:val="pct12" w:color="auto" w:fill="auto"/>
            <w:hideMark/>
          </w:tcPr>
          <w:p w:rsidR="003C28AD" w:rsidRPr="00FA66F2" w:rsidRDefault="003C28AD" w:rsidP="00956342">
            <w:pPr>
              <w:pStyle w:val="Heading3"/>
              <w:numPr>
                <w:ilvl w:val="0"/>
                <w:numId w:val="0"/>
              </w:numPr>
              <w:jc w:val="center"/>
              <w:rPr>
                <w:b/>
                <w:lang w:val="en-GB"/>
              </w:rPr>
            </w:pPr>
            <w:r w:rsidRPr="00796B31">
              <w:rPr>
                <w:rFonts w:ascii="Arial" w:hAnsi="Arial"/>
                <w:b/>
                <w:sz w:val="20"/>
                <w:lang w:val="en-GB"/>
              </w:rPr>
              <w:t>ID</w:t>
            </w:r>
          </w:p>
        </w:tc>
        <w:tc>
          <w:tcPr>
            <w:tcW w:w="3952" w:type="dxa"/>
            <w:tcBorders>
              <w:top w:val="single" w:sz="4" w:space="0" w:color="000000"/>
              <w:left w:val="single" w:sz="4" w:space="0" w:color="000000"/>
              <w:bottom w:val="single" w:sz="4" w:space="0" w:color="000000"/>
              <w:right w:val="single" w:sz="4" w:space="0" w:color="000000"/>
            </w:tcBorders>
            <w:shd w:val="pct12" w:color="auto" w:fill="auto"/>
            <w:hideMark/>
          </w:tcPr>
          <w:p w:rsidR="003C28AD" w:rsidRPr="00956342" w:rsidRDefault="003C28AD" w:rsidP="00956342">
            <w:pPr>
              <w:pStyle w:val="Heading3"/>
              <w:numPr>
                <w:ilvl w:val="0"/>
                <w:numId w:val="0"/>
              </w:numPr>
              <w:jc w:val="center"/>
              <w:rPr>
                <w:b/>
                <w:lang w:val="en-GB"/>
              </w:rPr>
            </w:pPr>
            <w:r w:rsidRPr="00796B31">
              <w:rPr>
                <w:rFonts w:ascii="Arial" w:hAnsi="Arial"/>
                <w:b/>
                <w:sz w:val="20"/>
                <w:lang w:val="en-GB"/>
              </w:rPr>
              <w:t>MILESTONE</w:t>
            </w:r>
          </w:p>
        </w:tc>
        <w:tc>
          <w:tcPr>
            <w:tcW w:w="3952" w:type="dxa"/>
            <w:tcBorders>
              <w:top w:val="single" w:sz="4" w:space="0" w:color="000000"/>
              <w:left w:val="single" w:sz="4" w:space="0" w:color="000000"/>
              <w:bottom w:val="single" w:sz="4" w:space="0" w:color="000000"/>
              <w:right w:val="single" w:sz="4" w:space="0" w:color="000000"/>
            </w:tcBorders>
            <w:shd w:val="pct12" w:color="auto" w:fill="auto"/>
            <w:hideMark/>
          </w:tcPr>
          <w:p w:rsidR="003C28AD" w:rsidRPr="00796B31" w:rsidRDefault="003C28AD">
            <w:pPr>
              <w:pStyle w:val="Heading3"/>
              <w:numPr>
                <w:ilvl w:val="0"/>
                <w:numId w:val="0"/>
              </w:numPr>
              <w:jc w:val="center"/>
              <w:rPr>
                <w:rFonts w:ascii="Arial" w:hAnsi="Arial"/>
                <w:b/>
                <w:sz w:val="20"/>
                <w:lang w:val="en-GB"/>
              </w:rPr>
            </w:pPr>
            <w:r w:rsidRPr="00796B31">
              <w:rPr>
                <w:rFonts w:ascii="Arial" w:hAnsi="Arial"/>
                <w:b/>
                <w:sz w:val="20"/>
                <w:lang w:val="en-GB"/>
              </w:rPr>
              <w:t>MILESTONE PAYMENT</w:t>
            </w:r>
          </w:p>
        </w:tc>
      </w:tr>
      <w:tr w:rsidR="003C28AD" w:rsidTr="00956342">
        <w:tc>
          <w:tcPr>
            <w:tcW w:w="817" w:type="dxa"/>
            <w:tcBorders>
              <w:top w:val="single" w:sz="4" w:space="0" w:color="000000"/>
              <w:left w:val="single" w:sz="4" w:space="0" w:color="000000"/>
              <w:bottom w:val="single" w:sz="4" w:space="0" w:color="000000"/>
              <w:right w:val="single" w:sz="4" w:space="0" w:color="000000"/>
            </w:tcBorders>
          </w:tcPr>
          <w:p w:rsidR="003C28AD" w:rsidRPr="00956342" w:rsidRDefault="003C28AD" w:rsidP="00956342">
            <w:pPr>
              <w:pStyle w:val="Heading3"/>
              <w:numPr>
                <w:ilvl w:val="0"/>
                <w:numId w:val="0"/>
              </w:numPr>
              <w:rPr>
                <w:b/>
                <w:lang w:val="en-GB"/>
              </w:rPr>
            </w:pPr>
          </w:p>
        </w:tc>
        <w:tc>
          <w:tcPr>
            <w:tcW w:w="3952" w:type="dxa"/>
            <w:tcBorders>
              <w:top w:val="single" w:sz="4" w:space="0" w:color="000000"/>
              <w:left w:val="single" w:sz="4" w:space="0" w:color="000000"/>
              <w:bottom w:val="single" w:sz="4" w:space="0" w:color="000000"/>
              <w:right w:val="single" w:sz="4" w:space="0" w:color="000000"/>
            </w:tcBorders>
          </w:tcPr>
          <w:p w:rsidR="003C28AD" w:rsidRPr="00956342" w:rsidRDefault="003C28AD" w:rsidP="00956342">
            <w:pPr>
              <w:pStyle w:val="Heading3"/>
              <w:numPr>
                <w:ilvl w:val="0"/>
                <w:numId w:val="0"/>
              </w:numPr>
              <w:rPr>
                <w:b/>
                <w:lang w:val="en-GB"/>
              </w:rPr>
            </w:pPr>
          </w:p>
        </w:tc>
        <w:tc>
          <w:tcPr>
            <w:tcW w:w="3952" w:type="dxa"/>
            <w:tcBorders>
              <w:top w:val="single" w:sz="4" w:space="0" w:color="000000"/>
              <w:left w:val="single" w:sz="4" w:space="0" w:color="000000"/>
              <w:bottom w:val="single" w:sz="4" w:space="0" w:color="000000"/>
              <w:right w:val="single" w:sz="4" w:space="0" w:color="000000"/>
            </w:tcBorders>
          </w:tcPr>
          <w:p w:rsidR="003C28AD" w:rsidRPr="00796B31" w:rsidRDefault="003C28AD">
            <w:pPr>
              <w:pStyle w:val="Heading3"/>
              <w:numPr>
                <w:ilvl w:val="0"/>
                <w:numId w:val="0"/>
              </w:numPr>
              <w:rPr>
                <w:rFonts w:ascii="Arial" w:hAnsi="Arial"/>
                <w:b/>
                <w:sz w:val="20"/>
                <w:lang w:val="en-GB"/>
              </w:rPr>
            </w:pPr>
          </w:p>
        </w:tc>
      </w:tr>
      <w:tr w:rsidR="003C28AD" w:rsidTr="001166EB">
        <w:tc>
          <w:tcPr>
            <w:tcW w:w="817" w:type="dxa"/>
            <w:tcBorders>
              <w:top w:val="single" w:sz="4" w:space="0" w:color="000000"/>
              <w:left w:val="single" w:sz="4" w:space="0" w:color="000000"/>
              <w:bottom w:val="single" w:sz="4" w:space="0" w:color="000000"/>
              <w:right w:val="single" w:sz="4" w:space="0" w:color="000000"/>
            </w:tcBorders>
          </w:tcPr>
          <w:p w:rsidR="003C28AD" w:rsidRPr="00796B31" w:rsidRDefault="003C28AD" w:rsidP="00695930">
            <w:pPr>
              <w:pStyle w:val="Heading3"/>
              <w:numPr>
                <w:ilvl w:val="0"/>
                <w:numId w:val="0"/>
              </w:numPr>
              <w:rPr>
                <w:rFonts w:ascii="Arial" w:hAnsi="Arial"/>
                <w:b/>
                <w:sz w:val="20"/>
                <w:lang w:val="en-GB"/>
              </w:rPr>
            </w:pPr>
          </w:p>
        </w:tc>
        <w:tc>
          <w:tcPr>
            <w:tcW w:w="3952" w:type="dxa"/>
            <w:tcBorders>
              <w:top w:val="single" w:sz="4" w:space="0" w:color="000000"/>
              <w:left w:val="single" w:sz="4" w:space="0" w:color="000000"/>
              <w:bottom w:val="single" w:sz="4" w:space="0" w:color="000000"/>
              <w:right w:val="single" w:sz="4" w:space="0" w:color="000000"/>
            </w:tcBorders>
          </w:tcPr>
          <w:p w:rsidR="003C28AD" w:rsidRPr="00796B31" w:rsidRDefault="003C28AD">
            <w:pPr>
              <w:pStyle w:val="Heading3"/>
              <w:numPr>
                <w:ilvl w:val="0"/>
                <w:numId w:val="0"/>
              </w:numPr>
              <w:rPr>
                <w:rFonts w:ascii="Arial" w:hAnsi="Arial"/>
                <w:b/>
                <w:sz w:val="20"/>
                <w:lang w:val="en-GB"/>
              </w:rPr>
            </w:pPr>
          </w:p>
        </w:tc>
        <w:tc>
          <w:tcPr>
            <w:tcW w:w="3952" w:type="dxa"/>
            <w:tcBorders>
              <w:top w:val="single" w:sz="4" w:space="0" w:color="000000"/>
              <w:left w:val="single" w:sz="4" w:space="0" w:color="000000"/>
              <w:bottom w:val="single" w:sz="4" w:space="0" w:color="000000"/>
              <w:right w:val="single" w:sz="4" w:space="0" w:color="000000"/>
            </w:tcBorders>
          </w:tcPr>
          <w:p w:rsidR="003C28AD" w:rsidRPr="00796B31" w:rsidRDefault="003C28AD">
            <w:pPr>
              <w:pStyle w:val="Heading3"/>
              <w:numPr>
                <w:ilvl w:val="0"/>
                <w:numId w:val="0"/>
              </w:numPr>
              <w:rPr>
                <w:rFonts w:ascii="Arial" w:hAnsi="Arial"/>
                <w:b/>
                <w:sz w:val="20"/>
                <w:lang w:val="en-GB"/>
              </w:rPr>
            </w:pPr>
          </w:p>
        </w:tc>
      </w:tr>
      <w:tr w:rsidR="003C28AD" w:rsidTr="001166EB">
        <w:tc>
          <w:tcPr>
            <w:tcW w:w="817" w:type="dxa"/>
            <w:tcBorders>
              <w:top w:val="single" w:sz="4" w:space="0" w:color="000000"/>
              <w:left w:val="single" w:sz="4" w:space="0" w:color="000000"/>
              <w:bottom w:val="single" w:sz="4" w:space="0" w:color="000000"/>
              <w:right w:val="single" w:sz="4" w:space="0" w:color="000000"/>
            </w:tcBorders>
          </w:tcPr>
          <w:p w:rsidR="003C28AD" w:rsidRPr="00796B31" w:rsidRDefault="003C28AD" w:rsidP="00695930">
            <w:pPr>
              <w:pStyle w:val="Heading3"/>
              <w:numPr>
                <w:ilvl w:val="0"/>
                <w:numId w:val="0"/>
              </w:numPr>
              <w:rPr>
                <w:rFonts w:ascii="Arial" w:hAnsi="Arial"/>
                <w:b/>
                <w:sz w:val="20"/>
                <w:lang w:val="en-GB"/>
              </w:rPr>
            </w:pPr>
          </w:p>
        </w:tc>
        <w:tc>
          <w:tcPr>
            <w:tcW w:w="3952" w:type="dxa"/>
            <w:tcBorders>
              <w:top w:val="single" w:sz="4" w:space="0" w:color="000000"/>
              <w:left w:val="single" w:sz="4" w:space="0" w:color="000000"/>
              <w:bottom w:val="single" w:sz="4" w:space="0" w:color="000000"/>
              <w:right w:val="single" w:sz="4" w:space="0" w:color="000000"/>
            </w:tcBorders>
          </w:tcPr>
          <w:p w:rsidR="003C28AD" w:rsidRPr="00796B31" w:rsidRDefault="003C28AD">
            <w:pPr>
              <w:pStyle w:val="Heading3"/>
              <w:numPr>
                <w:ilvl w:val="0"/>
                <w:numId w:val="0"/>
              </w:numPr>
              <w:rPr>
                <w:rFonts w:ascii="Arial" w:hAnsi="Arial"/>
                <w:b/>
                <w:sz w:val="20"/>
                <w:lang w:val="en-GB"/>
              </w:rPr>
            </w:pPr>
          </w:p>
        </w:tc>
        <w:tc>
          <w:tcPr>
            <w:tcW w:w="3952" w:type="dxa"/>
            <w:tcBorders>
              <w:top w:val="single" w:sz="4" w:space="0" w:color="000000"/>
              <w:left w:val="single" w:sz="4" w:space="0" w:color="000000"/>
              <w:bottom w:val="single" w:sz="4" w:space="0" w:color="000000"/>
              <w:right w:val="single" w:sz="4" w:space="0" w:color="000000"/>
            </w:tcBorders>
          </w:tcPr>
          <w:p w:rsidR="003C28AD" w:rsidRPr="00796B31" w:rsidRDefault="003C28AD">
            <w:pPr>
              <w:pStyle w:val="Heading3"/>
              <w:numPr>
                <w:ilvl w:val="0"/>
                <w:numId w:val="0"/>
              </w:numPr>
              <w:rPr>
                <w:rFonts w:ascii="Arial" w:hAnsi="Arial"/>
                <w:b/>
                <w:sz w:val="20"/>
                <w:lang w:val="en-GB"/>
              </w:rPr>
            </w:pPr>
          </w:p>
        </w:tc>
      </w:tr>
      <w:tr w:rsidR="003C28AD" w:rsidTr="001166EB">
        <w:tc>
          <w:tcPr>
            <w:tcW w:w="817" w:type="dxa"/>
            <w:tcBorders>
              <w:top w:val="single" w:sz="4" w:space="0" w:color="000000"/>
              <w:left w:val="single" w:sz="4" w:space="0" w:color="000000"/>
              <w:bottom w:val="single" w:sz="4" w:space="0" w:color="000000"/>
              <w:right w:val="single" w:sz="4" w:space="0" w:color="000000"/>
            </w:tcBorders>
          </w:tcPr>
          <w:p w:rsidR="003C28AD" w:rsidRPr="00796B31" w:rsidRDefault="003C28AD" w:rsidP="00695930">
            <w:pPr>
              <w:pStyle w:val="Heading3"/>
              <w:numPr>
                <w:ilvl w:val="0"/>
                <w:numId w:val="0"/>
              </w:numPr>
              <w:rPr>
                <w:rFonts w:ascii="Arial" w:hAnsi="Arial"/>
                <w:b/>
                <w:sz w:val="20"/>
                <w:lang w:val="en-GB"/>
              </w:rPr>
            </w:pPr>
          </w:p>
        </w:tc>
        <w:tc>
          <w:tcPr>
            <w:tcW w:w="3952" w:type="dxa"/>
            <w:tcBorders>
              <w:top w:val="single" w:sz="4" w:space="0" w:color="000000"/>
              <w:left w:val="single" w:sz="4" w:space="0" w:color="000000"/>
              <w:bottom w:val="single" w:sz="4" w:space="0" w:color="000000"/>
              <w:right w:val="single" w:sz="4" w:space="0" w:color="000000"/>
            </w:tcBorders>
          </w:tcPr>
          <w:p w:rsidR="003C28AD" w:rsidRPr="00796B31" w:rsidRDefault="003C28AD">
            <w:pPr>
              <w:pStyle w:val="Heading3"/>
              <w:numPr>
                <w:ilvl w:val="0"/>
                <w:numId w:val="0"/>
              </w:numPr>
              <w:rPr>
                <w:rFonts w:ascii="Arial" w:hAnsi="Arial"/>
                <w:b/>
                <w:sz w:val="20"/>
                <w:lang w:val="en-GB"/>
              </w:rPr>
            </w:pPr>
          </w:p>
        </w:tc>
        <w:tc>
          <w:tcPr>
            <w:tcW w:w="3952" w:type="dxa"/>
            <w:tcBorders>
              <w:top w:val="single" w:sz="4" w:space="0" w:color="000000"/>
              <w:left w:val="single" w:sz="4" w:space="0" w:color="000000"/>
              <w:bottom w:val="single" w:sz="4" w:space="0" w:color="000000"/>
              <w:right w:val="single" w:sz="4" w:space="0" w:color="000000"/>
            </w:tcBorders>
          </w:tcPr>
          <w:p w:rsidR="003C28AD" w:rsidRPr="00796B31" w:rsidRDefault="003C28AD">
            <w:pPr>
              <w:pStyle w:val="Heading3"/>
              <w:numPr>
                <w:ilvl w:val="0"/>
                <w:numId w:val="0"/>
              </w:numPr>
              <w:rPr>
                <w:rFonts w:ascii="Arial" w:hAnsi="Arial"/>
                <w:b/>
                <w:sz w:val="20"/>
                <w:lang w:val="en-GB"/>
              </w:rPr>
            </w:pPr>
          </w:p>
        </w:tc>
      </w:tr>
      <w:tr w:rsidR="003C28AD" w:rsidTr="001166EB">
        <w:tc>
          <w:tcPr>
            <w:tcW w:w="817" w:type="dxa"/>
            <w:tcBorders>
              <w:top w:val="single" w:sz="4" w:space="0" w:color="000000"/>
              <w:left w:val="single" w:sz="4" w:space="0" w:color="000000"/>
              <w:bottom w:val="single" w:sz="4" w:space="0" w:color="000000"/>
              <w:right w:val="single" w:sz="4" w:space="0" w:color="000000"/>
            </w:tcBorders>
          </w:tcPr>
          <w:p w:rsidR="003C28AD" w:rsidRPr="00796B31" w:rsidRDefault="003C28AD" w:rsidP="00695930">
            <w:pPr>
              <w:pStyle w:val="Heading3"/>
              <w:numPr>
                <w:ilvl w:val="0"/>
                <w:numId w:val="0"/>
              </w:numPr>
              <w:rPr>
                <w:rFonts w:ascii="Arial" w:hAnsi="Arial"/>
                <w:b/>
                <w:sz w:val="20"/>
                <w:lang w:val="en-GB"/>
              </w:rPr>
            </w:pPr>
          </w:p>
        </w:tc>
        <w:tc>
          <w:tcPr>
            <w:tcW w:w="3952" w:type="dxa"/>
            <w:tcBorders>
              <w:top w:val="single" w:sz="4" w:space="0" w:color="000000"/>
              <w:left w:val="single" w:sz="4" w:space="0" w:color="000000"/>
              <w:bottom w:val="single" w:sz="4" w:space="0" w:color="000000"/>
              <w:right w:val="single" w:sz="4" w:space="0" w:color="000000"/>
            </w:tcBorders>
          </w:tcPr>
          <w:p w:rsidR="003C28AD" w:rsidRPr="00796B31" w:rsidRDefault="003C28AD">
            <w:pPr>
              <w:pStyle w:val="Heading3"/>
              <w:numPr>
                <w:ilvl w:val="0"/>
                <w:numId w:val="0"/>
              </w:numPr>
              <w:rPr>
                <w:rFonts w:ascii="Arial" w:hAnsi="Arial"/>
                <w:b/>
                <w:sz w:val="20"/>
                <w:lang w:val="en-GB"/>
              </w:rPr>
            </w:pPr>
          </w:p>
        </w:tc>
        <w:tc>
          <w:tcPr>
            <w:tcW w:w="3952" w:type="dxa"/>
            <w:tcBorders>
              <w:top w:val="single" w:sz="4" w:space="0" w:color="000000"/>
              <w:left w:val="single" w:sz="4" w:space="0" w:color="000000"/>
              <w:bottom w:val="single" w:sz="4" w:space="0" w:color="000000"/>
              <w:right w:val="single" w:sz="4" w:space="0" w:color="000000"/>
            </w:tcBorders>
          </w:tcPr>
          <w:p w:rsidR="003C28AD" w:rsidRPr="00796B31" w:rsidRDefault="003C28AD">
            <w:pPr>
              <w:pStyle w:val="Heading3"/>
              <w:numPr>
                <w:ilvl w:val="0"/>
                <w:numId w:val="0"/>
              </w:numPr>
              <w:rPr>
                <w:rFonts w:ascii="Arial" w:hAnsi="Arial"/>
                <w:b/>
                <w:sz w:val="20"/>
                <w:lang w:val="en-GB"/>
              </w:rPr>
            </w:pPr>
          </w:p>
        </w:tc>
      </w:tr>
    </w:tbl>
    <w:p w:rsidR="003C28AD" w:rsidRPr="00956342" w:rsidRDefault="003C28AD" w:rsidP="00956342">
      <w:pPr>
        <w:pStyle w:val="Heading3"/>
        <w:numPr>
          <w:ilvl w:val="0"/>
          <w:numId w:val="0"/>
        </w:numPr>
        <w:rPr>
          <w:b/>
          <w:sz w:val="20"/>
          <w:lang w:val="en-GB"/>
        </w:rPr>
      </w:pPr>
    </w:p>
    <w:p w:rsidR="003C28AD" w:rsidRDefault="003C28AD" w:rsidP="00605F4D">
      <w:pPr>
        <w:pStyle w:val="Heading3"/>
        <w:numPr>
          <w:ilvl w:val="0"/>
          <w:numId w:val="0"/>
        </w:numPr>
        <w:rPr>
          <w:rFonts w:ascii="Arial" w:hAnsi="Arial" w:cs="Arial"/>
          <w:b/>
          <w:sz w:val="20"/>
          <w:szCs w:val="20"/>
        </w:rPr>
      </w:pPr>
      <w:r w:rsidRPr="00796B31">
        <w:rPr>
          <w:rFonts w:ascii="Arial" w:hAnsi="Arial"/>
          <w:b/>
          <w:sz w:val="20"/>
          <w:lang w:val="en-GB"/>
        </w:rPr>
        <w:t>[</w:t>
      </w:r>
      <w:r w:rsidR="00167AC3">
        <w:rPr>
          <w:rFonts w:ascii="Arial" w:hAnsi="Arial"/>
          <w:b/>
          <w:sz w:val="20"/>
          <w:lang w:val="en-GB"/>
        </w:rPr>
        <w:t>Bidder</w:t>
      </w:r>
      <w:r w:rsidRPr="00796B31">
        <w:rPr>
          <w:rFonts w:ascii="Arial" w:hAnsi="Arial"/>
          <w:b/>
          <w:sz w:val="20"/>
          <w:lang w:val="en-GB"/>
        </w:rPr>
        <w:t xml:space="preserve"> Note: The Milestone Payments included in this Appendix must be consistent with the </w:t>
      </w:r>
      <w:r w:rsidR="00605F4D">
        <w:rPr>
          <w:rFonts w:ascii="Arial" w:hAnsi="Arial"/>
          <w:b/>
          <w:sz w:val="20"/>
          <w:lang w:val="en-GB"/>
        </w:rPr>
        <w:t>funding parameters as specified in the ITT.</w:t>
      </w:r>
      <w:r>
        <w:rPr>
          <w:rFonts w:ascii="Arial" w:hAnsi="Arial" w:cs="Arial"/>
          <w:b/>
          <w:sz w:val="20"/>
          <w:szCs w:val="20"/>
        </w:rPr>
        <w:t>]</w:t>
      </w:r>
    </w:p>
    <w:p w:rsidR="0028710B" w:rsidRPr="00064EC3" w:rsidRDefault="00C708DD" w:rsidP="00C71CF6">
      <w:pPr>
        <w:pStyle w:val="Body"/>
        <w:jc w:val="center"/>
        <w:rPr>
          <w:b/>
        </w:rPr>
      </w:pPr>
      <w:r w:rsidRPr="00127152">
        <w:rPr>
          <w:b/>
        </w:rPr>
        <w:br w:type="page"/>
      </w:r>
      <w:r w:rsidR="00025FC3">
        <w:rPr>
          <w:b/>
        </w:rPr>
        <w:lastRenderedPageBreak/>
        <w:fldChar w:fldCharType="begin"/>
      </w:r>
      <w:r w:rsidR="00025FC3" w:rsidRPr="00025FC3">
        <w:instrText xml:space="preserve">  TC "</w:instrText>
      </w:r>
      <w:bookmarkStart w:id="79" w:name="_Toc463354116"/>
      <w:r w:rsidR="00025FC3">
        <w:instrText>APPENDIX 2 – QUALIFYING CAPITAL EXPENDITURE CATEGORIES</w:instrText>
      </w:r>
      <w:bookmarkEnd w:id="79"/>
      <w:r w:rsidR="00025FC3" w:rsidRPr="00025FC3">
        <w:instrText xml:space="preserve">" \l1 </w:instrText>
      </w:r>
      <w:r w:rsidR="00025FC3">
        <w:rPr>
          <w:b/>
        </w:rPr>
        <w:fldChar w:fldCharType="end"/>
      </w:r>
      <w:r w:rsidR="00D72182" w:rsidRPr="00127152">
        <w:rPr>
          <w:b/>
        </w:rPr>
        <w:t xml:space="preserve">APPENDIX </w:t>
      </w:r>
      <w:r w:rsidR="00B42F8A" w:rsidRPr="00127152">
        <w:rPr>
          <w:b/>
        </w:rPr>
        <w:t>2</w:t>
      </w:r>
      <w:r w:rsidR="007A7B64" w:rsidRPr="00796B31">
        <w:rPr>
          <w:b/>
          <w:lang w:val="en-GB"/>
        </w:rPr>
        <w:t xml:space="preserve"> – </w:t>
      </w:r>
      <w:r w:rsidR="00D61E1D">
        <w:rPr>
          <w:b/>
          <w:lang w:val="en-GB"/>
        </w:rPr>
        <w:t>QUALIFYING</w:t>
      </w:r>
      <w:r w:rsidR="00D61E1D" w:rsidRPr="00127152">
        <w:rPr>
          <w:b/>
        </w:rPr>
        <w:t xml:space="preserve"> </w:t>
      </w:r>
      <w:r w:rsidR="00BB444A">
        <w:rPr>
          <w:b/>
          <w:lang w:val="en-GB"/>
        </w:rPr>
        <w:t>CAPITAL</w:t>
      </w:r>
      <w:r w:rsidR="00BB444A" w:rsidRPr="00796B31">
        <w:rPr>
          <w:b/>
          <w:lang w:val="en-GB"/>
        </w:rPr>
        <w:t xml:space="preserve"> </w:t>
      </w:r>
      <w:r w:rsidR="00BB67B3" w:rsidRPr="00127152">
        <w:rPr>
          <w:b/>
        </w:rPr>
        <w:t>EXPENDITURE</w:t>
      </w:r>
      <w:r w:rsidR="00811D63" w:rsidRPr="00796B31">
        <w:rPr>
          <w:b/>
          <w:lang w:val="en-GB"/>
        </w:rPr>
        <w:t xml:space="preserve"> CATEGORIES</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956342" w:rsidRPr="00127152" w:rsidTr="00CB00F5">
        <w:trPr>
          <w:tblHeader/>
        </w:trPr>
        <w:tc>
          <w:tcPr>
            <w:tcW w:w="8505" w:type="dxa"/>
            <w:shd w:val="pct12" w:color="auto" w:fill="auto"/>
          </w:tcPr>
          <w:p w:rsidR="00956342" w:rsidRPr="00796B31" w:rsidRDefault="00956342" w:rsidP="00796B31">
            <w:pPr>
              <w:pStyle w:val="Body"/>
              <w:spacing w:before="120" w:after="120"/>
              <w:jc w:val="center"/>
              <w:rPr>
                <w:b/>
                <w:lang w:val="en-GB"/>
              </w:rPr>
            </w:pPr>
            <w:r w:rsidRPr="004D2D04">
              <w:rPr>
                <w:b/>
                <w:lang w:val="en-GB"/>
              </w:rPr>
              <w:t>Qualifying</w:t>
            </w:r>
            <w:r w:rsidRPr="00127152">
              <w:rPr>
                <w:b/>
              </w:rPr>
              <w:t xml:space="preserve"> </w:t>
            </w:r>
            <w:r w:rsidRPr="009D64B8">
              <w:rPr>
                <w:b/>
                <w:lang w:val="en-GB"/>
              </w:rPr>
              <w:t xml:space="preserve">Capital </w:t>
            </w:r>
            <w:r w:rsidRPr="00127152">
              <w:rPr>
                <w:b/>
              </w:rPr>
              <w:t>Expenditure</w:t>
            </w:r>
          </w:p>
        </w:tc>
      </w:tr>
      <w:tr w:rsidR="00956342" w:rsidRPr="00127152" w:rsidTr="00CE45DC">
        <w:tc>
          <w:tcPr>
            <w:tcW w:w="8505" w:type="dxa"/>
          </w:tcPr>
          <w:p w:rsidR="00956342" w:rsidRPr="00796B31" w:rsidRDefault="00956342" w:rsidP="00796B31">
            <w:pPr>
              <w:pStyle w:val="Body"/>
              <w:rPr>
                <w:lang w:val="en-GB"/>
              </w:rPr>
            </w:pPr>
            <w:r w:rsidRPr="009D4F85">
              <w:rPr>
                <w:b/>
                <w:lang w:val="en-GB"/>
              </w:rPr>
              <w:t>Qualifying</w:t>
            </w:r>
            <w:r w:rsidRPr="009D4F85">
              <w:rPr>
                <w:b/>
              </w:rPr>
              <w:t xml:space="preserve"> </w:t>
            </w:r>
            <w:r w:rsidRPr="009D4F85">
              <w:rPr>
                <w:b/>
                <w:lang w:val="en-GB"/>
              </w:rPr>
              <w:t>Capital</w:t>
            </w:r>
            <w:r w:rsidRPr="00796B31">
              <w:rPr>
                <w:b/>
                <w:lang w:val="en-GB"/>
              </w:rPr>
              <w:t xml:space="preserve"> </w:t>
            </w:r>
            <w:r w:rsidRPr="00796B31">
              <w:rPr>
                <w:b/>
              </w:rPr>
              <w:t>Expenditure</w:t>
            </w:r>
            <w:r w:rsidRPr="00127152">
              <w:t xml:space="preserve"> is that </w:t>
            </w:r>
            <w:r w:rsidRPr="0027066E">
              <w:rPr>
                <w:lang w:val="en-GB"/>
              </w:rPr>
              <w:t xml:space="preserve">capital </w:t>
            </w:r>
            <w:r w:rsidRPr="00127152">
              <w:t xml:space="preserve">expenditure </w:t>
            </w:r>
            <w:r w:rsidRPr="001B038A">
              <w:rPr>
                <w:lang w:val="en-GB"/>
              </w:rPr>
              <w:t xml:space="preserve">actually </w:t>
            </w:r>
            <w:r w:rsidRPr="00127152">
              <w:t>incurred by the Supplier</w:t>
            </w:r>
            <w:r w:rsidRPr="00796B31">
              <w:rPr>
                <w:lang w:val="en-GB"/>
              </w:rPr>
              <w:t xml:space="preserve"> </w:t>
            </w:r>
            <w:r w:rsidRPr="00127152">
              <w:t xml:space="preserve">which </w:t>
            </w:r>
            <w:r w:rsidRPr="009D4F85">
              <w:rPr>
                <w:lang w:val="en-GB"/>
              </w:rPr>
              <w:t>can</w:t>
            </w:r>
            <w:r w:rsidRPr="00796B31">
              <w:rPr>
                <w:lang w:val="en-GB"/>
              </w:rPr>
              <w:t xml:space="preserve"> </w:t>
            </w:r>
            <w:r w:rsidRPr="00127152">
              <w:t xml:space="preserve">attract capital public subsidy </w:t>
            </w:r>
            <w:r w:rsidRPr="009D4F85">
              <w:rPr>
                <w:lang w:val="en-GB"/>
              </w:rPr>
              <w:t>under</w:t>
            </w:r>
            <w:r>
              <w:t xml:space="preserve"> this Contract.</w:t>
            </w:r>
          </w:p>
          <w:p w:rsidR="00956342" w:rsidRPr="009D4F85" w:rsidRDefault="00956342" w:rsidP="00BD7780">
            <w:pPr>
              <w:pStyle w:val="Body"/>
            </w:pPr>
            <w:r w:rsidRPr="009D4F85">
              <w:rPr>
                <w:b/>
                <w:lang w:val="en-GB"/>
              </w:rPr>
              <w:t>Qualifying Capital</w:t>
            </w:r>
            <w:r w:rsidRPr="009D4F85">
              <w:rPr>
                <w:b/>
              </w:rPr>
              <w:t xml:space="preserve"> Expenditure</w:t>
            </w:r>
            <w:r w:rsidRPr="00796B31">
              <w:t xml:space="preserve"> is that Supplier expenditure which (i) can be reasonably allocated or apportioned to this Contract;</w:t>
            </w:r>
            <w:r w:rsidRPr="00796B31">
              <w:rPr>
                <w:lang w:val="en-GB"/>
              </w:rPr>
              <w:t xml:space="preserve"> (ii) </w:t>
            </w:r>
            <w:r w:rsidR="001E282E">
              <w:rPr>
                <w:lang w:val="en-GB"/>
              </w:rPr>
              <w:t xml:space="preserve">is </w:t>
            </w:r>
            <w:r w:rsidRPr="009D4F85">
              <w:rPr>
                <w:lang w:val="en-GB"/>
              </w:rPr>
              <w:t>incremental to the Supplier’s cost base</w:t>
            </w:r>
            <w:r w:rsidR="007A095C">
              <w:rPr>
                <w:lang w:val="en-GB"/>
              </w:rPr>
              <w:t xml:space="preserve"> that would otherwise </w:t>
            </w:r>
            <w:r w:rsidR="006310D5">
              <w:rPr>
                <w:lang w:val="en-GB"/>
              </w:rPr>
              <w:t>have been incurred</w:t>
            </w:r>
            <w:r w:rsidRPr="009D4F85">
              <w:rPr>
                <w:lang w:val="en-GB"/>
              </w:rPr>
              <w:t>;</w:t>
            </w:r>
            <w:r w:rsidRPr="009D4F85">
              <w:t xml:space="preserve"> (ii</w:t>
            </w:r>
            <w:r w:rsidRPr="009D4F85">
              <w:rPr>
                <w:lang w:val="en-GB"/>
              </w:rPr>
              <w:t>i</w:t>
            </w:r>
            <w:r w:rsidRPr="009D4F85">
              <w:t xml:space="preserve">) </w:t>
            </w:r>
            <w:r w:rsidRPr="00796B31">
              <w:t xml:space="preserve">is incurred in accordance with this Contract; (iii) is directly attributable to bringing the wholesale </w:t>
            </w:r>
            <w:r w:rsidRPr="00796B31">
              <w:rPr>
                <w:lang w:val="en-GB"/>
              </w:rPr>
              <w:t>access</w:t>
            </w:r>
            <w:r w:rsidRPr="00796B31">
              <w:t xml:space="preserve"> infrastructure to the location and working condition necessary for its intended use</w:t>
            </w:r>
            <w:r w:rsidRPr="009D4F85">
              <w:rPr>
                <w:lang w:val="en-GB"/>
              </w:rPr>
              <w:t xml:space="preserve"> but excluding those costs directly attributable to connecting End User Premises to the Network</w:t>
            </w:r>
            <w:r w:rsidRPr="00796B31">
              <w:t xml:space="preserve">; </w:t>
            </w:r>
            <w:r w:rsidR="00BD7780">
              <w:rPr>
                <w:lang w:val="en-GB"/>
              </w:rPr>
              <w:t xml:space="preserve">and </w:t>
            </w:r>
            <w:r w:rsidRPr="00796B31">
              <w:t xml:space="preserve">(iv) is capable of being capitalised under </w:t>
            </w:r>
            <w:r w:rsidRPr="00064EC3">
              <w:t>G</w:t>
            </w:r>
            <w:r>
              <w:t xml:space="preserve">enerally </w:t>
            </w:r>
            <w:r w:rsidRPr="00064EC3">
              <w:t>A</w:t>
            </w:r>
            <w:r>
              <w:t xml:space="preserve">ccepted Accountancy </w:t>
            </w:r>
            <w:r w:rsidRPr="00064EC3">
              <w:t>Principles</w:t>
            </w:r>
            <w:r>
              <w:rPr>
                <w:lang w:val="en-GB"/>
              </w:rPr>
              <w:t>.</w:t>
            </w:r>
          </w:p>
          <w:p w:rsidR="00956342" w:rsidRPr="00127152" w:rsidRDefault="00956342" w:rsidP="009D4F85">
            <w:pPr>
              <w:pStyle w:val="Body"/>
            </w:pPr>
            <w:r w:rsidRPr="003617E4">
              <w:rPr>
                <w:lang w:val="en-GB"/>
              </w:rPr>
              <w:t>T</w:t>
            </w:r>
            <w:r w:rsidRPr="00127152">
              <w:t xml:space="preserve">he following </w:t>
            </w:r>
            <w:r w:rsidRPr="003617E4">
              <w:rPr>
                <w:lang w:val="en-GB"/>
              </w:rPr>
              <w:t xml:space="preserve">examples for this </w:t>
            </w:r>
            <w:r>
              <w:rPr>
                <w:lang w:val="en-GB"/>
              </w:rPr>
              <w:t xml:space="preserve">expenditure </w:t>
            </w:r>
            <w:r w:rsidRPr="003617E4">
              <w:rPr>
                <w:lang w:val="en-GB"/>
              </w:rPr>
              <w:t>category are</w:t>
            </w:r>
            <w:r>
              <w:rPr>
                <w:lang w:val="en-GB"/>
              </w:rPr>
              <w:t xml:space="preserve"> </w:t>
            </w:r>
            <w:r w:rsidRPr="003617E4">
              <w:rPr>
                <w:lang w:val="en-GB"/>
              </w:rPr>
              <w:t>provided</w:t>
            </w:r>
            <w:r w:rsidRPr="00127152">
              <w:t>:</w:t>
            </w:r>
          </w:p>
          <w:p w:rsidR="00956342" w:rsidRPr="00127152" w:rsidRDefault="00956342" w:rsidP="00956342">
            <w:pPr>
              <w:pStyle w:val="Body"/>
              <w:numPr>
                <w:ilvl w:val="0"/>
                <w:numId w:val="15"/>
              </w:numPr>
            </w:pPr>
            <w:r w:rsidRPr="00127152">
              <w:t xml:space="preserve">The cost of tangible broadband infrastructure (plant, machinery and equipment) in both active and passive layers) </w:t>
            </w:r>
          </w:p>
          <w:p w:rsidR="00956342" w:rsidRPr="00127152" w:rsidRDefault="00956342" w:rsidP="00956342">
            <w:pPr>
              <w:pStyle w:val="Body"/>
              <w:numPr>
                <w:ilvl w:val="0"/>
                <w:numId w:val="15"/>
              </w:numPr>
            </w:pPr>
            <w:r w:rsidRPr="00127152">
              <w:t xml:space="preserve">Infrastructure installation and assembly costs  </w:t>
            </w:r>
          </w:p>
          <w:p w:rsidR="00956342" w:rsidRPr="003B0C6B" w:rsidRDefault="00956342" w:rsidP="00956342">
            <w:pPr>
              <w:pStyle w:val="Body"/>
              <w:numPr>
                <w:ilvl w:val="0"/>
                <w:numId w:val="15"/>
              </w:numPr>
            </w:pPr>
            <w:r w:rsidRPr="00127152">
              <w:t>Cost of active electronics, data transport and backhaul equipment</w:t>
            </w:r>
          </w:p>
          <w:p w:rsidR="00144839" w:rsidRPr="00127152" w:rsidRDefault="00144839" w:rsidP="00144839">
            <w:pPr>
              <w:pStyle w:val="Body"/>
              <w:numPr>
                <w:ilvl w:val="0"/>
                <w:numId w:val="15"/>
              </w:numPr>
            </w:pPr>
            <w:r w:rsidRPr="003B0C6B">
              <w:rPr>
                <w:lang w:val="en-GB"/>
              </w:rPr>
              <w:t>Cost of v</w:t>
            </w:r>
            <w:r w:rsidRPr="00144839">
              <w:t>ectoring technologies</w:t>
            </w:r>
            <w:r w:rsidRPr="003B0C6B">
              <w:rPr>
                <w:lang w:val="en-GB"/>
              </w:rPr>
              <w:t>,</w:t>
            </w:r>
            <w:r w:rsidRPr="00144839">
              <w:t xml:space="preserve"> where such technologies are integral to a significant improvement in </w:t>
            </w:r>
            <w:r w:rsidR="00A96628" w:rsidRPr="003B0C6B">
              <w:rPr>
                <w:lang w:val="en-GB"/>
              </w:rPr>
              <w:t xml:space="preserve">the available </w:t>
            </w:r>
            <w:r w:rsidR="00D17E00">
              <w:rPr>
                <w:lang w:val="en-GB"/>
              </w:rPr>
              <w:t>network</w:t>
            </w:r>
          </w:p>
          <w:p w:rsidR="00956342" w:rsidRPr="00796B31" w:rsidRDefault="00956342" w:rsidP="00D746B2">
            <w:pPr>
              <w:pStyle w:val="Body"/>
              <w:numPr>
                <w:ilvl w:val="0"/>
                <w:numId w:val="15"/>
              </w:numPr>
              <w:rPr>
                <w:lang w:val="en-GB"/>
              </w:rPr>
            </w:pPr>
            <w:r>
              <w:rPr>
                <w:lang w:val="en-GB"/>
              </w:rPr>
              <w:t xml:space="preserve">Specific </w:t>
            </w:r>
            <w:r w:rsidRPr="00064EC3">
              <w:rPr>
                <w:lang w:val="en-GB"/>
              </w:rPr>
              <w:t>s</w:t>
            </w:r>
            <w:r w:rsidRPr="00127152">
              <w:t>oftware and systems</w:t>
            </w:r>
            <w:r w:rsidRPr="00064EC3">
              <w:t xml:space="preserve"> </w:t>
            </w:r>
            <w:r w:rsidRPr="00796B31">
              <w:rPr>
                <w:lang w:val="en-GB"/>
              </w:rPr>
              <w:t xml:space="preserve">(including reporting systems) </w:t>
            </w:r>
            <w:r w:rsidRPr="00127152">
              <w:t>development costs directly attributable to bringing the broadband infrastructure into use</w:t>
            </w:r>
            <w:r>
              <w:rPr>
                <w:lang w:val="en-GB"/>
              </w:rPr>
              <w:t xml:space="preserve"> for this Contract</w:t>
            </w:r>
          </w:p>
          <w:p w:rsidR="00956342" w:rsidRPr="00127152" w:rsidRDefault="00956342" w:rsidP="00956342">
            <w:pPr>
              <w:pStyle w:val="Body"/>
              <w:numPr>
                <w:ilvl w:val="0"/>
                <w:numId w:val="15"/>
              </w:numPr>
            </w:pPr>
            <w:r w:rsidRPr="00127152">
              <w:t>Staff costs directly attributable to bringing the broadband infrastructure into use</w:t>
            </w:r>
          </w:p>
          <w:p w:rsidR="00956342" w:rsidRPr="00127152" w:rsidRDefault="00956342" w:rsidP="00956342">
            <w:pPr>
              <w:pStyle w:val="Body"/>
              <w:numPr>
                <w:ilvl w:val="0"/>
                <w:numId w:val="15"/>
              </w:numPr>
            </w:pPr>
            <w:r w:rsidRPr="00127152">
              <w:t>Planning, way-leaves, site investigation and site preparation costs directly attributable to bringing the broadband infrastructure into use (expenditure that will attract subsidy under Milestone 0)</w:t>
            </w:r>
          </w:p>
          <w:p w:rsidR="00956342" w:rsidRPr="00127152" w:rsidRDefault="00956342" w:rsidP="00956342">
            <w:pPr>
              <w:pStyle w:val="Body"/>
              <w:numPr>
                <w:ilvl w:val="0"/>
                <w:numId w:val="15"/>
              </w:numPr>
            </w:pPr>
            <w:r w:rsidRPr="00127152">
              <w:t>Power connection costs</w:t>
            </w:r>
          </w:p>
          <w:p w:rsidR="00144839" w:rsidRPr="00956342" w:rsidRDefault="00956342" w:rsidP="00956342">
            <w:pPr>
              <w:pStyle w:val="Body"/>
              <w:numPr>
                <w:ilvl w:val="0"/>
                <w:numId w:val="15"/>
              </w:numPr>
              <w:rPr>
                <w:lang w:val="en-GB"/>
              </w:rPr>
            </w:pPr>
            <w:r w:rsidRPr="00127152">
              <w:t>Professional fees directly attributable to bringing the broadband infrastructure into use (expenditure that will attract subsidy under Milestone 0)</w:t>
            </w:r>
          </w:p>
        </w:tc>
      </w:tr>
      <w:bookmarkEnd w:id="0"/>
    </w:tbl>
    <w:p w:rsidR="00C34ABB" w:rsidRPr="00025FC3" w:rsidRDefault="00C34ABB" w:rsidP="00025FC3">
      <w:pPr>
        <w:pStyle w:val="Body"/>
        <w:rPr>
          <w:b/>
          <w:sz w:val="22"/>
          <w:lang w:val="en-GB"/>
        </w:rPr>
      </w:pPr>
    </w:p>
    <w:p w:rsidR="00FE27B0" w:rsidRPr="00127152" w:rsidRDefault="00FE27B0" w:rsidP="00FE27B0">
      <w:pPr>
        <w:pStyle w:val="Body"/>
        <w:jc w:val="center"/>
        <w:rPr>
          <w:b/>
          <w:lang w:val="en-GB"/>
        </w:rPr>
      </w:pPr>
      <w:r>
        <w:rPr>
          <w:sz w:val="22"/>
          <w:szCs w:val="24"/>
          <w:lang w:val="en-GB" w:eastAsia="en-US"/>
        </w:rPr>
        <w:br w:type="page"/>
      </w:r>
      <w:r w:rsidR="00025FC3">
        <w:rPr>
          <w:sz w:val="22"/>
          <w:szCs w:val="24"/>
          <w:lang w:val="en-GB" w:eastAsia="en-US"/>
        </w:rPr>
        <w:lastRenderedPageBreak/>
        <w:fldChar w:fldCharType="begin"/>
      </w:r>
      <w:r w:rsidR="00025FC3" w:rsidRPr="00025FC3">
        <w:instrText xml:space="preserve">  TC "</w:instrText>
      </w:r>
      <w:bookmarkStart w:id="80" w:name="_Toc463354117"/>
      <w:r w:rsidR="00025FC3">
        <w:instrText>APPENDIX 3 – QUALIFYING OPERATING EXPENDITURE CATEGORIES</w:instrText>
      </w:r>
      <w:bookmarkEnd w:id="80"/>
      <w:r w:rsidR="00025FC3" w:rsidRPr="00025FC3">
        <w:instrText xml:space="preserve">" \l1 </w:instrText>
      </w:r>
      <w:r w:rsidR="00025FC3">
        <w:rPr>
          <w:sz w:val="22"/>
          <w:szCs w:val="24"/>
          <w:lang w:val="en-GB" w:eastAsia="en-US"/>
        </w:rPr>
        <w:fldChar w:fldCharType="end"/>
      </w:r>
      <w:r w:rsidRPr="00127152">
        <w:rPr>
          <w:b/>
        </w:rPr>
        <w:t xml:space="preserve">APPENDIX </w:t>
      </w:r>
      <w:r w:rsidRPr="00315E5B">
        <w:rPr>
          <w:b/>
          <w:lang w:val="en-GB"/>
        </w:rPr>
        <w:t>3</w:t>
      </w:r>
      <w:r w:rsidRPr="00127152">
        <w:rPr>
          <w:b/>
          <w:lang w:val="en-GB"/>
        </w:rPr>
        <w:t xml:space="preserve"> – </w:t>
      </w:r>
      <w:r>
        <w:rPr>
          <w:b/>
          <w:lang w:val="en-GB"/>
        </w:rPr>
        <w:t>QUALIFYING</w:t>
      </w:r>
      <w:r w:rsidRPr="00127152">
        <w:rPr>
          <w:b/>
        </w:rPr>
        <w:t xml:space="preserve"> </w:t>
      </w:r>
      <w:r w:rsidR="00315E5B">
        <w:rPr>
          <w:b/>
          <w:lang w:val="en-GB"/>
        </w:rPr>
        <w:t>OPERATING</w:t>
      </w:r>
      <w:r>
        <w:rPr>
          <w:b/>
          <w:lang w:val="en-GB"/>
        </w:rPr>
        <w:t xml:space="preserve"> </w:t>
      </w:r>
      <w:r w:rsidRPr="00127152">
        <w:rPr>
          <w:b/>
        </w:rPr>
        <w:t>EXPENDITURE</w:t>
      </w:r>
      <w:r w:rsidRPr="00127152">
        <w:rPr>
          <w:b/>
          <w:lang w:val="en-GB"/>
        </w:rPr>
        <w:t xml:space="preserve"> CATEGORIES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796B31" w:rsidRPr="00127152" w:rsidTr="00C8401D">
        <w:tc>
          <w:tcPr>
            <w:tcW w:w="8613" w:type="dxa"/>
            <w:tcBorders>
              <w:top w:val="single" w:sz="4" w:space="0" w:color="000000"/>
              <w:left w:val="single" w:sz="4" w:space="0" w:color="000000"/>
              <w:bottom w:val="single" w:sz="4" w:space="0" w:color="000000"/>
              <w:right w:val="single" w:sz="4" w:space="0" w:color="000000"/>
            </w:tcBorders>
            <w:shd w:val="pct12" w:color="auto" w:fill="auto"/>
          </w:tcPr>
          <w:p w:rsidR="00796B31" w:rsidRPr="00796B31" w:rsidRDefault="00796B31" w:rsidP="00796B31">
            <w:pPr>
              <w:spacing w:before="120" w:after="120" w:line="276" w:lineRule="auto"/>
              <w:jc w:val="center"/>
              <w:rPr>
                <w:b/>
              </w:rPr>
            </w:pPr>
            <w:r w:rsidRPr="004D2D04">
              <w:rPr>
                <w:b/>
              </w:rPr>
              <w:t>Qualifying</w:t>
            </w:r>
            <w:r w:rsidRPr="00127152">
              <w:rPr>
                <w:b/>
              </w:rPr>
              <w:t xml:space="preserve"> </w:t>
            </w:r>
            <w:r>
              <w:rPr>
                <w:b/>
              </w:rPr>
              <w:t>Operating</w:t>
            </w:r>
            <w:r w:rsidRPr="009D64B8">
              <w:rPr>
                <w:b/>
              </w:rPr>
              <w:t xml:space="preserve"> </w:t>
            </w:r>
            <w:r w:rsidRPr="00127152">
              <w:rPr>
                <w:b/>
              </w:rPr>
              <w:t>Expenditure</w:t>
            </w:r>
          </w:p>
        </w:tc>
      </w:tr>
      <w:tr w:rsidR="00796B31" w:rsidRPr="00127152" w:rsidTr="00C8401D">
        <w:tc>
          <w:tcPr>
            <w:tcW w:w="8613" w:type="dxa"/>
          </w:tcPr>
          <w:p w:rsidR="00796B31" w:rsidRPr="009D4F85" w:rsidRDefault="00796B31" w:rsidP="005606E5">
            <w:pPr>
              <w:pStyle w:val="Body"/>
            </w:pPr>
            <w:r w:rsidRPr="009D4F85">
              <w:rPr>
                <w:b/>
              </w:rPr>
              <w:t>Qualifying Operating Expenditure</w:t>
            </w:r>
            <w:r w:rsidRPr="00127152">
              <w:t xml:space="preserve"> is that </w:t>
            </w:r>
            <w:r w:rsidRPr="009D4F85">
              <w:t xml:space="preserve">operating </w:t>
            </w:r>
            <w:r w:rsidRPr="00127152">
              <w:t>expenditure incurred by the Supplier</w:t>
            </w:r>
            <w:r w:rsidRPr="009D4F85">
              <w:t xml:space="preserve"> </w:t>
            </w:r>
            <w:r w:rsidRPr="00127152">
              <w:t xml:space="preserve">which </w:t>
            </w:r>
            <w:r w:rsidRPr="009D4F85">
              <w:t>may be included when calculating the PIR (forecast expenditure)/OIR (actual)</w:t>
            </w:r>
            <w:r w:rsidRPr="00127152">
              <w:t xml:space="preserve"> </w:t>
            </w:r>
            <w:r w:rsidRPr="009D4F85">
              <w:t>under</w:t>
            </w:r>
            <w:r>
              <w:t xml:space="preserve"> this Contract.</w:t>
            </w:r>
          </w:p>
          <w:p w:rsidR="00796B31" w:rsidRPr="005606E5" w:rsidRDefault="00796B31" w:rsidP="005606E5">
            <w:pPr>
              <w:pStyle w:val="Body"/>
              <w:rPr>
                <w:b/>
                <w:lang w:val="en-GB"/>
              </w:rPr>
            </w:pPr>
            <w:r w:rsidRPr="005606E5">
              <w:rPr>
                <w:b/>
                <w:lang w:val="en-GB"/>
              </w:rPr>
              <w:t>Qualifying  Operating Expenditure</w:t>
            </w:r>
            <w:r w:rsidRPr="005606E5">
              <w:rPr>
                <w:lang w:val="en-GB"/>
              </w:rPr>
              <w:t xml:space="preserve"> is that Supplier expenditure which (i) </w:t>
            </w:r>
            <w:r w:rsidR="006310D5">
              <w:rPr>
                <w:lang w:val="en-GB"/>
              </w:rPr>
              <w:t xml:space="preserve">is </w:t>
            </w:r>
            <w:r w:rsidR="006310D5" w:rsidRPr="009D4F85">
              <w:rPr>
                <w:lang w:val="en-GB"/>
              </w:rPr>
              <w:t>incremental to the Supplier’s cost base</w:t>
            </w:r>
            <w:r w:rsidR="006310D5">
              <w:rPr>
                <w:lang w:val="en-GB"/>
              </w:rPr>
              <w:t xml:space="preserve"> that would otherwise have been incurred</w:t>
            </w:r>
            <w:r w:rsidRPr="005606E5">
              <w:rPr>
                <w:lang w:val="en-GB"/>
              </w:rPr>
              <w:t xml:space="preserve"> </w:t>
            </w:r>
            <w:r w:rsidR="006310D5">
              <w:rPr>
                <w:lang w:val="en-GB"/>
              </w:rPr>
              <w:t>(</w:t>
            </w:r>
            <w:r w:rsidRPr="005606E5">
              <w:rPr>
                <w:lang w:val="en-GB"/>
              </w:rPr>
              <w:t>ii)</w:t>
            </w:r>
            <w:r w:rsidR="006310D5">
              <w:rPr>
                <w:lang w:val="en-GB"/>
              </w:rPr>
              <w:t xml:space="preserve"> </w:t>
            </w:r>
            <w:r w:rsidRPr="005606E5">
              <w:rPr>
                <w:lang w:val="en-GB"/>
              </w:rPr>
              <w:t xml:space="preserve">can be reasonably allocated or apportioned to this Contract; (iii) is incurred in accordance with this Contract; (iv) is directly attributable to bringing the wholesale access infrastructure to the location and working condition necessary for its intended use (excluding customer connection  and Network maintenance related costs); and (iv) is not </w:t>
            </w:r>
            <w:r w:rsidRPr="001D247B">
              <w:rPr>
                <w:lang w:val="en-GB"/>
              </w:rPr>
              <w:t xml:space="preserve">capable of being capitalised under </w:t>
            </w:r>
            <w:r w:rsidR="003D03D7" w:rsidRPr="00064EC3">
              <w:t xml:space="preserve">Generally Accepted </w:t>
            </w:r>
            <w:r w:rsidR="003D03D7" w:rsidRPr="001D247B">
              <w:t>Accountancy Principles</w:t>
            </w:r>
            <w:r w:rsidRPr="001D247B">
              <w:rPr>
                <w:lang w:val="en-GB"/>
              </w:rPr>
              <w:t>.</w:t>
            </w:r>
          </w:p>
          <w:p w:rsidR="00796B31" w:rsidRPr="00127152" w:rsidRDefault="00796B31" w:rsidP="009D4F85">
            <w:pPr>
              <w:pStyle w:val="Body"/>
              <w:spacing w:after="120"/>
              <w:jc w:val="left"/>
            </w:pPr>
            <w:r w:rsidRPr="003617E4">
              <w:rPr>
                <w:lang w:val="en-GB"/>
              </w:rPr>
              <w:t>T</w:t>
            </w:r>
            <w:r w:rsidRPr="00127152">
              <w:t xml:space="preserve">he following </w:t>
            </w:r>
            <w:r w:rsidRPr="003617E4">
              <w:rPr>
                <w:lang w:val="en-GB"/>
              </w:rPr>
              <w:t xml:space="preserve">examples for this </w:t>
            </w:r>
            <w:r>
              <w:rPr>
                <w:lang w:val="en-GB"/>
              </w:rPr>
              <w:t xml:space="preserve">expenditure </w:t>
            </w:r>
            <w:r w:rsidRPr="003617E4">
              <w:rPr>
                <w:lang w:val="en-GB"/>
              </w:rPr>
              <w:t>category are</w:t>
            </w:r>
            <w:r>
              <w:rPr>
                <w:lang w:val="en-GB"/>
              </w:rPr>
              <w:t xml:space="preserve"> </w:t>
            </w:r>
            <w:r w:rsidRPr="003617E4">
              <w:rPr>
                <w:lang w:val="en-GB"/>
              </w:rPr>
              <w:t>provided</w:t>
            </w:r>
            <w:r w:rsidRPr="00127152">
              <w:t>:</w:t>
            </w:r>
          </w:p>
          <w:p w:rsidR="00796B31" w:rsidRDefault="00796B31" w:rsidP="00064EC3">
            <w:pPr>
              <w:numPr>
                <w:ilvl w:val="0"/>
                <w:numId w:val="14"/>
              </w:numPr>
              <w:spacing w:line="336" w:lineRule="auto"/>
              <w:ind w:left="714" w:hanging="357"/>
            </w:pPr>
            <w:r>
              <w:t>HR support solely related to direct NGA network build resource</w:t>
            </w:r>
          </w:p>
          <w:p w:rsidR="00796B31" w:rsidRDefault="00796B31" w:rsidP="00064EC3">
            <w:pPr>
              <w:numPr>
                <w:ilvl w:val="0"/>
                <w:numId w:val="14"/>
              </w:numPr>
              <w:spacing w:before="100" w:beforeAutospacing="1" w:after="100" w:afterAutospacing="1" w:line="336" w:lineRule="auto"/>
              <w:contextualSpacing/>
            </w:pPr>
            <w:r>
              <w:t>Non capitalisable labour costs of the direct  NGA network build resource</w:t>
            </w:r>
          </w:p>
          <w:p w:rsidR="00796B31" w:rsidRDefault="00796B31" w:rsidP="00064EC3">
            <w:pPr>
              <w:numPr>
                <w:ilvl w:val="0"/>
                <w:numId w:val="14"/>
              </w:numPr>
              <w:spacing w:before="100" w:beforeAutospacing="1" w:after="100" w:afterAutospacing="1" w:line="336" w:lineRule="auto"/>
              <w:contextualSpacing/>
            </w:pPr>
            <w:r>
              <w:t>Direct labour costs associated with compiling all reports and claims obligated under the Contract.</w:t>
            </w:r>
          </w:p>
          <w:p w:rsidR="00796B31" w:rsidRDefault="00796B31" w:rsidP="00064EC3">
            <w:pPr>
              <w:numPr>
                <w:ilvl w:val="0"/>
                <w:numId w:val="14"/>
              </w:numPr>
              <w:spacing w:before="100" w:beforeAutospacing="1" w:after="100" w:afterAutospacing="1" w:line="336" w:lineRule="auto"/>
              <w:contextualSpacing/>
            </w:pPr>
            <w:r>
              <w:t>Travel and subsistence for direct NGA network build resource</w:t>
            </w:r>
          </w:p>
          <w:p w:rsidR="00796B31" w:rsidRDefault="00796B31" w:rsidP="00BE2873">
            <w:pPr>
              <w:numPr>
                <w:ilvl w:val="0"/>
                <w:numId w:val="14"/>
              </w:numPr>
              <w:spacing w:before="100" w:beforeAutospacing="1" w:line="336" w:lineRule="auto"/>
              <w:ind w:left="714" w:hanging="357"/>
            </w:pPr>
            <w:r>
              <w:t>Fleet:</w:t>
            </w:r>
          </w:p>
          <w:p w:rsidR="00796B31" w:rsidRDefault="00796B31" w:rsidP="00BE2873">
            <w:pPr>
              <w:numPr>
                <w:ilvl w:val="1"/>
                <w:numId w:val="14"/>
              </w:numPr>
              <w:spacing w:before="100" w:beforeAutospacing="1" w:line="336" w:lineRule="auto"/>
            </w:pPr>
            <w:r>
              <w:t xml:space="preserve">Vehicle lease costs </w:t>
            </w:r>
          </w:p>
          <w:p w:rsidR="00796B31" w:rsidRDefault="00796B31" w:rsidP="00BE2873">
            <w:pPr>
              <w:numPr>
                <w:ilvl w:val="1"/>
                <w:numId w:val="14"/>
              </w:numPr>
              <w:spacing w:before="100" w:beforeAutospacing="1" w:line="336" w:lineRule="auto"/>
            </w:pPr>
            <w:r>
              <w:t>Insurance</w:t>
            </w:r>
          </w:p>
          <w:p w:rsidR="00796B31" w:rsidRDefault="00796B31" w:rsidP="00BE2873">
            <w:pPr>
              <w:numPr>
                <w:ilvl w:val="1"/>
                <w:numId w:val="14"/>
              </w:numPr>
              <w:spacing w:before="100" w:beforeAutospacing="1" w:line="336" w:lineRule="auto"/>
            </w:pPr>
            <w:r>
              <w:t>Repair and Maintenance</w:t>
            </w:r>
          </w:p>
          <w:p w:rsidR="00796B31" w:rsidRDefault="00796B31" w:rsidP="00BE2873">
            <w:pPr>
              <w:numPr>
                <w:ilvl w:val="1"/>
                <w:numId w:val="14"/>
              </w:numPr>
              <w:spacing w:before="100" w:beforeAutospacing="1" w:line="336" w:lineRule="auto"/>
            </w:pPr>
            <w:r>
              <w:t>Fuel</w:t>
            </w:r>
          </w:p>
          <w:p w:rsidR="00796B31" w:rsidRPr="009D64B8" w:rsidRDefault="00796B31" w:rsidP="00613465">
            <w:pPr>
              <w:numPr>
                <w:ilvl w:val="0"/>
                <w:numId w:val="14"/>
              </w:numPr>
              <w:spacing w:before="100" w:beforeAutospacing="1" w:line="336" w:lineRule="auto"/>
            </w:pPr>
            <w:r w:rsidRPr="009D4F85">
              <w:t>Operating lease rentals</w:t>
            </w:r>
            <w:r w:rsidR="001D247B">
              <w:t xml:space="preserve"> </w:t>
            </w:r>
            <w:r w:rsidR="00E02AFB">
              <w:t xml:space="preserve">that do not relate to point (i) </w:t>
            </w:r>
            <w:r w:rsidR="00064EC3">
              <w:t>of Appendix 5 to this Schedule in respect of</w:t>
            </w:r>
            <w:r w:rsidR="00E02AFB">
              <w:t xml:space="preserve"> Non</w:t>
            </w:r>
            <w:r w:rsidR="00613465" w:rsidRPr="00613465">
              <w:t>-</w:t>
            </w:r>
            <w:r w:rsidR="00E02AFB">
              <w:t xml:space="preserve">Qualifying </w:t>
            </w:r>
            <w:r w:rsidR="00993E4A">
              <w:t xml:space="preserve">Operating </w:t>
            </w:r>
            <w:r w:rsidR="00E02AFB">
              <w:t>Expenditure</w:t>
            </w:r>
            <w:r w:rsidR="00E02AFB" w:rsidRPr="00E02AFB">
              <w:t>.</w:t>
            </w:r>
          </w:p>
        </w:tc>
      </w:tr>
    </w:tbl>
    <w:p w:rsidR="00315E5B" w:rsidRDefault="002058A3" w:rsidP="002058A3">
      <w:pPr>
        <w:pStyle w:val="Body"/>
        <w:jc w:val="center"/>
        <w:rPr>
          <w:b/>
          <w:u w:val="single"/>
          <w:lang w:val="en-GB"/>
        </w:rPr>
      </w:pPr>
      <w:r>
        <w:rPr>
          <w:b/>
        </w:rPr>
        <w:br w:type="page"/>
      </w:r>
      <w:r w:rsidR="00025FC3">
        <w:rPr>
          <w:b/>
        </w:rPr>
        <w:lastRenderedPageBreak/>
        <w:fldChar w:fldCharType="begin"/>
      </w:r>
      <w:r w:rsidR="00025FC3" w:rsidRPr="00025FC3">
        <w:instrText xml:space="preserve">  TC "</w:instrText>
      </w:r>
      <w:bookmarkStart w:id="81" w:name="_Toc463354118"/>
      <w:r w:rsidR="00025FC3">
        <w:instrText>APPENDIX 4 – NON-QUALIFYING CAPITAL EXPENDITURE CATEGORIES</w:instrText>
      </w:r>
      <w:bookmarkEnd w:id="81"/>
      <w:r w:rsidR="00025FC3" w:rsidRPr="00025FC3">
        <w:instrText xml:space="preserve">" \l1 </w:instrText>
      </w:r>
      <w:r w:rsidR="00025FC3">
        <w:rPr>
          <w:b/>
        </w:rPr>
        <w:fldChar w:fldCharType="end"/>
      </w:r>
      <w:r w:rsidRPr="00127152">
        <w:rPr>
          <w:b/>
        </w:rPr>
        <w:t xml:space="preserve">APPENDIX </w:t>
      </w:r>
      <w:r w:rsidRPr="002058A3">
        <w:rPr>
          <w:b/>
          <w:lang w:val="en-GB"/>
        </w:rPr>
        <w:t>4</w:t>
      </w:r>
      <w:r w:rsidRPr="00127152">
        <w:rPr>
          <w:b/>
          <w:lang w:val="en-GB"/>
        </w:rPr>
        <w:t xml:space="preserve"> – </w:t>
      </w:r>
      <w:r w:rsidRPr="002058A3">
        <w:rPr>
          <w:b/>
          <w:lang w:val="en-GB"/>
        </w:rPr>
        <w:t>NON-QUALIFYING CAPITAL EXPENDITURE</w:t>
      </w:r>
      <w:r w:rsidRPr="00127152">
        <w:rPr>
          <w:b/>
          <w:lang w:val="en-GB"/>
        </w:rPr>
        <w:t xml:space="preserve"> CATEGORIES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315E5B" w:rsidRPr="00127152" w:rsidTr="00C8401D">
        <w:tc>
          <w:tcPr>
            <w:tcW w:w="8505" w:type="dxa"/>
            <w:tcBorders>
              <w:top w:val="single" w:sz="4" w:space="0" w:color="000000"/>
              <w:left w:val="single" w:sz="4" w:space="0" w:color="000000"/>
              <w:bottom w:val="single" w:sz="4" w:space="0" w:color="000000"/>
              <w:right w:val="single" w:sz="4" w:space="0" w:color="000000"/>
            </w:tcBorders>
            <w:shd w:val="pct12" w:color="auto" w:fill="auto"/>
          </w:tcPr>
          <w:p w:rsidR="00315E5B" w:rsidRPr="00127152" w:rsidRDefault="00315E5B" w:rsidP="00315E5B">
            <w:pPr>
              <w:spacing w:before="120" w:after="120" w:line="276" w:lineRule="auto"/>
              <w:jc w:val="center"/>
              <w:rPr>
                <w:b/>
              </w:rPr>
            </w:pPr>
            <w:r>
              <w:rPr>
                <w:b/>
              </w:rPr>
              <w:t>Non-</w:t>
            </w:r>
            <w:r w:rsidRPr="004D2D04">
              <w:rPr>
                <w:b/>
              </w:rPr>
              <w:t>Qualifying</w:t>
            </w:r>
            <w:r w:rsidRPr="00127152">
              <w:rPr>
                <w:b/>
              </w:rPr>
              <w:t xml:space="preserve"> </w:t>
            </w:r>
            <w:r>
              <w:rPr>
                <w:b/>
              </w:rPr>
              <w:t xml:space="preserve">Capital </w:t>
            </w:r>
            <w:r w:rsidRPr="00127152">
              <w:rPr>
                <w:b/>
              </w:rPr>
              <w:t>Expenditure</w:t>
            </w:r>
          </w:p>
        </w:tc>
      </w:tr>
      <w:tr w:rsidR="00315E5B" w:rsidRPr="00127152" w:rsidTr="00C8401D">
        <w:tc>
          <w:tcPr>
            <w:tcW w:w="8505" w:type="dxa"/>
          </w:tcPr>
          <w:p w:rsidR="0027066E" w:rsidRPr="000A35A8" w:rsidRDefault="00D1492B" w:rsidP="0027066E">
            <w:pPr>
              <w:pStyle w:val="Body"/>
              <w:rPr>
                <w:lang w:val="en-GB"/>
              </w:rPr>
            </w:pPr>
            <w:r>
              <w:rPr>
                <w:b/>
                <w:lang w:val="en-GB"/>
              </w:rPr>
              <w:t>Non-</w:t>
            </w:r>
            <w:r w:rsidR="0027066E" w:rsidRPr="009D4F85">
              <w:rPr>
                <w:b/>
                <w:lang w:val="en-GB"/>
              </w:rPr>
              <w:t>Qualifying</w:t>
            </w:r>
            <w:r w:rsidR="0027066E" w:rsidRPr="009D4F85">
              <w:rPr>
                <w:b/>
              </w:rPr>
              <w:t xml:space="preserve"> </w:t>
            </w:r>
            <w:r w:rsidR="0027066E" w:rsidRPr="009D4F85">
              <w:rPr>
                <w:b/>
                <w:lang w:val="en-GB"/>
              </w:rPr>
              <w:t xml:space="preserve">Capital </w:t>
            </w:r>
            <w:r w:rsidR="0027066E" w:rsidRPr="009D4F85">
              <w:rPr>
                <w:b/>
              </w:rPr>
              <w:t>Expenditure</w:t>
            </w:r>
            <w:r w:rsidR="0027066E" w:rsidRPr="00127152">
              <w:t xml:space="preserve"> is that </w:t>
            </w:r>
            <w:r w:rsidR="0027066E" w:rsidRPr="0027066E">
              <w:rPr>
                <w:lang w:val="en-GB"/>
              </w:rPr>
              <w:t xml:space="preserve">capital </w:t>
            </w:r>
            <w:r w:rsidR="0027066E" w:rsidRPr="00127152">
              <w:t xml:space="preserve">expenditure </w:t>
            </w:r>
            <w:r w:rsidR="0027066E" w:rsidRPr="001B038A">
              <w:rPr>
                <w:lang w:val="en-GB"/>
              </w:rPr>
              <w:t xml:space="preserve">actually </w:t>
            </w:r>
            <w:r w:rsidR="0027066E" w:rsidRPr="00127152">
              <w:t>incurred by the Supplier</w:t>
            </w:r>
            <w:r w:rsidR="0027066E">
              <w:rPr>
                <w:lang w:val="en-GB"/>
              </w:rPr>
              <w:t xml:space="preserve"> </w:t>
            </w:r>
            <w:r w:rsidR="0027066E" w:rsidRPr="00127152">
              <w:t xml:space="preserve">which </w:t>
            </w:r>
            <w:r w:rsidR="0027066E" w:rsidRPr="009D4F85">
              <w:rPr>
                <w:lang w:val="en-GB"/>
              </w:rPr>
              <w:t>can</w:t>
            </w:r>
            <w:r w:rsidR="0027066E">
              <w:rPr>
                <w:lang w:val="en-GB"/>
              </w:rPr>
              <w:t>not</w:t>
            </w:r>
            <w:r w:rsidR="0027066E" w:rsidRPr="009D4F85">
              <w:rPr>
                <w:lang w:val="en-GB"/>
              </w:rPr>
              <w:t xml:space="preserve"> </w:t>
            </w:r>
            <w:r w:rsidR="0027066E" w:rsidRPr="00127152">
              <w:t xml:space="preserve">attract capital public subsidy </w:t>
            </w:r>
            <w:r w:rsidR="0027066E" w:rsidRPr="009D4F85">
              <w:rPr>
                <w:lang w:val="en-GB"/>
              </w:rPr>
              <w:t>under</w:t>
            </w:r>
            <w:r w:rsidR="0027066E">
              <w:t xml:space="preserve"> this Contract.</w:t>
            </w:r>
          </w:p>
          <w:p w:rsidR="00D64250" w:rsidRPr="00E463BE" w:rsidRDefault="00D64250" w:rsidP="00D64250">
            <w:pPr>
              <w:pStyle w:val="Body"/>
              <w:rPr>
                <w:lang w:val="en-GB"/>
              </w:rPr>
            </w:pPr>
            <w:r w:rsidRPr="00D64250">
              <w:rPr>
                <w:b/>
                <w:lang w:val="en-GB"/>
              </w:rPr>
              <w:t>Non-Qualifying Capital Expenditure</w:t>
            </w:r>
            <w:r>
              <w:rPr>
                <w:lang w:val="en-GB"/>
              </w:rPr>
              <w:t xml:space="preserve"> </w:t>
            </w:r>
            <w:r w:rsidRPr="00E463BE">
              <w:rPr>
                <w:lang w:val="en-GB"/>
              </w:rPr>
              <w:t xml:space="preserve">is that Supplier expenditure which (i) is directly attributable to connecting </w:t>
            </w:r>
            <w:r>
              <w:rPr>
                <w:lang w:val="en-GB"/>
              </w:rPr>
              <w:t>End Users</w:t>
            </w:r>
            <w:r w:rsidRPr="00E463BE">
              <w:rPr>
                <w:lang w:val="en-GB"/>
              </w:rPr>
              <w:t xml:space="preserve"> </w:t>
            </w:r>
            <w:r>
              <w:rPr>
                <w:lang w:val="en-GB"/>
              </w:rPr>
              <w:t xml:space="preserve">to the Network (to the extent such expenditure is incurred after deployment of the Network (i.e. after Achievement of the M2 Milestone(s) for that part of the Network servicing those End Users)) </w:t>
            </w:r>
            <w:r w:rsidRPr="00E463BE">
              <w:rPr>
                <w:lang w:val="en-GB"/>
              </w:rPr>
              <w:t xml:space="preserve">and maintaining </w:t>
            </w:r>
            <w:r>
              <w:rPr>
                <w:lang w:val="en-GB"/>
              </w:rPr>
              <w:t xml:space="preserve">the </w:t>
            </w:r>
            <w:r w:rsidRPr="00E463BE">
              <w:rPr>
                <w:lang w:val="en-GB"/>
              </w:rPr>
              <w:t>Network</w:t>
            </w:r>
            <w:r>
              <w:rPr>
                <w:lang w:val="en-GB"/>
              </w:rPr>
              <w:t xml:space="preserve"> post-deployment</w:t>
            </w:r>
            <w:r w:rsidRPr="00E463BE">
              <w:rPr>
                <w:lang w:val="en-GB"/>
              </w:rPr>
              <w:t xml:space="preserve">; </w:t>
            </w:r>
            <w:r>
              <w:rPr>
                <w:lang w:val="en-GB"/>
              </w:rPr>
              <w:t>(i</w:t>
            </w:r>
            <w:r w:rsidRPr="00E463BE">
              <w:rPr>
                <w:lang w:val="en-GB"/>
              </w:rPr>
              <w:t xml:space="preserve">i) </w:t>
            </w:r>
            <w:r w:rsidR="006310D5">
              <w:rPr>
                <w:lang w:val="en-GB"/>
              </w:rPr>
              <w:t xml:space="preserve">is </w:t>
            </w:r>
            <w:r w:rsidR="006310D5" w:rsidRPr="009D4F85">
              <w:rPr>
                <w:lang w:val="en-GB"/>
              </w:rPr>
              <w:t>incremental to the Supplier’s cost base</w:t>
            </w:r>
            <w:r w:rsidR="006310D5">
              <w:rPr>
                <w:lang w:val="en-GB"/>
              </w:rPr>
              <w:t xml:space="preserve"> that would otherwise have been incurred</w:t>
            </w:r>
            <w:r w:rsidRPr="00E463BE">
              <w:rPr>
                <w:lang w:val="en-GB"/>
              </w:rPr>
              <w:t xml:space="preserve"> </w:t>
            </w:r>
            <w:r>
              <w:rPr>
                <w:lang w:val="en-GB"/>
              </w:rPr>
              <w:t>(i</w:t>
            </w:r>
            <w:r w:rsidRPr="00E463BE">
              <w:rPr>
                <w:lang w:val="en-GB"/>
              </w:rPr>
              <w:t>ii)</w:t>
            </w:r>
            <w:r>
              <w:rPr>
                <w:lang w:val="en-GB"/>
              </w:rPr>
              <w:t xml:space="preserve"> </w:t>
            </w:r>
            <w:r w:rsidRPr="00E463BE">
              <w:rPr>
                <w:lang w:val="en-GB"/>
              </w:rPr>
              <w:t>can be reasonably allocated or apportioned to this Contract; (i</w:t>
            </w:r>
            <w:r>
              <w:rPr>
                <w:lang w:val="en-GB"/>
              </w:rPr>
              <w:t>v</w:t>
            </w:r>
            <w:r w:rsidRPr="00E463BE">
              <w:rPr>
                <w:lang w:val="en-GB"/>
              </w:rPr>
              <w:t xml:space="preserve">) is incurred in accordance with this Contract; and (v) is capable of being capitalised under </w:t>
            </w:r>
            <w:r w:rsidR="003D03D7" w:rsidRPr="00BE2873">
              <w:t xml:space="preserve">Generally Accepted </w:t>
            </w:r>
            <w:r w:rsidR="003D03D7">
              <w:t>Accountancy Principles</w:t>
            </w:r>
            <w:r w:rsidRPr="001D247B">
              <w:rPr>
                <w:lang w:val="en-GB"/>
              </w:rPr>
              <w:t>,</w:t>
            </w:r>
            <w:r>
              <w:rPr>
                <w:lang w:val="en-GB"/>
              </w:rPr>
              <w:t xml:space="preserve"> to the extent incurred by the Supplier during the Term</w:t>
            </w:r>
            <w:r w:rsidRPr="00E463BE">
              <w:rPr>
                <w:lang w:val="en-GB"/>
              </w:rPr>
              <w:t>;</w:t>
            </w:r>
          </w:p>
          <w:p w:rsidR="00E77A0B" w:rsidRPr="0027066E" w:rsidRDefault="003617E4" w:rsidP="00E77A0B">
            <w:pPr>
              <w:pStyle w:val="Body"/>
              <w:jc w:val="left"/>
            </w:pPr>
            <w:r w:rsidRPr="0027066E">
              <w:rPr>
                <w:lang w:val="en-GB"/>
              </w:rPr>
              <w:t>T</w:t>
            </w:r>
            <w:r w:rsidR="00E77A0B" w:rsidRPr="0027066E">
              <w:t xml:space="preserve">he following </w:t>
            </w:r>
            <w:r w:rsidRPr="0027066E">
              <w:rPr>
                <w:lang w:val="en-GB"/>
              </w:rPr>
              <w:t>examples for this expenditure category are provided</w:t>
            </w:r>
            <w:r w:rsidR="00E77A0B" w:rsidRPr="0027066E">
              <w:t>:</w:t>
            </w:r>
          </w:p>
          <w:p w:rsidR="00E77A0B" w:rsidRPr="0027066E" w:rsidRDefault="00E77A0B" w:rsidP="00BE2873">
            <w:pPr>
              <w:pStyle w:val="Body"/>
              <w:numPr>
                <w:ilvl w:val="0"/>
                <w:numId w:val="16"/>
              </w:numPr>
              <w:jc w:val="left"/>
              <w:rPr>
                <w:lang w:val="en-GB"/>
              </w:rPr>
            </w:pPr>
            <w:r w:rsidRPr="0027066E">
              <w:rPr>
                <w:lang w:val="en-GB"/>
              </w:rPr>
              <w:t xml:space="preserve">Connection costs including Network </w:t>
            </w:r>
            <w:r w:rsidR="00B05663">
              <w:rPr>
                <w:lang w:val="en-GB"/>
              </w:rPr>
              <w:t>t</w:t>
            </w:r>
            <w:r w:rsidRPr="0027066E">
              <w:rPr>
                <w:lang w:val="en-GB"/>
              </w:rPr>
              <w:t>ermination equipment and End User Premises equipment as required to deliver wholesale services</w:t>
            </w:r>
          </w:p>
        </w:tc>
      </w:tr>
    </w:tbl>
    <w:p w:rsidR="002058A3" w:rsidRDefault="002058A3" w:rsidP="002058A3">
      <w:pPr>
        <w:pStyle w:val="Body"/>
        <w:jc w:val="center"/>
        <w:rPr>
          <w:b/>
          <w:u w:val="single"/>
          <w:lang w:val="en-GB"/>
        </w:rPr>
      </w:pPr>
      <w:r>
        <w:rPr>
          <w:b/>
        </w:rPr>
        <w:br w:type="page"/>
      </w:r>
      <w:r w:rsidR="00025FC3">
        <w:rPr>
          <w:b/>
        </w:rPr>
        <w:lastRenderedPageBreak/>
        <w:fldChar w:fldCharType="begin"/>
      </w:r>
      <w:r w:rsidR="00025FC3" w:rsidRPr="00025FC3">
        <w:instrText xml:space="preserve">  TC "</w:instrText>
      </w:r>
      <w:bookmarkStart w:id="82" w:name="_Toc463354119"/>
      <w:r w:rsidR="00025FC3">
        <w:instrText>APPENDIX 5 – NON-QUALIFYING OPERATING EXPENDITURE CATEGORIES</w:instrText>
      </w:r>
      <w:bookmarkEnd w:id="82"/>
      <w:r w:rsidR="00025FC3" w:rsidRPr="00025FC3">
        <w:instrText xml:space="preserve">" \l1 </w:instrText>
      </w:r>
      <w:r w:rsidR="00025FC3">
        <w:rPr>
          <w:b/>
        </w:rPr>
        <w:fldChar w:fldCharType="end"/>
      </w:r>
      <w:r w:rsidRPr="00127152">
        <w:rPr>
          <w:b/>
        </w:rPr>
        <w:t xml:space="preserve">APPENDIX </w:t>
      </w:r>
      <w:r w:rsidRPr="002058A3">
        <w:rPr>
          <w:b/>
          <w:lang w:val="en-GB"/>
        </w:rPr>
        <w:t>5</w:t>
      </w:r>
      <w:r w:rsidRPr="00127152">
        <w:rPr>
          <w:b/>
          <w:lang w:val="en-GB"/>
        </w:rPr>
        <w:t xml:space="preserve"> – </w:t>
      </w:r>
      <w:r>
        <w:rPr>
          <w:b/>
          <w:lang w:val="en-GB"/>
        </w:rPr>
        <w:t>NON-QUALIFYING</w:t>
      </w:r>
      <w:r w:rsidRPr="00127152">
        <w:rPr>
          <w:b/>
        </w:rPr>
        <w:t xml:space="preserve"> </w:t>
      </w:r>
      <w:r>
        <w:rPr>
          <w:b/>
          <w:lang w:val="en-GB"/>
        </w:rPr>
        <w:t xml:space="preserve">OPERATING </w:t>
      </w:r>
      <w:r w:rsidRPr="00127152">
        <w:rPr>
          <w:b/>
        </w:rPr>
        <w:t>EXPENDITURE</w:t>
      </w:r>
      <w:r w:rsidRPr="00127152">
        <w:rPr>
          <w:b/>
          <w:lang w:val="en-GB"/>
        </w:rPr>
        <w:t xml:space="preserve"> CATEGORIES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108"/>
      </w:tblGrid>
      <w:tr w:rsidR="00315E5B" w:rsidRPr="00127152" w:rsidTr="00C8401D">
        <w:tc>
          <w:tcPr>
            <w:tcW w:w="8505" w:type="dxa"/>
            <w:gridSpan w:val="2"/>
            <w:tcBorders>
              <w:top w:val="single" w:sz="4" w:space="0" w:color="000000"/>
              <w:left w:val="single" w:sz="4" w:space="0" w:color="000000"/>
              <w:bottom w:val="single" w:sz="4" w:space="0" w:color="000000"/>
              <w:right w:val="single" w:sz="4" w:space="0" w:color="000000"/>
            </w:tcBorders>
            <w:shd w:val="pct12" w:color="auto" w:fill="auto"/>
          </w:tcPr>
          <w:p w:rsidR="00315E5B" w:rsidRPr="00127152" w:rsidRDefault="00315E5B" w:rsidP="00315E5B">
            <w:pPr>
              <w:spacing w:before="120" w:after="120" w:line="276" w:lineRule="auto"/>
              <w:jc w:val="center"/>
              <w:rPr>
                <w:b/>
              </w:rPr>
            </w:pPr>
            <w:r>
              <w:rPr>
                <w:b/>
              </w:rPr>
              <w:t>Non-</w:t>
            </w:r>
            <w:r w:rsidRPr="004D2D04">
              <w:rPr>
                <w:b/>
              </w:rPr>
              <w:t>Qualifying</w:t>
            </w:r>
            <w:r w:rsidRPr="00127152">
              <w:rPr>
                <w:b/>
              </w:rPr>
              <w:t xml:space="preserve"> </w:t>
            </w:r>
            <w:r>
              <w:rPr>
                <w:b/>
              </w:rPr>
              <w:t xml:space="preserve">Operating </w:t>
            </w:r>
            <w:r w:rsidRPr="00127152">
              <w:rPr>
                <w:b/>
              </w:rPr>
              <w:t>Expenditure</w:t>
            </w:r>
          </w:p>
        </w:tc>
      </w:tr>
      <w:tr w:rsidR="00315E5B" w:rsidRPr="00127152" w:rsidTr="00BE2873">
        <w:trPr>
          <w:gridAfter w:val="1"/>
          <w:wAfter w:w="108" w:type="dxa"/>
        </w:trPr>
        <w:tc>
          <w:tcPr>
            <w:tcW w:w="8505" w:type="dxa"/>
          </w:tcPr>
          <w:p w:rsidR="00F36335" w:rsidRPr="009D4F85" w:rsidRDefault="00F36335" w:rsidP="00F36335">
            <w:pPr>
              <w:pStyle w:val="Body"/>
            </w:pPr>
            <w:r w:rsidRPr="00F36335">
              <w:rPr>
                <w:b/>
                <w:lang w:val="en-GB"/>
              </w:rPr>
              <w:t>Non-</w:t>
            </w:r>
            <w:r w:rsidRPr="009D4F85">
              <w:rPr>
                <w:b/>
              </w:rPr>
              <w:t>Qualifying Operating Expenditure</w:t>
            </w:r>
            <w:r w:rsidRPr="00127152">
              <w:t xml:space="preserve"> is that </w:t>
            </w:r>
            <w:r w:rsidRPr="009D4F85">
              <w:t xml:space="preserve">operating </w:t>
            </w:r>
            <w:r w:rsidRPr="00127152">
              <w:t>expenditure incurred by the Supplier</w:t>
            </w:r>
            <w:r w:rsidRPr="009D4F85">
              <w:t xml:space="preserve"> </w:t>
            </w:r>
            <w:r w:rsidRPr="00127152">
              <w:t xml:space="preserve">which </w:t>
            </w:r>
            <w:r w:rsidRPr="009D4F85">
              <w:t xml:space="preserve">may </w:t>
            </w:r>
            <w:r w:rsidRPr="00F36335">
              <w:rPr>
                <w:lang w:val="en-GB"/>
              </w:rPr>
              <w:t xml:space="preserve">not </w:t>
            </w:r>
            <w:r w:rsidRPr="009D4F85">
              <w:t>be included when calculating the PIR (forecast expenditure)/OIR (actual)</w:t>
            </w:r>
            <w:r>
              <w:t>.</w:t>
            </w:r>
          </w:p>
          <w:p w:rsidR="00D64250" w:rsidRPr="00D64250" w:rsidRDefault="00D64250" w:rsidP="00F36335">
            <w:pPr>
              <w:pStyle w:val="Body"/>
              <w:rPr>
                <w:lang w:val="en-GB"/>
              </w:rPr>
            </w:pPr>
            <w:r w:rsidRPr="00F36335">
              <w:rPr>
                <w:b/>
                <w:lang w:val="en-GB"/>
              </w:rPr>
              <w:t>Non-Qualifying Operating Expenditure</w:t>
            </w:r>
            <w:r>
              <w:rPr>
                <w:lang w:val="en-GB"/>
              </w:rPr>
              <w:t xml:space="preserve"> </w:t>
            </w:r>
            <w:r w:rsidRPr="00D64250">
              <w:rPr>
                <w:lang w:val="en-GB"/>
              </w:rPr>
              <w:t xml:space="preserve">is that Supplier expenditure which (i) is directly attributable to connecting End Users to the Network (to the extent such expenditure is incurred after deployment of the Network (i.e. after Achievement of the M2 Milestone(s) for that part of the Network servicing those End Users)) and maintaining Network post-deployment; (ii) is </w:t>
            </w:r>
            <w:r w:rsidR="006310D5" w:rsidRPr="009D4F85">
              <w:rPr>
                <w:lang w:val="en-GB"/>
              </w:rPr>
              <w:t>incremental to the Supplier’s cost base</w:t>
            </w:r>
            <w:r w:rsidR="006310D5">
              <w:rPr>
                <w:lang w:val="en-GB"/>
              </w:rPr>
              <w:t xml:space="preserve"> that would otherwise have been incurred;</w:t>
            </w:r>
            <w:r w:rsidRPr="00D64250">
              <w:rPr>
                <w:lang w:val="en-GB"/>
              </w:rPr>
              <w:t xml:space="preserve"> (iii) can be reasonably allocated or apportioned to this Contract; (iv) is incurred in accordance with this Contract; and (v) is not capable of being capitalised under </w:t>
            </w:r>
            <w:r w:rsidR="003D03D7" w:rsidRPr="00BE2873">
              <w:t xml:space="preserve">Generally Accepted </w:t>
            </w:r>
            <w:r w:rsidR="003D03D7">
              <w:t>Accountancy Principles</w:t>
            </w:r>
            <w:r w:rsidRPr="001D247B">
              <w:rPr>
                <w:lang w:val="en-GB"/>
              </w:rPr>
              <w:t>, to</w:t>
            </w:r>
            <w:r w:rsidRPr="00D64250">
              <w:rPr>
                <w:lang w:val="en-GB"/>
              </w:rPr>
              <w:t xml:space="preserve"> the extent incurred </w:t>
            </w:r>
            <w:r w:rsidR="003617E4">
              <w:rPr>
                <w:lang w:val="en-GB"/>
              </w:rPr>
              <w:t>by the Supplier during the Term.</w:t>
            </w:r>
          </w:p>
          <w:p w:rsidR="0027066E" w:rsidRPr="0027066E" w:rsidRDefault="0027066E" w:rsidP="0027066E">
            <w:pPr>
              <w:pStyle w:val="Body"/>
              <w:jc w:val="left"/>
            </w:pPr>
            <w:r w:rsidRPr="0027066E">
              <w:rPr>
                <w:lang w:val="en-GB"/>
              </w:rPr>
              <w:t>T</w:t>
            </w:r>
            <w:r w:rsidRPr="0027066E">
              <w:t xml:space="preserve">he following </w:t>
            </w:r>
            <w:r w:rsidRPr="0027066E">
              <w:rPr>
                <w:lang w:val="en-GB"/>
              </w:rPr>
              <w:t>examples for this expenditure category are provided</w:t>
            </w:r>
            <w:r w:rsidRPr="0027066E">
              <w:t>:</w:t>
            </w:r>
          </w:p>
          <w:p w:rsidR="00E77A0B" w:rsidRPr="00FE27B0" w:rsidRDefault="00E77A0B" w:rsidP="00D746B2">
            <w:pPr>
              <w:pStyle w:val="Body"/>
              <w:numPr>
                <w:ilvl w:val="0"/>
                <w:numId w:val="16"/>
              </w:numPr>
              <w:jc w:val="left"/>
              <w:rPr>
                <w:lang w:val="en-GB"/>
              </w:rPr>
            </w:pPr>
            <w:r w:rsidRPr="00F36335">
              <w:rPr>
                <w:lang w:val="en-GB"/>
              </w:rPr>
              <w:t>Operating costs of providing broadband services (wholesale) to third parties and consumers</w:t>
            </w:r>
          </w:p>
          <w:p w:rsidR="00E77A0B" w:rsidRPr="00FE27B0" w:rsidRDefault="00E77A0B" w:rsidP="00D746B2">
            <w:pPr>
              <w:pStyle w:val="Body"/>
              <w:numPr>
                <w:ilvl w:val="0"/>
                <w:numId w:val="16"/>
              </w:numPr>
              <w:jc w:val="left"/>
              <w:rPr>
                <w:lang w:val="en-GB"/>
              </w:rPr>
            </w:pPr>
            <w:r w:rsidRPr="00F36335">
              <w:rPr>
                <w:lang w:val="en-GB"/>
              </w:rPr>
              <w:t>Power and other utility running costs</w:t>
            </w:r>
          </w:p>
          <w:p w:rsidR="00315E5B" w:rsidRDefault="00E77A0B" w:rsidP="00D746B2">
            <w:pPr>
              <w:pStyle w:val="Body"/>
              <w:numPr>
                <w:ilvl w:val="0"/>
                <w:numId w:val="16"/>
              </w:numPr>
              <w:jc w:val="left"/>
              <w:rPr>
                <w:lang w:val="en-GB"/>
              </w:rPr>
            </w:pPr>
            <w:r w:rsidRPr="00F36335">
              <w:rPr>
                <w:lang w:val="en-GB"/>
              </w:rPr>
              <w:t>Operating and maintenance costs of the broadband infrastructure created</w:t>
            </w:r>
          </w:p>
          <w:p w:rsidR="00E77A0B" w:rsidRDefault="00E77A0B" w:rsidP="00D746B2">
            <w:pPr>
              <w:pStyle w:val="Body"/>
              <w:numPr>
                <w:ilvl w:val="0"/>
                <w:numId w:val="16"/>
              </w:numPr>
              <w:jc w:val="left"/>
              <w:rPr>
                <w:lang w:val="en-GB"/>
              </w:rPr>
            </w:pPr>
            <w:r w:rsidRPr="00F36335">
              <w:rPr>
                <w:lang w:val="en-GB"/>
              </w:rPr>
              <w:t>Operating lease rentals</w:t>
            </w:r>
          </w:p>
          <w:p w:rsidR="00E77A0B" w:rsidRPr="00E77A0B" w:rsidRDefault="00E77A0B" w:rsidP="00D746B2">
            <w:pPr>
              <w:pStyle w:val="Body"/>
              <w:numPr>
                <w:ilvl w:val="0"/>
                <w:numId w:val="16"/>
              </w:numPr>
              <w:jc w:val="left"/>
              <w:rPr>
                <w:lang w:val="en-GB"/>
              </w:rPr>
            </w:pPr>
            <w:r>
              <w:rPr>
                <w:lang w:val="en-GB"/>
              </w:rPr>
              <w:t xml:space="preserve">Connection costs including Network </w:t>
            </w:r>
            <w:r w:rsidR="00B05663">
              <w:rPr>
                <w:lang w:val="en-GB"/>
              </w:rPr>
              <w:t>t</w:t>
            </w:r>
            <w:r>
              <w:rPr>
                <w:lang w:val="en-GB"/>
              </w:rPr>
              <w:t>ermination equipment and End User Premises equipment as required to deliver wholesale services</w:t>
            </w:r>
            <w:r w:rsidRPr="00F36335">
              <w:rPr>
                <w:lang w:val="en-GB"/>
              </w:rPr>
              <w:t xml:space="preserve"> </w:t>
            </w:r>
          </w:p>
        </w:tc>
      </w:tr>
    </w:tbl>
    <w:p w:rsidR="00315E5B" w:rsidRDefault="002058A3" w:rsidP="002058A3">
      <w:pPr>
        <w:pStyle w:val="Body"/>
        <w:jc w:val="center"/>
        <w:rPr>
          <w:b/>
          <w:u w:val="single"/>
          <w:lang w:val="en-GB"/>
        </w:rPr>
      </w:pPr>
      <w:r>
        <w:rPr>
          <w:b/>
        </w:rPr>
        <w:br w:type="page"/>
      </w:r>
      <w:r w:rsidR="00025FC3">
        <w:rPr>
          <w:b/>
        </w:rPr>
        <w:lastRenderedPageBreak/>
        <w:fldChar w:fldCharType="begin"/>
      </w:r>
      <w:r w:rsidR="00025FC3" w:rsidRPr="00025FC3">
        <w:instrText xml:space="preserve">  TC "</w:instrText>
      </w:r>
      <w:bookmarkStart w:id="83" w:name="_Toc463354120"/>
      <w:r w:rsidR="00025FC3">
        <w:instrText>APPENDIX 6 – EXCLUDED EXPENDITURE CATEGORIES</w:instrText>
      </w:r>
      <w:bookmarkEnd w:id="83"/>
      <w:r w:rsidR="00025FC3" w:rsidRPr="00025FC3">
        <w:instrText xml:space="preserve">" \l1 </w:instrText>
      </w:r>
      <w:r w:rsidR="00025FC3">
        <w:rPr>
          <w:b/>
        </w:rPr>
        <w:fldChar w:fldCharType="end"/>
      </w:r>
      <w:r w:rsidRPr="00127152">
        <w:rPr>
          <w:b/>
        </w:rPr>
        <w:t xml:space="preserve">APPENDIX </w:t>
      </w:r>
      <w:r>
        <w:rPr>
          <w:b/>
          <w:lang w:val="de-DE"/>
        </w:rPr>
        <w:t>6</w:t>
      </w:r>
      <w:r w:rsidRPr="00127152">
        <w:rPr>
          <w:b/>
          <w:lang w:val="en-GB"/>
        </w:rPr>
        <w:t xml:space="preserve"> – </w:t>
      </w:r>
      <w:r>
        <w:rPr>
          <w:b/>
          <w:lang w:val="en-GB"/>
        </w:rPr>
        <w:t xml:space="preserve">EXCLUDED </w:t>
      </w:r>
      <w:r w:rsidRPr="00127152">
        <w:rPr>
          <w:b/>
        </w:rPr>
        <w:t>EXPENDITURE</w:t>
      </w:r>
      <w:r w:rsidRPr="00127152">
        <w:rPr>
          <w:b/>
          <w:lang w:val="en-GB"/>
        </w:rPr>
        <w:t xml:space="preserve"> CATEGORIES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315E5B" w:rsidRPr="00127152" w:rsidTr="00BE2873">
        <w:tc>
          <w:tcPr>
            <w:tcW w:w="8505" w:type="dxa"/>
            <w:tcBorders>
              <w:top w:val="single" w:sz="4" w:space="0" w:color="000000"/>
              <w:left w:val="single" w:sz="4" w:space="0" w:color="000000"/>
              <w:bottom w:val="single" w:sz="4" w:space="0" w:color="000000"/>
              <w:right w:val="single" w:sz="4" w:space="0" w:color="000000"/>
            </w:tcBorders>
            <w:shd w:val="pct12" w:color="auto" w:fill="auto"/>
          </w:tcPr>
          <w:p w:rsidR="00315E5B" w:rsidRPr="00127152" w:rsidRDefault="00315E5B" w:rsidP="00F27931">
            <w:pPr>
              <w:spacing w:before="120" w:after="120" w:line="276" w:lineRule="auto"/>
              <w:jc w:val="center"/>
              <w:rPr>
                <w:b/>
              </w:rPr>
            </w:pPr>
            <w:r>
              <w:rPr>
                <w:b/>
              </w:rPr>
              <w:t xml:space="preserve">Excluded </w:t>
            </w:r>
            <w:r w:rsidRPr="00127152">
              <w:rPr>
                <w:b/>
              </w:rPr>
              <w:t>Expenditure</w:t>
            </w:r>
          </w:p>
        </w:tc>
      </w:tr>
      <w:tr w:rsidR="00315E5B" w:rsidRPr="00127152" w:rsidTr="00BE2873">
        <w:tc>
          <w:tcPr>
            <w:tcW w:w="8505" w:type="dxa"/>
          </w:tcPr>
          <w:p w:rsidR="00245E8A" w:rsidRDefault="00F36335" w:rsidP="00245E8A">
            <w:pPr>
              <w:pStyle w:val="Body"/>
              <w:rPr>
                <w:lang w:val="en-GB"/>
              </w:rPr>
            </w:pPr>
            <w:r w:rsidRPr="00245E8A">
              <w:rPr>
                <w:b/>
                <w:lang w:val="en-GB"/>
              </w:rPr>
              <w:t>Excluded Expenditure</w:t>
            </w:r>
            <w:r w:rsidRPr="00F36335">
              <w:rPr>
                <w:lang w:val="en-GB"/>
              </w:rPr>
              <w:t xml:space="preserve"> </w:t>
            </w:r>
            <w:r>
              <w:rPr>
                <w:lang w:val="en-GB"/>
              </w:rPr>
              <w:t>is that expenditure which may not be classified as Qualifying Capital Expenditure, Qualifying Operating Expenditure, Non-Qualifying Capital Expenditure or Non-Qualifying Operating Expenditure for the purposes of t</w:t>
            </w:r>
            <w:r w:rsidR="00FA3C02">
              <w:rPr>
                <w:lang w:val="en-GB"/>
              </w:rPr>
              <w:t>h</w:t>
            </w:r>
            <w:r>
              <w:rPr>
                <w:lang w:val="en-GB"/>
              </w:rPr>
              <w:t xml:space="preserve">is Contract. </w:t>
            </w:r>
          </w:p>
          <w:p w:rsidR="00F36335" w:rsidRPr="00F36335" w:rsidRDefault="00F36335" w:rsidP="00245E8A">
            <w:pPr>
              <w:pStyle w:val="Body"/>
              <w:rPr>
                <w:lang w:val="en-GB"/>
              </w:rPr>
            </w:pPr>
            <w:r>
              <w:rPr>
                <w:lang w:val="en-GB"/>
              </w:rPr>
              <w:t xml:space="preserve">The </w:t>
            </w:r>
            <w:r w:rsidR="00245E8A" w:rsidRPr="00245E8A">
              <w:rPr>
                <w:b/>
                <w:lang w:val="en-GB"/>
              </w:rPr>
              <w:t>Excluded Expenditure</w:t>
            </w:r>
            <w:r w:rsidR="00245E8A">
              <w:rPr>
                <w:b/>
                <w:lang w:val="en-GB"/>
              </w:rPr>
              <w:t xml:space="preserve"> </w:t>
            </w:r>
            <w:r>
              <w:rPr>
                <w:lang w:val="en-GB"/>
              </w:rPr>
              <w:t>examples below are</w:t>
            </w:r>
            <w:r w:rsidR="00245E8A">
              <w:rPr>
                <w:lang w:val="en-GB"/>
              </w:rPr>
              <w:t>, for the avoidance of doubt,</w:t>
            </w:r>
            <w:r>
              <w:rPr>
                <w:lang w:val="en-GB"/>
              </w:rPr>
              <w:t xml:space="preserve"> without limitation to other forms of Excluded Expenditure which does not meet the descriptions of Qualifying Capital Expenditure, Qualifying Operating Expenditure, Non-Qualifying Capital Expenditure or Non-Qualifying Operating Expenditure</w:t>
            </w:r>
            <w:r w:rsidR="00245E8A">
              <w:rPr>
                <w:lang w:val="en-GB"/>
              </w:rPr>
              <w:t>:</w:t>
            </w:r>
          </w:p>
          <w:p w:rsidR="00FA3C02" w:rsidRPr="00025FC3" w:rsidRDefault="00FA3C02" w:rsidP="00D746B2">
            <w:pPr>
              <w:pStyle w:val="Body"/>
              <w:numPr>
                <w:ilvl w:val="0"/>
                <w:numId w:val="17"/>
              </w:numPr>
              <w:jc w:val="left"/>
              <w:rPr>
                <w:lang w:val="en-GB"/>
              </w:rPr>
            </w:pPr>
            <w:r>
              <w:rPr>
                <w:lang w:val="en-GB"/>
              </w:rPr>
              <w:t>Costs involved in re-working of design and build</w:t>
            </w:r>
            <w:r w:rsidR="00C8401D">
              <w:rPr>
                <w:lang w:val="en-GB"/>
              </w:rPr>
              <w:t xml:space="preserve"> due to Supplier Default</w:t>
            </w:r>
            <w:r w:rsidR="00CF27AF">
              <w:rPr>
                <w:lang w:val="en-GB"/>
              </w:rPr>
              <w:t xml:space="preserve"> (including non-compliance with Clause 10)</w:t>
            </w:r>
          </w:p>
          <w:p w:rsidR="00FA3C02" w:rsidRPr="00025FC3" w:rsidRDefault="00FA3C02" w:rsidP="00025FC3">
            <w:pPr>
              <w:pStyle w:val="Body"/>
              <w:numPr>
                <w:ilvl w:val="0"/>
                <w:numId w:val="17"/>
              </w:numPr>
              <w:jc w:val="left"/>
              <w:rPr>
                <w:lang w:val="en-GB"/>
              </w:rPr>
            </w:pPr>
            <w:r w:rsidRPr="00025FC3">
              <w:rPr>
                <w:lang w:val="en-GB"/>
              </w:rPr>
              <w:t>Costs of planning</w:t>
            </w:r>
            <w:r w:rsidR="00C8401D" w:rsidRPr="00025FC3">
              <w:rPr>
                <w:lang w:val="en-GB"/>
              </w:rPr>
              <w:t>, design and build</w:t>
            </w:r>
            <w:r w:rsidR="00FA6B4C">
              <w:rPr>
                <w:lang w:val="en-GB"/>
              </w:rPr>
              <w:t xml:space="preserve"> for S</w:t>
            </w:r>
            <w:r w:rsidRPr="00025FC3">
              <w:rPr>
                <w:lang w:val="en-GB"/>
              </w:rPr>
              <w:t xml:space="preserve">tructures </w:t>
            </w:r>
            <w:r w:rsidR="006310D5">
              <w:rPr>
                <w:lang w:val="en-GB"/>
              </w:rPr>
              <w:t>that did not Achieve M2</w:t>
            </w:r>
            <w:r w:rsidR="00FA6B4C">
              <w:rPr>
                <w:lang w:val="en-GB"/>
              </w:rPr>
              <w:t xml:space="preserve"> (abortive S</w:t>
            </w:r>
            <w:r w:rsidRPr="00025FC3">
              <w:rPr>
                <w:lang w:val="en-GB"/>
              </w:rPr>
              <w:t>tructures)</w:t>
            </w:r>
            <w:r w:rsidR="00C8401D" w:rsidRPr="00025FC3">
              <w:rPr>
                <w:lang w:val="en-GB"/>
              </w:rPr>
              <w:t>, unless due to Authority requested de-scope</w:t>
            </w:r>
            <w:r w:rsidR="00354B0F" w:rsidRPr="00025FC3">
              <w:rPr>
                <w:lang w:val="en-GB"/>
              </w:rPr>
              <w:t xml:space="preserve"> </w:t>
            </w:r>
            <w:r w:rsidR="006310D5">
              <w:rPr>
                <w:lang w:val="en-GB"/>
              </w:rPr>
              <w:t>(</w:t>
            </w:r>
            <w:r w:rsidR="007E4404" w:rsidRPr="00025FC3">
              <w:rPr>
                <w:lang w:val="en-GB"/>
              </w:rPr>
              <w:t xml:space="preserve">provided such </w:t>
            </w:r>
            <w:r w:rsidR="00F2211A" w:rsidRPr="00025FC3">
              <w:rPr>
                <w:lang w:val="en-GB"/>
              </w:rPr>
              <w:t xml:space="preserve">Authority requested </w:t>
            </w:r>
            <w:r w:rsidR="00354B0F" w:rsidRPr="00025FC3">
              <w:rPr>
                <w:lang w:val="en-GB"/>
              </w:rPr>
              <w:t>de</w:t>
            </w:r>
            <w:r w:rsidR="00F2211A" w:rsidRPr="00025FC3">
              <w:rPr>
                <w:lang w:val="en-GB"/>
              </w:rPr>
              <w:t>-</w:t>
            </w:r>
            <w:r w:rsidR="00354B0F" w:rsidRPr="00025FC3">
              <w:rPr>
                <w:lang w:val="en-GB"/>
              </w:rPr>
              <w:t xml:space="preserve">scope is </w:t>
            </w:r>
            <w:r w:rsidR="007E4404" w:rsidRPr="00025FC3">
              <w:rPr>
                <w:lang w:val="en-GB"/>
              </w:rPr>
              <w:t xml:space="preserve">not </w:t>
            </w:r>
            <w:r w:rsidR="00354B0F" w:rsidRPr="00025FC3">
              <w:rPr>
                <w:lang w:val="en-GB"/>
              </w:rPr>
              <w:t>required due to Supplier Default</w:t>
            </w:r>
            <w:r w:rsidR="00CF27AF">
              <w:rPr>
                <w:lang w:val="en-GB"/>
              </w:rPr>
              <w:t xml:space="preserve"> (including non-compliance with Clause 10)</w:t>
            </w:r>
            <w:r w:rsidR="006310D5">
              <w:rPr>
                <w:lang w:val="en-GB"/>
              </w:rPr>
              <w:t>)</w:t>
            </w:r>
          </w:p>
          <w:p w:rsidR="002058A3" w:rsidRPr="00025FC3" w:rsidRDefault="002058A3" w:rsidP="00D746B2">
            <w:pPr>
              <w:pStyle w:val="Body"/>
              <w:numPr>
                <w:ilvl w:val="0"/>
                <w:numId w:val="17"/>
              </w:numPr>
              <w:jc w:val="left"/>
              <w:rPr>
                <w:lang w:val="en-GB"/>
              </w:rPr>
            </w:pPr>
            <w:r w:rsidRPr="00025FC3">
              <w:t>Costs involved in winding up a company</w:t>
            </w:r>
          </w:p>
          <w:p w:rsidR="002058A3" w:rsidRPr="001725FC" w:rsidRDefault="002058A3" w:rsidP="00D746B2">
            <w:pPr>
              <w:pStyle w:val="Body"/>
              <w:numPr>
                <w:ilvl w:val="0"/>
                <w:numId w:val="17"/>
              </w:numPr>
              <w:jc w:val="left"/>
              <w:rPr>
                <w:lang w:val="en-GB"/>
              </w:rPr>
            </w:pPr>
            <w:r w:rsidRPr="00127152">
              <w:t>Payments for unfair dismissal</w:t>
            </w:r>
          </w:p>
          <w:p w:rsidR="002058A3" w:rsidRPr="00FE27B0" w:rsidRDefault="002058A3" w:rsidP="00D746B2">
            <w:pPr>
              <w:pStyle w:val="Body"/>
              <w:numPr>
                <w:ilvl w:val="0"/>
                <w:numId w:val="17"/>
              </w:numPr>
              <w:jc w:val="left"/>
              <w:rPr>
                <w:lang w:val="en-GB"/>
              </w:rPr>
            </w:pPr>
            <w:r w:rsidRPr="00127152">
              <w:t>Payments into private pension schemes</w:t>
            </w:r>
          </w:p>
          <w:p w:rsidR="002058A3" w:rsidRPr="00FE27B0" w:rsidRDefault="002058A3" w:rsidP="00D746B2">
            <w:pPr>
              <w:pStyle w:val="Body"/>
              <w:numPr>
                <w:ilvl w:val="0"/>
                <w:numId w:val="17"/>
              </w:numPr>
              <w:jc w:val="left"/>
              <w:rPr>
                <w:lang w:val="en-GB"/>
              </w:rPr>
            </w:pPr>
            <w:r w:rsidRPr="00127152">
              <w:t>Payments for un-funded pensions</w:t>
            </w:r>
          </w:p>
          <w:p w:rsidR="002058A3" w:rsidRPr="00FE27B0" w:rsidRDefault="002058A3" w:rsidP="00D746B2">
            <w:pPr>
              <w:pStyle w:val="Body"/>
              <w:numPr>
                <w:ilvl w:val="0"/>
                <w:numId w:val="17"/>
              </w:numPr>
              <w:jc w:val="left"/>
              <w:rPr>
                <w:lang w:val="en-GB"/>
              </w:rPr>
            </w:pPr>
            <w:r w:rsidRPr="00127152">
              <w:t>Compensation for loss of office</w:t>
            </w:r>
          </w:p>
          <w:p w:rsidR="002058A3" w:rsidRPr="00FE27B0" w:rsidRDefault="002058A3" w:rsidP="00D746B2">
            <w:pPr>
              <w:pStyle w:val="Body"/>
              <w:numPr>
                <w:ilvl w:val="0"/>
                <w:numId w:val="17"/>
              </w:numPr>
              <w:jc w:val="left"/>
              <w:rPr>
                <w:lang w:val="en-GB"/>
              </w:rPr>
            </w:pPr>
            <w:r w:rsidRPr="00127152">
              <w:t>Bad debts arising from loans to employees, proprietors, partners, directors, guarantors, shareholders or a person connected with any of these</w:t>
            </w:r>
          </w:p>
          <w:p w:rsidR="002058A3" w:rsidRPr="00FE27B0" w:rsidRDefault="002058A3" w:rsidP="00D746B2">
            <w:pPr>
              <w:pStyle w:val="Body"/>
              <w:numPr>
                <w:ilvl w:val="0"/>
                <w:numId w:val="17"/>
              </w:numPr>
              <w:jc w:val="left"/>
              <w:rPr>
                <w:lang w:val="en-GB"/>
              </w:rPr>
            </w:pPr>
            <w:r w:rsidRPr="00127152">
              <w:t>Payments for gifts and donations</w:t>
            </w:r>
          </w:p>
          <w:p w:rsidR="002058A3" w:rsidRPr="00FE27B0" w:rsidRDefault="002058A3" w:rsidP="00D746B2">
            <w:pPr>
              <w:pStyle w:val="Body"/>
              <w:numPr>
                <w:ilvl w:val="0"/>
                <w:numId w:val="17"/>
              </w:numPr>
              <w:jc w:val="left"/>
              <w:rPr>
                <w:lang w:val="en-GB"/>
              </w:rPr>
            </w:pPr>
            <w:r w:rsidRPr="00127152">
              <w:t>Payment for entertainment</w:t>
            </w:r>
          </w:p>
          <w:p w:rsidR="002058A3" w:rsidRPr="00FE27B0" w:rsidRDefault="002058A3" w:rsidP="00D746B2">
            <w:pPr>
              <w:pStyle w:val="Body"/>
              <w:numPr>
                <w:ilvl w:val="0"/>
                <w:numId w:val="17"/>
              </w:numPr>
              <w:jc w:val="left"/>
              <w:rPr>
                <w:lang w:val="en-GB"/>
              </w:rPr>
            </w:pPr>
            <w:r w:rsidRPr="00127152">
              <w:t>Input VAT reclaimable by the Supplier</w:t>
            </w:r>
          </w:p>
          <w:p w:rsidR="002058A3" w:rsidRPr="00FE27B0" w:rsidRDefault="002058A3" w:rsidP="00D746B2">
            <w:pPr>
              <w:pStyle w:val="Body"/>
              <w:numPr>
                <w:ilvl w:val="0"/>
                <w:numId w:val="17"/>
              </w:numPr>
              <w:jc w:val="left"/>
              <w:rPr>
                <w:lang w:val="en-GB"/>
              </w:rPr>
            </w:pPr>
            <w:r w:rsidRPr="00127152">
              <w:t>Statutory fines and penalties</w:t>
            </w:r>
          </w:p>
          <w:p w:rsidR="002058A3" w:rsidRPr="00FE27B0" w:rsidRDefault="002058A3" w:rsidP="00D746B2">
            <w:pPr>
              <w:pStyle w:val="Body"/>
              <w:numPr>
                <w:ilvl w:val="0"/>
                <w:numId w:val="17"/>
              </w:numPr>
              <w:jc w:val="left"/>
              <w:rPr>
                <w:lang w:val="en-GB"/>
              </w:rPr>
            </w:pPr>
            <w:r w:rsidRPr="00127152">
              <w:t>Criminal fines and damages</w:t>
            </w:r>
          </w:p>
          <w:p w:rsidR="002058A3" w:rsidRPr="00FE27B0" w:rsidRDefault="002058A3" w:rsidP="00D746B2">
            <w:pPr>
              <w:pStyle w:val="Body"/>
              <w:numPr>
                <w:ilvl w:val="0"/>
                <w:numId w:val="17"/>
              </w:numPr>
              <w:jc w:val="left"/>
              <w:rPr>
                <w:lang w:val="en-GB"/>
              </w:rPr>
            </w:pPr>
            <w:r w:rsidRPr="00127152">
              <w:t>Legal expenses in respect of litigation</w:t>
            </w:r>
          </w:p>
          <w:p w:rsidR="002058A3" w:rsidRPr="00FE27B0" w:rsidRDefault="002058A3" w:rsidP="00D746B2">
            <w:pPr>
              <w:pStyle w:val="Body"/>
              <w:numPr>
                <w:ilvl w:val="0"/>
                <w:numId w:val="17"/>
              </w:numPr>
              <w:jc w:val="left"/>
              <w:rPr>
                <w:lang w:val="en-GB"/>
              </w:rPr>
            </w:pPr>
            <w:r w:rsidRPr="00127152">
              <w:t>Expenditure on works or activities which any person has a statutory duty to undertake</w:t>
            </w:r>
            <w:r>
              <w:rPr>
                <w:lang w:val="en-GB"/>
              </w:rPr>
              <w:t xml:space="preserve"> </w:t>
            </w:r>
          </w:p>
          <w:p w:rsidR="002058A3" w:rsidRPr="00FE27B0" w:rsidRDefault="002058A3" w:rsidP="00D746B2">
            <w:pPr>
              <w:pStyle w:val="Body"/>
              <w:numPr>
                <w:ilvl w:val="0"/>
                <w:numId w:val="17"/>
              </w:numPr>
              <w:jc w:val="left"/>
              <w:rPr>
                <w:lang w:val="en-GB"/>
              </w:rPr>
            </w:pPr>
            <w:r w:rsidRPr="00127152">
              <w:t>Any liability arising out of negligence</w:t>
            </w:r>
          </w:p>
          <w:p w:rsidR="00315E5B" w:rsidRDefault="002058A3" w:rsidP="00D746B2">
            <w:pPr>
              <w:pStyle w:val="Body"/>
              <w:numPr>
                <w:ilvl w:val="0"/>
                <w:numId w:val="17"/>
              </w:numPr>
              <w:jc w:val="left"/>
              <w:rPr>
                <w:lang w:val="en-GB"/>
              </w:rPr>
            </w:pPr>
            <w:r w:rsidRPr="00127152">
              <w:t>Professional fees not directly attributable to bringing the broadband infrastructure into use</w:t>
            </w:r>
          </w:p>
          <w:p w:rsidR="002058A3" w:rsidRPr="00FE27B0" w:rsidRDefault="002058A3" w:rsidP="00D746B2">
            <w:pPr>
              <w:pStyle w:val="Body"/>
              <w:numPr>
                <w:ilvl w:val="0"/>
                <w:numId w:val="17"/>
              </w:numPr>
              <w:jc w:val="left"/>
              <w:rPr>
                <w:lang w:val="en-GB"/>
              </w:rPr>
            </w:pPr>
            <w:r w:rsidRPr="00127152">
              <w:t>Provisions and contingent liabilities (including for risk related to this Contract)</w:t>
            </w:r>
          </w:p>
          <w:p w:rsidR="002058A3" w:rsidRPr="00FE27B0" w:rsidRDefault="002058A3" w:rsidP="00D746B2">
            <w:pPr>
              <w:pStyle w:val="Body"/>
              <w:numPr>
                <w:ilvl w:val="0"/>
                <w:numId w:val="17"/>
              </w:numPr>
              <w:jc w:val="left"/>
              <w:rPr>
                <w:lang w:val="en-GB"/>
              </w:rPr>
            </w:pPr>
            <w:r w:rsidRPr="00127152">
              <w:t>Supplier profit mark up, margin or administration charge that is added to the actual bought in costs of goods or services procured from third parties</w:t>
            </w:r>
          </w:p>
          <w:p w:rsidR="002058A3" w:rsidRPr="00FE27B0" w:rsidRDefault="002058A3" w:rsidP="00D746B2">
            <w:pPr>
              <w:pStyle w:val="Body"/>
              <w:numPr>
                <w:ilvl w:val="0"/>
                <w:numId w:val="17"/>
              </w:numPr>
              <w:jc w:val="left"/>
              <w:rPr>
                <w:lang w:val="en-GB"/>
              </w:rPr>
            </w:pPr>
            <w:r w:rsidRPr="00127152">
              <w:lastRenderedPageBreak/>
              <w:t>Administration and general management costs</w:t>
            </w:r>
          </w:p>
          <w:p w:rsidR="002058A3" w:rsidRPr="00FE27B0" w:rsidRDefault="002058A3" w:rsidP="00D746B2">
            <w:pPr>
              <w:pStyle w:val="Body"/>
              <w:numPr>
                <w:ilvl w:val="0"/>
                <w:numId w:val="17"/>
              </w:numPr>
              <w:jc w:val="left"/>
              <w:rPr>
                <w:lang w:val="en-GB"/>
              </w:rPr>
            </w:pPr>
            <w:r w:rsidRPr="00127152">
              <w:t>Dividends</w:t>
            </w:r>
          </w:p>
          <w:p w:rsidR="002058A3" w:rsidRPr="00FE27B0" w:rsidRDefault="002058A3" w:rsidP="00D746B2">
            <w:pPr>
              <w:pStyle w:val="Body"/>
              <w:numPr>
                <w:ilvl w:val="0"/>
                <w:numId w:val="17"/>
              </w:numPr>
              <w:jc w:val="left"/>
              <w:rPr>
                <w:lang w:val="en-GB"/>
              </w:rPr>
            </w:pPr>
            <w:r>
              <w:rPr>
                <w:lang w:val="en-GB"/>
              </w:rPr>
              <w:t>I</w:t>
            </w:r>
            <w:r w:rsidRPr="00127152">
              <w:t>nterest and financing charges</w:t>
            </w:r>
          </w:p>
          <w:p w:rsidR="002058A3" w:rsidRDefault="002058A3" w:rsidP="00D746B2">
            <w:pPr>
              <w:pStyle w:val="Body"/>
              <w:numPr>
                <w:ilvl w:val="0"/>
                <w:numId w:val="17"/>
              </w:numPr>
              <w:jc w:val="left"/>
              <w:rPr>
                <w:lang w:val="en-GB"/>
              </w:rPr>
            </w:pPr>
            <w:r w:rsidRPr="00127152">
              <w:t>Costs resulting from the deferral of payments to creditors</w:t>
            </w:r>
          </w:p>
          <w:p w:rsidR="002058A3" w:rsidRPr="00FE27B0" w:rsidRDefault="002058A3" w:rsidP="00D746B2">
            <w:pPr>
              <w:pStyle w:val="Body"/>
              <w:numPr>
                <w:ilvl w:val="0"/>
                <w:numId w:val="17"/>
              </w:numPr>
              <w:jc w:val="left"/>
              <w:rPr>
                <w:lang w:val="en-GB"/>
              </w:rPr>
            </w:pPr>
            <w:r w:rsidRPr="00127152">
              <w:t xml:space="preserve">Costs </w:t>
            </w:r>
            <w:r w:rsidR="00613465" w:rsidRPr="00127152">
              <w:t>incurred</w:t>
            </w:r>
            <w:r w:rsidRPr="00127152">
              <w:t xml:space="preserve"> before the </w:t>
            </w:r>
            <w:r w:rsidR="00613465">
              <w:rPr>
                <w:lang w:val="en-GB"/>
              </w:rPr>
              <w:t>Effective D</w:t>
            </w:r>
            <w:r w:rsidRPr="00127152">
              <w:t>ate of this Contract (including bid costs)</w:t>
            </w:r>
            <w:r>
              <w:rPr>
                <w:lang w:val="en-GB"/>
              </w:rPr>
              <w:t xml:space="preserve"> </w:t>
            </w:r>
          </w:p>
          <w:p w:rsidR="002058A3" w:rsidRPr="00FE27B0" w:rsidRDefault="002058A3" w:rsidP="00D746B2">
            <w:pPr>
              <w:pStyle w:val="Body"/>
              <w:numPr>
                <w:ilvl w:val="0"/>
                <w:numId w:val="17"/>
              </w:numPr>
              <w:jc w:val="left"/>
              <w:rPr>
                <w:lang w:val="en-GB"/>
              </w:rPr>
            </w:pPr>
            <w:r w:rsidRPr="00127152">
              <w:t>Any cost relating to insurance and insurance policies</w:t>
            </w:r>
          </w:p>
          <w:p w:rsidR="002058A3" w:rsidRPr="00FE27B0" w:rsidRDefault="002058A3" w:rsidP="00D746B2">
            <w:pPr>
              <w:pStyle w:val="Body"/>
              <w:numPr>
                <w:ilvl w:val="0"/>
                <w:numId w:val="17"/>
              </w:numPr>
              <w:jc w:val="left"/>
              <w:rPr>
                <w:lang w:val="en-GB"/>
              </w:rPr>
            </w:pPr>
            <w:r w:rsidRPr="00127152">
              <w:t>Customer acquisition and churn costs</w:t>
            </w:r>
          </w:p>
          <w:p w:rsidR="002058A3" w:rsidRPr="00127152" w:rsidRDefault="002058A3" w:rsidP="00D746B2">
            <w:pPr>
              <w:pStyle w:val="Body"/>
              <w:numPr>
                <w:ilvl w:val="0"/>
                <w:numId w:val="17"/>
              </w:numPr>
              <w:jc w:val="left"/>
            </w:pPr>
            <w:r w:rsidRPr="00127152">
              <w:t xml:space="preserve">General corporate or unabsorbed overheads </w:t>
            </w:r>
          </w:p>
          <w:p w:rsidR="002058A3" w:rsidRPr="00FE27B0" w:rsidRDefault="002058A3" w:rsidP="00D746B2">
            <w:pPr>
              <w:pStyle w:val="Body"/>
              <w:numPr>
                <w:ilvl w:val="0"/>
                <w:numId w:val="17"/>
              </w:numPr>
              <w:jc w:val="left"/>
              <w:rPr>
                <w:lang w:val="en-GB"/>
              </w:rPr>
            </w:pPr>
            <w:r w:rsidRPr="00127152">
              <w:t>Depreciation, amortisation and impairment of assets</w:t>
            </w:r>
          </w:p>
          <w:p w:rsidR="002058A3" w:rsidRDefault="002058A3" w:rsidP="00D746B2">
            <w:pPr>
              <w:pStyle w:val="Body"/>
              <w:numPr>
                <w:ilvl w:val="0"/>
                <w:numId w:val="17"/>
              </w:numPr>
              <w:jc w:val="left"/>
              <w:rPr>
                <w:lang w:val="en-GB"/>
              </w:rPr>
            </w:pPr>
            <w:r w:rsidRPr="00127152">
              <w:t>Service and financing costs under finance leases, of broadband infrastructure, plant, machinery and equipment</w:t>
            </w:r>
          </w:p>
          <w:p w:rsidR="002058A3" w:rsidRPr="00FE27B0" w:rsidRDefault="002058A3" w:rsidP="00D746B2">
            <w:pPr>
              <w:pStyle w:val="Body"/>
              <w:numPr>
                <w:ilvl w:val="0"/>
                <w:numId w:val="17"/>
              </w:numPr>
              <w:jc w:val="left"/>
              <w:rPr>
                <w:lang w:val="en-GB"/>
              </w:rPr>
            </w:pPr>
            <w:r w:rsidRPr="00127152">
              <w:t xml:space="preserve">Operating costs of providing </w:t>
            </w:r>
            <w:r>
              <w:t xml:space="preserve">broadband services </w:t>
            </w:r>
            <w:r>
              <w:rPr>
                <w:lang w:val="en-GB"/>
              </w:rPr>
              <w:t>(</w:t>
            </w:r>
            <w:r w:rsidRPr="00127152">
              <w:t>retail) to third parties and consumers</w:t>
            </w:r>
          </w:p>
          <w:p w:rsidR="002058A3" w:rsidRPr="00FE27B0" w:rsidRDefault="002058A3" w:rsidP="00D746B2">
            <w:pPr>
              <w:pStyle w:val="Body"/>
              <w:numPr>
                <w:ilvl w:val="0"/>
                <w:numId w:val="17"/>
              </w:numPr>
              <w:jc w:val="left"/>
              <w:rPr>
                <w:lang w:val="en-GB"/>
              </w:rPr>
            </w:pPr>
            <w:r w:rsidRPr="00127152">
              <w:t>Demand surveys, marketing other sales costs</w:t>
            </w:r>
          </w:p>
          <w:p w:rsidR="002058A3" w:rsidRPr="00FE27B0" w:rsidRDefault="002058A3" w:rsidP="00D746B2">
            <w:pPr>
              <w:pStyle w:val="Body"/>
              <w:numPr>
                <w:ilvl w:val="0"/>
                <w:numId w:val="17"/>
              </w:numPr>
              <w:jc w:val="left"/>
              <w:rPr>
                <w:lang w:val="en-GB"/>
              </w:rPr>
            </w:pPr>
            <w:r w:rsidRPr="00127152">
              <w:t>Corporation tax and non domestic rates</w:t>
            </w:r>
          </w:p>
          <w:p w:rsidR="002058A3" w:rsidRDefault="002058A3" w:rsidP="00D746B2">
            <w:pPr>
              <w:pStyle w:val="Body"/>
              <w:numPr>
                <w:ilvl w:val="0"/>
                <w:numId w:val="17"/>
              </w:numPr>
              <w:jc w:val="left"/>
              <w:rPr>
                <w:lang w:val="en-GB"/>
              </w:rPr>
            </w:pPr>
            <w:r w:rsidRPr="00127152">
              <w:t xml:space="preserve">Retail connection costs and </w:t>
            </w:r>
            <w:r w:rsidRPr="00127152">
              <w:rPr>
                <w:lang w:val="en-GB"/>
              </w:rPr>
              <w:t>End User</w:t>
            </w:r>
            <w:r w:rsidRPr="00127152">
              <w:t xml:space="preserve"> Premises </w:t>
            </w:r>
            <w:r w:rsidR="00C71CF6" w:rsidRPr="00127152">
              <w:t>equipment</w:t>
            </w:r>
            <w:r w:rsidRPr="00127152">
              <w:t xml:space="preserve"> at retail level</w:t>
            </w:r>
          </w:p>
          <w:p w:rsidR="00C71CF6" w:rsidRDefault="00C71CF6" w:rsidP="00D746B2">
            <w:pPr>
              <w:pStyle w:val="Body"/>
              <w:numPr>
                <w:ilvl w:val="0"/>
                <w:numId w:val="17"/>
              </w:numPr>
              <w:jc w:val="left"/>
              <w:rPr>
                <w:lang w:val="en-GB"/>
              </w:rPr>
            </w:pPr>
            <w:r>
              <w:rPr>
                <w:lang w:val="en-GB"/>
              </w:rPr>
              <w:t>Any premium rates of overtime, unless prior approval given by the Authority</w:t>
            </w:r>
          </w:p>
          <w:p w:rsidR="005D0BD1" w:rsidRDefault="005D0BD1" w:rsidP="00D17E00">
            <w:pPr>
              <w:pStyle w:val="Body"/>
              <w:numPr>
                <w:ilvl w:val="0"/>
                <w:numId w:val="17"/>
              </w:numPr>
              <w:jc w:val="left"/>
              <w:rPr>
                <w:lang w:val="en-GB"/>
              </w:rPr>
            </w:pPr>
            <w:r>
              <w:t>Cost of vectoring technologies, where such technologies are not integral to a significant improvement in the available network</w:t>
            </w:r>
          </w:p>
          <w:p w:rsidR="00C8401D" w:rsidRDefault="00C8401D" w:rsidP="00C8401D">
            <w:pPr>
              <w:pStyle w:val="Body"/>
              <w:numPr>
                <w:ilvl w:val="0"/>
                <w:numId w:val="17"/>
              </w:numPr>
              <w:jc w:val="left"/>
              <w:rPr>
                <w:lang w:val="en-GB"/>
              </w:rPr>
            </w:pPr>
            <w:r w:rsidRPr="00127152">
              <w:t xml:space="preserve">Additional costs incurred as a result of Supplier </w:t>
            </w:r>
            <w:r w:rsidRPr="00FE27B0">
              <w:rPr>
                <w:lang w:val="en-GB"/>
              </w:rPr>
              <w:t>D</w:t>
            </w:r>
            <w:r>
              <w:rPr>
                <w:lang w:val="en-GB"/>
              </w:rPr>
              <w:t>efault</w:t>
            </w:r>
          </w:p>
          <w:p w:rsidR="00677A2F" w:rsidRPr="002058A3" w:rsidRDefault="00677A2F">
            <w:pPr>
              <w:pStyle w:val="Body"/>
              <w:numPr>
                <w:ilvl w:val="0"/>
                <w:numId w:val="17"/>
              </w:numPr>
              <w:jc w:val="left"/>
              <w:rPr>
                <w:lang w:val="en-GB"/>
              </w:rPr>
            </w:pPr>
            <w:r>
              <w:rPr>
                <w:lang w:val="en-GB"/>
              </w:rPr>
              <w:t>Any other costs expressly identified in this Agreement as not recoverable from the Authority</w:t>
            </w:r>
          </w:p>
        </w:tc>
      </w:tr>
    </w:tbl>
    <w:p w:rsidR="00796B31" w:rsidRDefault="00796B31" w:rsidP="00796B31">
      <w:pPr>
        <w:pStyle w:val="Body"/>
        <w:rPr>
          <w:b/>
          <w:sz w:val="22"/>
          <w:lang w:val="en-GB"/>
        </w:rPr>
      </w:pPr>
    </w:p>
    <w:p w:rsidR="00796B31" w:rsidRPr="00796B31" w:rsidRDefault="00796B31" w:rsidP="00796B31">
      <w:pPr>
        <w:rPr>
          <w:lang w:eastAsia="x-none"/>
        </w:rPr>
      </w:pPr>
    </w:p>
    <w:p w:rsidR="00796B31" w:rsidRPr="00796B31" w:rsidRDefault="00796B31" w:rsidP="00796B31">
      <w:pPr>
        <w:rPr>
          <w:lang w:eastAsia="x-none"/>
        </w:rPr>
      </w:pPr>
    </w:p>
    <w:p w:rsidR="00796B31" w:rsidRPr="00796B31" w:rsidRDefault="00796B31" w:rsidP="00796B31">
      <w:pPr>
        <w:rPr>
          <w:lang w:eastAsia="x-none"/>
        </w:rPr>
      </w:pPr>
    </w:p>
    <w:p w:rsidR="00796B31" w:rsidRPr="00796B31" w:rsidRDefault="00796B31" w:rsidP="00796B31">
      <w:pPr>
        <w:rPr>
          <w:lang w:eastAsia="x-none"/>
        </w:rPr>
      </w:pPr>
    </w:p>
    <w:p w:rsidR="00480249" w:rsidRDefault="00480249">
      <w:pPr>
        <w:jc w:val="left"/>
        <w:rPr>
          <w:b/>
          <w:color w:val="313896"/>
          <w:sz w:val="28"/>
          <w:szCs w:val="28"/>
          <w:lang w:val="en-US"/>
        </w:rPr>
      </w:pPr>
      <w:r>
        <w:rPr>
          <w:b/>
          <w:color w:val="313896"/>
          <w:sz w:val="28"/>
          <w:szCs w:val="28"/>
          <w:lang w:val="en-US"/>
        </w:rPr>
        <w:br w:type="page"/>
      </w:r>
    </w:p>
    <w:p w:rsidR="00480249" w:rsidRDefault="00480249" w:rsidP="00480249">
      <w:pPr>
        <w:jc w:val="center"/>
        <w:rPr>
          <w:b/>
          <w:color w:val="313896"/>
          <w:sz w:val="28"/>
          <w:szCs w:val="28"/>
          <w:lang w:val="en-US"/>
        </w:rPr>
      </w:pPr>
      <w:r w:rsidRPr="00127152">
        <w:rPr>
          <w:b/>
        </w:rPr>
        <w:lastRenderedPageBreak/>
        <w:t xml:space="preserve">APPENDIX </w:t>
      </w:r>
      <w:r>
        <w:rPr>
          <w:b/>
        </w:rPr>
        <w:t>7</w:t>
      </w:r>
      <w:r w:rsidRPr="00127152">
        <w:rPr>
          <w:b/>
        </w:rPr>
        <w:t xml:space="preserve"> – </w:t>
      </w:r>
      <w:r>
        <w:rPr>
          <w:b/>
        </w:rPr>
        <w:t xml:space="preserve">MILESTONE </w:t>
      </w:r>
      <w:r w:rsidR="001D2826">
        <w:rPr>
          <w:b/>
        </w:rPr>
        <w:t>COMPLETION</w:t>
      </w:r>
      <w:r>
        <w:rPr>
          <w:b/>
        </w:rPr>
        <w:t xml:space="preserve"> CERTIFICATE</w:t>
      </w:r>
    </w:p>
    <w:p w:rsidR="00480249" w:rsidRPr="00D806CE" w:rsidRDefault="00480249" w:rsidP="00480249">
      <w:pPr>
        <w:jc w:val="left"/>
        <w:rPr>
          <w:b/>
          <w:color w:val="313896"/>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tblGrid>
      <w:tr w:rsidR="00480249" w:rsidRPr="00D806CE" w:rsidTr="001D2826">
        <w:trPr>
          <w:trHeight w:val="5109"/>
        </w:trPr>
        <w:tc>
          <w:tcPr>
            <w:tcW w:w="8188" w:type="dxa"/>
          </w:tcPr>
          <w:p w:rsidR="00480249" w:rsidRPr="00D806CE" w:rsidRDefault="00480249" w:rsidP="00CF27AF">
            <w:pPr>
              <w:jc w:val="center"/>
              <w:rPr>
                <w:b/>
                <w:lang w:val="en-US"/>
              </w:rPr>
            </w:pPr>
          </w:p>
          <w:p w:rsidR="00480249" w:rsidRPr="00D806CE" w:rsidRDefault="00480249" w:rsidP="00CF27AF">
            <w:pPr>
              <w:jc w:val="center"/>
              <w:rPr>
                <w:b/>
                <w:u w:val="single"/>
                <w:lang w:val="en-US"/>
              </w:rPr>
            </w:pPr>
            <w:r w:rsidRPr="00D806CE">
              <w:rPr>
                <w:b/>
                <w:u w:val="single"/>
                <w:lang w:val="en-US"/>
              </w:rPr>
              <w:t xml:space="preserve">MILESTONE </w:t>
            </w:r>
            <w:r w:rsidR="001D2826">
              <w:rPr>
                <w:b/>
                <w:u w:val="single"/>
                <w:lang w:val="en-US"/>
              </w:rPr>
              <w:t>COMP</w:t>
            </w:r>
            <w:r w:rsidR="00D1492B">
              <w:rPr>
                <w:b/>
                <w:u w:val="single"/>
                <w:lang w:val="en-US"/>
              </w:rPr>
              <w:t>LE</w:t>
            </w:r>
            <w:r w:rsidR="001D2826">
              <w:rPr>
                <w:b/>
                <w:u w:val="single"/>
                <w:lang w:val="en-US"/>
              </w:rPr>
              <w:t>TION</w:t>
            </w:r>
            <w:r w:rsidRPr="00D806CE">
              <w:rPr>
                <w:b/>
                <w:u w:val="single"/>
                <w:lang w:val="en-US"/>
              </w:rPr>
              <w:t xml:space="preserve"> CERTIFICATE</w:t>
            </w:r>
          </w:p>
          <w:p w:rsidR="00480249" w:rsidRPr="00D806CE" w:rsidRDefault="00480249" w:rsidP="00CF27AF">
            <w:pPr>
              <w:jc w:val="center"/>
              <w:rPr>
                <w:b/>
                <w:u w:val="single"/>
                <w:lang w:val="en-US"/>
              </w:rPr>
            </w:pPr>
          </w:p>
          <w:p w:rsidR="00480249" w:rsidRPr="00D806CE" w:rsidRDefault="001D2826" w:rsidP="00CF27AF">
            <w:pPr>
              <w:jc w:val="center"/>
              <w:rPr>
                <w:b/>
                <w:u w:val="single"/>
                <w:lang w:val="en-US"/>
              </w:rPr>
            </w:pPr>
            <w:r>
              <w:rPr>
                <w:b/>
                <w:u w:val="single"/>
                <w:lang w:val="en-US"/>
              </w:rPr>
              <w:t>CONTRACT</w:t>
            </w:r>
            <w:r w:rsidR="00480249" w:rsidRPr="00D806CE">
              <w:rPr>
                <w:b/>
                <w:u w:val="single"/>
                <w:lang w:val="en-US"/>
              </w:rPr>
              <w:t xml:space="preserve"> REFERENCE [</w:t>
            </w:r>
            <w:r w:rsidR="00480249" w:rsidRPr="00D806CE">
              <w:rPr>
                <w:rFonts w:ascii="Calibri" w:hAnsi="Calibri"/>
                <w:b/>
                <w:u w:val="single"/>
                <w:lang w:val="en-US"/>
              </w:rPr>
              <w:t>•</w:t>
            </w:r>
            <w:r w:rsidR="00480249" w:rsidRPr="00D806CE">
              <w:rPr>
                <w:b/>
                <w:u w:val="single"/>
                <w:lang w:val="en-US"/>
              </w:rPr>
              <w:t>]</w:t>
            </w:r>
          </w:p>
          <w:p w:rsidR="00480249" w:rsidRPr="00D806CE" w:rsidRDefault="00480249" w:rsidP="00CF27AF">
            <w:pPr>
              <w:jc w:val="left"/>
              <w:rPr>
                <w:lang w:val="en-US"/>
              </w:rPr>
            </w:pPr>
          </w:p>
          <w:p w:rsidR="00480249" w:rsidRPr="00D806CE" w:rsidRDefault="00480249" w:rsidP="00CF27AF">
            <w:pPr>
              <w:jc w:val="left"/>
              <w:rPr>
                <w:lang w:val="en-US"/>
              </w:rPr>
            </w:pPr>
          </w:p>
          <w:tbl>
            <w:tblPr>
              <w:tblW w:w="7302"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80" w:type="dxa"/>
                <w:right w:w="80" w:type="dxa"/>
              </w:tblCellMar>
              <w:tblLook w:val="0000" w:firstRow="0" w:lastRow="0" w:firstColumn="0" w:lastColumn="0" w:noHBand="0" w:noVBand="0"/>
            </w:tblPr>
            <w:tblGrid>
              <w:gridCol w:w="2269"/>
              <w:gridCol w:w="1528"/>
              <w:gridCol w:w="2336"/>
              <w:gridCol w:w="1169"/>
            </w:tblGrid>
            <w:tr w:rsidR="00480249" w:rsidRPr="00D806CE" w:rsidTr="00CF27AF">
              <w:trPr>
                <w:cantSplit/>
                <w:trHeight w:val="335"/>
              </w:trPr>
              <w:tc>
                <w:tcPr>
                  <w:tcW w:w="7302" w:type="dxa"/>
                  <w:gridSpan w:val="4"/>
                  <w:shd w:val="clear" w:color="auto" w:fill="313896"/>
                </w:tcPr>
                <w:p w:rsidR="00480249" w:rsidRPr="00D806CE" w:rsidRDefault="00480249" w:rsidP="00CF27AF">
                  <w:pPr>
                    <w:pStyle w:val="BodyText"/>
                    <w:spacing w:before="40" w:after="40"/>
                    <w:rPr>
                      <w:rFonts w:cs="Arial"/>
                      <w:b/>
                      <w:color w:val="FFFFFF"/>
                      <w:lang w:val="en-US" w:eastAsia="en-GB"/>
                    </w:rPr>
                  </w:pPr>
                  <w:r w:rsidRPr="00D806CE">
                    <w:rPr>
                      <w:rFonts w:cs="Arial"/>
                      <w:b/>
                      <w:color w:val="FFFFFF"/>
                      <w:lang w:val="en-US" w:eastAsia="en-GB"/>
                    </w:rPr>
                    <w:t>AUTHORITY</w:t>
                  </w:r>
                </w:p>
              </w:tc>
            </w:tr>
            <w:tr w:rsidR="00480249" w:rsidRPr="00D806CE" w:rsidTr="00CF27AF">
              <w:trPr>
                <w:cantSplit/>
                <w:trHeight w:val="379"/>
              </w:trPr>
              <w:tc>
                <w:tcPr>
                  <w:tcW w:w="7302" w:type="dxa"/>
                  <w:gridSpan w:val="4"/>
                </w:tcPr>
                <w:p w:rsidR="00480249" w:rsidRPr="00D806CE" w:rsidRDefault="00480249" w:rsidP="001D2826">
                  <w:pPr>
                    <w:pStyle w:val="BodyText"/>
                    <w:rPr>
                      <w:rFonts w:cs="Arial"/>
                      <w:lang w:val="en-US" w:eastAsia="en-GB"/>
                    </w:rPr>
                  </w:pPr>
                  <w:r w:rsidRPr="00D806CE">
                    <w:rPr>
                      <w:rFonts w:cs="Arial"/>
                      <w:lang w:val="en-US" w:eastAsia="en-GB"/>
                    </w:rPr>
                    <w:t xml:space="preserve">Authority signs below to confirm </w:t>
                  </w:r>
                  <w:r w:rsidR="001D2826">
                    <w:rPr>
                      <w:rFonts w:cs="Arial"/>
                      <w:lang w:val="en-US" w:eastAsia="en-GB"/>
                    </w:rPr>
                    <w:t>that it has completed its standard assurance process for the final contracted MPC under the Contract</w:t>
                  </w:r>
                  <w:r w:rsidRPr="00D806CE">
                    <w:rPr>
                      <w:rFonts w:cs="Arial"/>
                      <w:lang w:val="en-US" w:eastAsia="en-GB"/>
                    </w:rPr>
                    <w:t>:</w:t>
                  </w:r>
                </w:p>
              </w:tc>
            </w:tr>
            <w:tr w:rsidR="00480249" w:rsidRPr="00D806CE" w:rsidTr="00CF27AF">
              <w:trPr>
                <w:cantSplit/>
                <w:trHeight w:val="335"/>
              </w:trPr>
              <w:tc>
                <w:tcPr>
                  <w:tcW w:w="2269" w:type="dxa"/>
                  <w:shd w:val="clear" w:color="auto" w:fill="313896"/>
                </w:tcPr>
                <w:p w:rsidR="00480249" w:rsidRPr="00D806CE" w:rsidRDefault="00480249" w:rsidP="00CF27AF">
                  <w:pPr>
                    <w:pStyle w:val="BodyText"/>
                    <w:spacing w:before="40" w:after="40"/>
                    <w:rPr>
                      <w:rFonts w:cs="Arial"/>
                      <w:b/>
                      <w:color w:val="FFFFFF"/>
                      <w:lang w:val="en-US" w:eastAsia="en-GB"/>
                    </w:rPr>
                  </w:pPr>
                  <w:r w:rsidRPr="00D806CE">
                    <w:rPr>
                      <w:rFonts w:cs="Arial"/>
                      <w:b/>
                      <w:color w:val="FFFFFF"/>
                      <w:lang w:val="en-US" w:eastAsia="en-GB"/>
                    </w:rPr>
                    <w:t>Role</w:t>
                  </w:r>
                  <w:r w:rsidRPr="00D806CE">
                    <w:rPr>
                      <w:rFonts w:cs="Arial"/>
                      <w:b/>
                      <w:color w:val="313896"/>
                      <w:sz w:val="2"/>
                      <w:szCs w:val="2"/>
                      <w:lang w:val="en-GB" w:eastAsia="en-GB"/>
                    </w:rPr>
                    <w:t>©</w:t>
                  </w:r>
                </w:p>
              </w:tc>
              <w:tc>
                <w:tcPr>
                  <w:tcW w:w="1528" w:type="dxa"/>
                  <w:shd w:val="clear" w:color="auto" w:fill="313896"/>
                </w:tcPr>
                <w:p w:rsidR="00480249" w:rsidRPr="00D806CE" w:rsidRDefault="00480249" w:rsidP="00CF27AF">
                  <w:pPr>
                    <w:pStyle w:val="BodyText"/>
                    <w:spacing w:before="40" w:after="40"/>
                    <w:rPr>
                      <w:rFonts w:cs="Arial"/>
                      <w:b/>
                      <w:color w:val="FFFFFF"/>
                      <w:lang w:val="en-US" w:eastAsia="en-GB"/>
                    </w:rPr>
                  </w:pPr>
                  <w:r w:rsidRPr="00D806CE">
                    <w:rPr>
                      <w:rFonts w:cs="Arial"/>
                      <w:b/>
                      <w:color w:val="FFFFFF"/>
                      <w:lang w:val="en-US" w:eastAsia="en-GB"/>
                    </w:rPr>
                    <w:t>Name (print)</w:t>
                  </w:r>
                </w:p>
              </w:tc>
              <w:tc>
                <w:tcPr>
                  <w:tcW w:w="2336" w:type="dxa"/>
                  <w:shd w:val="clear" w:color="auto" w:fill="313896"/>
                </w:tcPr>
                <w:p w:rsidR="00480249" w:rsidRPr="00D806CE" w:rsidRDefault="00480249" w:rsidP="00CF27AF">
                  <w:pPr>
                    <w:pStyle w:val="BodyText"/>
                    <w:spacing w:before="40" w:after="40"/>
                    <w:rPr>
                      <w:rFonts w:cs="Arial"/>
                      <w:b/>
                      <w:color w:val="FFFFFF"/>
                      <w:lang w:val="en-US" w:eastAsia="en-GB"/>
                    </w:rPr>
                  </w:pPr>
                  <w:r w:rsidRPr="00D806CE">
                    <w:rPr>
                      <w:rFonts w:cs="Arial"/>
                      <w:b/>
                      <w:color w:val="FFFFFF"/>
                      <w:lang w:val="en-US" w:eastAsia="en-GB"/>
                    </w:rPr>
                    <w:t>Signature</w:t>
                  </w:r>
                </w:p>
              </w:tc>
              <w:tc>
                <w:tcPr>
                  <w:tcW w:w="1168" w:type="dxa"/>
                  <w:shd w:val="clear" w:color="auto" w:fill="313896"/>
                </w:tcPr>
                <w:p w:rsidR="00480249" w:rsidRPr="00D806CE" w:rsidRDefault="00480249" w:rsidP="00CF27AF">
                  <w:pPr>
                    <w:pStyle w:val="BodyText"/>
                    <w:spacing w:before="40" w:after="40"/>
                    <w:rPr>
                      <w:rFonts w:cs="Arial"/>
                      <w:b/>
                      <w:color w:val="FFFFFF"/>
                      <w:lang w:val="en-US" w:eastAsia="en-GB"/>
                    </w:rPr>
                  </w:pPr>
                  <w:r w:rsidRPr="00D806CE">
                    <w:rPr>
                      <w:rFonts w:cs="Arial"/>
                      <w:b/>
                      <w:color w:val="FFFFFF"/>
                      <w:lang w:val="en-US" w:eastAsia="en-GB"/>
                    </w:rPr>
                    <w:t>Date</w:t>
                  </w:r>
                </w:p>
              </w:tc>
            </w:tr>
            <w:tr w:rsidR="00480249" w:rsidRPr="00D806CE" w:rsidTr="00CF27AF">
              <w:trPr>
                <w:cantSplit/>
                <w:trHeight w:val="758"/>
              </w:trPr>
              <w:tc>
                <w:tcPr>
                  <w:tcW w:w="2269" w:type="dxa"/>
                </w:tcPr>
                <w:p w:rsidR="00480249" w:rsidRPr="00D806CE" w:rsidRDefault="00480249" w:rsidP="00CF27AF">
                  <w:pPr>
                    <w:pStyle w:val="BodyText"/>
                    <w:rPr>
                      <w:rFonts w:cs="Arial"/>
                      <w:bCs/>
                      <w:lang w:val="en-US" w:eastAsia="en-GB"/>
                    </w:rPr>
                  </w:pPr>
                  <w:r w:rsidRPr="00D806CE">
                    <w:rPr>
                      <w:rFonts w:cs="Arial"/>
                      <w:bCs/>
                      <w:lang w:val="en-US" w:eastAsia="en-GB"/>
                    </w:rPr>
                    <w:t>Authority Project Manager</w:t>
                  </w:r>
                  <w:r w:rsidRPr="00D806CE">
                    <w:rPr>
                      <w:rFonts w:cs="Arial"/>
                      <w:color w:val="FFFFFF"/>
                      <w:sz w:val="2"/>
                      <w:szCs w:val="2"/>
                      <w:lang w:val="en-GB" w:eastAsia="en-GB"/>
                    </w:rPr>
                    <w:t>©</w:t>
                  </w:r>
                </w:p>
                <w:p w:rsidR="00480249" w:rsidRPr="00D806CE" w:rsidRDefault="00480249" w:rsidP="00CF27AF">
                  <w:pPr>
                    <w:pStyle w:val="BodyText"/>
                    <w:rPr>
                      <w:rFonts w:cs="Arial"/>
                      <w:lang w:val="en-US" w:eastAsia="en-GB"/>
                    </w:rPr>
                  </w:pPr>
                </w:p>
              </w:tc>
              <w:tc>
                <w:tcPr>
                  <w:tcW w:w="1528" w:type="dxa"/>
                  <w:vAlign w:val="center"/>
                </w:tcPr>
                <w:p w:rsidR="00480249" w:rsidRPr="00D806CE" w:rsidRDefault="00480249" w:rsidP="00CF27AF">
                  <w:pPr>
                    <w:pStyle w:val="BodyText"/>
                    <w:rPr>
                      <w:rFonts w:cs="Arial"/>
                      <w:lang w:val="en-US" w:eastAsia="en-GB"/>
                    </w:rPr>
                  </w:pPr>
                </w:p>
              </w:tc>
              <w:tc>
                <w:tcPr>
                  <w:tcW w:w="2336" w:type="dxa"/>
                  <w:vAlign w:val="center"/>
                </w:tcPr>
                <w:p w:rsidR="00480249" w:rsidRPr="00D806CE" w:rsidRDefault="00480249" w:rsidP="00CF27AF">
                  <w:pPr>
                    <w:pStyle w:val="BodyText"/>
                    <w:rPr>
                      <w:rFonts w:cs="Arial"/>
                      <w:lang w:val="en-US" w:eastAsia="en-GB"/>
                    </w:rPr>
                  </w:pPr>
                </w:p>
              </w:tc>
              <w:tc>
                <w:tcPr>
                  <w:tcW w:w="1168" w:type="dxa"/>
                  <w:vAlign w:val="center"/>
                </w:tcPr>
                <w:p w:rsidR="00480249" w:rsidRPr="00D806CE" w:rsidRDefault="00480249" w:rsidP="00CF27AF">
                  <w:pPr>
                    <w:pStyle w:val="BodyText"/>
                    <w:rPr>
                      <w:rFonts w:cs="Arial"/>
                      <w:lang w:val="en-US" w:eastAsia="en-GB"/>
                    </w:rPr>
                  </w:pPr>
                </w:p>
              </w:tc>
            </w:tr>
            <w:tr w:rsidR="00480249" w:rsidRPr="00D806CE" w:rsidTr="00CF27AF">
              <w:trPr>
                <w:cantSplit/>
                <w:trHeight w:val="788"/>
              </w:trPr>
              <w:tc>
                <w:tcPr>
                  <w:tcW w:w="2269" w:type="dxa"/>
                </w:tcPr>
                <w:p w:rsidR="00480249" w:rsidRPr="00D806CE" w:rsidRDefault="00480249" w:rsidP="00CF27AF">
                  <w:pPr>
                    <w:jc w:val="left"/>
                    <w:rPr>
                      <w:bCs/>
                      <w:szCs w:val="24"/>
                      <w:lang w:val="en-US" w:eastAsia="da-DK"/>
                    </w:rPr>
                  </w:pPr>
                  <w:r w:rsidRPr="00D806CE">
                    <w:rPr>
                      <w:bCs/>
                      <w:szCs w:val="24"/>
                      <w:lang w:val="en-US" w:eastAsia="da-DK"/>
                    </w:rPr>
                    <w:t>Authority Quality Manager</w:t>
                  </w:r>
                </w:p>
                <w:p w:rsidR="00480249" w:rsidRPr="00D806CE" w:rsidRDefault="00480249" w:rsidP="00CF27AF">
                  <w:pPr>
                    <w:jc w:val="left"/>
                    <w:rPr>
                      <w:i/>
                      <w:color w:val="808080"/>
                      <w:lang w:val="en-US" w:eastAsia="da-DK"/>
                    </w:rPr>
                  </w:pPr>
                  <w:r w:rsidRPr="00D806CE">
                    <w:rPr>
                      <w:i/>
                      <w:color w:val="808080"/>
                      <w:lang w:val="en-US" w:eastAsia="da-DK"/>
                    </w:rPr>
                    <w:t>(if applicable)</w:t>
                  </w:r>
                </w:p>
                <w:p w:rsidR="00480249" w:rsidRPr="00D806CE" w:rsidRDefault="00480249" w:rsidP="00CF27AF">
                  <w:pPr>
                    <w:jc w:val="left"/>
                    <w:rPr>
                      <w:sz w:val="24"/>
                      <w:szCs w:val="24"/>
                      <w:lang w:val="en-US" w:eastAsia="da-DK"/>
                    </w:rPr>
                  </w:pPr>
                </w:p>
              </w:tc>
              <w:tc>
                <w:tcPr>
                  <w:tcW w:w="1528" w:type="dxa"/>
                  <w:vAlign w:val="center"/>
                </w:tcPr>
                <w:p w:rsidR="00480249" w:rsidRPr="00D806CE" w:rsidRDefault="00480249" w:rsidP="00CF27AF">
                  <w:pPr>
                    <w:pStyle w:val="BodyText"/>
                    <w:rPr>
                      <w:rFonts w:cs="Arial"/>
                      <w:iCs/>
                      <w:color w:val="008000"/>
                      <w:lang w:val="en-US" w:eastAsia="en-GB"/>
                    </w:rPr>
                  </w:pPr>
                </w:p>
              </w:tc>
              <w:tc>
                <w:tcPr>
                  <w:tcW w:w="2336" w:type="dxa"/>
                  <w:vAlign w:val="center"/>
                </w:tcPr>
                <w:p w:rsidR="00480249" w:rsidRPr="00D806CE" w:rsidRDefault="00480249" w:rsidP="00CF27AF">
                  <w:pPr>
                    <w:pStyle w:val="BodyText"/>
                    <w:rPr>
                      <w:rFonts w:cs="Arial"/>
                      <w:iCs/>
                      <w:color w:val="008000"/>
                      <w:lang w:val="en-US" w:eastAsia="en-GB"/>
                    </w:rPr>
                  </w:pPr>
                </w:p>
              </w:tc>
              <w:tc>
                <w:tcPr>
                  <w:tcW w:w="1168" w:type="dxa"/>
                  <w:vAlign w:val="center"/>
                </w:tcPr>
                <w:p w:rsidR="00480249" w:rsidRPr="00D806CE" w:rsidRDefault="00480249" w:rsidP="00CF27AF">
                  <w:pPr>
                    <w:pStyle w:val="BodyText"/>
                    <w:rPr>
                      <w:rFonts w:cs="Arial"/>
                      <w:iCs/>
                      <w:color w:val="008000"/>
                      <w:lang w:val="en-US" w:eastAsia="en-GB"/>
                    </w:rPr>
                  </w:pPr>
                </w:p>
              </w:tc>
            </w:tr>
          </w:tbl>
          <w:p w:rsidR="00480249" w:rsidRDefault="00480249" w:rsidP="00CF27AF">
            <w:pPr>
              <w:jc w:val="left"/>
              <w:rPr>
                <w:lang w:val="en-US"/>
              </w:rPr>
            </w:pPr>
          </w:p>
          <w:p w:rsidR="00D1492B" w:rsidRDefault="00D1492B" w:rsidP="00D1492B">
            <w:pPr>
              <w:jc w:val="left"/>
              <w:rPr>
                <w:lang w:val="en-US"/>
              </w:rPr>
            </w:pPr>
            <w:r>
              <w:rPr>
                <w:lang w:val="en-US"/>
              </w:rPr>
              <w:t>Summary of completed Milestone assured:</w:t>
            </w:r>
          </w:p>
          <w:p w:rsidR="00D1492B" w:rsidRDefault="00D1492B" w:rsidP="00CF27AF">
            <w:pPr>
              <w:jc w:val="left"/>
              <w:rPr>
                <w:lang w:val="en-US"/>
              </w:rPr>
            </w:pPr>
          </w:p>
          <w:p w:rsidR="00D1492B" w:rsidRDefault="00D1492B" w:rsidP="00CF27AF">
            <w:pPr>
              <w:jc w:val="left"/>
              <w:rPr>
                <w:lang w:val="en-US"/>
              </w:rPr>
            </w:pPr>
            <w:r>
              <w:rPr>
                <w:lang w:val="en-US"/>
              </w:rPr>
              <w:t>[</w:t>
            </w:r>
            <w:r>
              <w:rPr>
                <w:rFonts w:ascii="Times New Roman" w:hAnsi="Times New Roman" w:cs="Times New Roman"/>
                <w:lang w:val="en-US"/>
              </w:rPr>
              <w:t>●</w:t>
            </w:r>
            <w:r>
              <w:rPr>
                <w:lang w:val="en-US"/>
              </w:rPr>
              <w:t>]</w:t>
            </w:r>
          </w:p>
          <w:p w:rsidR="00D1492B" w:rsidRPr="00D806CE" w:rsidRDefault="00D1492B" w:rsidP="00CF27AF">
            <w:pPr>
              <w:jc w:val="left"/>
              <w:rPr>
                <w:lang w:val="en-US"/>
              </w:rPr>
            </w:pPr>
          </w:p>
        </w:tc>
      </w:tr>
    </w:tbl>
    <w:p w:rsidR="00480249" w:rsidRPr="00D806CE" w:rsidRDefault="00480249" w:rsidP="00480249">
      <w:pPr>
        <w:jc w:val="left"/>
        <w:rPr>
          <w:lang w:val="en-US"/>
        </w:rPr>
      </w:pPr>
    </w:p>
    <w:p w:rsidR="00796B31" w:rsidRPr="001D2826" w:rsidRDefault="00796B31" w:rsidP="00796B31">
      <w:pPr>
        <w:rPr>
          <w:lang w:val="en-US" w:eastAsia="x-none"/>
        </w:rPr>
      </w:pPr>
    </w:p>
    <w:p w:rsidR="00796B31" w:rsidRPr="00796B31" w:rsidRDefault="00796B31" w:rsidP="00796B31">
      <w:pPr>
        <w:rPr>
          <w:lang w:eastAsia="x-none"/>
        </w:rPr>
      </w:pPr>
    </w:p>
    <w:p w:rsidR="00796B31" w:rsidRPr="00796B31" w:rsidRDefault="00796B31" w:rsidP="00796B31">
      <w:pPr>
        <w:rPr>
          <w:lang w:eastAsia="x-none"/>
        </w:rPr>
      </w:pPr>
    </w:p>
    <w:p w:rsidR="00796B31" w:rsidRPr="00796B31" w:rsidRDefault="00796B31" w:rsidP="00796B31">
      <w:pPr>
        <w:rPr>
          <w:lang w:eastAsia="x-none"/>
        </w:rPr>
      </w:pPr>
    </w:p>
    <w:p w:rsidR="00796B31" w:rsidRPr="00796B31" w:rsidRDefault="00796B31" w:rsidP="00796B31">
      <w:pPr>
        <w:rPr>
          <w:lang w:eastAsia="x-none"/>
        </w:rPr>
      </w:pPr>
    </w:p>
    <w:p w:rsidR="00315E5B" w:rsidRPr="00E66097" w:rsidRDefault="00315E5B" w:rsidP="00025FC3">
      <w:pPr>
        <w:tabs>
          <w:tab w:val="left" w:pos="5270"/>
        </w:tabs>
      </w:pPr>
    </w:p>
    <w:sectPr w:rsidR="00315E5B" w:rsidRPr="00E66097" w:rsidSect="004B6306">
      <w:footerReference w:type="default" r:id="rId15"/>
      <w:footerReference w:type="first" r:id="rId16"/>
      <w:pgSz w:w="11907" w:h="16840" w:code="9"/>
      <w:pgMar w:top="1418" w:right="1701" w:bottom="1418" w:left="1701" w:header="709" w:footer="709" w:gutter="0"/>
      <w:paperSrc w:first="11" w:other="1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9BC" w:rsidRDefault="00D709BC">
      <w:r>
        <w:separator/>
      </w:r>
    </w:p>
    <w:p w:rsidR="00D709BC" w:rsidRDefault="00D709BC"/>
  </w:endnote>
  <w:endnote w:type="continuationSeparator" w:id="0">
    <w:p w:rsidR="00D709BC" w:rsidRDefault="00D709BC">
      <w:r>
        <w:continuationSeparator/>
      </w:r>
    </w:p>
    <w:p w:rsidR="00D709BC" w:rsidRDefault="00D709BC"/>
  </w:endnote>
  <w:endnote w:type="continuationNotice" w:id="1">
    <w:p w:rsidR="00D709BC" w:rsidRDefault="00D709BC"/>
    <w:p w:rsidR="00D709BC" w:rsidRDefault="00D70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45 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004" w:rsidRPr="00166F4D" w:rsidRDefault="00641004" w:rsidP="00A51384">
    <w:pPr>
      <w:pStyle w:val="Footer"/>
      <w:rPr>
        <w:szCs w:val="16"/>
      </w:rPr>
    </w:pPr>
  </w:p>
  <w:p w:rsidR="00641004" w:rsidRPr="00166F4D" w:rsidRDefault="00641004" w:rsidP="00A51384">
    <w:pPr>
      <w:pStyle w:val="Footer"/>
      <w:rPr>
        <w:szCs w:val="16"/>
      </w:rPr>
    </w:pPr>
  </w:p>
  <w:p w:rsidR="00641004" w:rsidRPr="00A51384" w:rsidRDefault="00641004" w:rsidP="00A51384">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004" w:rsidRPr="009F6272" w:rsidRDefault="00641004" w:rsidP="00A51384">
    <w:pPr>
      <w:pStyle w:val="Footer"/>
      <w:pBdr>
        <w:top w:val="single" w:sz="4" w:space="1" w:color="auto"/>
      </w:pBdr>
      <w:tabs>
        <w:tab w:val="right" w:pos="9000"/>
      </w:tabs>
      <w:ind w:right="29"/>
      <w:jc w:val="left"/>
      <w:rPr>
        <w:szCs w:val="16"/>
        <w:lang w:val="en-GB"/>
      </w:rPr>
    </w:pPr>
    <w:r>
      <w:rPr>
        <w:szCs w:val="16"/>
        <w:lang w:val="en-GB"/>
      </w:rPr>
      <w:t>SCHEDULE 5.1 – MILESTONE PAYMENTS AND CLAIMS PROCEDURE</w:t>
    </w:r>
  </w:p>
  <w:p w:rsidR="00641004" w:rsidRPr="00166F4D" w:rsidRDefault="00641004" w:rsidP="00A51384">
    <w:pPr>
      <w:pStyle w:val="Footer"/>
      <w:pBdr>
        <w:top w:val="single" w:sz="4" w:space="1" w:color="auto"/>
      </w:pBdr>
      <w:tabs>
        <w:tab w:val="right" w:pos="9000"/>
      </w:tabs>
      <w:ind w:right="29"/>
      <w:jc w:val="center"/>
      <w:rPr>
        <w:szCs w:val="16"/>
      </w:rPr>
    </w:pPr>
    <w:r w:rsidRPr="00166F4D">
      <w:rPr>
        <w:rStyle w:val="PageNumber"/>
        <w:szCs w:val="16"/>
      </w:rPr>
      <w:fldChar w:fldCharType="begin"/>
    </w:r>
    <w:r w:rsidRPr="00166F4D">
      <w:rPr>
        <w:rStyle w:val="PageNumber"/>
        <w:szCs w:val="16"/>
      </w:rPr>
      <w:instrText xml:space="preserve"> PAGE </w:instrText>
    </w:r>
    <w:r w:rsidRPr="00166F4D">
      <w:rPr>
        <w:rStyle w:val="PageNumber"/>
        <w:szCs w:val="16"/>
      </w:rPr>
      <w:fldChar w:fldCharType="separate"/>
    </w:r>
    <w:r w:rsidR="004D4408">
      <w:rPr>
        <w:rStyle w:val="PageNumber"/>
        <w:noProof/>
        <w:szCs w:val="16"/>
      </w:rPr>
      <w:t>5</w:t>
    </w:r>
    <w:r w:rsidRPr="00166F4D">
      <w:rPr>
        <w:rStyle w:val="PageNumber"/>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004" w:rsidRPr="00166F4D" w:rsidRDefault="00641004" w:rsidP="00792D73">
    <w:pPr>
      <w:pStyle w:val="Footer"/>
      <w:pBdr>
        <w:top w:val="single" w:sz="4" w:space="1" w:color="auto"/>
      </w:pBdr>
      <w:tabs>
        <w:tab w:val="right" w:pos="9000"/>
      </w:tabs>
      <w:ind w:right="29"/>
      <w:jc w:val="center"/>
      <w:rPr>
        <w:szCs w:val="16"/>
      </w:rPr>
    </w:pPr>
    <w:r w:rsidRPr="00166F4D">
      <w:rPr>
        <w:rStyle w:val="PageNumber"/>
        <w:szCs w:val="16"/>
      </w:rPr>
      <w:fldChar w:fldCharType="begin"/>
    </w:r>
    <w:r w:rsidRPr="00166F4D">
      <w:rPr>
        <w:rStyle w:val="PageNumber"/>
        <w:szCs w:val="16"/>
      </w:rPr>
      <w:instrText xml:space="preserve"> PAGE </w:instrText>
    </w:r>
    <w:r w:rsidRPr="00166F4D">
      <w:rPr>
        <w:rStyle w:val="PageNumber"/>
        <w:szCs w:val="16"/>
      </w:rPr>
      <w:fldChar w:fldCharType="separate"/>
    </w:r>
    <w:r w:rsidR="004D4408">
      <w:rPr>
        <w:rStyle w:val="PageNumber"/>
        <w:noProof/>
        <w:szCs w:val="16"/>
      </w:rPr>
      <w:t>3</w:t>
    </w:r>
    <w:r w:rsidRPr="00166F4D">
      <w:rPr>
        <w:rStyle w:val="PageNumber"/>
        <w:szCs w:val="16"/>
      </w:rPr>
      <w:fldChar w:fldCharType="end"/>
    </w:r>
  </w:p>
  <w:p w:rsidR="00641004" w:rsidRPr="00166F4D" w:rsidRDefault="00641004" w:rsidP="00792D73">
    <w:pPr>
      <w:pStyle w:val="Footer"/>
      <w:rPr>
        <w:szCs w:val="16"/>
      </w:rPr>
    </w:pPr>
  </w:p>
  <w:p w:rsidR="00641004" w:rsidRPr="00792D73" w:rsidRDefault="00641004" w:rsidP="00796B31">
    <w:pPr>
      <w:pStyle w:val="Footer"/>
    </w:pPr>
  </w:p>
  <w:p w:rsidR="00641004" w:rsidRDefault="006410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9BC" w:rsidRDefault="00D709BC">
      <w:r>
        <w:separator/>
      </w:r>
    </w:p>
    <w:p w:rsidR="00D709BC" w:rsidRDefault="00D709BC"/>
  </w:footnote>
  <w:footnote w:type="continuationSeparator" w:id="0">
    <w:p w:rsidR="00D709BC" w:rsidRDefault="00D709BC">
      <w:r>
        <w:continuationSeparator/>
      </w:r>
    </w:p>
    <w:p w:rsidR="00D709BC" w:rsidRDefault="00D709BC"/>
  </w:footnote>
  <w:footnote w:type="continuationNotice" w:id="1">
    <w:p w:rsidR="00D709BC" w:rsidRDefault="00D709BC"/>
    <w:p w:rsidR="00D709BC" w:rsidRDefault="00D709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DB7046"/>
    <w:multiLevelType w:val="hybridMultilevel"/>
    <w:tmpl w:val="302A4C7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24E1578"/>
    <w:multiLevelType w:val="multilevel"/>
    <w:tmpl w:val="4648CF4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84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02A93117"/>
    <w:multiLevelType w:val="hybridMultilevel"/>
    <w:tmpl w:val="277293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59580B"/>
    <w:multiLevelType w:val="hybridMultilevel"/>
    <w:tmpl w:val="F238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0730FD"/>
    <w:multiLevelType w:val="hybridMultilevel"/>
    <w:tmpl w:val="3DCC4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E24398"/>
    <w:multiLevelType w:val="hybridMultilevel"/>
    <w:tmpl w:val="D0F6180E"/>
    <w:lvl w:ilvl="0" w:tplc="E4785F3A">
      <w:start w:val="1"/>
      <w:numFmt w:val="lowerLetter"/>
      <w:lvlText w:val="(%1)"/>
      <w:lvlJc w:val="left"/>
      <w:pPr>
        <w:ind w:left="720" w:hanging="360"/>
      </w:pPr>
      <w:rPr>
        <w:rFonts w:cs="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A17BF1"/>
    <w:multiLevelType w:val="hybridMultilevel"/>
    <w:tmpl w:val="3DB6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B5BFD"/>
    <w:multiLevelType w:val="hybridMultilevel"/>
    <w:tmpl w:val="DA9C53AE"/>
    <w:lvl w:ilvl="0" w:tplc="A6802B34">
      <w:start w:val="1"/>
      <w:numFmt w:val="bullet"/>
      <w:lvlText w:val=""/>
      <w:lvlJc w:val="left"/>
      <w:pPr>
        <w:ind w:left="720" w:hanging="360"/>
      </w:pPr>
      <w:rPr>
        <w:rFonts w:ascii="Symbol" w:hAnsi="Symbol" w:hint="default"/>
        <w:lang w:val="x-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D21ED"/>
    <w:multiLevelType w:val="multilevel"/>
    <w:tmpl w:val="9836F16C"/>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861820"/>
    <w:multiLevelType w:val="multilevel"/>
    <w:tmpl w:val="E050DFC0"/>
    <w:lvl w:ilvl="0">
      <w:start w:val="1"/>
      <w:numFmt w:val="lowerLetter"/>
      <w:pStyle w:val="eBLists1"/>
      <w:lvlText w:val="%1)"/>
      <w:lvlJc w:val="left"/>
      <w:pPr>
        <w:tabs>
          <w:tab w:val="num" w:pos="1588"/>
        </w:tabs>
        <w:ind w:left="1588" w:hanging="567"/>
      </w:pPr>
      <w:rPr>
        <w:rFonts w:ascii="Arial" w:hAnsi="Arial" w:hint="default"/>
        <w:b w:val="0"/>
        <w:i w:val="0"/>
        <w:color w:val="auto"/>
        <w:position w:val="0"/>
        <w:sz w:val="22"/>
        <w:szCs w:val="22"/>
      </w:rPr>
    </w:lvl>
    <w:lvl w:ilvl="1">
      <w:start w:val="1"/>
      <w:numFmt w:val="lowerRoman"/>
      <w:pStyle w:val="eBLists2"/>
      <w:lvlText w:val="%2)"/>
      <w:lvlJc w:val="left"/>
      <w:pPr>
        <w:tabs>
          <w:tab w:val="num" w:pos="2155"/>
        </w:tabs>
        <w:ind w:left="2155" w:hanging="567"/>
      </w:pPr>
      <w:rPr>
        <w:rFonts w:hint="default"/>
      </w:rPr>
    </w:lvl>
    <w:lvl w:ilvl="2">
      <w:start w:val="1"/>
      <w:numFmt w:val="decimal"/>
      <w:pStyle w:val="eBLists3"/>
      <w:lvlText w:val="%3)"/>
      <w:lvlJc w:val="left"/>
      <w:pPr>
        <w:tabs>
          <w:tab w:val="num" w:pos="2722"/>
        </w:tabs>
        <w:ind w:left="2722" w:hanging="567"/>
      </w:pPr>
      <w:rPr>
        <w:rFonts w:hint="default"/>
      </w:rPr>
    </w:lvl>
    <w:lvl w:ilvl="3">
      <w:start w:val="1"/>
      <w:numFmt w:val="decimal"/>
      <w:lvlText w:val="(%4)"/>
      <w:lvlJc w:val="left"/>
      <w:pPr>
        <w:tabs>
          <w:tab w:val="num" w:pos="1157"/>
        </w:tabs>
        <w:ind w:left="1157" w:hanging="360"/>
      </w:pPr>
      <w:rPr>
        <w:rFonts w:hint="default"/>
      </w:rPr>
    </w:lvl>
    <w:lvl w:ilvl="4">
      <w:start w:val="1"/>
      <w:numFmt w:val="lowerLetter"/>
      <w:lvlText w:val="(%5)"/>
      <w:lvlJc w:val="left"/>
      <w:pPr>
        <w:tabs>
          <w:tab w:val="num" w:pos="1517"/>
        </w:tabs>
        <w:ind w:left="1517" w:hanging="360"/>
      </w:pPr>
      <w:rPr>
        <w:rFonts w:hint="default"/>
      </w:rPr>
    </w:lvl>
    <w:lvl w:ilvl="5">
      <w:start w:val="1"/>
      <w:numFmt w:val="lowerRoman"/>
      <w:lvlText w:val="(%6)"/>
      <w:lvlJc w:val="left"/>
      <w:pPr>
        <w:tabs>
          <w:tab w:val="num" w:pos="1877"/>
        </w:tabs>
        <w:ind w:left="1877" w:hanging="360"/>
      </w:pPr>
      <w:rPr>
        <w:rFonts w:hint="default"/>
      </w:rPr>
    </w:lvl>
    <w:lvl w:ilvl="6">
      <w:start w:val="1"/>
      <w:numFmt w:val="decimal"/>
      <w:lvlText w:val="%7."/>
      <w:lvlJc w:val="left"/>
      <w:pPr>
        <w:tabs>
          <w:tab w:val="num" w:pos="2237"/>
        </w:tabs>
        <w:ind w:left="2237" w:hanging="360"/>
      </w:pPr>
      <w:rPr>
        <w:rFonts w:hint="default"/>
      </w:rPr>
    </w:lvl>
    <w:lvl w:ilvl="7">
      <w:start w:val="1"/>
      <w:numFmt w:val="lowerLetter"/>
      <w:lvlText w:val="%8."/>
      <w:lvlJc w:val="left"/>
      <w:pPr>
        <w:tabs>
          <w:tab w:val="num" w:pos="2597"/>
        </w:tabs>
        <w:ind w:left="2597" w:hanging="360"/>
      </w:pPr>
      <w:rPr>
        <w:rFonts w:hint="default"/>
      </w:rPr>
    </w:lvl>
    <w:lvl w:ilvl="8">
      <w:start w:val="1"/>
      <w:numFmt w:val="lowerRoman"/>
      <w:lvlText w:val="%9."/>
      <w:lvlJc w:val="left"/>
      <w:pPr>
        <w:tabs>
          <w:tab w:val="num" w:pos="2957"/>
        </w:tabs>
        <w:ind w:left="2957" w:hanging="360"/>
      </w:pPr>
      <w:rPr>
        <w:rFonts w:hint="default"/>
      </w:rPr>
    </w:lvl>
  </w:abstractNum>
  <w:abstractNum w:abstractNumId="12" w15:restartNumberingAfterBreak="0">
    <w:nsid w:val="368F43C3"/>
    <w:multiLevelType w:val="hybridMultilevel"/>
    <w:tmpl w:val="650C00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A0519E"/>
    <w:multiLevelType w:val="hybridMultilevel"/>
    <w:tmpl w:val="D9729572"/>
    <w:lvl w:ilvl="0" w:tplc="B55ACAEE">
      <w:start w:val="1"/>
      <w:numFmt w:val="upperLetter"/>
      <w:pStyle w:val="AnnexHeading1"/>
      <w:lvlText w:val="Annex %1."/>
      <w:lvlJc w:val="left"/>
      <w:pPr>
        <w:ind w:left="720" w:hanging="360"/>
      </w:pPr>
      <w:rPr>
        <w:rFonts w:hint="default"/>
      </w:rPr>
    </w:lvl>
    <w:lvl w:ilvl="1" w:tplc="85FEE978" w:tentative="1">
      <w:start w:val="1"/>
      <w:numFmt w:val="lowerLetter"/>
      <w:lvlText w:val="%2."/>
      <w:lvlJc w:val="left"/>
      <w:pPr>
        <w:ind w:left="1440" w:hanging="360"/>
      </w:pPr>
    </w:lvl>
    <w:lvl w:ilvl="2" w:tplc="3C62C9FC" w:tentative="1">
      <w:start w:val="1"/>
      <w:numFmt w:val="lowerRoman"/>
      <w:lvlText w:val="%3."/>
      <w:lvlJc w:val="right"/>
      <w:pPr>
        <w:ind w:left="2160" w:hanging="180"/>
      </w:pPr>
    </w:lvl>
    <w:lvl w:ilvl="3" w:tplc="42A8B862" w:tentative="1">
      <w:start w:val="1"/>
      <w:numFmt w:val="decimal"/>
      <w:lvlText w:val="%4."/>
      <w:lvlJc w:val="left"/>
      <w:pPr>
        <w:ind w:left="2880" w:hanging="360"/>
      </w:pPr>
    </w:lvl>
    <w:lvl w:ilvl="4" w:tplc="026EA11C" w:tentative="1">
      <w:start w:val="1"/>
      <w:numFmt w:val="lowerLetter"/>
      <w:lvlText w:val="%5."/>
      <w:lvlJc w:val="left"/>
      <w:pPr>
        <w:ind w:left="3600" w:hanging="360"/>
      </w:pPr>
    </w:lvl>
    <w:lvl w:ilvl="5" w:tplc="1C068B40" w:tentative="1">
      <w:start w:val="1"/>
      <w:numFmt w:val="lowerRoman"/>
      <w:lvlText w:val="%6."/>
      <w:lvlJc w:val="right"/>
      <w:pPr>
        <w:ind w:left="4320" w:hanging="180"/>
      </w:pPr>
    </w:lvl>
    <w:lvl w:ilvl="6" w:tplc="9922458C" w:tentative="1">
      <w:start w:val="1"/>
      <w:numFmt w:val="decimal"/>
      <w:lvlText w:val="%7."/>
      <w:lvlJc w:val="left"/>
      <w:pPr>
        <w:ind w:left="5040" w:hanging="360"/>
      </w:pPr>
    </w:lvl>
    <w:lvl w:ilvl="7" w:tplc="945C3970" w:tentative="1">
      <w:start w:val="1"/>
      <w:numFmt w:val="lowerLetter"/>
      <w:lvlText w:val="%8."/>
      <w:lvlJc w:val="left"/>
      <w:pPr>
        <w:ind w:left="5760" w:hanging="360"/>
      </w:pPr>
    </w:lvl>
    <w:lvl w:ilvl="8" w:tplc="D186B42E" w:tentative="1">
      <w:start w:val="1"/>
      <w:numFmt w:val="lowerRoman"/>
      <w:lvlText w:val="%9."/>
      <w:lvlJc w:val="right"/>
      <w:pPr>
        <w:ind w:left="6480" w:hanging="180"/>
      </w:pPr>
    </w:lvl>
  </w:abstractNum>
  <w:abstractNum w:abstractNumId="14" w15:restartNumberingAfterBreak="0">
    <w:nsid w:val="3E3706ED"/>
    <w:multiLevelType w:val="multilevel"/>
    <w:tmpl w:val="C1E2AE68"/>
    <w:lvl w:ilvl="0">
      <w:start w:val="1"/>
      <w:numFmt w:val="decimal"/>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702"/>
        </w:tabs>
        <w:ind w:left="1702"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9D659AB"/>
    <w:multiLevelType w:val="multilevel"/>
    <w:tmpl w:val="57C488FA"/>
    <w:lvl w:ilvl="0">
      <w:start w:val="1"/>
      <w:numFmt w:val="decimal"/>
      <w:lvlText w:val="%1."/>
      <w:lvlJc w:val="left"/>
      <w:pPr>
        <w:ind w:left="851" w:firstLine="0"/>
      </w:pPr>
      <w:rPr>
        <w:b w:val="0"/>
        <w:i w:val="0"/>
        <w:smallCaps w:val="0"/>
        <w:strike w:val="0"/>
        <w:u w:val="none"/>
        <w:vertAlign w:val="baseline"/>
      </w:rPr>
    </w:lvl>
    <w:lvl w:ilvl="1">
      <w:start w:val="23"/>
      <w:numFmt w:val="decimal"/>
      <w:lvlText w:val="%1.%2"/>
      <w:lvlJc w:val="left"/>
      <w:pPr>
        <w:ind w:left="851" w:firstLine="0"/>
      </w:pPr>
      <w:rPr>
        <w:b w:val="0"/>
        <w:i w:val="0"/>
        <w:smallCaps w:val="0"/>
        <w:strike w:val="0"/>
        <w:u w:val="none"/>
        <w:vertAlign w:val="baseline"/>
      </w:rPr>
    </w:lvl>
    <w:lvl w:ilvl="2">
      <w:start w:val="1"/>
      <w:numFmt w:val="decimal"/>
      <w:lvlText w:val="%1.%2.%3"/>
      <w:lvlJc w:val="left"/>
      <w:pPr>
        <w:ind w:left="1702" w:firstLine="851"/>
      </w:pPr>
      <w:rPr>
        <w:b w:val="0"/>
        <w:i w:val="0"/>
        <w:smallCaps w:val="0"/>
        <w:strike w:val="0"/>
        <w:u w:val="none"/>
        <w:vertAlign w:val="baseline"/>
      </w:rPr>
    </w:lvl>
    <w:lvl w:ilvl="3">
      <w:start w:val="1"/>
      <w:numFmt w:val="lowerLetter"/>
      <w:lvlText w:val="(%4)"/>
      <w:lvlJc w:val="left"/>
      <w:pPr>
        <w:ind w:left="2553" w:firstLine="1702"/>
      </w:pPr>
      <w:rPr>
        <w:b w:val="0"/>
        <w:i w:val="0"/>
        <w:smallCaps w:val="0"/>
        <w:strike w:val="0"/>
        <w:u w:val="none"/>
        <w:vertAlign w:val="baseline"/>
      </w:rPr>
    </w:lvl>
    <w:lvl w:ilvl="4">
      <w:start w:val="1"/>
      <w:numFmt w:val="lowerRoman"/>
      <w:lvlText w:val="(%5)"/>
      <w:lvlJc w:val="left"/>
      <w:pPr>
        <w:ind w:left="3404" w:firstLine="2553"/>
      </w:pPr>
      <w:rPr>
        <w:b w:val="0"/>
        <w:i w:val="0"/>
        <w:smallCaps w:val="0"/>
        <w:strike w:val="0"/>
        <w:u w:val="none"/>
        <w:vertAlign w:val="baseline"/>
      </w:rPr>
    </w:lvl>
    <w:lvl w:ilvl="5">
      <w:start w:val="1"/>
      <w:numFmt w:val="decimal"/>
      <w:lvlText w:val="(%6)"/>
      <w:lvlJc w:val="left"/>
      <w:pPr>
        <w:ind w:left="4255" w:firstLine="3404"/>
      </w:pPr>
      <w:rPr>
        <w:b w:val="0"/>
        <w:i w:val="0"/>
        <w:smallCaps w:val="0"/>
        <w:strike w:val="0"/>
        <w:u w:val="none"/>
        <w:vertAlign w:val="baseline"/>
      </w:rPr>
    </w:lvl>
    <w:lvl w:ilvl="6">
      <w:start w:val="1"/>
      <w:numFmt w:val="decimal"/>
      <w:lvlText w:val="Not Defined"/>
      <w:lvlJc w:val="left"/>
      <w:pPr>
        <w:ind w:left="0" w:firstLine="0"/>
      </w:pPr>
      <w:rPr>
        <w:b w:val="0"/>
        <w:i w:val="0"/>
        <w:smallCaps w:val="0"/>
        <w:strike w:val="0"/>
        <w:u w:val="none"/>
        <w:vertAlign w:val="baseline"/>
      </w:rPr>
    </w:lvl>
    <w:lvl w:ilvl="7">
      <w:start w:val="1"/>
      <w:numFmt w:val="decimal"/>
      <w:lvlText w:val="Not Defined"/>
      <w:lvlJc w:val="left"/>
      <w:pPr>
        <w:ind w:left="0" w:firstLine="0"/>
      </w:pPr>
      <w:rPr>
        <w:b w:val="0"/>
        <w:i w:val="0"/>
        <w:smallCaps w:val="0"/>
        <w:strike w:val="0"/>
        <w:u w:val="none"/>
        <w:vertAlign w:val="baseline"/>
      </w:rPr>
    </w:lvl>
    <w:lvl w:ilvl="8">
      <w:start w:val="1"/>
      <w:numFmt w:val="decimal"/>
      <w:lvlText w:val="Not Defined"/>
      <w:lvlJc w:val="left"/>
      <w:pPr>
        <w:ind w:left="0" w:firstLine="0"/>
      </w:pPr>
      <w:rPr>
        <w:b w:val="0"/>
        <w:i w:val="0"/>
        <w:smallCaps w:val="0"/>
        <w:strike w:val="0"/>
        <w:u w:val="none"/>
        <w:vertAlign w:val="baseline"/>
      </w:rPr>
    </w:lvl>
  </w:abstractNum>
  <w:abstractNum w:abstractNumId="16" w15:restartNumberingAfterBreak="0">
    <w:nsid w:val="4C7849E1"/>
    <w:multiLevelType w:val="multilevel"/>
    <w:tmpl w:val="00841DA6"/>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DA44E10"/>
    <w:multiLevelType w:val="hybridMultilevel"/>
    <w:tmpl w:val="CED2EF28"/>
    <w:lvl w:ilvl="0" w:tplc="BD5CFC64">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0F10510"/>
    <w:multiLevelType w:val="hybridMultilevel"/>
    <w:tmpl w:val="73E4649A"/>
    <w:lvl w:ilvl="0" w:tplc="05829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4A168D1"/>
    <w:multiLevelType w:val="hybridMultilevel"/>
    <w:tmpl w:val="CBB2F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CBE3A53"/>
    <w:multiLevelType w:val="multilevel"/>
    <w:tmpl w:val="70FAAD3E"/>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15:restartNumberingAfterBreak="0">
    <w:nsid w:val="5DB10AE6"/>
    <w:multiLevelType w:val="multilevel"/>
    <w:tmpl w:val="041AA372"/>
    <w:lvl w:ilvl="0">
      <w:start w:val="8"/>
      <w:numFmt w:val="decimal"/>
      <w:lvlText w:val="%1."/>
      <w:lvlJc w:val="left"/>
      <w:pPr>
        <w:ind w:left="851" w:firstLine="0"/>
      </w:pPr>
      <w:rPr>
        <w:rFonts w:hint="default"/>
        <w:b w:val="0"/>
        <w:i w:val="0"/>
        <w:smallCaps w:val="0"/>
        <w:strike w:val="0"/>
        <w:u w:val="none"/>
        <w:vertAlign w:val="baseline"/>
      </w:rPr>
    </w:lvl>
    <w:lvl w:ilvl="1">
      <w:start w:val="1"/>
      <w:numFmt w:val="decimal"/>
      <w:lvlText w:val="%1.%2"/>
      <w:lvlJc w:val="left"/>
      <w:pPr>
        <w:ind w:left="851" w:firstLine="0"/>
      </w:pPr>
      <w:rPr>
        <w:rFonts w:hint="default"/>
        <w:b w:val="0"/>
        <w:i w:val="0"/>
        <w:smallCaps w:val="0"/>
        <w:strike w:val="0"/>
        <w:u w:val="none"/>
        <w:vertAlign w:val="baseline"/>
      </w:rPr>
    </w:lvl>
    <w:lvl w:ilvl="2">
      <w:start w:val="1"/>
      <w:numFmt w:val="decimal"/>
      <w:lvlText w:val="%1.%2.%3"/>
      <w:lvlJc w:val="left"/>
      <w:pPr>
        <w:ind w:left="1702" w:firstLine="851"/>
      </w:pPr>
      <w:rPr>
        <w:rFonts w:hint="default"/>
        <w:b w:val="0"/>
        <w:i w:val="0"/>
        <w:smallCaps w:val="0"/>
        <w:strike w:val="0"/>
        <w:u w:val="none"/>
        <w:vertAlign w:val="baseline"/>
      </w:rPr>
    </w:lvl>
    <w:lvl w:ilvl="3">
      <w:start w:val="1"/>
      <w:numFmt w:val="lowerLetter"/>
      <w:lvlText w:val="(%4)"/>
      <w:lvlJc w:val="left"/>
      <w:pPr>
        <w:ind w:left="2553" w:firstLine="1702"/>
      </w:pPr>
      <w:rPr>
        <w:rFonts w:hint="default"/>
        <w:b w:val="0"/>
        <w:i w:val="0"/>
        <w:smallCaps w:val="0"/>
        <w:strike w:val="0"/>
        <w:u w:val="none"/>
        <w:vertAlign w:val="baseline"/>
      </w:rPr>
    </w:lvl>
    <w:lvl w:ilvl="4">
      <w:start w:val="1"/>
      <w:numFmt w:val="lowerRoman"/>
      <w:lvlText w:val="(%5)"/>
      <w:lvlJc w:val="left"/>
      <w:pPr>
        <w:ind w:left="3404" w:firstLine="2553"/>
      </w:pPr>
      <w:rPr>
        <w:rFonts w:hint="default"/>
        <w:b w:val="0"/>
        <w:i w:val="0"/>
        <w:smallCaps w:val="0"/>
        <w:strike w:val="0"/>
        <w:u w:val="none"/>
        <w:vertAlign w:val="baseline"/>
      </w:rPr>
    </w:lvl>
    <w:lvl w:ilvl="5">
      <w:start w:val="1"/>
      <w:numFmt w:val="decimal"/>
      <w:lvlText w:val="(%6)"/>
      <w:lvlJc w:val="left"/>
      <w:pPr>
        <w:ind w:left="4255" w:firstLine="3404"/>
      </w:pPr>
      <w:rPr>
        <w:rFonts w:hint="default"/>
        <w:b w:val="0"/>
        <w:i w:val="0"/>
        <w:smallCaps w:val="0"/>
        <w:strike w:val="0"/>
        <w:u w:val="none"/>
        <w:vertAlign w:val="baseline"/>
      </w:rPr>
    </w:lvl>
    <w:lvl w:ilvl="6">
      <w:start w:val="1"/>
      <w:numFmt w:val="decimal"/>
      <w:lvlText w:val="Not Defined"/>
      <w:lvlJc w:val="left"/>
      <w:pPr>
        <w:ind w:left="0" w:firstLine="0"/>
      </w:pPr>
      <w:rPr>
        <w:rFonts w:hint="default"/>
        <w:b w:val="0"/>
        <w:i w:val="0"/>
        <w:smallCaps w:val="0"/>
        <w:strike w:val="0"/>
        <w:u w:val="none"/>
        <w:vertAlign w:val="baseline"/>
      </w:rPr>
    </w:lvl>
    <w:lvl w:ilvl="7">
      <w:start w:val="1"/>
      <w:numFmt w:val="decimal"/>
      <w:lvlText w:val="Not Defined"/>
      <w:lvlJc w:val="left"/>
      <w:pPr>
        <w:ind w:left="0" w:firstLine="0"/>
      </w:pPr>
      <w:rPr>
        <w:rFonts w:hint="default"/>
        <w:b w:val="0"/>
        <w:i w:val="0"/>
        <w:smallCaps w:val="0"/>
        <w:strike w:val="0"/>
        <w:u w:val="none"/>
        <w:vertAlign w:val="baseline"/>
      </w:rPr>
    </w:lvl>
    <w:lvl w:ilvl="8">
      <w:start w:val="1"/>
      <w:numFmt w:val="decimal"/>
      <w:lvlText w:val="Not Defined"/>
      <w:lvlJc w:val="left"/>
      <w:pPr>
        <w:ind w:left="0" w:firstLine="0"/>
      </w:pPr>
      <w:rPr>
        <w:rFonts w:hint="default"/>
        <w:b w:val="0"/>
        <w:i w:val="0"/>
        <w:smallCaps w:val="0"/>
        <w:strike w:val="0"/>
        <w:u w:val="none"/>
        <w:vertAlign w:val="baseline"/>
      </w:rPr>
    </w:lvl>
  </w:abstractNum>
  <w:abstractNum w:abstractNumId="22" w15:restartNumberingAfterBreak="0">
    <w:nsid w:val="672D6F49"/>
    <w:multiLevelType w:val="multilevel"/>
    <w:tmpl w:val="57A490BE"/>
    <w:lvl w:ilvl="0">
      <w:start w:val="1"/>
      <w:numFmt w:val="bullet"/>
      <w:pStyle w:val="BulletBDUK"/>
      <w:lvlText w:val="■"/>
      <w:lvlJc w:val="left"/>
      <w:pPr>
        <w:ind w:left="1004" w:hanging="284"/>
      </w:pPr>
      <w:rPr>
        <w:rFonts w:ascii="Arial" w:hAnsi="Arial" w:hint="default"/>
        <w:color w:val="97989A"/>
        <w:sz w:val="24"/>
      </w:rPr>
    </w:lvl>
    <w:lvl w:ilvl="1">
      <w:start w:val="1"/>
      <w:numFmt w:val="bullet"/>
      <w:lvlText w:val="–"/>
      <w:lvlJc w:val="left"/>
      <w:pPr>
        <w:ind w:left="1287" w:hanging="283"/>
      </w:pPr>
      <w:rPr>
        <w:rFonts w:ascii="Arial" w:hAnsi="Arial" w:hint="default"/>
        <w:color w:val="97989A"/>
      </w:rPr>
    </w:lvl>
    <w:lvl w:ilvl="2">
      <w:start w:val="1"/>
      <w:numFmt w:val="bullet"/>
      <w:lvlRestart w:val="1"/>
      <w:lvlText w:val="■"/>
      <w:lvlJc w:val="left"/>
      <w:pPr>
        <w:tabs>
          <w:tab w:val="num" w:pos="1571"/>
        </w:tabs>
        <w:ind w:left="1571" w:hanging="284"/>
      </w:pPr>
      <w:rPr>
        <w:rFonts w:ascii="Arial" w:hAnsi="Arial" w:hint="default"/>
        <w:color w:val="97989A"/>
      </w:rPr>
    </w:lvl>
    <w:lvl w:ilvl="3">
      <w:start w:val="1"/>
      <w:numFmt w:val="bullet"/>
      <w:lvlText w:val="–"/>
      <w:lvlJc w:val="left"/>
      <w:pPr>
        <w:ind w:left="1854" w:hanging="283"/>
      </w:pPr>
      <w:rPr>
        <w:rFonts w:ascii="Arial" w:hAnsi="Arial" w:hint="default"/>
        <w:color w:val="97989A"/>
      </w:rPr>
    </w:lvl>
    <w:lvl w:ilvl="4">
      <w:start w:val="1"/>
      <w:numFmt w:val="bullet"/>
      <w:lvlText w:val="■"/>
      <w:lvlJc w:val="left"/>
      <w:pPr>
        <w:ind w:left="2421" w:hanging="281"/>
      </w:pPr>
      <w:rPr>
        <w:rFonts w:ascii="Arial" w:hAnsi="Arial" w:hint="default"/>
        <w:color w:val="97989A"/>
      </w:rPr>
    </w:lvl>
    <w:lvl w:ilvl="5">
      <w:start w:val="1"/>
      <w:numFmt w:val="bullet"/>
      <w:lvlText w:val="–"/>
      <w:lvlJc w:val="left"/>
      <w:pPr>
        <w:ind w:left="2786" w:hanging="362"/>
      </w:pPr>
      <w:rPr>
        <w:rFonts w:ascii="Arial" w:hAnsi="Arial" w:hint="default"/>
        <w:color w:val="97989A"/>
      </w:rPr>
    </w:lvl>
    <w:lvl w:ilvl="6">
      <w:start w:val="1"/>
      <w:numFmt w:val="bullet"/>
      <w:lvlText w:val=""/>
      <w:lvlJc w:val="left"/>
      <w:pPr>
        <w:ind w:left="3070" w:hanging="362"/>
      </w:pPr>
      <w:rPr>
        <w:rFonts w:ascii="Symbol" w:hAnsi="Symbol" w:hint="default"/>
      </w:rPr>
    </w:lvl>
    <w:lvl w:ilvl="7">
      <w:start w:val="1"/>
      <w:numFmt w:val="bullet"/>
      <w:lvlText w:val="o"/>
      <w:lvlJc w:val="left"/>
      <w:pPr>
        <w:ind w:left="3354" w:hanging="362"/>
      </w:pPr>
      <w:rPr>
        <w:rFonts w:ascii="Courier New" w:hAnsi="Courier New" w:cs="Courier New" w:hint="default"/>
      </w:rPr>
    </w:lvl>
    <w:lvl w:ilvl="8">
      <w:start w:val="1"/>
      <w:numFmt w:val="bullet"/>
      <w:lvlText w:val=""/>
      <w:lvlJc w:val="left"/>
      <w:pPr>
        <w:ind w:left="3638" w:hanging="362"/>
      </w:pPr>
      <w:rPr>
        <w:rFonts w:ascii="Wingdings" w:hAnsi="Wingdings" w:hint="default"/>
      </w:rPr>
    </w:lvl>
  </w:abstractNum>
  <w:abstractNum w:abstractNumId="23" w15:restartNumberingAfterBreak="0">
    <w:nsid w:val="68D46B93"/>
    <w:multiLevelType w:val="multilevel"/>
    <w:tmpl w:val="ECFADDA0"/>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094EC1"/>
    <w:multiLevelType w:val="hybridMultilevel"/>
    <w:tmpl w:val="2486975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75225FB2"/>
    <w:multiLevelType w:val="multilevel"/>
    <w:tmpl w:val="EF36929C"/>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4537"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9CB41F9"/>
    <w:multiLevelType w:val="hybridMultilevel"/>
    <w:tmpl w:val="07A21964"/>
    <w:lvl w:ilvl="0" w:tplc="08090001">
      <w:start w:val="1"/>
      <w:numFmt w:val="bullet"/>
      <w:lvlText w:val=""/>
      <w:lvlJc w:val="left"/>
      <w:pPr>
        <w:ind w:left="719" w:hanging="360"/>
      </w:pPr>
      <w:rPr>
        <w:rFonts w:ascii="Symbol" w:hAnsi="Symbol" w:hint="default"/>
      </w:rPr>
    </w:lvl>
    <w:lvl w:ilvl="1" w:tplc="08090003">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7" w15:restartNumberingAfterBreak="0">
    <w:nsid w:val="7A415C58"/>
    <w:multiLevelType w:val="hybridMultilevel"/>
    <w:tmpl w:val="E9A4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1559A2"/>
    <w:multiLevelType w:val="hybridMultilevel"/>
    <w:tmpl w:val="D5F81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5"/>
  </w:num>
  <w:num w:numId="4">
    <w:abstractNumId w:val="1"/>
  </w:num>
  <w:num w:numId="5">
    <w:abstractNumId w:val="1"/>
  </w:num>
  <w:num w:numId="6">
    <w:abstractNumId w:val="0"/>
  </w:num>
  <w:num w:numId="7">
    <w:abstractNumId w:val="22"/>
  </w:num>
  <w:num w:numId="8">
    <w:abstractNumId w:val="3"/>
  </w:num>
  <w:num w:numId="9">
    <w:abstractNumId w:val="2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8"/>
  </w:num>
  <w:num w:numId="15">
    <w:abstractNumId w:val="9"/>
  </w:num>
  <w:num w:numId="16">
    <w:abstractNumId w:val="8"/>
  </w:num>
  <w:num w:numId="17">
    <w:abstractNumId w:val="27"/>
  </w:num>
  <w:num w:numId="18">
    <w:abstractNumId w:val="15"/>
  </w:num>
  <w:num w:numId="19">
    <w:abstractNumId w:val="21"/>
  </w:num>
  <w:num w:numId="20">
    <w:abstractNumId w:val="5"/>
  </w:num>
  <w:num w:numId="21">
    <w:abstractNumId w:val="23"/>
  </w:num>
  <w:num w:numId="22">
    <w:abstractNumId w:val="18"/>
  </w:num>
  <w:num w:numId="23">
    <w:abstractNumId w:val="10"/>
  </w:num>
  <w:num w:numId="24">
    <w:abstractNumId w:val="2"/>
  </w:num>
  <w:num w:numId="25">
    <w:abstractNumId w:val="24"/>
  </w:num>
  <w:num w:numId="26">
    <w:abstractNumId w:val="6"/>
  </w:num>
  <w:num w:numId="27">
    <w:abstractNumId w:val="1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8"/>
  </w:num>
  <w:num w:numId="32">
    <w:abstractNumId w:val="17"/>
  </w:num>
  <w:num w:numId="33">
    <w:abstractNumId w:val="7"/>
  </w:num>
  <w:num w:numId="34">
    <w:abstractNumId w:val="14"/>
  </w:num>
  <w:num w:numId="35">
    <w:abstractNumId w:val="4"/>
  </w:num>
  <w:num w:numId="36">
    <w:abstractNumId w:val="12"/>
  </w:num>
  <w:num w:numId="37">
    <w:abstractNumId w:val="1"/>
  </w:num>
  <w:num w:numId="38">
    <w:abstractNumId w:val="1"/>
  </w:num>
  <w:num w:numId="39">
    <w:abstractNumId w:val="1"/>
  </w:num>
  <w:num w:numId="40">
    <w:abstractNumId w:val="1"/>
  </w:num>
  <w:num w:numId="41">
    <w:abstractNumId w:val="1"/>
  </w:num>
  <w:num w:numId="4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Body" w:val="Bullet Body "/>
    <w:docVar w:name="Bullet _ChangeTime" w:val="38313.5"/>
    <w:docVar w:name="Bullet _HeadSuf" w:val=" as Heading (text)"/>
    <w:docVar w:name="Bullet _LongName" w:val="Pinsent Masons Bullets"/>
    <w:docVar w:name="Bullet _NumBodies" w:val="0"/>
    <w:docVar w:name="Level _Body" w:val="Body "/>
    <w:docVar w:name="Level _ChangeTime" w:val="38313.5"/>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AF6664"/>
    <w:rsid w:val="00000CBE"/>
    <w:rsid w:val="0000187A"/>
    <w:rsid w:val="00003525"/>
    <w:rsid w:val="000056A7"/>
    <w:rsid w:val="000058D1"/>
    <w:rsid w:val="00006847"/>
    <w:rsid w:val="00011A65"/>
    <w:rsid w:val="00012F86"/>
    <w:rsid w:val="00015340"/>
    <w:rsid w:val="000157F7"/>
    <w:rsid w:val="00015828"/>
    <w:rsid w:val="000165CD"/>
    <w:rsid w:val="0001765A"/>
    <w:rsid w:val="00017B10"/>
    <w:rsid w:val="0002090C"/>
    <w:rsid w:val="000217D8"/>
    <w:rsid w:val="00021DA4"/>
    <w:rsid w:val="00024D70"/>
    <w:rsid w:val="000252A2"/>
    <w:rsid w:val="00025FC3"/>
    <w:rsid w:val="00027420"/>
    <w:rsid w:val="000279A9"/>
    <w:rsid w:val="00030EF0"/>
    <w:rsid w:val="00031AB6"/>
    <w:rsid w:val="00031DDA"/>
    <w:rsid w:val="00033074"/>
    <w:rsid w:val="000376E5"/>
    <w:rsid w:val="0004098F"/>
    <w:rsid w:val="00041525"/>
    <w:rsid w:val="0004230A"/>
    <w:rsid w:val="00042BAA"/>
    <w:rsid w:val="000435DA"/>
    <w:rsid w:val="00044B69"/>
    <w:rsid w:val="00044EF9"/>
    <w:rsid w:val="0004590F"/>
    <w:rsid w:val="00047F84"/>
    <w:rsid w:val="000568AD"/>
    <w:rsid w:val="00056AA2"/>
    <w:rsid w:val="00056E56"/>
    <w:rsid w:val="00057E74"/>
    <w:rsid w:val="000605E2"/>
    <w:rsid w:val="000614E2"/>
    <w:rsid w:val="00061E0F"/>
    <w:rsid w:val="00064EC3"/>
    <w:rsid w:val="0006568E"/>
    <w:rsid w:val="0007018E"/>
    <w:rsid w:val="000712C9"/>
    <w:rsid w:val="000720C3"/>
    <w:rsid w:val="00072C25"/>
    <w:rsid w:val="0007355B"/>
    <w:rsid w:val="00075377"/>
    <w:rsid w:val="00075731"/>
    <w:rsid w:val="0007594B"/>
    <w:rsid w:val="00075F36"/>
    <w:rsid w:val="000802AD"/>
    <w:rsid w:val="000808D2"/>
    <w:rsid w:val="00080D51"/>
    <w:rsid w:val="00080FA5"/>
    <w:rsid w:val="000839CB"/>
    <w:rsid w:val="00085349"/>
    <w:rsid w:val="00085665"/>
    <w:rsid w:val="000875B6"/>
    <w:rsid w:val="000908DC"/>
    <w:rsid w:val="00091A17"/>
    <w:rsid w:val="00091EE1"/>
    <w:rsid w:val="00094FC5"/>
    <w:rsid w:val="00095712"/>
    <w:rsid w:val="0009572D"/>
    <w:rsid w:val="00096376"/>
    <w:rsid w:val="000A2404"/>
    <w:rsid w:val="000A2C76"/>
    <w:rsid w:val="000A35A8"/>
    <w:rsid w:val="000A4708"/>
    <w:rsid w:val="000A5491"/>
    <w:rsid w:val="000A5CDB"/>
    <w:rsid w:val="000A790C"/>
    <w:rsid w:val="000B24A4"/>
    <w:rsid w:val="000B358E"/>
    <w:rsid w:val="000B3E39"/>
    <w:rsid w:val="000B4834"/>
    <w:rsid w:val="000B792F"/>
    <w:rsid w:val="000C1649"/>
    <w:rsid w:val="000C2110"/>
    <w:rsid w:val="000C2718"/>
    <w:rsid w:val="000C346B"/>
    <w:rsid w:val="000C35D5"/>
    <w:rsid w:val="000C3B05"/>
    <w:rsid w:val="000C4659"/>
    <w:rsid w:val="000D0B38"/>
    <w:rsid w:val="000D3D3E"/>
    <w:rsid w:val="000D49E3"/>
    <w:rsid w:val="000E047B"/>
    <w:rsid w:val="000E0C31"/>
    <w:rsid w:val="000E11B5"/>
    <w:rsid w:val="000E11F6"/>
    <w:rsid w:val="000E18E9"/>
    <w:rsid w:val="000E2948"/>
    <w:rsid w:val="000E2B2B"/>
    <w:rsid w:val="000E40B2"/>
    <w:rsid w:val="000E6C79"/>
    <w:rsid w:val="000E76FB"/>
    <w:rsid w:val="000F053C"/>
    <w:rsid w:val="000F315B"/>
    <w:rsid w:val="000F38B7"/>
    <w:rsid w:val="000F5C64"/>
    <w:rsid w:val="00102674"/>
    <w:rsid w:val="00103B5E"/>
    <w:rsid w:val="00103DE5"/>
    <w:rsid w:val="00103F3B"/>
    <w:rsid w:val="0010418E"/>
    <w:rsid w:val="00105FE6"/>
    <w:rsid w:val="00106DF0"/>
    <w:rsid w:val="00111130"/>
    <w:rsid w:val="00111779"/>
    <w:rsid w:val="001121BC"/>
    <w:rsid w:val="00113295"/>
    <w:rsid w:val="00115222"/>
    <w:rsid w:val="00115BA8"/>
    <w:rsid w:val="001166EB"/>
    <w:rsid w:val="001227B1"/>
    <w:rsid w:val="0012561C"/>
    <w:rsid w:val="00126784"/>
    <w:rsid w:val="00127152"/>
    <w:rsid w:val="0012766B"/>
    <w:rsid w:val="0013089F"/>
    <w:rsid w:val="00136FF8"/>
    <w:rsid w:val="00143034"/>
    <w:rsid w:val="00144839"/>
    <w:rsid w:val="00144D35"/>
    <w:rsid w:val="0014596F"/>
    <w:rsid w:val="00147ECB"/>
    <w:rsid w:val="00150066"/>
    <w:rsid w:val="00150C95"/>
    <w:rsid w:val="0015196E"/>
    <w:rsid w:val="00152D53"/>
    <w:rsid w:val="0015568E"/>
    <w:rsid w:val="00156293"/>
    <w:rsid w:val="001579E8"/>
    <w:rsid w:val="0016030B"/>
    <w:rsid w:val="0016345F"/>
    <w:rsid w:val="00163A2A"/>
    <w:rsid w:val="00163B52"/>
    <w:rsid w:val="001646C2"/>
    <w:rsid w:val="00164F71"/>
    <w:rsid w:val="00165D00"/>
    <w:rsid w:val="00166F4D"/>
    <w:rsid w:val="00167AC3"/>
    <w:rsid w:val="00167C87"/>
    <w:rsid w:val="0017184D"/>
    <w:rsid w:val="00171A7D"/>
    <w:rsid w:val="001725FC"/>
    <w:rsid w:val="00175E04"/>
    <w:rsid w:val="00176593"/>
    <w:rsid w:val="001766A1"/>
    <w:rsid w:val="00177038"/>
    <w:rsid w:val="00177F3D"/>
    <w:rsid w:val="00180BBD"/>
    <w:rsid w:val="00181248"/>
    <w:rsid w:val="0018251B"/>
    <w:rsid w:val="00183639"/>
    <w:rsid w:val="001848F1"/>
    <w:rsid w:val="0019108D"/>
    <w:rsid w:val="001932B0"/>
    <w:rsid w:val="001A0CC7"/>
    <w:rsid w:val="001A3E10"/>
    <w:rsid w:val="001A5375"/>
    <w:rsid w:val="001B038A"/>
    <w:rsid w:val="001B073D"/>
    <w:rsid w:val="001B1A5A"/>
    <w:rsid w:val="001B27EB"/>
    <w:rsid w:val="001B487F"/>
    <w:rsid w:val="001B4A6B"/>
    <w:rsid w:val="001B4FCE"/>
    <w:rsid w:val="001B67C5"/>
    <w:rsid w:val="001B780B"/>
    <w:rsid w:val="001C3968"/>
    <w:rsid w:val="001C54BE"/>
    <w:rsid w:val="001C54DE"/>
    <w:rsid w:val="001C671E"/>
    <w:rsid w:val="001D1FC1"/>
    <w:rsid w:val="001D247B"/>
    <w:rsid w:val="001D2826"/>
    <w:rsid w:val="001D5C3A"/>
    <w:rsid w:val="001D7EF1"/>
    <w:rsid w:val="001E2652"/>
    <w:rsid w:val="001E2727"/>
    <w:rsid w:val="001E272A"/>
    <w:rsid w:val="001E282E"/>
    <w:rsid w:val="001E6C5D"/>
    <w:rsid w:val="001E785A"/>
    <w:rsid w:val="001F008D"/>
    <w:rsid w:val="001F3DF8"/>
    <w:rsid w:val="001F3E6E"/>
    <w:rsid w:val="001F3EB1"/>
    <w:rsid w:val="001F4A93"/>
    <w:rsid w:val="001F4B18"/>
    <w:rsid w:val="001F5012"/>
    <w:rsid w:val="001F5A7A"/>
    <w:rsid w:val="001F76ED"/>
    <w:rsid w:val="002000D1"/>
    <w:rsid w:val="0020075C"/>
    <w:rsid w:val="00200B08"/>
    <w:rsid w:val="002013DF"/>
    <w:rsid w:val="002015EA"/>
    <w:rsid w:val="002020D9"/>
    <w:rsid w:val="00202F5A"/>
    <w:rsid w:val="0020329F"/>
    <w:rsid w:val="002034F0"/>
    <w:rsid w:val="00204371"/>
    <w:rsid w:val="002058A3"/>
    <w:rsid w:val="00207914"/>
    <w:rsid w:val="002107A9"/>
    <w:rsid w:val="0021093A"/>
    <w:rsid w:val="00210AC2"/>
    <w:rsid w:val="00211CF2"/>
    <w:rsid w:val="00211EB2"/>
    <w:rsid w:val="0021485D"/>
    <w:rsid w:val="00220573"/>
    <w:rsid w:val="00220885"/>
    <w:rsid w:val="002209AE"/>
    <w:rsid w:val="002248F8"/>
    <w:rsid w:val="00225221"/>
    <w:rsid w:val="00226046"/>
    <w:rsid w:val="00226DFF"/>
    <w:rsid w:val="00227057"/>
    <w:rsid w:val="00227795"/>
    <w:rsid w:val="00230308"/>
    <w:rsid w:val="0023386C"/>
    <w:rsid w:val="0023388F"/>
    <w:rsid w:val="002357A7"/>
    <w:rsid w:val="00235CBA"/>
    <w:rsid w:val="00235DB4"/>
    <w:rsid w:val="00237FEB"/>
    <w:rsid w:val="002400F8"/>
    <w:rsid w:val="00243EE7"/>
    <w:rsid w:val="00245E8A"/>
    <w:rsid w:val="0025146C"/>
    <w:rsid w:val="002534A1"/>
    <w:rsid w:val="002557DB"/>
    <w:rsid w:val="002624EE"/>
    <w:rsid w:val="00262795"/>
    <w:rsid w:val="00262951"/>
    <w:rsid w:val="00263515"/>
    <w:rsid w:val="0026660D"/>
    <w:rsid w:val="00267562"/>
    <w:rsid w:val="0027058F"/>
    <w:rsid w:val="0027066E"/>
    <w:rsid w:val="00272601"/>
    <w:rsid w:val="002729EA"/>
    <w:rsid w:val="00273E0A"/>
    <w:rsid w:val="00274DD1"/>
    <w:rsid w:val="00275F57"/>
    <w:rsid w:val="00276B1F"/>
    <w:rsid w:val="00277D68"/>
    <w:rsid w:val="00280A9D"/>
    <w:rsid w:val="002812DA"/>
    <w:rsid w:val="00281500"/>
    <w:rsid w:val="0028256A"/>
    <w:rsid w:val="002827EA"/>
    <w:rsid w:val="002847D0"/>
    <w:rsid w:val="002857EC"/>
    <w:rsid w:val="0028590E"/>
    <w:rsid w:val="0028710B"/>
    <w:rsid w:val="002907DE"/>
    <w:rsid w:val="0029097A"/>
    <w:rsid w:val="00290A04"/>
    <w:rsid w:val="00292370"/>
    <w:rsid w:val="002924EE"/>
    <w:rsid w:val="002955D6"/>
    <w:rsid w:val="00297019"/>
    <w:rsid w:val="0029752F"/>
    <w:rsid w:val="00297549"/>
    <w:rsid w:val="002A2736"/>
    <w:rsid w:val="002A2937"/>
    <w:rsid w:val="002A7117"/>
    <w:rsid w:val="002B62EA"/>
    <w:rsid w:val="002C1CBD"/>
    <w:rsid w:val="002C4DDC"/>
    <w:rsid w:val="002C6B3E"/>
    <w:rsid w:val="002C75DD"/>
    <w:rsid w:val="002D02E1"/>
    <w:rsid w:val="002D061A"/>
    <w:rsid w:val="002D0C6D"/>
    <w:rsid w:val="002D2327"/>
    <w:rsid w:val="002D27DD"/>
    <w:rsid w:val="002D3314"/>
    <w:rsid w:val="002D3B82"/>
    <w:rsid w:val="002D7507"/>
    <w:rsid w:val="002D7AF7"/>
    <w:rsid w:val="002D7D75"/>
    <w:rsid w:val="002E5775"/>
    <w:rsid w:val="002E67E7"/>
    <w:rsid w:val="002E7BEE"/>
    <w:rsid w:val="002F0577"/>
    <w:rsid w:val="002F2704"/>
    <w:rsid w:val="002F3893"/>
    <w:rsid w:val="002F3A9B"/>
    <w:rsid w:val="002F405F"/>
    <w:rsid w:val="002F4DF3"/>
    <w:rsid w:val="002F6201"/>
    <w:rsid w:val="002F719C"/>
    <w:rsid w:val="00307B53"/>
    <w:rsid w:val="00311D8D"/>
    <w:rsid w:val="00312ADC"/>
    <w:rsid w:val="00313902"/>
    <w:rsid w:val="00313B76"/>
    <w:rsid w:val="00314D8C"/>
    <w:rsid w:val="00315D8A"/>
    <w:rsid w:val="00315E5B"/>
    <w:rsid w:val="0031601C"/>
    <w:rsid w:val="00316ABF"/>
    <w:rsid w:val="003206FE"/>
    <w:rsid w:val="00325C8C"/>
    <w:rsid w:val="0033014D"/>
    <w:rsid w:val="00331186"/>
    <w:rsid w:val="00331A4D"/>
    <w:rsid w:val="00331E63"/>
    <w:rsid w:val="0033278D"/>
    <w:rsid w:val="00333ED4"/>
    <w:rsid w:val="00334F7D"/>
    <w:rsid w:val="00335AA6"/>
    <w:rsid w:val="00335D54"/>
    <w:rsid w:val="003416F5"/>
    <w:rsid w:val="003424A0"/>
    <w:rsid w:val="00344279"/>
    <w:rsid w:val="00350213"/>
    <w:rsid w:val="00350ACE"/>
    <w:rsid w:val="00351F8D"/>
    <w:rsid w:val="0035333C"/>
    <w:rsid w:val="00354A46"/>
    <w:rsid w:val="00354B0F"/>
    <w:rsid w:val="00354D8F"/>
    <w:rsid w:val="00355E2C"/>
    <w:rsid w:val="003617E4"/>
    <w:rsid w:val="00361ECA"/>
    <w:rsid w:val="00363334"/>
    <w:rsid w:val="003660CC"/>
    <w:rsid w:val="0036774D"/>
    <w:rsid w:val="00370096"/>
    <w:rsid w:val="00370E11"/>
    <w:rsid w:val="003731E5"/>
    <w:rsid w:val="003739F2"/>
    <w:rsid w:val="00375F72"/>
    <w:rsid w:val="00376E10"/>
    <w:rsid w:val="003771C7"/>
    <w:rsid w:val="0037736D"/>
    <w:rsid w:val="0038151F"/>
    <w:rsid w:val="00382243"/>
    <w:rsid w:val="00383434"/>
    <w:rsid w:val="003836D1"/>
    <w:rsid w:val="00386EDC"/>
    <w:rsid w:val="0039040E"/>
    <w:rsid w:val="00390BD8"/>
    <w:rsid w:val="00391BE5"/>
    <w:rsid w:val="00392838"/>
    <w:rsid w:val="00392C5B"/>
    <w:rsid w:val="00393F7A"/>
    <w:rsid w:val="00396AD0"/>
    <w:rsid w:val="00397C0F"/>
    <w:rsid w:val="003A11CC"/>
    <w:rsid w:val="003A1562"/>
    <w:rsid w:val="003A21C9"/>
    <w:rsid w:val="003A3733"/>
    <w:rsid w:val="003A453D"/>
    <w:rsid w:val="003A484A"/>
    <w:rsid w:val="003A5041"/>
    <w:rsid w:val="003A51EE"/>
    <w:rsid w:val="003A6C02"/>
    <w:rsid w:val="003A6DDA"/>
    <w:rsid w:val="003B0C6B"/>
    <w:rsid w:val="003B1F68"/>
    <w:rsid w:val="003C28AD"/>
    <w:rsid w:val="003C28BE"/>
    <w:rsid w:val="003C3136"/>
    <w:rsid w:val="003C452C"/>
    <w:rsid w:val="003C63C7"/>
    <w:rsid w:val="003C7B89"/>
    <w:rsid w:val="003D03D7"/>
    <w:rsid w:val="003D0C7C"/>
    <w:rsid w:val="003D290B"/>
    <w:rsid w:val="003D397E"/>
    <w:rsid w:val="003D3C62"/>
    <w:rsid w:val="003D3E6B"/>
    <w:rsid w:val="003D4FC4"/>
    <w:rsid w:val="003D6E62"/>
    <w:rsid w:val="003E0E1E"/>
    <w:rsid w:val="003E3BB0"/>
    <w:rsid w:val="003E535B"/>
    <w:rsid w:val="003E73E5"/>
    <w:rsid w:val="003F12B0"/>
    <w:rsid w:val="003F3153"/>
    <w:rsid w:val="003F778B"/>
    <w:rsid w:val="003F7FE9"/>
    <w:rsid w:val="00401798"/>
    <w:rsid w:val="00402ACC"/>
    <w:rsid w:val="004041EF"/>
    <w:rsid w:val="00404611"/>
    <w:rsid w:val="00405578"/>
    <w:rsid w:val="00405F79"/>
    <w:rsid w:val="00406B0D"/>
    <w:rsid w:val="00407F0A"/>
    <w:rsid w:val="00411C53"/>
    <w:rsid w:val="004133FC"/>
    <w:rsid w:val="0041364F"/>
    <w:rsid w:val="00417C3E"/>
    <w:rsid w:val="00417F1E"/>
    <w:rsid w:val="00423289"/>
    <w:rsid w:val="004235BC"/>
    <w:rsid w:val="004244E2"/>
    <w:rsid w:val="00424FD5"/>
    <w:rsid w:val="0042752F"/>
    <w:rsid w:val="004316A5"/>
    <w:rsid w:val="00433DB4"/>
    <w:rsid w:val="00434F2C"/>
    <w:rsid w:val="00435178"/>
    <w:rsid w:val="0043588B"/>
    <w:rsid w:val="0043718F"/>
    <w:rsid w:val="00440C67"/>
    <w:rsid w:val="00440D5E"/>
    <w:rsid w:val="004418F6"/>
    <w:rsid w:val="0044294D"/>
    <w:rsid w:val="00442A0E"/>
    <w:rsid w:val="00445321"/>
    <w:rsid w:val="0044567B"/>
    <w:rsid w:val="00446082"/>
    <w:rsid w:val="00446A0C"/>
    <w:rsid w:val="00447D68"/>
    <w:rsid w:val="004504A4"/>
    <w:rsid w:val="00450CE8"/>
    <w:rsid w:val="004525FB"/>
    <w:rsid w:val="004557CA"/>
    <w:rsid w:val="004559EB"/>
    <w:rsid w:val="00456595"/>
    <w:rsid w:val="004576CE"/>
    <w:rsid w:val="00457B12"/>
    <w:rsid w:val="00457E5E"/>
    <w:rsid w:val="00460A2F"/>
    <w:rsid w:val="00461CE6"/>
    <w:rsid w:val="00462189"/>
    <w:rsid w:val="00464309"/>
    <w:rsid w:val="00467E18"/>
    <w:rsid w:val="004714D2"/>
    <w:rsid w:val="00472B02"/>
    <w:rsid w:val="00473966"/>
    <w:rsid w:val="00473E88"/>
    <w:rsid w:val="00474D06"/>
    <w:rsid w:val="00480249"/>
    <w:rsid w:val="004822DC"/>
    <w:rsid w:val="00482A0F"/>
    <w:rsid w:val="0048428D"/>
    <w:rsid w:val="00485C81"/>
    <w:rsid w:val="0048636D"/>
    <w:rsid w:val="004907D0"/>
    <w:rsid w:val="00492161"/>
    <w:rsid w:val="00492B41"/>
    <w:rsid w:val="004935D6"/>
    <w:rsid w:val="0049574D"/>
    <w:rsid w:val="00497DDE"/>
    <w:rsid w:val="004A04D2"/>
    <w:rsid w:val="004A0939"/>
    <w:rsid w:val="004A2017"/>
    <w:rsid w:val="004A2D46"/>
    <w:rsid w:val="004A2F86"/>
    <w:rsid w:val="004A52B4"/>
    <w:rsid w:val="004A56B3"/>
    <w:rsid w:val="004A5A3D"/>
    <w:rsid w:val="004B3849"/>
    <w:rsid w:val="004B6306"/>
    <w:rsid w:val="004C1A0F"/>
    <w:rsid w:val="004C5322"/>
    <w:rsid w:val="004C58C3"/>
    <w:rsid w:val="004C5C7E"/>
    <w:rsid w:val="004C7CB7"/>
    <w:rsid w:val="004D0902"/>
    <w:rsid w:val="004D2D04"/>
    <w:rsid w:val="004D413E"/>
    <w:rsid w:val="004D4408"/>
    <w:rsid w:val="004D4ED9"/>
    <w:rsid w:val="004E0968"/>
    <w:rsid w:val="004E146C"/>
    <w:rsid w:val="004E6072"/>
    <w:rsid w:val="004E63D6"/>
    <w:rsid w:val="004F1B77"/>
    <w:rsid w:val="004F486E"/>
    <w:rsid w:val="004F5192"/>
    <w:rsid w:val="004F6190"/>
    <w:rsid w:val="004F62AE"/>
    <w:rsid w:val="004F7126"/>
    <w:rsid w:val="0050029E"/>
    <w:rsid w:val="0050185C"/>
    <w:rsid w:val="00503DEF"/>
    <w:rsid w:val="00504196"/>
    <w:rsid w:val="00505C5D"/>
    <w:rsid w:val="005065BD"/>
    <w:rsid w:val="0050695E"/>
    <w:rsid w:val="00510809"/>
    <w:rsid w:val="0051186B"/>
    <w:rsid w:val="00512024"/>
    <w:rsid w:val="00512B1C"/>
    <w:rsid w:val="00513097"/>
    <w:rsid w:val="0051379A"/>
    <w:rsid w:val="00515247"/>
    <w:rsid w:val="0051653A"/>
    <w:rsid w:val="00520204"/>
    <w:rsid w:val="00520657"/>
    <w:rsid w:val="00526327"/>
    <w:rsid w:val="00531504"/>
    <w:rsid w:val="005323F3"/>
    <w:rsid w:val="00533153"/>
    <w:rsid w:val="00533353"/>
    <w:rsid w:val="005338B8"/>
    <w:rsid w:val="00534A18"/>
    <w:rsid w:val="00536A9E"/>
    <w:rsid w:val="00540071"/>
    <w:rsid w:val="00542285"/>
    <w:rsid w:val="00542FFC"/>
    <w:rsid w:val="0054649C"/>
    <w:rsid w:val="00547A3D"/>
    <w:rsid w:val="00551CF4"/>
    <w:rsid w:val="00552393"/>
    <w:rsid w:val="005529A2"/>
    <w:rsid w:val="00552AA1"/>
    <w:rsid w:val="005567AB"/>
    <w:rsid w:val="005577F4"/>
    <w:rsid w:val="005606E5"/>
    <w:rsid w:val="00562853"/>
    <w:rsid w:val="00562866"/>
    <w:rsid w:val="00563810"/>
    <w:rsid w:val="00563ECF"/>
    <w:rsid w:val="00565105"/>
    <w:rsid w:val="0056616C"/>
    <w:rsid w:val="00566434"/>
    <w:rsid w:val="00567A13"/>
    <w:rsid w:val="00572028"/>
    <w:rsid w:val="00575D30"/>
    <w:rsid w:val="005772FC"/>
    <w:rsid w:val="00577EB9"/>
    <w:rsid w:val="005808BD"/>
    <w:rsid w:val="00581182"/>
    <w:rsid w:val="005812F2"/>
    <w:rsid w:val="00582AF9"/>
    <w:rsid w:val="0058680D"/>
    <w:rsid w:val="00590073"/>
    <w:rsid w:val="005906F9"/>
    <w:rsid w:val="005921EB"/>
    <w:rsid w:val="00592FD0"/>
    <w:rsid w:val="00594F6E"/>
    <w:rsid w:val="00596829"/>
    <w:rsid w:val="0059719B"/>
    <w:rsid w:val="005A1D05"/>
    <w:rsid w:val="005A2F06"/>
    <w:rsid w:val="005A3907"/>
    <w:rsid w:val="005A3CDB"/>
    <w:rsid w:val="005A3CE5"/>
    <w:rsid w:val="005A3CF5"/>
    <w:rsid w:val="005A403D"/>
    <w:rsid w:val="005A4B75"/>
    <w:rsid w:val="005A56F2"/>
    <w:rsid w:val="005A649A"/>
    <w:rsid w:val="005A748A"/>
    <w:rsid w:val="005B0142"/>
    <w:rsid w:val="005B20CC"/>
    <w:rsid w:val="005B2139"/>
    <w:rsid w:val="005B2387"/>
    <w:rsid w:val="005B5B57"/>
    <w:rsid w:val="005C1CD8"/>
    <w:rsid w:val="005C4761"/>
    <w:rsid w:val="005C67C2"/>
    <w:rsid w:val="005C70F6"/>
    <w:rsid w:val="005C74B6"/>
    <w:rsid w:val="005C7B70"/>
    <w:rsid w:val="005D0BD1"/>
    <w:rsid w:val="005D4E6F"/>
    <w:rsid w:val="005D5F83"/>
    <w:rsid w:val="005D7129"/>
    <w:rsid w:val="005D7490"/>
    <w:rsid w:val="005E0883"/>
    <w:rsid w:val="005E0E5E"/>
    <w:rsid w:val="005E2559"/>
    <w:rsid w:val="005E61D3"/>
    <w:rsid w:val="005F0F36"/>
    <w:rsid w:val="005F2B04"/>
    <w:rsid w:val="005F2E93"/>
    <w:rsid w:val="005F4BB5"/>
    <w:rsid w:val="005F6D57"/>
    <w:rsid w:val="005F7A39"/>
    <w:rsid w:val="00603C56"/>
    <w:rsid w:val="006043FB"/>
    <w:rsid w:val="00605F4D"/>
    <w:rsid w:val="006062C7"/>
    <w:rsid w:val="00607EE8"/>
    <w:rsid w:val="00611906"/>
    <w:rsid w:val="0061252B"/>
    <w:rsid w:val="00613465"/>
    <w:rsid w:val="00613AFD"/>
    <w:rsid w:val="00613FD5"/>
    <w:rsid w:val="006142E4"/>
    <w:rsid w:val="006152FE"/>
    <w:rsid w:val="0061536C"/>
    <w:rsid w:val="00615536"/>
    <w:rsid w:val="00616975"/>
    <w:rsid w:val="0062022C"/>
    <w:rsid w:val="00620D82"/>
    <w:rsid w:val="00622828"/>
    <w:rsid w:val="00622B4C"/>
    <w:rsid w:val="00623762"/>
    <w:rsid w:val="00623A16"/>
    <w:rsid w:val="00625BC2"/>
    <w:rsid w:val="00627B56"/>
    <w:rsid w:val="006310D5"/>
    <w:rsid w:val="00632E4E"/>
    <w:rsid w:val="0063320B"/>
    <w:rsid w:val="00633488"/>
    <w:rsid w:val="00633AE1"/>
    <w:rsid w:val="00637224"/>
    <w:rsid w:val="006406FF"/>
    <w:rsid w:val="00640768"/>
    <w:rsid w:val="00641004"/>
    <w:rsid w:val="006411D3"/>
    <w:rsid w:val="00641F56"/>
    <w:rsid w:val="00645935"/>
    <w:rsid w:val="006459F4"/>
    <w:rsid w:val="00646D39"/>
    <w:rsid w:val="0064787B"/>
    <w:rsid w:val="006478C5"/>
    <w:rsid w:val="00652473"/>
    <w:rsid w:val="006534FD"/>
    <w:rsid w:val="006542E2"/>
    <w:rsid w:val="006552FF"/>
    <w:rsid w:val="00656F6F"/>
    <w:rsid w:val="00660497"/>
    <w:rsid w:val="00660CDE"/>
    <w:rsid w:val="00661C96"/>
    <w:rsid w:val="00661CE3"/>
    <w:rsid w:val="006624DE"/>
    <w:rsid w:val="00662BC6"/>
    <w:rsid w:val="00663ABA"/>
    <w:rsid w:val="00663F7D"/>
    <w:rsid w:val="0066418B"/>
    <w:rsid w:val="006644A7"/>
    <w:rsid w:val="00664FB9"/>
    <w:rsid w:val="00665F9A"/>
    <w:rsid w:val="00666167"/>
    <w:rsid w:val="00667260"/>
    <w:rsid w:val="00672B0E"/>
    <w:rsid w:val="00672D80"/>
    <w:rsid w:val="00673CE2"/>
    <w:rsid w:val="006753C6"/>
    <w:rsid w:val="006757F0"/>
    <w:rsid w:val="00676428"/>
    <w:rsid w:val="00677199"/>
    <w:rsid w:val="00677A2F"/>
    <w:rsid w:val="00680CA0"/>
    <w:rsid w:val="00682810"/>
    <w:rsid w:val="0069078D"/>
    <w:rsid w:val="006934D2"/>
    <w:rsid w:val="00694F8A"/>
    <w:rsid w:val="0069541F"/>
    <w:rsid w:val="00695930"/>
    <w:rsid w:val="00695AA0"/>
    <w:rsid w:val="006A16B2"/>
    <w:rsid w:val="006A266D"/>
    <w:rsid w:val="006A2BBC"/>
    <w:rsid w:val="006A3469"/>
    <w:rsid w:val="006A352E"/>
    <w:rsid w:val="006A5F10"/>
    <w:rsid w:val="006A5F51"/>
    <w:rsid w:val="006A627D"/>
    <w:rsid w:val="006B1EF0"/>
    <w:rsid w:val="006B25F4"/>
    <w:rsid w:val="006C1B1B"/>
    <w:rsid w:val="006C56F6"/>
    <w:rsid w:val="006C6EC4"/>
    <w:rsid w:val="006C7C51"/>
    <w:rsid w:val="006D002B"/>
    <w:rsid w:val="006D12B6"/>
    <w:rsid w:val="006D3FA0"/>
    <w:rsid w:val="006D4CB8"/>
    <w:rsid w:val="006D55B9"/>
    <w:rsid w:val="006D55DB"/>
    <w:rsid w:val="006D5C17"/>
    <w:rsid w:val="006D68E5"/>
    <w:rsid w:val="006E0A9C"/>
    <w:rsid w:val="006E0CE7"/>
    <w:rsid w:val="006E2550"/>
    <w:rsid w:val="006E4232"/>
    <w:rsid w:val="006E469C"/>
    <w:rsid w:val="006E5EFF"/>
    <w:rsid w:val="006E6144"/>
    <w:rsid w:val="006E6CC6"/>
    <w:rsid w:val="006E7260"/>
    <w:rsid w:val="006E726A"/>
    <w:rsid w:val="006F2136"/>
    <w:rsid w:val="006F2D69"/>
    <w:rsid w:val="006F4527"/>
    <w:rsid w:val="00701C18"/>
    <w:rsid w:val="00702C9B"/>
    <w:rsid w:val="00704C8B"/>
    <w:rsid w:val="00706250"/>
    <w:rsid w:val="00711340"/>
    <w:rsid w:val="0071534A"/>
    <w:rsid w:val="0071765E"/>
    <w:rsid w:val="0072029E"/>
    <w:rsid w:val="00726082"/>
    <w:rsid w:val="007263B2"/>
    <w:rsid w:val="00730450"/>
    <w:rsid w:val="007305FE"/>
    <w:rsid w:val="00732AAD"/>
    <w:rsid w:val="00735CB9"/>
    <w:rsid w:val="007365FB"/>
    <w:rsid w:val="00742980"/>
    <w:rsid w:val="007431E6"/>
    <w:rsid w:val="00746499"/>
    <w:rsid w:val="00747E76"/>
    <w:rsid w:val="00751740"/>
    <w:rsid w:val="00752448"/>
    <w:rsid w:val="00752720"/>
    <w:rsid w:val="007527D5"/>
    <w:rsid w:val="00753425"/>
    <w:rsid w:val="007537E8"/>
    <w:rsid w:val="007702E5"/>
    <w:rsid w:val="00775430"/>
    <w:rsid w:val="00781A15"/>
    <w:rsid w:val="00783028"/>
    <w:rsid w:val="00783A1A"/>
    <w:rsid w:val="007858DB"/>
    <w:rsid w:val="00785D4A"/>
    <w:rsid w:val="007860E4"/>
    <w:rsid w:val="00792D73"/>
    <w:rsid w:val="00795003"/>
    <w:rsid w:val="00795F53"/>
    <w:rsid w:val="00796B31"/>
    <w:rsid w:val="00797549"/>
    <w:rsid w:val="007A095C"/>
    <w:rsid w:val="007A3C81"/>
    <w:rsid w:val="007A5502"/>
    <w:rsid w:val="007A62C6"/>
    <w:rsid w:val="007A7B64"/>
    <w:rsid w:val="007A7D27"/>
    <w:rsid w:val="007B0EC6"/>
    <w:rsid w:val="007B17CC"/>
    <w:rsid w:val="007B274B"/>
    <w:rsid w:val="007B4648"/>
    <w:rsid w:val="007B57B9"/>
    <w:rsid w:val="007B59A5"/>
    <w:rsid w:val="007B6A5B"/>
    <w:rsid w:val="007B7B77"/>
    <w:rsid w:val="007C04D0"/>
    <w:rsid w:val="007C0AFD"/>
    <w:rsid w:val="007C16FC"/>
    <w:rsid w:val="007C1E59"/>
    <w:rsid w:val="007C20F0"/>
    <w:rsid w:val="007C25E9"/>
    <w:rsid w:val="007C459D"/>
    <w:rsid w:val="007C45D8"/>
    <w:rsid w:val="007C50CA"/>
    <w:rsid w:val="007C7B06"/>
    <w:rsid w:val="007D01E7"/>
    <w:rsid w:val="007D06AF"/>
    <w:rsid w:val="007D0CA5"/>
    <w:rsid w:val="007D0E06"/>
    <w:rsid w:val="007D1B44"/>
    <w:rsid w:val="007D3AF3"/>
    <w:rsid w:val="007D4AF8"/>
    <w:rsid w:val="007D586A"/>
    <w:rsid w:val="007E05D0"/>
    <w:rsid w:val="007E08BC"/>
    <w:rsid w:val="007E1E29"/>
    <w:rsid w:val="007E2B6B"/>
    <w:rsid w:val="007E4404"/>
    <w:rsid w:val="007E769E"/>
    <w:rsid w:val="007F1426"/>
    <w:rsid w:val="007F551E"/>
    <w:rsid w:val="007F7119"/>
    <w:rsid w:val="007F7626"/>
    <w:rsid w:val="008005C8"/>
    <w:rsid w:val="00804D9F"/>
    <w:rsid w:val="00806778"/>
    <w:rsid w:val="0080686D"/>
    <w:rsid w:val="008068EA"/>
    <w:rsid w:val="008074C1"/>
    <w:rsid w:val="00810502"/>
    <w:rsid w:val="00810B1A"/>
    <w:rsid w:val="00811D63"/>
    <w:rsid w:val="00813B94"/>
    <w:rsid w:val="00816239"/>
    <w:rsid w:val="00817961"/>
    <w:rsid w:val="00820D88"/>
    <w:rsid w:val="0082398A"/>
    <w:rsid w:val="00823EFA"/>
    <w:rsid w:val="00825C43"/>
    <w:rsid w:val="00827831"/>
    <w:rsid w:val="00830956"/>
    <w:rsid w:val="00831A91"/>
    <w:rsid w:val="00831C35"/>
    <w:rsid w:val="008338A0"/>
    <w:rsid w:val="00833B81"/>
    <w:rsid w:val="00834675"/>
    <w:rsid w:val="00835A56"/>
    <w:rsid w:val="008361EA"/>
    <w:rsid w:val="00836D15"/>
    <w:rsid w:val="00841E4A"/>
    <w:rsid w:val="008427B5"/>
    <w:rsid w:val="00842E79"/>
    <w:rsid w:val="00845831"/>
    <w:rsid w:val="00847E1B"/>
    <w:rsid w:val="00852224"/>
    <w:rsid w:val="008554F3"/>
    <w:rsid w:val="00855655"/>
    <w:rsid w:val="00856F76"/>
    <w:rsid w:val="0085737E"/>
    <w:rsid w:val="008612BE"/>
    <w:rsid w:val="008613DE"/>
    <w:rsid w:val="00863790"/>
    <w:rsid w:val="008637A6"/>
    <w:rsid w:val="00863B89"/>
    <w:rsid w:val="00863CA1"/>
    <w:rsid w:val="008642C6"/>
    <w:rsid w:val="0086546D"/>
    <w:rsid w:val="0086558D"/>
    <w:rsid w:val="00865E8B"/>
    <w:rsid w:val="00865FB2"/>
    <w:rsid w:val="00870179"/>
    <w:rsid w:val="008715BA"/>
    <w:rsid w:val="008725F0"/>
    <w:rsid w:val="008801FB"/>
    <w:rsid w:val="00880972"/>
    <w:rsid w:val="00880DEF"/>
    <w:rsid w:val="008816C0"/>
    <w:rsid w:val="00881D65"/>
    <w:rsid w:val="00881E0F"/>
    <w:rsid w:val="008856C2"/>
    <w:rsid w:val="00885D01"/>
    <w:rsid w:val="008879A5"/>
    <w:rsid w:val="00892E10"/>
    <w:rsid w:val="00893447"/>
    <w:rsid w:val="008937AE"/>
    <w:rsid w:val="008949A5"/>
    <w:rsid w:val="00895A3F"/>
    <w:rsid w:val="008964F3"/>
    <w:rsid w:val="00897C5A"/>
    <w:rsid w:val="008A041F"/>
    <w:rsid w:val="008A0E42"/>
    <w:rsid w:val="008A209C"/>
    <w:rsid w:val="008A4103"/>
    <w:rsid w:val="008A47D4"/>
    <w:rsid w:val="008A4D74"/>
    <w:rsid w:val="008A5386"/>
    <w:rsid w:val="008B179C"/>
    <w:rsid w:val="008B3AA1"/>
    <w:rsid w:val="008B48E5"/>
    <w:rsid w:val="008B50AD"/>
    <w:rsid w:val="008B59BE"/>
    <w:rsid w:val="008B7186"/>
    <w:rsid w:val="008C06A8"/>
    <w:rsid w:val="008C085D"/>
    <w:rsid w:val="008C551B"/>
    <w:rsid w:val="008C6029"/>
    <w:rsid w:val="008C6376"/>
    <w:rsid w:val="008D0273"/>
    <w:rsid w:val="008D3070"/>
    <w:rsid w:val="008D4A78"/>
    <w:rsid w:val="008D59EF"/>
    <w:rsid w:val="008D626F"/>
    <w:rsid w:val="008E040D"/>
    <w:rsid w:val="008E588B"/>
    <w:rsid w:val="008F29A0"/>
    <w:rsid w:val="008F2B02"/>
    <w:rsid w:val="008F3051"/>
    <w:rsid w:val="008F334D"/>
    <w:rsid w:val="008F3675"/>
    <w:rsid w:val="008F6B6D"/>
    <w:rsid w:val="008F766B"/>
    <w:rsid w:val="00901161"/>
    <w:rsid w:val="00901D82"/>
    <w:rsid w:val="00902C54"/>
    <w:rsid w:val="009031ED"/>
    <w:rsid w:val="00905676"/>
    <w:rsid w:val="0090686B"/>
    <w:rsid w:val="00910B80"/>
    <w:rsid w:val="00912B5A"/>
    <w:rsid w:val="00912D6C"/>
    <w:rsid w:val="00913A0B"/>
    <w:rsid w:val="00914878"/>
    <w:rsid w:val="00915691"/>
    <w:rsid w:val="00916609"/>
    <w:rsid w:val="00916FC1"/>
    <w:rsid w:val="00917C24"/>
    <w:rsid w:val="00921850"/>
    <w:rsid w:val="00921877"/>
    <w:rsid w:val="00921B67"/>
    <w:rsid w:val="00925B15"/>
    <w:rsid w:val="0092629E"/>
    <w:rsid w:val="0092648F"/>
    <w:rsid w:val="00926622"/>
    <w:rsid w:val="009267D7"/>
    <w:rsid w:val="00930CAC"/>
    <w:rsid w:val="00931951"/>
    <w:rsid w:val="009339E9"/>
    <w:rsid w:val="0094110C"/>
    <w:rsid w:val="00943BDD"/>
    <w:rsid w:val="0094550C"/>
    <w:rsid w:val="00945D04"/>
    <w:rsid w:val="0094686C"/>
    <w:rsid w:val="00947B86"/>
    <w:rsid w:val="00951BBA"/>
    <w:rsid w:val="00952682"/>
    <w:rsid w:val="00956342"/>
    <w:rsid w:val="00956586"/>
    <w:rsid w:val="0095733D"/>
    <w:rsid w:val="00957F39"/>
    <w:rsid w:val="009647E1"/>
    <w:rsid w:val="00967746"/>
    <w:rsid w:val="00972D84"/>
    <w:rsid w:val="009740C5"/>
    <w:rsid w:val="00976E44"/>
    <w:rsid w:val="00984557"/>
    <w:rsid w:val="00985E27"/>
    <w:rsid w:val="00985F65"/>
    <w:rsid w:val="009877A4"/>
    <w:rsid w:val="00990C58"/>
    <w:rsid w:val="009910E3"/>
    <w:rsid w:val="0099215E"/>
    <w:rsid w:val="009935AC"/>
    <w:rsid w:val="009936D6"/>
    <w:rsid w:val="00993E4A"/>
    <w:rsid w:val="00994BD7"/>
    <w:rsid w:val="009A1603"/>
    <w:rsid w:val="009A279C"/>
    <w:rsid w:val="009A2BF8"/>
    <w:rsid w:val="009A4BA7"/>
    <w:rsid w:val="009A4D56"/>
    <w:rsid w:val="009A4FFD"/>
    <w:rsid w:val="009A53F6"/>
    <w:rsid w:val="009A679E"/>
    <w:rsid w:val="009A7633"/>
    <w:rsid w:val="009B2695"/>
    <w:rsid w:val="009B454A"/>
    <w:rsid w:val="009B5D70"/>
    <w:rsid w:val="009B6341"/>
    <w:rsid w:val="009B6E3C"/>
    <w:rsid w:val="009B6F6C"/>
    <w:rsid w:val="009B748F"/>
    <w:rsid w:val="009B75EA"/>
    <w:rsid w:val="009C27CE"/>
    <w:rsid w:val="009C580F"/>
    <w:rsid w:val="009C5A39"/>
    <w:rsid w:val="009C6276"/>
    <w:rsid w:val="009D0A52"/>
    <w:rsid w:val="009D4F85"/>
    <w:rsid w:val="009D56D7"/>
    <w:rsid w:val="009D64B8"/>
    <w:rsid w:val="009D7F99"/>
    <w:rsid w:val="009E1882"/>
    <w:rsid w:val="009E74C8"/>
    <w:rsid w:val="009E7F9C"/>
    <w:rsid w:val="009F4338"/>
    <w:rsid w:val="009F6272"/>
    <w:rsid w:val="009F759E"/>
    <w:rsid w:val="00A02729"/>
    <w:rsid w:val="00A044E8"/>
    <w:rsid w:val="00A058FE"/>
    <w:rsid w:val="00A11368"/>
    <w:rsid w:val="00A14CA4"/>
    <w:rsid w:val="00A205B8"/>
    <w:rsid w:val="00A21623"/>
    <w:rsid w:val="00A21E1D"/>
    <w:rsid w:val="00A21FD7"/>
    <w:rsid w:val="00A23A2A"/>
    <w:rsid w:val="00A262F7"/>
    <w:rsid w:val="00A269D8"/>
    <w:rsid w:val="00A27934"/>
    <w:rsid w:val="00A27B3A"/>
    <w:rsid w:val="00A306E5"/>
    <w:rsid w:val="00A3112F"/>
    <w:rsid w:val="00A3148D"/>
    <w:rsid w:val="00A3279B"/>
    <w:rsid w:val="00A3449C"/>
    <w:rsid w:val="00A356F7"/>
    <w:rsid w:val="00A35C7B"/>
    <w:rsid w:val="00A35F6B"/>
    <w:rsid w:val="00A37318"/>
    <w:rsid w:val="00A37D52"/>
    <w:rsid w:val="00A41321"/>
    <w:rsid w:val="00A41503"/>
    <w:rsid w:val="00A41AFA"/>
    <w:rsid w:val="00A420A6"/>
    <w:rsid w:val="00A42714"/>
    <w:rsid w:val="00A442CC"/>
    <w:rsid w:val="00A46BEA"/>
    <w:rsid w:val="00A470FC"/>
    <w:rsid w:val="00A474F5"/>
    <w:rsid w:val="00A51384"/>
    <w:rsid w:val="00A6134C"/>
    <w:rsid w:val="00A61773"/>
    <w:rsid w:val="00A66CD9"/>
    <w:rsid w:val="00A67F4B"/>
    <w:rsid w:val="00A702AF"/>
    <w:rsid w:val="00A71E59"/>
    <w:rsid w:val="00A72B4B"/>
    <w:rsid w:val="00A74088"/>
    <w:rsid w:val="00A80FC6"/>
    <w:rsid w:val="00A856B7"/>
    <w:rsid w:val="00A86F26"/>
    <w:rsid w:val="00A9062A"/>
    <w:rsid w:val="00A91719"/>
    <w:rsid w:val="00A9203A"/>
    <w:rsid w:val="00A92369"/>
    <w:rsid w:val="00A9259B"/>
    <w:rsid w:val="00A92E42"/>
    <w:rsid w:val="00A937C3"/>
    <w:rsid w:val="00A953C2"/>
    <w:rsid w:val="00A96628"/>
    <w:rsid w:val="00A97A9E"/>
    <w:rsid w:val="00A97F35"/>
    <w:rsid w:val="00AA3B78"/>
    <w:rsid w:val="00AA3E86"/>
    <w:rsid w:val="00AA43E6"/>
    <w:rsid w:val="00AA7644"/>
    <w:rsid w:val="00AA7BA7"/>
    <w:rsid w:val="00AA7CC7"/>
    <w:rsid w:val="00AA7D38"/>
    <w:rsid w:val="00AB0726"/>
    <w:rsid w:val="00AB3CEE"/>
    <w:rsid w:val="00AB3F6C"/>
    <w:rsid w:val="00AB57F3"/>
    <w:rsid w:val="00AC1EE6"/>
    <w:rsid w:val="00AC512E"/>
    <w:rsid w:val="00AC75DD"/>
    <w:rsid w:val="00AC79C2"/>
    <w:rsid w:val="00AE657B"/>
    <w:rsid w:val="00AE7229"/>
    <w:rsid w:val="00AF5B38"/>
    <w:rsid w:val="00AF6664"/>
    <w:rsid w:val="00AF74A1"/>
    <w:rsid w:val="00B000C0"/>
    <w:rsid w:val="00B00C21"/>
    <w:rsid w:val="00B0387A"/>
    <w:rsid w:val="00B04184"/>
    <w:rsid w:val="00B05663"/>
    <w:rsid w:val="00B1003C"/>
    <w:rsid w:val="00B130EE"/>
    <w:rsid w:val="00B14C75"/>
    <w:rsid w:val="00B14C9D"/>
    <w:rsid w:val="00B15BFE"/>
    <w:rsid w:val="00B168B4"/>
    <w:rsid w:val="00B169A2"/>
    <w:rsid w:val="00B2162A"/>
    <w:rsid w:val="00B246A9"/>
    <w:rsid w:val="00B2494B"/>
    <w:rsid w:val="00B25B34"/>
    <w:rsid w:val="00B25CB5"/>
    <w:rsid w:val="00B26AF5"/>
    <w:rsid w:val="00B26F98"/>
    <w:rsid w:val="00B35308"/>
    <w:rsid w:val="00B362E5"/>
    <w:rsid w:val="00B371BF"/>
    <w:rsid w:val="00B41E43"/>
    <w:rsid w:val="00B42373"/>
    <w:rsid w:val="00B427B6"/>
    <w:rsid w:val="00B42F8A"/>
    <w:rsid w:val="00B43274"/>
    <w:rsid w:val="00B508D0"/>
    <w:rsid w:val="00B50E2A"/>
    <w:rsid w:val="00B513BA"/>
    <w:rsid w:val="00B51AD3"/>
    <w:rsid w:val="00B51BE6"/>
    <w:rsid w:val="00B53595"/>
    <w:rsid w:val="00B544D4"/>
    <w:rsid w:val="00B569B7"/>
    <w:rsid w:val="00B579E9"/>
    <w:rsid w:val="00B61B70"/>
    <w:rsid w:val="00B63D29"/>
    <w:rsid w:val="00B64F9B"/>
    <w:rsid w:val="00B664A7"/>
    <w:rsid w:val="00B67430"/>
    <w:rsid w:val="00B67739"/>
    <w:rsid w:val="00B70D8E"/>
    <w:rsid w:val="00B71AA4"/>
    <w:rsid w:val="00B741DD"/>
    <w:rsid w:val="00B764BD"/>
    <w:rsid w:val="00B765EE"/>
    <w:rsid w:val="00B770A8"/>
    <w:rsid w:val="00B77189"/>
    <w:rsid w:val="00B77344"/>
    <w:rsid w:val="00B77F17"/>
    <w:rsid w:val="00B81FE8"/>
    <w:rsid w:val="00B83B5A"/>
    <w:rsid w:val="00B84414"/>
    <w:rsid w:val="00B8551D"/>
    <w:rsid w:val="00B86170"/>
    <w:rsid w:val="00B869BD"/>
    <w:rsid w:val="00B90FBA"/>
    <w:rsid w:val="00B91489"/>
    <w:rsid w:val="00B91FFB"/>
    <w:rsid w:val="00B924F0"/>
    <w:rsid w:val="00B943A9"/>
    <w:rsid w:val="00B94DDB"/>
    <w:rsid w:val="00B97B5A"/>
    <w:rsid w:val="00BA0A30"/>
    <w:rsid w:val="00BA3FD4"/>
    <w:rsid w:val="00BA71AB"/>
    <w:rsid w:val="00BA7AA6"/>
    <w:rsid w:val="00BB0200"/>
    <w:rsid w:val="00BB13E0"/>
    <w:rsid w:val="00BB14BC"/>
    <w:rsid w:val="00BB444A"/>
    <w:rsid w:val="00BB537F"/>
    <w:rsid w:val="00BB559B"/>
    <w:rsid w:val="00BB67B3"/>
    <w:rsid w:val="00BB6C17"/>
    <w:rsid w:val="00BB7D9C"/>
    <w:rsid w:val="00BC3526"/>
    <w:rsid w:val="00BC4680"/>
    <w:rsid w:val="00BC5F75"/>
    <w:rsid w:val="00BC79EF"/>
    <w:rsid w:val="00BC7BF8"/>
    <w:rsid w:val="00BD3803"/>
    <w:rsid w:val="00BD3848"/>
    <w:rsid w:val="00BD38C5"/>
    <w:rsid w:val="00BD59FE"/>
    <w:rsid w:val="00BD61A9"/>
    <w:rsid w:val="00BD7780"/>
    <w:rsid w:val="00BD77CA"/>
    <w:rsid w:val="00BE115B"/>
    <w:rsid w:val="00BE26DF"/>
    <w:rsid w:val="00BE2873"/>
    <w:rsid w:val="00BE37AB"/>
    <w:rsid w:val="00BE51A5"/>
    <w:rsid w:val="00BE6DEE"/>
    <w:rsid w:val="00BF0037"/>
    <w:rsid w:val="00BF1B4A"/>
    <w:rsid w:val="00BF2CE2"/>
    <w:rsid w:val="00BF4367"/>
    <w:rsid w:val="00BF5BB8"/>
    <w:rsid w:val="00BF6C98"/>
    <w:rsid w:val="00BF6E14"/>
    <w:rsid w:val="00C0110C"/>
    <w:rsid w:val="00C03F2A"/>
    <w:rsid w:val="00C045FC"/>
    <w:rsid w:val="00C0487F"/>
    <w:rsid w:val="00C06150"/>
    <w:rsid w:val="00C079C1"/>
    <w:rsid w:val="00C12789"/>
    <w:rsid w:val="00C15365"/>
    <w:rsid w:val="00C16A99"/>
    <w:rsid w:val="00C20B47"/>
    <w:rsid w:val="00C21005"/>
    <w:rsid w:val="00C22E7F"/>
    <w:rsid w:val="00C23CC8"/>
    <w:rsid w:val="00C25C3E"/>
    <w:rsid w:val="00C25CE6"/>
    <w:rsid w:val="00C25FEA"/>
    <w:rsid w:val="00C264B8"/>
    <w:rsid w:val="00C273FB"/>
    <w:rsid w:val="00C304A4"/>
    <w:rsid w:val="00C3076D"/>
    <w:rsid w:val="00C312DB"/>
    <w:rsid w:val="00C31976"/>
    <w:rsid w:val="00C31DE2"/>
    <w:rsid w:val="00C34922"/>
    <w:rsid w:val="00C34ABB"/>
    <w:rsid w:val="00C35984"/>
    <w:rsid w:val="00C42956"/>
    <w:rsid w:val="00C43164"/>
    <w:rsid w:val="00C443C0"/>
    <w:rsid w:val="00C44B64"/>
    <w:rsid w:val="00C45E1B"/>
    <w:rsid w:val="00C46336"/>
    <w:rsid w:val="00C51AD9"/>
    <w:rsid w:val="00C51AE9"/>
    <w:rsid w:val="00C51B41"/>
    <w:rsid w:val="00C5427B"/>
    <w:rsid w:val="00C54A1C"/>
    <w:rsid w:val="00C5761C"/>
    <w:rsid w:val="00C642C2"/>
    <w:rsid w:val="00C66C76"/>
    <w:rsid w:val="00C679E0"/>
    <w:rsid w:val="00C70528"/>
    <w:rsid w:val="00C708DD"/>
    <w:rsid w:val="00C71A44"/>
    <w:rsid w:val="00C71CF6"/>
    <w:rsid w:val="00C73D45"/>
    <w:rsid w:val="00C82BEE"/>
    <w:rsid w:val="00C83662"/>
    <w:rsid w:val="00C8401D"/>
    <w:rsid w:val="00C850AF"/>
    <w:rsid w:val="00C85711"/>
    <w:rsid w:val="00C919B3"/>
    <w:rsid w:val="00C95AB4"/>
    <w:rsid w:val="00C9766D"/>
    <w:rsid w:val="00CA0AB8"/>
    <w:rsid w:val="00CA1229"/>
    <w:rsid w:val="00CA2B44"/>
    <w:rsid w:val="00CA4431"/>
    <w:rsid w:val="00CA44E2"/>
    <w:rsid w:val="00CA4EE0"/>
    <w:rsid w:val="00CA695F"/>
    <w:rsid w:val="00CA7FFD"/>
    <w:rsid w:val="00CB00F5"/>
    <w:rsid w:val="00CB254D"/>
    <w:rsid w:val="00CB2B97"/>
    <w:rsid w:val="00CB5255"/>
    <w:rsid w:val="00CB5E12"/>
    <w:rsid w:val="00CC0144"/>
    <w:rsid w:val="00CC0263"/>
    <w:rsid w:val="00CC23BA"/>
    <w:rsid w:val="00CC2F80"/>
    <w:rsid w:val="00CC4EEA"/>
    <w:rsid w:val="00CC61A9"/>
    <w:rsid w:val="00CC6A4D"/>
    <w:rsid w:val="00CC6FE7"/>
    <w:rsid w:val="00CD7C38"/>
    <w:rsid w:val="00CE01D9"/>
    <w:rsid w:val="00CE15AD"/>
    <w:rsid w:val="00CE24AA"/>
    <w:rsid w:val="00CE3122"/>
    <w:rsid w:val="00CE42F2"/>
    <w:rsid w:val="00CE4445"/>
    <w:rsid w:val="00CE45DC"/>
    <w:rsid w:val="00CE50CB"/>
    <w:rsid w:val="00CE7770"/>
    <w:rsid w:val="00CF051D"/>
    <w:rsid w:val="00CF0EC7"/>
    <w:rsid w:val="00CF109D"/>
    <w:rsid w:val="00CF27AF"/>
    <w:rsid w:val="00CF49BB"/>
    <w:rsid w:val="00CF63A4"/>
    <w:rsid w:val="00CF70CB"/>
    <w:rsid w:val="00D010F5"/>
    <w:rsid w:val="00D01B62"/>
    <w:rsid w:val="00D0235E"/>
    <w:rsid w:val="00D03E00"/>
    <w:rsid w:val="00D061CB"/>
    <w:rsid w:val="00D068C1"/>
    <w:rsid w:val="00D12BAC"/>
    <w:rsid w:val="00D1492B"/>
    <w:rsid w:val="00D16CE1"/>
    <w:rsid w:val="00D17E00"/>
    <w:rsid w:val="00D20642"/>
    <w:rsid w:val="00D20C33"/>
    <w:rsid w:val="00D20F20"/>
    <w:rsid w:val="00D23548"/>
    <w:rsid w:val="00D235C0"/>
    <w:rsid w:val="00D245B4"/>
    <w:rsid w:val="00D275CA"/>
    <w:rsid w:val="00D3192D"/>
    <w:rsid w:val="00D32D61"/>
    <w:rsid w:val="00D33D99"/>
    <w:rsid w:val="00D34593"/>
    <w:rsid w:val="00D36DBA"/>
    <w:rsid w:val="00D377DC"/>
    <w:rsid w:val="00D379C9"/>
    <w:rsid w:val="00D403C0"/>
    <w:rsid w:val="00D40A97"/>
    <w:rsid w:val="00D424C2"/>
    <w:rsid w:val="00D42855"/>
    <w:rsid w:val="00D4377D"/>
    <w:rsid w:val="00D4491F"/>
    <w:rsid w:val="00D46E0B"/>
    <w:rsid w:val="00D46F70"/>
    <w:rsid w:val="00D50090"/>
    <w:rsid w:val="00D50861"/>
    <w:rsid w:val="00D54B79"/>
    <w:rsid w:val="00D564BF"/>
    <w:rsid w:val="00D575C4"/>
    <w:rsid w:val="00D5772A"/>
    <w:rsid w:val="00D605CB"/>
    <w:rsid w:val="00D60A6C"/>
    <w:rsid w:val="00D61E1D"/>
    <w:rsid w:val="00D64250"/>
    <w:rsid w:val="00D643D1"/>
    <w:rsid w:val="00D703EE"/>
    <w:rsid w:val="00D709BC"/>
    <w:rsid w:val="00D70FC5"/>
    <w:rsid w:val="00D7111C"/>
    <w:rsid w:val="00D7121A"/>
    <w:rsid w:val="00D72182"/>
    <w:rsid w:val="00D72584"/>
    <w:rsid w:val="00D746B2"/>
    <w:rsid w:val="00D74CED"/>
    <w:rsid w:val="00D772F9"/>
    <w:rsid w:val="00D81A98"/>
    <w:rsid w:val="00D85ABC"/>
    <w:rsid w:val="00D867C7"/>
    <w:rsid w:val="00D86F1B"/>
    <w:rsid w:val="00D914F3"/>
    <w:rsid w:val="00D91593"/>
    <w:rsid w:val="00D9183C"/>
    <w:rsid w:val="00D91BB0"/>
    <w:rsid w:val="00D96686"/>
    <w:rsid w:val="00DA1412"/>
    <w:rsid w:val="00DA39A6"/>
    <w:rsid w:val="00DA3A88"/>
    <w:rsid w:val="00DA5A40"/>
    <w:rsid w:val="00DA6D81"/>
    <w:rsid w:val="00DA7B7F"/>
    <w:rsid w:val="00DB1617"/>
    <w:rsid w:val="00DB16FA"/>
    <w:rsid w:val="00DB4D19"/>
    <w:rsid w:val="00DB5A8C"/>
    <w:rsid w:val="00DB5FBC"/>
    <w:rsid w:val="00DB74F6"/>
    <w:rsid w:val="00DB7BE3"/>
    <w:rsid w:val="00DB7F5F"/>
    <w:rsid w:val="00DC261D"/>
    <w:rsid w:val="00DC2B38"/>
    <w:rsid w:val="00DC3510"/>
    <w:rsid w:val="00DC61A5"/>
    <w:rsid w:val="00DD0CE5"/>
    <w:rsid w:val="00DD18D9"/>
    <w:rsid w:val="00DD1BA4"/>
    <w:rsid w:val="00DD269C"/>
    <w:rsid w:val="00DD5FA0"/>
    <w:rsid w:val="00DE065A"/>
    <w:rsid w:val="00DE078A"/>
    <w:rsid w:val="00DE248A"/>
    <w:rsid w:val="00DE2D8A"/>
    <w:rsid w:val="00DE4D96"/>
    <w:rsid w:val="00DE7C05"/>
    <w:rsid w:val="00DF012D"/>
    <w:rsid w:val="00DF01EB"/>
    <w:rsid w:val="00DF03E5"/>
    <w:rsid w:val="00DF7FE5"/>
    <w:rsid w:val="00E01A3C"/>
    <w:rsid w:val="00E02AB3"/>
    <w:rsid w:val="00E02AFB"/>
    <w:rsid w:val="00E03004"/>
    <w:rsid w:val="00E0652C"/>
    <w:rsid w:val="00E06D93"/>
    <w:rsid w:val="00E10B20"/>
    <w:rsid w:val="00E14C44"/>
    <w:rsid w:val="00E16226"/>
    <w:rsid w:val="00E17131"/>
    <w:rsid w:val="00E20093"/>
    <w:rsid w:val="00E20CB6"/>
    <w:rsid w:val="00E21299"/>
    <w:rsid w:val="00E213E9"/>
    <w:rsid w:val="00E21F87"/>
    <w:rsid w:val="00E22404"/>
    <w:rsid w:val="00E22984"/>
    <w:rsid w:val="00E233A4"/>
    <w:rsid w:val="00E24A17"/>
    <w:rsid w:val="00E2760A"/>
    <w:rsid w:val="00E30AB6"/>
    <w:rsid w:val="00E336E0"/>
    <w:rsid w:val="00E37765"/>
    <w:rsid w:val="00E4021B"/>
    <w:rsid w:val="00E41693"/>
    <w:rsid w:val="00E420E2"/>
    <w:rsid w:val="00E4225E"/>
    <w:rsid w:val="00E44556"/>
    <w:rsid w:val="00E446B9"/>
    <w:rsid w:val="00E45120"/>
    <w:rsid w:val="00E45570"/>
    <w:rsid w:val="00E463BE"/>
    <w:rsid w:val="00E47892"/>
    <w:rsid w:val="00E50C33"/>
    <w:rsid w:val="00E50F2D"/>
    <w:rsid w:val="00E5102D"/>
    <w:rsid w:val="00E558E4"/>
    <w:rsid w:val="00E574DF"/>
    <w:rsid w:val="00E61586"/>
    <w:rsid w:val="00E622EA"/>
    <w:rsid w:val="00E632FA"/>
    <w:rsid w:val="00E65CDC"/>
    <w:rsid w:val="00E66097"/>
    <w:rsid w:val="00E66E0A"/>
    <w:rsid w:val="00E71982"/>
    <w:rsid w:val="00E7336E"/>
    <w:rsid w:val="00E74897"/>
    <w:rsid w:val="00E77A0B"/>
    <w:rsid w:val="00E8051D"/>
    <w:rsid w:val="00E80EE3"/>
    <w:rsid w:val="00E851B6"/>
    <w:rsid w:val="00E87554"/>
    <w:rsid w:val="00E875AF"/>
    <w:rsid w:val="00E93B26"/>
    <w:rsid w:val="00E9692D"/>
    <w:rsid w:val="00E97432"/>
    <w:rsid w:val="00EA240C"/>
    <w:rsid w:val="00EA2BBC"/>
    <w:rsid w:val="00EA33D0"/>
    <w:rsid w:val="00EA4F26"/>
    <w:rsid w:val="00EA4FBD"/>
    <w:rsid w:val="00EB2831"/>
    <w:rsid w:val="00EB5A67"/>
    <w:rsid w:val="00EB6622"/>
    <w:rsid w:val="00EB68CC"/>
    <w:rsid w:val="00EC0011"/>
    <w:rsid w:val="00EC0100"/>
    <w:rsid w:val="00EC3E0A"/>
    <w:rsid w:val="00EC4920"/>
    <w:rsid w:val="00ED34E5"/>
    <w:rsid w:val="00ED37A4"/>
    <w:rsid w:val="00ED7570"/>
    <w:rsid w:val="00ED7AD1"/>
    <w:rsid w:val="00EE009F"/>
    <w:rsid w:val="00EE092B"/>
    <w:rsid w:val="00EE0FAF"/>
    <w:rsid w:val="00EE261E"/>
    <w:rsid w:val="00EE287E"/>
    <w:rsid w:val="00EE2A16"/>
    <w:rsid w:val="00EE2A68"/>
    <w:rsid w:val="00EE6EC2"/>
    <w:rsid w:val="00EE7D7A"/>
    <w:rsid w:val="00EF21B7"/>
    <w:rsid w:val="00EF3005"/>
    <w:rsid w:val="00EF35C8"/>
    <w:rsid w:val="00EF3F9B"/>
    <w:rsid w:val="00EF7B4C"/>
    <w:rsid w:val="00F02BAD"/>
    <w:rsid w:val="00F033A9"/>
    <w:rsid w:val="00F050D7"/>
    <w:rsid w:val="00F071F5"/>
    <w:rsid w:val="00F103A1"/>
    <w:rsid w:val="00F10985"/>
    <w:rsid w:val="00F11ADE"/>
    <w:rsid w:val="00F12CE3"/>
    <w:rsid w:val="00F130E4"/>
    <w:rsid w:val="00F13C3F"/>
    <w:rsid w:val="00F140D3"/>
    <w:rsid w:val="00F14682"/>
    <w:rsid w:val="00F14803"/>
    <w:rsid w:val="00F14A45"/>
    <w:rsid w:val="00F15D99"/>
    <w:rsid w:val="00F2063F"/>
    <w:rsid w:val="00F20D8D"/>
    <w:rsid w:val="00F2173E"/>
    <w:rsid w:val="00F2211A"/>
    <w:rsid w:val="00F22772"/>
    <w:rsid w:val="00F22D67"/>
    <w:rsid w:val="00F22EB2"/>
    <w:rsid w:val="00F250D1"/>
    <w:rsid w:val="00F2690E"/>
    <w:rsid w:val="00F26D1B"/>
    <w:rsid w:val="00F27931"/>
    <w:rsid w:val="00F31584"/>
    <w:rsid w:val="00F31DCB"/>
    <w:rsid w:val="00F3256F"/>
    <w:rsid w:val="00F36335"/>
    <w:rsid w:val="00F37EF7"/>
    <w:rsid w:val="00F43213"/>
    <w:rsid w:val="00F44555"/>
    <w:rsid w:val="00F44E1F"/>
    <w:rsid w:val="00F4522F"/>
    <w:rsid w:val="00F50A68"/>
    <w:rsid w:val="00F51A6C"/>
    <w:rsid w:val="00F524B4"/>
    <w:rsid w:val="00F52505"/>
    <w:rsid w:val="00F56344"/>
    <w:rsid w:val="00F56889"/>
    <w:rsid w:val="00F5786C"/>
    <w:rsid w:val="00F57AAC"/>
    <w:rsid w:val="00F606E3"/>
    <w:rsid w:val="00F6228C"/>
    <w:rsid w:val="00F62CB7"/>
    <w:rsid w:val="00F7005D"/>
    <w:rsid w:val="00F72CA3"/>
    <w:rsid w:val="00F746B8"/>
    <w:rsid w:val="00F802E5"/>
    <w:rsid w:val="00F8192C"/>
    <w:rsid w:val="00F81FD0"/>
    <w:rsid w:val="00F84D28"/>
    <w:rsid w:val="00F85C7C"/>
    <w:rsid w:val="00F86A6E"/>
    <w:rsid w:val="00F8719F"/>
    <w:rsid w:val="00F906A3"/>
    <w:rsid w:val="00F906C9"/>
    <w:rsid w:val="00F90DA9"/>
    <w:rsid w:val="00F90F3A"/>
    <w:rsid w:val="00FA0EED"/>
    <w:rsid w:val="00FA189D"/>
    <w:rsid w:val="00FA2728"/>
    <w:rsid w:val="00FA3C02"/>
    <w:rsid w:val="00FA574A"/>
    <w:rsid w:val="00FA6658"/>
    <w:rsid w:val="00FA66F2"/>
    <w:rsid w:val="00FA6B4C"/>
    <w:rsid w:val="00FA6BAE"/>
    <w:rsid w:val="00FB1C6F"/>
    <w:rsid w:val="00FB36CA"/>
    <w:rsid w:val="00FB4DFA"/>
    <w:rsid w:val="00FB610D"/>
    <w:rsid w:val="00FB6789"/>
    <w:rsid w:val="00FC1E7E"/>
    <w:rsid w:val="00FC3A49"/>
    <w:rsid w:val="00FC3D7F"/>
    <w:rsid w:val="00FC6B3F"/>
    <w:rsid w:val="00FC75DD"/>
    <w:rsid w:val="00FD0C47"/>
    <w:rsid w:val="00FD4CC1"/>
    <w:rsid w:val="00FD52D5"/>
    <w:rsid w:val="00FE27B0"/>
    <w:rsid w:val="00FE3A60"/>
    <w:rsid w:val="00FE3F48"/>
    <w:rsid w:val="00FE5478"/>
    <w:rsid w:val="00FE56DC"/>
    <w:rsid w:val="00FE6B02"/>
    <w:rsid w:val="00FF0433"/>
    <w:rsid w:val="00FF173F"/>
    <w:rsid w:val="00FF1A0C"/>
    <w:rsid w:val="00FF3665"/>
    <w:rsid w:val="00FF3821"/>
    <w:rsid w:val="00FF3BB6"/>
    <w:rsid w:val="00FF4BEE"/>
    <w:rsid w:val="00FF6C4D"/>
    <w:rsid w:val="00FF7754"/>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7A886FB-C801-4673-A4B7-BF7FC84D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B31"/>
    <w:pPr>
      <w:jc w:val="both"/>
    </w:pPr>
    <w:rPr>
      <w:rFonts w:ascii="Arial" w:hAnsi="Arial" w:cs="Arial"/>
    </w:rPr>
  </w:style>
  <w:style w:type="paragraph" w:styleId="Heading1">
    <w:name w:val="heading 1"/>
    <w:aliases w:val="Heading 1 (BDUK),Lev 1,Section,Section1,Section2,Section11,Propo,H1,h1,Head1,Heading apps,Class Heading,1,heading1,new page/chapter,h11,new page/chapter1,h12,new page/chapter2,h111,new page/chapter11,h13,new page/chapter3,h112,EmailStyle11"/>
    <w:basedOn w:val="Normal"/>
    <w:next w:val="Normal"/>
    <w:link w:val="Heading1Char"/>
    <w:qFormat/>
    <w:rsid w:val="00E66097"/>
    <w:pPr>
      <w:keepNext/>
      <w:keepLines/>
      <w:pageBreakBefore/>
      <w:numPr>
        <w:numId w:val="8"/>
      </w:numPr>
      <w:spacing w:after="120"/>
      <w:jc w:val="left"/>
      <w:outlineLvl w:val="0"/>
    </w:pPr>
    <w:rPr>
      <w:rFonts w:ascii="Calibri" w:hAnsi="Calibri" w:cs="Times New Roman"/>
      <w:b/>
      <w:bCs/>
      <w:color w:val="1F497D"/>
      <w:sz w:val="40"/>
      <w:szCs w:val="28"/>
      <w:lang w:val="x-none" w:eastAsia="en-US"/>
    </w:rPr>
  </w:style>
  <w:style w:type="paragraph" w:styleId="Heading2">
    <w:name w:val="heading 2"/>
    <w:aliases w:val="Heading 2 (BDUK),Lev 2,1.1 Heading 2,Heading 2 Hidden,Proposal,h2,2,Level 2 Heading,Numbered indent 2,ni2,Hanging 2 Indent,numbered indent 2,exercise,Heading 2 substyle,H2,H2normal full,(1.1,1.2,1.3 etc),A,h2 main heading,B Sub/Bol,Heading Two"/>
    <w:basedOn w:val="Normal"/>
    <w:next w:val="Normal"/>
    <w:link w:val="Heading2Char"/>
    <w:qFormat/>
    <w:rsid w:val="00796B31"/>
    <w:pPr>
      <w:keepNext/>
      <w:keepLines/>
      <w:numPr>
        <w:ilvl w:val="1"/>
        <w:numId w:val="8"/>
      </w:numPr>
      <w:spacing w:before="360" w:after="120" w:line="276" w:lineRule="auto"/>
      <w:jc w:val="left"/>
      <w:outlineLvl w:val="1"/>
    </w:pPr>
    <w:rPr>
      <w:rFonts w:ascii="Calibri" w:hAnsi="Calibri" w:cs="Times New Roman"/>
      <w:b/>
      <w:bCs/>
      <w:color w:val="1F497D"/>
      <w:sz w:val="32"/>
      <w:szCs w:val="26"/>
      <w:lang w:val="en-US" w:eastAsia="en-US"/>
    </w:rPr>
  </w:style>
  <w:style w:type="paragraph" w:styleId="Heading3">
    <w:name w:val="heading 3"/>
    <w:aliases w:val="Numbered paragraph,Project 3,Proposa,H3,Level 1 - 1,H31,H32,H33,H34,H35,H36,Heading 31,Heading 32,Heading 33,Heading 34,Heading 35,Heading 36,Prophead 3,h3,HHHeading,Minor,3,sub-sub,RFP Heading 3,Task,Tsk,H37,H38,H39,H310,H311,H312,H313,H314"/>
    <w:basedOn w:val="Normal"/>
    <w:next w:val="Normal"/>
    <w:link w:val="Heading3Char"/>
    <w:qFormat/>
    <w:rsid w:val="00796B31"/>
    <w:pPr>
      <w:numPr>
        <w:ilvl w:val="2"/>
        <w:numId w:val="8"/>
      </w:numPr>
      <w:tabs>
        <w:tab w:val="left" w:pos="864"/>
      </w:tabs>
      <w:spacing w:after="120" w:line="264" w:lineRule="auto"/>
      <w:outlineLvl w:val="2"/>
    </w:pPr>
    <w:rPr>
      <w:rFonts w:ascii="Calibri" w:hAnsi="Calibri" w:cs="Times New Roman"/>
      <w:sz w:val="22"/>
      <w:szCs w:val="22"/>
      <w:lang w:val="en-US" w:eastAsia="en-US"/>
    </w:rPr>
  </w:style>
  <w:style w:type="paragraph" w:styleId="Heading4">
    <w:name w:val="heading 4"/>
    <w:aliases w:val="Heading 3 (BDUK),Lev 4,Propos,H4,dash,h4,Map Title,a.,4,4heading,Heading4,H4-Heading 4,l4,Heading 4 - SBC,SBC Numbered Hdg 4,Te,h4 sub sub heading,D Sub-Sub/Plain,14,141,h41,l41,41,142,h42,l42,h43,42,parapoint,¶,143,h44,l43,43,1411,h411,l411"/>
    <w:basedOn w:val="Heading2"/>
    <w:next w:val="Normal"/>
    <w:link w:val="Heading4Char"/>
    <w:qFormat/>
    <w:rsid w:val="00E66097"/>
    <w:pPr>
      <w:numPr>
        <w:ilvl w:val="3"/>
      </w:numPr>
      <w:spacing w:before="240" w:after="80" w:line="240" w:lineRule="auto"/>
      <w:outlineLvl w:val="3"/>
    </w:pPr>
    <w:rPr>
      <w:b w:val="0"/>
      <w:i/>
      <w:sz w:val="22"/>
    </w:rPr>
  </w:style>
  <w:style w:type="paragraph" w:styleId="Heading5">
    <w:name w:val="heading 5"/>
    <w:basedOn w:val="Normal"/>
    <w:next w:val="Normal"/>
    <w:link w:val="Heading5Char"/>
    <w:rsid w:val="00796B31"/>
    <w:pPr>
      <w:keepNext/>
      <w:keepLines/>
      <w:spacing w:before="220" w:after="40"/>
      <w:contextualSpacing/>
      <w:outlineLvl w:val="4"/>
    </w:pPr>
    <w:rPr>
      <w:rFonts w:eastAsia="Arial"/>
      <w:b/>
      <w:color w:val="000000"/>
      <w:sz w:val="22"/>
      <w:szCs w:val="22"/>
    </w:rPr>
  </w:style>
  <w:style w:type="paragraph" w:styleId="Heading6">
    <w:name w:val="heading 6"/>
    <w:basedOn w:val="Normal"/>
    <w:next w:val="Normal"/>
    <w:link w:val="Heading6Char"/>
    <w:rsid w:val="00796B31"/>
    <w:pPr>
      <w:keepNext/>
      <w:keepLines/>
      <w:spacing w:before="200" w:after="40"/>
      <w:contextualSpacing/>
      <w:outlineLvl w:val="5"/>
    </w:pPr>
    <w:rPr>
      <w:rFonts w:eastAsia="Arial"/>
      <w:b/>
      <w:color w:val="000000"/>
    </w:rPr>
  </w:style>
  <w:style w:type="paragraph" w:styleId="Heading7">
    <w:name w:val="heading 7"/>
    <w:aliases w:val="p,7,ExhibitTitle,st,heading7,req3,L7,App Head,App heading,Appendix Heading,Appendix Major"/>
    <w:basedOn w:val="Normal"/>
    <w:next w:val="Normal"/>
    <w:link w:val="Heading7Char"/>
    <w:qFormat/>
    <w:rsid w:val="009B6E3C"/>
    <w:pPr>
      <w:keepNext/>
      <w:keepLines/>
      <w:numPr>
        <w:ilvl w:val="6"/>
        <w:numId w:val="8"/>
      </w:numPr>
      <w:spacing w:before="200" w:after="120" w:line="276" w:lineRule="auto"/>
      <w:outlineLvl w:val="6"/>
    </w:pPr>
    <w:rPr>
      <w:rFonts w:ascii="Cambria" w:hAnsi="Cambria" w:cs="Times New Roman"/>
      <w:i/>
      <w:iCs/>
      <w:color w:val="404040"/>
      <w:sz w:val="22"/>
      <w:szCs w:val="22"/>
      <w:lang w:val="en-US" w:eastAsia="en-US"/>
    </w:rPr>
  </w:style>
  <w:style w:type="paragraph" w:styleId="Heading8">
    <w:name w:val="heading 8"/>
    <w:aliases w:val="BDUK Level 6"/>
    <w:basedOn w:val="Normal"/>
    <w:next w:val="Normal"/>
    <w:link w:val="Heading8Char"/>
    <w:qFormat/>
    <w:rsid w:val="009B6E3C"/>
    <w:pPr>
      <w:keepNext/>
      <w:keepLines/>
      <w:numPr>
        <w:ilvl w:val="7"/>
        <w:numId w:val="8"/>
      </w:numPr>
      <w:spacing w:before="200" w:after="120" w:line="276" w:lineRule="auto"/>
      <w:outlineLvl w:val="7"/>
    </w:pPr>
    <w:rPr>
      <w:rFonts w:ascii="Cambria" w:hAnsi="Cambria" w:cs="Times New Roman"/>
      <w:color w:val="4F81BD"/>
      <w:lang w:val="en-US" w:eastAsia="en-US"/>
    </w:rPr>
  </w:style>
  <w:style w:type="paragraph" w:styleId="Heading9">
    <w:name w:val="heading 9"/>
    <w:basedOn w:val="Normal"/>
    <w:next w:val="Normal"/>
    <w:link w:val="Heading9Char"/>
    <w:qFormat/>
    <w:rsid w:val="009B6E3C"/>
    <w:pPr>
      <w:keepNext/>
      <w:keepLines/>
      <w:numPr>
        <w:ilvl w:val="8"/>
        <w:numId w:val="8"/>
      </w:numPr>
      <w:spacing w:before="200" w:after="120" w:line="276" w:lineRule="auto"/>
      <w:outlineLvl w:val="8"/>
    </w:pPr>
    <w:rPr>
      <w:rFonts w:ascii="Cambria" w:hAnsi="Cambria" w:cs="Times New Roman"/>
      <w:i/>
      <w:iCs/>
      <w:color w:val="4040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C4920"/>
  </w:style>
  <w:style w:type="paragraph" w:customStyle="1" w:styleId="Body">
    <w:name w:val="Body"/>
    <w:aliases w:val="b"/>
    <w:basedOn w:val="Normal"/>
    <w:link w:val="BodyChar"/>
    <w:pPr>
      <w:spacing w:after="240"/>
    </w:pPr>
    <w:rPr>
      <w:rFonts w:cs="Times New Roman"/>
      <w:lang w:val="x-none" w:eastAsia="x-none"/>
    </w:rPr>
  </w:style>
  <w:style w:type="paragraph" w:customStyle="1" w:styleId="Body1">
    <w:name w:val="Body 1"/>
    <w:basedOn w:val="Body"/>
    <w:rsid w:val="00006847"/>
    <w:pPr>
      <w:adjustRightInd w:val="0"/>
      <w:ind w:left="851"/>
    </w:pPr>
    <w:rPr>
      <w:rFonts w:eastAsia="Arial"/>
    </w:rPr>
  </w:style>
  <w:style w:type="paragraph" w:customStyle="1" w:styleId="Body2">
    <w:name w:val="Body 2"/>
    <w:basedOn w:val="Body"/>
    <w:rsid w:val="00006847"/>
    <w:pPr>
      <w:adjustRightInd w:val="0"/>
      <w:ind w:left="851"/>
    </w:pPr>
    <w:rPr>
      <w:rFonts w:eastAsia="Arial"/>
    </w:rPr>
  </w:style>
  <w:style w:type="paragraph" w:customStyle="1" w:styleId="Body3">
    <w:name w:val="Body 3"/>
    <w:basedOn w:val="Body"/>
    <w:rsid w:val="00006847"/>
    <w:pPr>
      <w:adjustRightInd w:val="0"/>
      <w:ind w:left="1702"/>
    </w:pPr>
    <w:rPr>
      <w:rFonts w:eastAsia="Arial"/>
    </w:rPr>
  </w:style>
  <w:style w:type="paragraph" w:customStyle="1" w:styleId="Body4">
    <w:name w:val="Body 4"/>
    <w:basedOn w:val="Body"/>
    <w:rsid w:val="00006847"/>
    <w:pPr>
      <w:adjustRightInd w:val="0"/>
      <w:ind w:left="2553"/>
    </w:pPr>
    <w:rPr>
      <w:rFonts w:eastAsia="Arial"/>
    </w:rPr>
  </w:style>
  <w:style w:type="paragraph" w:customStyle="1" w:styleId="Body5">
    <w:name w:val="Body 5"/>
    <w:basedOn w:val="Body"/>
    <w:rsid w:val="00006847"/>
    <w:pPr>
      <w:adjustRightInd w:val="0"/>
      <w:ind w:left="3404"/>
    </w:pPr>
    <w:rPr>
      <w:rFonts w:eastAsia="Arial"/>
    </w:rPr>
  </w:style>
  <w:style w:type="paragraph" w:customStyle="1" w:styleId="Body6">
    <w:name w:val="Body 6"/>
    <w:basedOn w:val="Body"/>
    <w:rsid w:val="00006847"/>
    <w:pPr>
      <w:adjustRightInd w:val="0"/>
      <w:ind w:left="4255"/>
    </w:pPr>
    <w:rPr>
      <w:rFonts w:eastAsia="Arial"/>
    </w:rPr>
  </w:style>
  <w:style w:type="paragraph" w:customStyle="1" w:styleId="Bullet1">
    <w:name w:val="Bullet 1"/>
    <w:basedOn w:val="Body"/>
    <w:uiPriority w:val="99"/>
    <w:rsid w:val="00E66097"/>
    <w:pPr>
      <w:numPr>
        <w:numId w:val="6"/>
      </w:numPr>
      <w:adjustRightInd w:val="0"/>
      <w:outlineLvl w:val="0"/>
    </w:pPr>
    <w:rPr>
      <w:rFonts w:eastAsia="Arial"/>
    </w:rPr>
  </w:style>
  <w:style w:type="paragraph" w:customStyle="1" w:styleId="Bullet2">
    <w:name w:val="Bullet 2"/>
    <w:basedOn w:val="Body"/>
    <w:uiPriority w:val="99"/>
    <w:rsid w:val="00006847"/>
    <w:pPr>
      <w:numPr>
        <w:ilvl w:val="1"/>
        <w:numId w:val="6"/>
      </w:numPr>
      <w:adjustRightInd w:val="0"/>
      <w:outlineLvl w:val="1"/>
    </w:pPr>
    <w:rPr>
      <w:rFonts w:eastAsia="Arial"/>
    </w:rPr>
  </w:style>
  <w:style w:type="paragraph" w:customStyle="1" w:styleId="Bullet3">
    <w:name w:val="Bullet 3"/>
    <w:basedOn w:val="Body"/>
    <w:uiPriority w:val="99"/>
    <w:rsid w:val="00006847"/>
    <w:pPr>
      <w:numPr>
        <w:ilvl w:val="2"/>
        <w:numId w:val="6"/>
      </w:numPr>
      <w:adjustRightInd w:val="0"/>
      <w:outlineLvl w:val="2"/>
    </w:pPr>
    <w:rPr>
      <w:rFonts w:eastAsia="Arial"/>
    </w:rPr>
  </w:style>
  <w:style w:type="paragraph" w:customStyle="1" w:styleId="Bullet4">
    <w:name w:val="Bullet 4"/>
    <w:basedOn w:val="Body"/>
    <w:uiPriority w:val="99"/>
    <w:rsid w:val="00006847"/>
    <w:pPr>
      <w:numPr>
        <w:ilvl w:val="3"/>
        <w:numId w:val="6"/>
      </w:numPr>
      <w:adjustRightInd w:val="0"/>
      <w:outlineLvl w:val="3"/>
    </w:pPr>
    <w:rPr>
      <w:rFonts w:eastAsia="Arial"/>
    </w:rPr>
  </w:style>
  <w:style w:type="paragraph" w:styleId="FootnoteText">
    <w:name w:val="footnote text"/>
    <w:basedOn w:val="Normal"/>
    <w:link w:val="FootnoteTextChar"/>
    <w:uiPriority w:val="99"/>
    <w:rPr>
      <w:rFonts w:cs="Times New Roman"/>
      <w:sz w:val="16"/>
      <w:szCs w:val="16"/>
      <w:lang w:val="x-none" w:eastAsia="x-none"/>
    </w:rPr>
  </w:style>
  <w:style w:type="paragraph" w:styleId="Header">
    <w:name w:val="header"/>
    <w:basedOn w:val="Normal"/>
    <w:pPr>
      <w:tabs>
        <w:tab w:val="center" w:pos="4320"/>
        <w:tab w:val="right" w:pos="8640"/>
      </w:tabs>
    </w:pPr>
    <w:rPr>
      <w:sz w:val="16"/>
    </w:rPr>
  </w:style>
  <w:style w:type="paragraph" w:customStyle="1" w:styleId="Level2">
    <w:name w:val="Level 2"/>
    <w:basedOn w:val="Body2"/>
    <w:link w:val="Level2Char"/>
    <w:uiPriority w:val="99"/>
    <w:rsid w:val="00006847"/>
    <w:pPr>
      <w:numPr>
        <w:ilvl w:val="1"/>
        <w:numId w:val="5"/>
      </w:numPr>
      <w:outlineLvl w:val="1"/>
    </w:pPr>
  </w:style>
  <w:style w:type="paragraph" w:customStyle="1" w:styleId="Level1">
    <w:name w:val="Level 1"/>
    <w:basedOn w:val="Body1"/>
    <w:uiPriority w:val="99"/>
    <w:rsid w:val="00E66097"/>
    <w:pPr>
      <w:numPr>
        <w:numId w:val="5"/>
      </w:numPr>
      <w:outlineLvl w:val="0"/>
    </w:pPr>
  </w:style>
  <w:style w:type="paragraph" w:customStyle="1" w:styleId="Level3">
    <w:name w:val="Level 3"/>
    <w:basedOn w:val="Body3"/>
    <w:uiPriority w:val="99"/>
    <w:rsid w:val="00006847"/>
    <w:pPr>
      <w:numPr>
        <w:ilvl w:val="2"/>
        <w:numId w:val="5"/>
      </w:numPr>
      <w:outlineLvl w:val="2"/>
    </w:pPr>
  </w:style>
  <w:style w:type="paragraph" w:customStyle="1" w:styleId="Level4">
    <w:name w:val="Level 4"/>
    <w:basedOn w:val="Body4"/>
    <w:uiPriority w:val="99"/>
    <w:rsid w:val="00006847"/>
    <w:pPr>
      <w:numPr>
        <w:ilvl w:val="3"/>
        <w:numId w:val="5"/>
      </w:numPr>
      <w:outlineLvl w:val="3"/>
    </w:pPr>
  </w:style>
  <w:style w:type="paragraph" w:customStyle="1" w:styleId="Level5">
    <w:name w:val="Level 5"/>
    <w:basedOn w:val="Body5"/>
    <w:uiPriority w:val="99"/>
    <w:rsid w:val="00006847"/>
    <w:pPr>
      <w:numPr>
        <w:ilvl w:val="4"/>
        <w:numId w:val="5"/>
      </w:numPr>
      <w:outlineLvl w:val="4"/>
    </w:pPr>
  </w:style>
  <w:style w:type="paragraph" w:customStyle="1" w:styleId="Level6">
    <w:name w:val="Level 6"/>
    <w:basedOn w:val="Body6"/>
    <w:uiPriority w:val="99"/>
    <w:rsid w:val="00006847"/>
    <w:pPr>
      <w:numPr>
        <w:ilvl w:val="5"/>
        <w:numId w:val="5"/>
      </w:numPr>
      <w:outlineLvl w:val="5"/>
    </w:pPr>
  </w:style>
  <w:style w:type="character" w:customStyle="1" w:styleId="Level1asHeadingtext">
    <w:name w:val="Level 1 as Heading (text)"/>
    <w:rsid w:val="00006847"/>
    <w:rPr>
      <w:b/>
      <w:bCs/>
      <w:caps/>
    </w:rPr>
  </w:style>
  <w:style w:type="character" w:customStyle="1" w:styleId="Level2asHeadingtext">
    <w:name w:val="Level 2 as Heading (text)"/>
    <w:rsid w:val="00006847"/>
    <w:rPr>
      <w:b/>
      <w:bCs/>
    </w:rPr>
  </w:style>
  <w:style w:type="character" w:customStyle="1" w:styleId="Level3asHeadingtext">
    <w:name w:val="Level 3 as Heading (text)"/>
    <w:rsid w:val="00006847"/>
    <w:rPr>
      <w:b/>
      <w:bCs/>
    </w:rPr>
  </w:style>
  <w:style w:type="paragraph" w:customStyle="1" w:styleId="SubHeading">
    <w:name w:val="Sub Heading"/>
    <w:basedOn w:val="Body"/>
    <w:next w:val="Body"/>
    <w:rsid w:val="00E66097"/>
    <w:pPr>
      <w:keepNext/>
      <w:keepLines/>
      <w:numPr>
        <w:numId w:val="3"/>
      </w:numPr>
      <w:tabs>
        <w:tab w:val="clear" w:pos="0"/>
      </w:tabs>
      <w:jc w:val="center"/>
    </w:pPr>
    <w:rPr>
      <w:b/>
      <w:caps/>
    </w:rPr>
  </w:style>
  <w:style w:type="paragraph" w:styleId="Footer">
    <w:name w:val="footer"/>
    <w:basedOn w:val="Normal"/>
    <w:link w:val="FooterChar"/>
    <w:uiPriority w:val="99"/>
    <w:pPr>
      <w:tabs>
        <w:tab w:val="center" w:pos="4320"/>
        <w:tab w:val="right" w:pos="8640"/>
      </w:tabs>
    </w:pPr>
    <w:rPr>
      <w:rFonts w:cs="Times New Roman"/>
      <w:sz w:val="16"/>
      <w:lang w:val="x-none" w:eastAsia="x-none"/>
    </w:rPr>
  </w:style>
  <w:style w:type="paragraph" w:customStyle="1" w:styleId="MainHeading">
    <w:name w:val="Main Heading"/>
    <w:basedOn w:val="Body"/>
    <w:rsid w:val="00E66097"/>
    <w:pPr>
      <w:keepNext/>
      <w:keepLines/>
      <w:numPr>
        <w:numId w:val="2"/>
      </w:numPr>
      <w:tabs>
        <w:tab w:val="clear" w:pos="0"/>
      </w:tabs>
      <w:jc w:val="center"/>
      <w:outlineLvl w:val="0"/>
    </w:pPr>
    <w:rPr>
      <w:b/>
      <w:caps/>
      <w:sz w:val="24"/>
    </w:rPr>
  </w:style>
  <w:style w:type="paragraph" w:styleId="CommentText">
    <w:name w:val="annotation text"/>
    <w:basedOn w:val="Normal"/>
    <w:link w:val="CommentTextChar"/>
    <w:semiHidden/>
    <w:rsid w:val="00796B31"/>
    <w:rPr>
      <w:rFonts w:cs="Times New Roman"/>
      <w:lang w:val="x-none" w:eastAsia="x-none"/>
    </w:rPr>
  </w:style>
  <w:style w:type="paragraph" w:styleId="EndnoteText">
    <w:name w:val="endnote text"/>
    <w:basedOn w:val="Normal"/>
    <w:semiHidden/>
    <w:rsid w:val="00E45120"/>
  </w:style>
  <w:style w:type="paragraph" w:styleId="Index1">
    <w:name w:val="index 1"/>
    <w:basedOn w:val="Normal"/>
    <w:next w:val="Normal"/>
    <w:semiHidden/>
    <w:rsid w:val="00C642C2"/>
    <w:pPr>
      <w:ind w:left="200" w:hanging="200"/>
    </w:pPr>
  </w:style>
  <w:style w:type="paragraph" w:styleId="Index2">
    <w:name w:val="index 2"/>
    <w:basedOn w:val="Normal"/>
    <w:next w:val="Normal"/>
    <w:semiHidden/>
    <w:rsid w:val="00C642C2"/>
    <w:pPr>
      <w:ind w:left="400" w:hanging="200"/>
    </w:pPr>
  </w:style>
  <w:style w:type="paragraph" w:styleId="Index3">
    <w:name w:val="index 3"/>
    <w:basedOn w:val="Normal"/>
    <w:next w:val="Normal"/>
    <w:semiHidden/>
    <w:rsid w:val="00C642C2"/>
    <w:pPr>
      <w:ind w:left="600" w:hanging="200"/>
    </w:pPr>
  </w:style>
  <w:style w:type="paragraph" w:styleId="Index4">
    <w:name w:val="index 4"/>
    <w:basedOn w:val="Normal"/>
    <w:next w:val="Normal"/>
    <w:semiHidden/>
    <w:rsid w:val="00C642C2"/>
    <w:pPr>
      <w:ind w:left="800" w:hanging="200"/>
    </w:pPr>
  </w:style>
  <w:style w:type="paragraph" w:styleId="Index5">
    <w:name w:val="index 5"/>
    <w:basedOn w:val="Normal"/>
    <w:next w:val="Normal"/>
    <w:semiHidden/>
    <w:rsid w:val="00C642C2"/>
    <w:pPr>
      <w:ind w:left="1000" w:hanging="200"/>
    </w:pPr>
  </w:style>
  <w:style w:type="paragraph" w:styleId="Index6">
    <w:name w:val="index 6"/>
    <w:basedOn w:val="Normal"/>
    <w:next w:val="Normal"/>
    <w:semiHidden/>
    <w:rsid w:val="00C642C2"/>
    <w:pPr>
      <w:ind w:left="1200" w:hanging="200"/>
    </w:pPr>
  </w:style>
  <w:style w:type="paragraph" w:styleId="Index7">
    <w:name w:val="index 7"/>
    <w:basedOn w:val="Normal"/>
    <w:next w:val="Normal"/>
    <w:semiHidden/>
    <w:rsid w:val="00C642C2"/>
    <w:pPr>
      <w:ind w:left="1400" w:hanging="200"/>
    </w:pPr>
  </w:style>
  <w:style w:type="paragraph" w:styleId="Index8">
    <w:name w:val="index 8"/>
    <w:basedOn w:val="Normal"/>
    <w:next w:val="Normal"/>
    <w:semiHidden/>
    <w:rsid w:val="00C642C2"/>
    <w:pPr>
      <w:ind w:left="1600" w:hanging="200"/>
    </w:pPr>
  </w:style>
  <w:style w:type="paragraph" w:styleId="Index9">
    <w:name w:val="index 9"/>
    <w:basedOn w:val="Normal"/>
    <w:next w:val="Normal"/>
    <w:semiHidden/>
    <w:rsid w:val="00C642C2"/>
    <w:pPr>
      <w:ind w:left="1800" w:hanging="200"/>
    </w:pPr>
  </w:style>
  <w:style w:type="paragraph" w:styleId="TOC1">
    <w:name w:val="toc 1"/>
    <w:basedOn w:val="Body"/>
    <w:next w:val="Normal"/>
    <w:uiPriority w:val="39"/>
    <w:rsid w:val="00E66097"/>
    <w:pPr>
      <w:tabs>
        <w:tab w:val="right" w:pos="8500"/>
      </w:tabs>
      <w:ind w:left="851" w:right="567" w:hanging="851"/>
    </w:pPr>
  </w:style>
  <w:style w:type="paragraph" w:styleId="TOC2">
    <w:name w:val="toc 2"/>
    <w:basedOn w:val="TOC1"/>
    <w:next w:val="Normal"/>
    <w:semiHidden/>
    <w:rsid w:val="00E66097"/>
    <w:pPr>
      <w:ind w:left="1702"/>
    </w:pPr>
  </w:style>
  <w:style w:type="paragraph" w:styleId="TOC3">
    <w:name w:val="toc 3"/>
    <w:basedOn w:val="TOC1"/>
    <w:next w:val="Normal"/>
    <w:semiHidden/>
    <w:rsid w:val="00E66097"/>
    <w:pPr>
      <w:ind w:left="2552"/>
    </w:pPr>
  </w:style>
  <w:style w:type="paragraph" w:styleId="TOC4">
    <w:name w:val="toc 4"/>
    <w:basedOn w:val="TOC1"/>
    <w:next w:val="Normal"/>
    <w:semiHidden/>
    <w:rsid w:val="00E66097"/>
    <w:pPr>
      <w:ind w:left="0" w:firstLine="0"/>
    </w:pPr>
  </w:style>
  <w:style w:type="paragraph" w:styleId="TOC5">
    <w:name w:val="toc 5"/>
    <w:basedOn w:val="TOC1"/>
    <w:next w:val="Normal"/>
    <w:semiHidden/>
    <w:rsid w:val="00E66097"/>
    <w:pPr>
      <w:ind w:firstLine="0"/>
    </w:pPr>
  </w:style>
  <w:style w:type="paragraph" w:styleId="TOC6">
    <w:name w:val="toc 6"/>
    <w:basedOn w:val="TOC1"/>
    <w:next w:val="Normal"/>
    <w:semiHidden/>
    <w:rsid w:val="00E66097"/>
    <w:pPr>
      <w:ind w:left="1701" w:firstLine="0"/>
    </w:pPr>
  </w:style>
  <w:style w:type="paragraph" w:styleId="TOC7">
    <w:name w:val="toc 7"/>
    <w:basedOn w:val="Normal"/>
    <w:next w:val="Normal"/>
    <w:semiHidden/>
    <w:rsid w:val="00C642C2"/>
    <w:pPr>
      <w:ind w:left="1200"/>
    </w:pPr>
  </w:style>
  <w:style w:type="paragraph" w:styleId="TOC8">
    <w:name w:val="toc 8"/>
    <w:basedOn w:val="Normal"/>
    <w:next w:val="Normal"/>
    <w:semiHidden/>
    <w:rsid w:val="00C642C2"/>
    <w:pPr>
      <w:ind w:left="1400"/>
    </w:pPr>
  </w:style>
  <w:style w:type="paragraph" w:styleId="TOC9">
    <w:name w:val="toc 9"/>
    <w:basedOn w:val="Normal"/>
    <w:next w:val="Normal"/>
    <w:semiHidden/>
    <w:rsid w:val="00C642C2"/>
    <w:pPr>
      <w:ind w:left="1600"/>
    </w:pPr>
  </w:style>
  <w:style w:type="paragraph" w:customStyle="1" w:styleId="Appendix">
    <w:name w:val="Appendix #"/>
    <w:basedOn w:val="Body"/>
    <w:next w:val="SubHeading"/>
    <w:rsid w:val="00E66097"/>
    <w:pPr>
      <w:keepNext/>
      <w:keepLines/>
      <w:numPr>
        <w:ilvl w:val="1"/>
        <w:numId w:val="1"/>
      </w:numPr>
      <w:tabs>
        <w:tab w:val="clear" w:pos="0"/>
      </w:tabs>
      <w:jc w:val="center"/>
    </w:pPr>
    <w:rPr>
      <w:b/>
    </w:rPr>
  </w:style>
  <w:style w:type="paragraph" w:customStyle="1" w:styleId="Part">
    <w:name w:val="Part #"/>
    <w:basedOn w:val="Body"/>
    <w:next w:val="SubHeading"/>
    <w:rsid w:val="00C642C2"/>
    <w:pPr>
      <w:keepNext/>
      <w:keepLines/>
      <w:numPr>
        <w:ilvl w:val="2"/>
        <w:numId w:val="1"/>
      </w:numPr>
      <w:tabs>
        <w:tab w:val="clear" w:pos="0"/>
      </w:tabs>
      <w:jc w:val="center"/>
    </w:pPr>
  </w:style>
  <w:style w:type="paragraph" w:customStyle="1" w:styleId="Schedule">
    <w:name w:val="Schedule #"/>
    <w:basedOn w:val="Body"/>
    <w:next w:val="SubHeading"/>
    <w:rsid w:val="00E66097"/>
    <w:pPr>
      <w:keepNext/>
      <w:keepLines/>
      <w:numPr>
        <w:numId w:val="1"/>
      </w:numPr>
      <w:tabs>
        <w:tab w:val="clear" w:pos="0"/>
      </w:tabs>
      <w:jc w:val="center"/>
    </w:pPr>
    <w:rPr>
      <w:b/>
    </w:rPr>
  </w:style>
  <w:style w:type="character" w:styleId="EndnoteReference">
    <w:name w:val="endnote reference"/>
    <w:semiHidden/>
    <w:rsid w:val="00C642C2"/>
    <w:rPr>
      <w:vertAlign w:val="superscript"/>
    </w:rPr>
  </w:style>
  <w:style w:type="character" w:styleId="FootnoteReference">
    <w:name w:val="footnote reference"/>
    <w:uiPriority w:val="99"/>
    <w:rsid w:val="00C642C2"/>
    <w:rPr>
      <w:vertAlign w:val="superscript"/>
    </w:rPr>
  </w:style>
  <w:style w:type="character" w:customStyle="1" w:styleId="BodyChar">
    <w:name w:val="Body Char"/>
    <w:link w:val="Body"/>
    <w:rsid w:val="00BC4680"/>
    <w:rPr>
      <w:rFonts w:ascii="Arial" w:hAnsi="Arial" w:cs="Arial"/>
    </w:rPr>
  </w:style>
  <w:style w:type="character" w:customStyle="1" w:styleId="FooterChar">
    <w:name w:val="Footer Char"/>
    <w:link w:val="Footer"/>
    <w:uiPriority w:val="99"/>
    <w:rsid w:val="00BC4680"/>
    <w:rPr>
      <w:rFonts w:ascii="Arial" w:hAnsi="Arial" w:cs="Arial"/>
      <w:sz w:val="16"/>
    </w:rPr>
  </w:style>
  <w:style w:type="paragraph" w:styleId="Title">
    <w:name w:val="Title"/>
    <w:basedOn w:val="Normal"/>
    <w:link w:val="TitleChar"/>
    <w:qFormat/>
    <w:rsid w:val="00796B31"/>
    <w:pPr>
      <w:spacing w:before="240" w:after="240"/>
      <w:jc w:val="center"/>
      <w:outlineLvl w:val="0"/>
    </w:pPr>
    <w:rPr>
      <w:rFonts w:ascii="Times New Roman" w:hAnsi="Times New Roman" w:cs="Times New Roman"/>
      <w:b/>
      <w:bCs/>
      <w:caps/>
      <w:kern w:val="28"/>
      <w:sz w:val="32"/>
      <w:szCs w:val="32"/>
      <w:lang w:val="en-US" w:eastAsia="en-US"/>
    </w:rPr>
  </w:style>
  <w:style w:type="character" w:customStyle="1" w:styleId="TitleChar">
    <w:name w:val="Title Char"/>
    <w:link w:val="Title"/>
    <w:rsid w:val="00810B1A"/>
    <w:rPr>
      <w:b/>
      <w:bCs/>
      <w:caps/>
      <w:kern w:val="28"/>
      <w:sz w:val="32"/>
      <w:szCs w:val="32"/>
      <w:lang w:val="en-US" w:eastAsia="en-US"/>
    </w:rPr>
  </w:style>
  <w:style w:type="character" w:styleId="Hyperlink">
    <w:name w:val="Hyperlink"/>
    <w:uiPriority w:val="99"/>
    <w:unhideWhenUsed/>
    <w:rsid w:val="00D010F5"/>
    <w:rPr>
      <w:color w:val="0000FF"/>
      <w:u w:val="single"/>
    </w:rPr>
  </w:style>
  <w:style w:type="character" w:customStyle="1" w:styleId="Heading1Char">
    <w:name w:val="Heading 1 Char"/>
    <w:aliases w:val="Heading 1 (BDUK) Char,Lev 1 Char,Section Char,Section1 Char,Section2 Char,Section11 Char,Propo Char,H1 Char,h1 Char,Head1 Char,Heading apps Char,Class Heading Char,1 Char,heading1 Char,new page/chapter Char,h11 Char,new page/chapter1 Char"/>
    <w:link w:val="Heading1"/>
    <w:rsid w:val="009B6E3C"/>
    <w:rPr>
      <w:rFonts w:ascii="Calibri" w:hAnsi="Calibri"/>
      <w:b/>
      <w:bCs/>
      <w:color w:val="1F497D"/>
      <w:sz w:val="40"/>
      <w:szCs w:val="28"/>
      <w:lang w:val="x-none" w:eastAsia="en-US"/>
    </w:rPr>
  </w:style>
  <w:style w:type="character" w:customStyle="1" w:styleId="Heading2Char">
    <w:name w:val="Heading 2 Char"/>
    <w:aliases w:val="Heading 2 (BDUK) Char,Lev 2 Char,1.1 Heading 2 Char,Heading 2 Hidden Char,Proposal Char,h2 Char,2 Char,Level 2 Heading Char,Numbered indent 2 Char,ni2 Char,Hanging 2 Indent Char,numbered indent 2 Char,exercise Char,Heading 2 substyle Char"/>
    <w:link w:val="Heading2"/>
    <w:rsid w:val="009B6E3C"/>
    <w:rPr>
      <w:rFonts w:ascii="Calibri" w:hAnsi="Calibri"/>
      <w:b/>
      <w:bCs/>
      <w:color w:val="1F497D"/>
      <w:sz w:val="32"/>
      <w:szCs w:val="26"/>
      <w:lang w:val="en-US" w:eastAsia="en-US"/>
    </w:rPr>
  </w:style>
  <w:style w:type="character" w:customStyle="1" w:styleId="Heading3Char">
    <w:name w:val="Heading 3 Char"/>
    <w:aliases w:val="Numbered paragraph Char,Project 3 Char,Proposa Char,H3 Char,Level 1 - 1 Char,H31 Char,H32 Char,H33 Char,H34 Char,H35 Char,H36 Char,Heading 31 Char,Heading 32 Char,Heading 33 Char,Heading 34 Char,Heading 35 Char,Heading 36 Char,h3 Char"/>
    <w:link w:val="Heading3"/>
    <w:rsid w:val="009B6E3C"/>
    <w:rPr>
      <w:rFonts w:ascii="Calibri" w:hAnsi="Calibri"/>
      <w:sz w:val="22"/>
      <w:szCs w:val="22"/>
      <w:lang w:val="en-US" w:eastAsia="en-US"/>
    </w:rPr>
  </w:style>
  <w:style w:type="character" w:customStyle="1" w:styleId="Heading4Char">
    <w:name w:val="Heading 4 Char"/>
    <w:aliases w:val="Heading 3 (BDUK) Char,Lev 4 Char,Propos Char,H4 Char,dash Char,h4 Char,Map Title Char,a. Char,4 Char,4heading Char,Heading4 Char,H4-Heading 4 Char,l4 Char,Heading 4 - SBC Char,SBC Numbered Hdg 4 Char,Te Char,h4 sub sub heading Char,¶ Char"/>
    <w:link w:val="Heading4"/>
    <w:rsid w:val="009B6E3C"/>
    <w:rPr>
      <w:rFonts w:ascii="Calibri" w:hAnsi="Calibri"/>
      <w:bCs/>
      <w:i/>
      <w:color w:val="1F497D"/>
      <w:sz w:val="22"/>
      <w:szCs w:val="26"/>
      <w:lang w:val="en-US" w:eastAsia="en-US"/>
    </w:rPr>
  </w:style>
  <w:style w:type="character" w:customStyle="1" w:styleId="Heading7Char">
    <w:name w:val="Heading 7 Char"/>
    <w:aliases w:val="p Char,7 Char,ExhibitTitle Char,st Char,heading7 Char,req3 Char,L7 Char,App Head Char,App heading Char,Appendix Heading Char,Appendix Major Char"/>
    <w:link w:val="Heading7"/>
    <w:rsid w:val="009B6E3C"/>
    <w:rPr>
      <w:rFonts w:ascii="Cambria" w:hAnsi="Cambria"/>
      <w:i/>
      <w:iCs/>
      <w:color w:val="404040"/>
      <w:sz w:val="22"/>
      <w:szCs w:val="22"/>
      <w:lang w:val="en-US" w:eastAsia="en-US"/>
    </w:rPr>
  </w:style>
  <w:style w:type="character" w:customStyle="1" w:styleId="Heading8Char">
    <w:name w:val="Heading 8 Char"/>
    <w:aliases w:val="BDUK Level 6 Char"/>
    <w:link w:val="Heading8"/>
    <w:rsid w:val="009B6E3C"/>
    <w:rPr>
      <w:rFonts w:ascii="Cambria" w:hAnsi="Cambria"/>
      <w:color w:val="4F81BD"/>
      <w:lang w:val="en-US" w:eastAsia="en-US"/>
    </w:rPr>
  </w:style>
  <w:style w:type="character" w:customStyle="1" w:styleId="Heading9Char">
    <w:name w:val="Heading 9 Char"/>
    <w:link w:val="Heading9"/>
    <w:rsid w:val="009B6E3C"/>
    <w:rPr>
      <w:rFonts w:ascii="Cambria" w:hAnsi="Cambria"/>
      <w:i/>
      <w:iCs/>
      <w:color w:val="404040"/>
      <w:lang w:val="en-US" w:eastAsia="en-US"/>
    </w:rPr>
  </w:style>
  <w:style w:type="paragraph" w:customStyle="1" w:styleId="BulletBDUK">
    <w:name w:val="Bullet (BDUK)"/>
    <w:basedOn w:val="Normal"/>
    <w:link w:val="BulletBDUKChar"/>
    <w:qFormat/>
    <w:rsid w:val="00E66097"/>
    <w:pPr>
      <w:numPr>
        <w:numId w:val="7"/>
      </w:numPr>
      <w:spacing w:before="60" w:after="40" w:line="264" w:lineRule="auto"/>
    </w:pPr>
    <w:rPr>
      <w:rFonts w:ascii="Calibri" w:eastAsia="Univers 45 Light" w:hAnsi="Calibri" w:cs="Times New Roman"/>
      <w:sz w:val="22"/>
      <w:szCs w:val="22"/>
      <w:lang w:val="x-none" w:eastAsia="en-US"/>
    </w:rPr>
  </w:style>
  <w:style w:type="character" w:customStyle="1" w:styleId="Level2Char">
    <w:name w:val="Level 2 Char"/>
    <w:link w:val="Level2"/>
    <w:uiPriority w:val="99"/>
    <w:locked/>
    <w:rsid w:val="009B6E3C"/>
    <w:rPr>
      <w:rFonts w:ascii="Arial" w:eastAsia="Arial" w:hAnsi="Arial"/>
      <w:lang w:val="x-none" w:eastAsia="x-none"/>
    </w:rPr>
  </w:style>
  <w:style w:type="character" w:styleId="CommentReference">
    <w:name w:val="annotation reference"/>
    <w:rsid w:val="00796B31"/>
    <w:rPr>
      <w:sz w:val="16"/>
      <w:szCs w:val="16"/>
    </w:rPr>
  </w:style>
  <w:style w:type="paragraph" w:styleId="CommentSubject">
    <w:name w:val="annotation subject"/>
    <w:basedOn w:val="CommentText"/>
    <w:next w:val="CommentText"/>
    <w:link w:val="CommentSubjectChar"/>
    <w:rsid w:val="000252A2"/>
    <w:rPr>
      <w:b/>
      <w:bCs/>
    </w:rPr>
  </w:style>
  <w:style w:type="character" w:customStyle="1" w:styleId="CommentTextChar">
    <w:name w:val="Comment Text Char"/>
    <w:link w:val="CommentText"/>
    <w:semiHidden/>
    <w:rsid w:val="000252A2"/>
    <w:rPr>
      <w:rFonts w:ascii="Arial" w:hAnsi="Arial"/>
      <w:lang w:val="x-none" w:eastAsia="x-none"/>
    </w:rPr>
  </w:style>
  <w:style w:type="character" w:customStyle="1" w:styleId="CommentSubjectChar">
    <w:name w:val="Comment Subject Char"/>
    <w:basedOn w:val="CommentTextChar"/>
    <w:link w:val="CommentSubject"/>
    <w:rsid w:val="000252A2"/>
    <w:rPr>
      <w:rFonts w:ascii="Arial" w:hAnsi="Arial"/>
      <w:lang w:val="x-none" w:eastAsia="x-none"/>
    </w:rPr>
  </w:style>
  <w:style w:type="paragraph" w:styleId="Revision">
    <w:name w:val="Revision"/>
    <w:hidden/>
    <w:uiPriority w:val="99"/>
    <w:semiHidden/>
    <w:rsid w:val="000252A2"/>
    <w:rPr>
      <w:rFonts w:ascii="Arial" w:hAnsi="Arial" w:cs="Arial"/>
    </w:rPr>
  </w:style>
  <w:style w:type="paragraph" w:styleId="BalloonText">
    <w:name w:val="Balloon Text"/>
    <w:basedOn w:val="Normal"/>
    <w:link w:val="BalloonTextChar"/>
    <w:rsid w:val="00796B31"/>
    <w:rPr>
      <w:rFonts w:ascii="Tahoma" w:hAnsi="Tahoma" w:cs="Times New Roman"/>
      <w:sz w:val="16"/>
      <w:szCs w:val="16"/>
      <w:lang w:val="x-none" w:eastAsia="x-none"/>
    </w:rPr>
  </w:style>
  <w:style w:type="character" w:customStyle="1" w:styleId="BalloonTextChar">
    <w:name w:val="Balloon Text Char"/>
    <w:link w:val="BalloonText"/>
    <w:rsid w:val="000252A2"/>
    <w:rPr>
      <w:rFonts w:ascii="Tahoma" w:hAnsi="Tahoma"/>
      <w:sz w:val="16"/>
      <w:szCs w:val="16"/>
      <w:lang w:val="x-none" w:eastAsia="x-none"/>
    </w:rPr>
  </w:style>
  <w:style w:type="paragraph" w:customStyle="1" w:styleId="Text">
    <w:name w:val="Text"/>
    <w:basedOn w:val="Normal"/>
    <w:rsid w:val="00143034"/>
    <w:pPr>
      <w:overflowPunct w:val="0"/>
      <w:autoSpaceDE w:val="0"/>
      <w:autoSpaceDN w:val="0"/>
      <w:adjustRightInd w:val="0"/>
      <w:spacing w:after="260"/>
      <w:textAlignment w:val="baseline"/>
    </w:pPr>
    <w:rPr>
      <w:rFonts w:ascii="Times New Roman" w:hAnsi="Times New Roman" w:cs="Times New Roman"/>
      <w:sz w:val="22"/>
      <w:lang w:eastAsia="en-US"/>
    </w:rPr>
  </w:style>
  <w:style w:type="character" w:customStyle="1" w:styleId="eBLists1CharChar">
    <w:name w:val="eB Lists 1 Char Char"/>
    <w:link w:val="eBLists1"/>
    <w:rsid w:val="00143034"/>
    <w:rPr>
      <w:rFonts w:ascii="Arial" w:hAnsi="Arial"/>
      <w:kern w:val="20"/>
      <w:sz w:val="22"/>
      <w:szCs w:val="22"/>
      <w:lang w:val="x-none" w:eastAsia="en-US"/>
    </w:rPr>
  </w:style>
  <w:style w:type="paragraph" w:customStyle="1" w:styleId="eBSub-Section">
    <w:name w:val="eB Sub-Section"/>
    <w:basedOn w:val="Heading2"/>
    <w:next w:val="Normal"/>
    <w:rsid w:val="00143034"/>
    <w:pPr>
      <w:keepLines w:val="0"/>
      <w:tabs>
        <w:tab w:val="left" w:pos="1021"/>
      </w:tabs>
      <w:spacing w:before="120" w:line="280" w:lineRule="atLeast"/>
      <w:ind w:left="0" w:firstLine="0"/>
      <w:jc w:val="both"/>
    </w:pPr>
    <w:rPr>
      <w:rFonts w:ascii="Arial" w:hAnsi="Arial"/>
      <w:color w:val="10206B"/>
      <w:kern w:val="20"/>
      <w:sz w:val="28"/>
      <w:szCs w:val="24"/>
      <w:lang w:val="en-GB"/>
    </w:rPr>
  </w:style>
  <w:style w:type="paragraph" w:customStyle="1" w:styleId="eBLists2">
    <w:name w:val="eB Lists 2"/>
    <w:basedOn w:val="eBLists1"/>
    <w:rsid w:val="00E66097"/>
    <w:pPr>
      <w:numPr>
        <w:ilvl w:val="1"/>
      </w:numPr>
      <w:tabs>
        <w:tab w:val="clear" w:pos="2155"/>
        <w:tab w:val="num" w:pos="851"/>
      </w:tabs>
      <w:ind w:left="851" w:hanging="851"/>
    </w:pPr>
  </w:style>
  <w:style w:type="paragraph" w:customStyle="1" w:styleId="eBLists3">
    <w:name w:val="eB Lists 3"/>
    <w:basedOn w:val="eBLists1"/>
    <w:rsid w:val="00E66097"/>
    <w:pPr>
      <w:numPr>
        <w:ilvl w:val="2"/>
      </w:numPr>
    </w:pPr>
  </w:style>
  <w:style w:type="paragraph" w:customStyle="1" w:styleId="eBLists1">
    <w:name w:val="eB Lists 1"/>
    <w:basedOn w:val="Normal"/>
    <w:link w:val="eBLists1CharChar"/>
    <w:rsid w:val="00E66097"/>
    <w:pPr>
      <w:numPr>
        <w:numId w:val="10"/>
      </w:numPr>
      <w:overflowPunct w:val="0"/>
      <w:autoSpaceDE w:val="0"/>
      <w:autoSpaceDN w:val="0"/>
      <w:adjustRightInd w:val="0"/>
      <w:spacing w:after="120"/>
      <w:textAlignment w:val="baseline"/>
    </w:pPr>
    <w:rPr>
      <w:rFonts w:cs="Times New Roman"/>
      <w:kern w:val="20"/>
      <w:sz w:val="22"/>
      <w:szCs w:val="22"/>
      <w:lang w:val="x-none" w:eastAsia="en-US"/>
    </w:rPr>
  </w:style>
  <w:style w:type="paragraph" w:customStyle="1" w:styleId="eBBodyText">
    <w:name w:val="eB Body Text"/>
    <w:basedOn w:val="BodyText"/>
    <w:rsid w:val="00E66097"/>
    <w:pPr>
      <w:overflowPunct w:val="0"/>
      <w:autoSpaceDE w:val="0"/>
      <w:autoSpaceDN w:val="0"/>
      <w:adjustRightInd w:val="0"/>
      <w:spacing w:before="120"/>
      <w:textAlignment w:val="baseline"/>
    </w:pPr>
    <w:rPr>
      <w:kern w:val="20"/>
      <w:sz w:val="22"/>
      <w:lang w:eastAsia="en-US"/>
    </w:rPr>
  </w:style>
  <w:style w:type="paragraph" w:styleId="BodyText">
    <w:name w:val="Body Text"/>
    <w:basedOn w:val="Normal"/>
    <w:link w:val="BodyTextChar"/>
    <w:rsid w:val="00143034"/>
    <w:pPr>
      <w:spacing w:after="120"/>
    </w:pPr>
    <w:rPr>
      <w:rFonts w:cs="Times New Roman"/>
      <w:lang w:val="x-none" w:eastAsia="x-none"/>
    </w:rPr>
  </w:style>
  <w:style w:type="character" w:customStyle="1" w:styleId="BodyTextChar">
    <w:name w:val="Body Text Char"/>
    <w:link w:val="BodyText"/>
    <w:rsid w:val="00143034"/>
    <w:rPr>
      <w:rFonts w:ascii="Arial" w:hAnsi="Arial" w:cs="Arial"/>
    </w:rPr>
  </w:style>
  <w:style w:type="character" w:customStyle="1" w:styleId="FootnoteTextChar">
    <w:name w:val="Footnote Text Char"/>
    <w:link w:val="FootnoteText"/>
    <w:uiPriority w:val="99"/>
    <w:rsid w:val="00D72182"/>
    <w:rPr>
      <w:rFonts w:ascii="Arial" w:hAnsi="Arial" w:cs="Arial"/>
      <w:sz w:val="16"/>
      <w:szCs w:val="16"/>
    </w:rPr>
  </w:style>
  <w:style w:type="paragraph" w:customStyle="1" w:styleId="AnnexHeading1">
    <w:name w:val="Annex Heading 1"/>
    <w:basedOn w:val="Heading1"/>
    <w:next w:val="Normal"/>
    <w:qFormat/>
    <w:rsid w:val="00E66097"/>
    <w:pPr>
      <w:numPr>
        <w:numId w:val="11"/>
      </w:numPr>
      <w:spacing w:after="360" w:line="276" w:lineRule="auto"/>
      <w:ind w:left="357" w:hanging="357"/>
    </w:pPr>
    <w:rPr>
      <w:rFonts w:ascii="Arial" w:hAnsi="Arial"/>
      <w:color w:val="365F91"/>
      <w:lang w:val="en-US"/>
    </w:rPr>
  </w:style>
  <w:style w:type="paragraph" w:styleId="NormalWeb">
    <w:name w:val="Normal (Web)"/>
    <w:basedOn w:val="Normal"/>
    <w:uiPriority w:val="99"/>
    <w:unhideWhenUsed/>
    <w:rsid w:val="00C34ABB"/>
    <w:pPr>
      <w:spacing w:before="100" w:beforeAutospacing="1" w:after="100" w:afterAutospacing="1"/>
      <w:jc w:val="left"/>
    </w:pPr>
    <w:rPr>
      <w:rFonts w:ascii="Times New Roman" w:eastAsia="Calibri" w:hAnsi="Times New Roman" w:cs="Times New Roman"/>
      <w:sz w:val="24"/>
      <w:szCs w:val="24"/>
    </w:rPr>
  </w:style>
  <w:style w:type="paragraph" w:styleId="ListParagraph">
    <w:name w:val="List Paragraph"/>
    <w:basedOn w:val="Normal"/>
    <w:uiPriority w:val="34"/>
    <w:qFormat/>
    <w:rsid w:val="00D50090"/>
    <w:pPr>
      <w:ind w:left="720"/>
    </w:pPr>
  </w:style>
  <w:style w:type="table" w:styleId="TableGrid">
    <w:name w:val="Table Grid"/>
    <w:basedOn w:val="TableNormal"/>
    <w:rsid w:val="006C1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ulletBDUKChar">
    <w:name w:val="Bullet (BDUK) Char"/>
    <w:link w:val="BulletBDUK"/>
    <w:locked/>
    <w:rsid w:val="00FE56DC"/>
    <w:rPr>
      <w:rFonts w:ascii="Calibri" w:eastAsia="Univers 45 Light" w:hAnsi="Calibri"/>
      <w:sz w:val="22"/>
      <w:szCs w:val="22"/>
      <w:lang w:val="x-none" w:eastAsia="en-US"/>
    </w:rPr>
  </w:style>
  <w:style w:type="character" w:styleId="Emphasis">
    <w:name w:val="Emphasis"/>
    <w:qFormat/>
    <w:rsid w:val="00111130"/>
    <w:rPr>
      <w:i/>
      <w:iCs/>
    </w:rPr>
  </w:style>
  <w:style w:type="character" w:customStyle="1" w:styleId="Heading5Char">
    <w:name w:val="Heading 5 Char"/>
    <w:basedOn w:val="DefaultParagraphFont"/>
    <w:link w:val="Heading5"/>
    <w:rsid w:val="00796B31"/>
    <w:rPr>
      <w:rFonts w:ascii="Arial" w:eastAsia="Arial" w:hAnsi="Arial" w:cs="Arial"/>
      <w:b/>
      <w:color w:val="000000"/>
      <w:sz w:val="22"/>
      <w:szCs w:val="22"/>
    </w:rPr>
  </w:style>
  <w:style w:type="character" w:customStyle="1" w:styleId="Heading6Char">
    <w:name w:val="Heading 6 Char"/>
    <w:basedOn w:val="DefaultParagraphFont"/>
    <w:link w:val="Heading6"/>
    <w:rsid w:val="00796B31"/>
    <w:rPr>
      <w:rFonts w:ascii="Arial" w:eastAsia="Arial" w:hAnsi="Arial" w:cs="Arial"/>
      <w:b/>
      <w:color w:val="000000"/>
    </w:rPr>
  </w:style>
  <w:style w:type="paragraph" w:styleId="Subtitle">
    <w:name w:val="Subtitle"/>
    <w:basedOn w:val="Normal"/>
    <w:next w:val="Normal"/>
    <w:link w:val="SubtitleChar"/>
    <w:rsid w:val="00796B31"/>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96B31"/>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8323">
      <w:bodyDiv w:val="1"/>
      <w:marLeft w:val="0"/>
      <w:marRight w:val="0"/>
      <w:marTop w:val="0"/>
      <w:marBottom w:val="0"/>
      <w:divBdr>
        <w:top w:val="none" w:sz="0" w:space="0" w:color="auto"/>
        <w:left w:val="none" w:sz="0" w:space="0" w:color="auto"/>
        <w:bottom w:val="none" w:sz="0" w:space="0" w:color="auto"/>
        <w:right w:val="none" w:sz="0" w:space="0" w:color="auto"/>
      </w:divBdr>
    </w:div>
    <w:div w:id="100416572">
      <w:bodyDiv w:val="1"/>
      <w:marLeft w:val="0"/>
      <w:marRight w:val="0"/>
      <w:marTop w:val="0"/>
      <w:marBottom w:val="0"/>
      <w:divBdr>
        <w:top w:val="none" w:sz="0" w:space="0" w:color="auto"/>
        <w:left w:val="none" w:sz="0" w:space="0" w:color="auto"/>
        <w:bottom w:val="none" w:sz="0" w:space="0" w:color="auto"/>
        <w:right w:val="none" w:sz="0" w:space="0" w:color="auto"/>
      </w:divBdr>
    </w:div>
    <w:div w:id="199128355">
      <w:bodyDiv w:val="1"/>
      <w:marLeft w:val="0"/>
      <w:marRight w:val="0"/>
      <w:marTop w:val="0"/>
      <w:marBottom w:val="0"/>
      <w:divBdr>
        <w:top w:val="none" w:sz="0" w:space="0" w:color="auto"/>
        <w:left w:val="none" w:sz="0" w:space="0" w:color="auto"/>
        <w:bottom w:val="none" w:sz="0" w:space="0" w:color="auto"/>
        <w:right w:val="none" w:sz="0" w:space="0" w:color="auto"/>
      </w:divBdr>
    </w:div>
    <w:div w:id="773285627">
      <w:bodyDiv w:val="1"/>
      <w:marLeft w:val="0"/>
      <w:marRight w:val="0"/>
      <w:marTop w:val="0"/>
      <w:marBottom w:val="0"/>
      <w:divBdr>
        <w:top w:val="none" w:sz="0" w:space="0" w:color="auto"/>
        <w:left w:val="none" w:sz="0" w:space="0" w:color="auto"/>
        <w:bottom w:val="none" w:sz="0" w:space="0" w:color="auto"/>
        <w:right w:val="none" w:sz="0" w:space="0" w:color="auto"/>
      </w:divBdr>
    </w:div>
    <w:div w:id="1079524385">
      <w:bodyDiv w:val="1"/>
      <w:marLeft w:val="0"/>
      <w:marRight w:val="0"/>
      <w:marTop w:val="0"/>
      <w:marBottom w:val="0"/>
      <w:divBdr>
        <w:top w:val="none" w:sz="0" w:space="0" w:color="auto"/>
        <w:left w:val="none" w:sz="0" w:space="0" w:color="auto"/>
        <w:bottom w:val="none" w:sz="0" w:space="0" w:color="auto"/>
        <w:right w:val="none" w:sz="0" w:space="0" w:color="auto"/>
      </w:divBdr>
    </w:div>
    <w:div w:id="1081486688">
      <w:bodyDiv w:val="1"/>
      <w:marLeft w:val="0"/>
      <w:marRight w:val="0"/>
      <w:marTop w:val="0"/>
      <w:marBottom w:val="0"/>
      <w:divBdr>
        <w:top w:val="none" w:sz="0" w:space="0" w:color="auto"/>
        <w:left w:val="none" w:sz="0" w:space="0" w:color="auto"/>
        <w:bottom w:val="none" w:sz="0" w:space="0" w:color="auto"/>
        <w:right w:val="none" w:sz="0" w:space="0" w:color="auto"/>
      </w:divBdr>
    </w:div>
    <w:div w:id="1346058037">
      <w:bodyDiv w:val="1"/>
      <w:marLeft w:val="0"/>
      <w:marRight w:val="0"/>
      <w:marTop w:val="0"/>
      <w:marBottom w:val="0"/>
      <w:divBdr>
        <w:top w:val="none" w:sz="0" w:space="0" w:color="auto"/>
        <w:left w:val="none" w:sz="0" w:space="0" w:color="auto"/>
        <w:bottom w:val="none" w:sz="0" w:space="0" w:color="auto"/>
        <w:right w:val="none" w:sz="0" w:space="0" w:color="auto"/>
      </w:divBdr>
    </w:div>
    <w:div w:id="1479614722">
      <w:bodyDiv w:val="1"/>
      <w:marLeft w:val="0"/>
      <w:marRight w:val="0"/>
      <w:marTop w:val="0"/>
      <w:marBottom w:val="0"/>
      <w:divBdr>
        <w:top w:val="none" w:sz="0" w:space="0" w:color="auto"/>
        <w:left w:val="none" w:sz="0" w:space="0" w:color="auto"/>
        <w:bottom w:val="none" w:sz="0" w:space="0" w:color="auto"/>
        <w:right w:val="none" w:sz="0" w:space="0" w:color="auto"/>
      </w:divBdr>
    </w:div>
    <w:div w:id="1507937442">
      <w:bodyDiv w:val="1"/>
      <w:marLeft w:val="0"/>
      <w:marRight w:val="0"/>
      <w:marTop w:val="0"/>
      <w:marBottom w:val="0"/>
      <w:divBdr>
        <w:top w:val="none" w:sz="0" w:space="0" w:color="auto"/>
        <w:left w:val="none" w:sz="0" w:space="0" w:color="auto"/>
        <w:bottom w:val="none" w:sz="0" w:space="0" w:color="auto"/>
        <w:right w:val="none" w:sz="0" w:space="0" w:color="auto"/>
      </w:divBdr>
    </w:div>
    <w:div w:id="1625504373">
      <w:bodyDiv w:val="1"/>
      <w:marLeft w:val="0"/>
      <w:marRight w:val="0"/>
      <w:marTop w:val="0"/>
      <w:marBottom w:val="0"/>
      <w:divBdr>
        <w:top w:val="none" w:sz="0" w:space="0" w:color="auto"/>
        <w:left w:val="none" w:sz="0" w:space="0" w:color="auto"/>
        <w:bottom w:val="none" w:sz="0" w:space="0" w:color="auto"/>
        <w:right w:val="none" w:sz="0" w:space="0" w:color="auto"/>
      </w:divBdr>
    </w:div>
    <w:div w:id="1680499906">
      <w:bodyDiv w:val="1"/>
      <w:marLeft w:val="0"/>
      <w:marRight w:val="0"/>
      <w:marTop w:val="0"/>
      <w:marBottom w:val="0"/>
      <w:divBdr>
        <w:top w:val="none" w:sz="0" w:space="0" w:color="auto"/>
        <w:left w:val="none" w:sz="0" w:space="0" w:color="auto"/>
        <w:bottom w:val="none" w:sz="0" w:space="0" w:color="auto"/>
        <w:right w:val="none" w:sz="0" w:space="0" w:color="auto"/>
      </w:divBdr>
    </w:div>
    <w:div w:id="1743942326">
      <w:bodyDiv w:val="1"/>
      <w:marLeft w:val="0"/>
      <w:marRight w:val="0"/>
      <w:marTop w:val="0"/>
      <w:marBottom w:val="0"/>
      <w:divBdr>
        <w:top w:val="none" w:sz="0" w:space="0" w:color="auto"/>
        <w:left w:val="none" w:sz="0" w:space="0" w:color="auto"/>
        <w:bottom w:val="none" w:sz="0" w:space="0" w:color="auto"/>
        <w:right w:val="none" w:sz="0" w:space="0" w:color="auto"/>
      </w:divBdr>
    </w:div>
    <w:div w:id="1881742015">
      <w:bodyDiv w:val="1"/>
      <w:marLeft w:val="0"/>
      <w:marRight w:val="0"/>
      <w:marTop w:val="0"/>
      <w:marBottom w:val="0"/>
      <w:divBdr>
        <w:top w:val="none" w:sz="0" w:space="0" w:color="auto"/>
        <w:left w:val="none" w:sz="0" w:space="0" w:color="auto"/>
        <w:bottom w:val="none" w:sz="0" w:space="0" w:color="auto"/>
        <w:right w:val="none" w:sz="0" w:space="0" w:color="auto"/>
      </w:divBdr>
    </w:div>
    <w:div w:id="1885211685">
      <w:bodyDiv w:val="1"/>
      <w:marLeft w:val="0"/>
      <w:marRight w:val="0"/>
      <w:marTop w:val="0"/>
      <w:marBottom w:val="0"/>
      <w:divBdr>
        <w:top w:val="none" w:sz="0" w:space="0" w:color="auto"/>
        <w:left w:val="none" w:sz="0" w:space="0" w:color="auto"/>
        <w:bottom w:val="none" w:sz="0" w:space="0" w:color="auto"/>
        <w:right w:val="none" w:sz="0" w:space="0" w:color="auto"/>
      </w:divBdr>
    </w:div>
    <w:div w:id="1898080244">
      <w:bodyDiv w:val="1"/>
      <w:marLeft w:val="0"/>
      <w:marRight w:val="0"/>
      <w:marTop w:val="0"/>
      <w:marBottom w:val="0"/>
      <w:divBdr>
        <w:top w:val="none" w:sz="0" w:space="0" w:color="auto"/>
        <w:left w:val="none" w:sz="0" w:space="0" w:color="auto"/>
        <w:bottom w:val="none" w:sz="0" w:space="0" w:color="auto"/>
        <w:right w:val="none" w:sz="0" w:space="0" w:color="auto"/>
      </w:divBdr>
    </w:div>
    <w:div w:id="195408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xmlns="e0e35bac-e255-4a69-af54-5f01336af94f">
        <DisplayName xmlns="e0e35bac-e255-4a69-af54-5f01336af94f"/>
        <AccountId xmlns="e0e35bac-e255-4a69-af54-5f01336af94f" xsi:nil="true"/>
        <AccountType xmlns="e0e35bac-e255-4a69-af54-5f01336af94f"/>
      </UserInfo>
    </BT_x0020_Document_x0020_Owner>
    <BT_x0020_Data_x0020_Classification xmlns="e0e35bac-e255-4a69-af54-5f01336af94f">In Confidence</BT_x0020_Data_x0020_Classification>
    <TaxCatchAll xmlns="e0e35bac-e255-4a69-af54-5f01336af94f"/>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274DD1E86204AF4DB4B150BF7C16D971" ma:contentTypeVersion="0" ma:contentTypeDescription="Default item with a two year maximum retention period." ma:contentTypeScope="" ma:versionID="eedba50f492a04e00a61b0328be69082">
  <xsd:schema xmlns:xsd="http://www.w3.org/2001/XMLSchema" xmlns:xs="http://www.w3.org/2001/XMLSchema" xmlns:p="http://schemas.microsoft.com/office/2006/metadata/properties" xmlns:ns2="e0e35bac-e255-4a69-af54-5f01336af94f" targetNamespace="http://schemas.microsoft.com/office/2006/metadata/properties" ma:root="true" ma:fieldsID="f51be227cfc222232f5db9a61bb19121"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3f5580f0-16fb-490e-b58f-8829168847e3}" ma:internalName="TaxCatchAll" ma:showField="CatchAllData" ma:web="6da4bfbe-7612-46ee-946b-054925b1e8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f5580f0-16fb-490e-b58f-8829168847e3}" ma:internalName="TaxCatchAllLabel" ma:readOnly="true" ma:showField="CatchAllDataLabel" ma:web="6da4bfbe-7612-46ee-946b-054925b1e8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ma:readOnly="false">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3037-3E37-44CA-AF4C-21EFB99E7B04}">
  <ds:schemaRefs>
    <ds:schemaRef ds:uri="Microsoft.SharePoint.Taxonomy.ContentTypeSync"/>
  </ds:schemaRefs>
</ds:datastoreItem>
</file>

<file path=customXml/itemProps2.xml><?xml version="1.0" encoding="utf-8"?>
<ds:datastoreItem xmlns:ds="http://schemas.openxmlformats.org/officeDocument/2006/customXml" ds:itemID="{35987D80-9791-44A1-9FDE-5E1E3C33A3E6}">
  <ds:schemaRefs>
    <ds:schemaRef ds:uri="http://schemas.microsoft.com/sharepoint/v3/contenttype/forms"/>
  </ds:schemaRefs>
</ds:datastoreItem>
</file>

<file path=customXml/itemProps3.xml><?xml version="1.0" encoding="utf-8"?>
<ds:datastoreItem xmlns:ds="http://schemas.openxmlformats.org/officeDocument/2006/customXml" ds:itemID="{4D2DB420-7B80-4490-A58F-755FF9B73291}">
  <ds:schemaRefs>
    <ds:schemaRef ds:uri="http://schemas.microsoft.com/office/2006/metadata/properties"/>
    <ds:schemaRef ds:uri="http://schemas.microsoft.com/office/infopath/2007/PartnerControls"/>
    <ds:schemaRef ds:uri="e0e35bac-e255-4a69-af54-5f01336af94f"/>
  </ds:schemaRefs>
</ds:datastoreItem>
</file>

<file path=customXml/itemProps4.xml><?xml version="1.0" encoding="utf-8"?>
<ds:datastoreItem xmlns:ds="http://schemas.openxmlformats.org/officeDocument/2006/customXml" ds:itemID="{172B8A7C-A88D-48CD-8848-6F38107B7320}">
  <ds:schemaRefs>
    <ds:schemaRef ds:uri="http://schemas.microsoft.com/office/2006/metadata/customXsn"/>
  </ds:schemaRefs>
</ds:datastoreItem>
</file>

<file path=customXml/itemProps5.xml><?xml version="1.0" encoding="utf-8"?>
<ds:datastoreItem xmlns:ds="http://schemas.openxmlformats.org/officeDocument/2006/customXml" ds:itemID="{7B805004-41EB-4BCE-A56D-5461DCE44F8E}">
  <ds:schemaRefs>
    <ds:schemaRef ds:uri="http://schemas.microsoft.com/sharepoint/events"/>
  </ds:schemaRefs>
</ds:datastoreItem>
</file>

<file path=customXml/itemProps6.xml><?xml version="1.0" encoding="utf-8"?>
<ds:datastoreItem xmlns:ds="http://schemas.openxmlformats.org/officeDocument/2006/customXml" ds:itemID="{4249CD0F-41CB-4AD7-B6CA-17A39E007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35bac-e255-4a69-af54-5f01336af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C89F4DB-1730-4611-89DF-D9B878BC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Document.dot</Template>
  <TotalTime>0</TotalTime>
  <Pages>1</Pages>
  <Words>5678</Words>
  <Characters>32369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37972</CharactersWithSpaces>
  <SharedDoc>false</SharedDoc>
  <HLinks>
    <vt:vector size="66" baseType="variant">
      <vt:variant>
        <vt:i4>1769523</vt:i4>
      </vt:variant>
      <vt:variant>
        <vt:i4>62</vt:i4>
      </vt:variant>
      <vt:variant>
        <vt:i4>0</vt:i4>
      </vt:variant>
      <vt:variant>
        <vt:i4>5</vt:i4>
      </vt:variant>
      <vt:variant>
        <vt:lpwstr/>
      </vt:variant>
      <vt:variant>
        <vt:lpwstr>_Toc454816271</vt:lpwstr>
      </vt:variant>
      <vt:variant>
        <vt:i4>1769523</vt:i4>
      </vt:variant>
      <vt:variant>
        <vt:i4>56</vt:i4>
      </vt:variant>
      <vt:variant>
        <vt:i4>0</vt:i4>
      </vt:variant>
      <vt:variant>
        <vt:i4>5</vt:i4>
      </vt:variant>
      <vt:variant>
        <vt:lpwstr/>
      </vt:variant>
      <vt:variant>
        <vt:lpwstr>_Toc454816270</vt:lpwstr>
      </vt:variant>
      <vt:variant>
        <vt:i4>1703987</vt:i4>
      </vt:variant>
      <vt:variant>
        <vt:i4>50</vt:i4>
      </vt:variant>
      <vt:variant>
        <vt:i4>0</vt:i4>
      </vt:variant>
      <vt:variant>
        <vt:i4>5</vt:i4>
      </vt:variant>
      <vt:variant>
        <vt:lpwstr/>
      </vt:variant>
      <vt:variant>
        <vt:lpwstr>_Toc454816269</vt:lpwstr>
      </vt:variant>
      <vt:variant>
        <vt:i4>1703987</vt:i4>
      </vt:variant>
      <vt:variant>
        <vt:i4>44</vt:i4>
      </vt:variant>
      <vt:variant>
        <vt:i4>0</vt:i4>
      </vt:variant>
      <vt:variant>
        <vt:i4>5</vt:i4>
      </vt:variant>
      <vt:variant>
        <vt:lpwstr/>
      </vt:variant>
      <vt:variant>
        <vt:lpwstr>_Toc454816268</vt:lpwstr>
      </vt:variant>
      <vt:variant>
        <vt:i4>1703987</vt:i4>
      </vt:variant>
      <vt:variant>
        <vt:i4>38</vt:i4>
      </vt:variant>
      <vt:variant>
        <vt:i4>0</vt:i4>
      </vt:variant>
      <vt:variant>
        <vt:i4>5</vt:i4>
      </vt:variant>
      <vt:variant>
        <vt:lpwstr/>
      </vt:variant>
      <vt:variant>
        <vt:lpwstr>_Toc454816267</vt:lpwstr>
      </vt:variant>
      <vt:variant>
        <vt:i4>1703987</vt:i4>
      </vt:variant>
      <vt:variant>
        <vt:i4>32</vt:i4>
      </vt:variant>
      <vt:variant>
        <vt:i4>0</vt:i4>
      </vt:variant>
      <vt:variant>
        <vt:i4>5</vt:i4>
      </vt:variant>
      <vt:variant>
        <vt:lpwstr/>
      </vt:variant>
      <vt:variant>
        <vt:lpwstr>_Toc454816266</vt:lpwstr>
      </vt:variant>
      <vt:variant>
        <vt:i4>1703987</vt:i4>
      </vt:variant>
      <vt:variant>
        <vt:i4>26</vt:i4>
      </vt:variant>
      <vt:variant>
        <vt:i4>0</vt:i4>
      </vt:variant>
      <vt:variant>
        <vt:i4>5</vt:i4>
      </vt:variant>
      <vt:variant>
        <vt:lpwstr/>
      </vt:variant>
      <vt:variant>
        <vt:lpwstr>_Toc454816265</vt:lpwstr>
      </vt:variant>
      <vt:variant>
        <vt:i4>1703987</vt:i4>
      </vt:variant>
      <vt:variant>
        <vt:i4>20</vt:i4>
      </vt:variant>
      <vt:variant>
        <vt:i4>0</vt:i4>
      </vt:variant>
      <vt:variant>
        <vt:i4>5</vt:i4>
      </vt:variant>
      <vt:variant>
        <vt:lpwstr/>
      </vt:variant>
      <vt:variant>
        <vt:lpwstr>_Toc454816264</vt:lpwstr>
      </vt:variant>
      <vt:variant>
        <vt:i4>1703987</vt:i4>
      </vt:variant>
      <vt:variant>
        <vt:i4>14</vt:i4>
      </vt:variant>
      <vt:variant>
        <vt:i4>0</vt:i4>
      </vt:variant>
      <vt:variant>
        <vt:i4>5</vt:i4>
      </vt:variant>
      <vt:variant>
        <vt:lpwstr/>
      </vt:variant>
      <vt:variant>
        <vt:lpwstr>_Toc454816263</vt:lpwstr>
      </vt:variant>
      <vt:variant>
        <vt:i4>1703987</vt:i4>
      </vt:variant>
      <vt:variant>
        <vt:i4>8</vt:i4>
      </vt:variant>
      <vt:variant>
        <vt:i4>0</vt:i4>
      </vt:variant>
      <vt:variant>
        <vt:i4>5</vt:i4>
      </vt:variant>
      <vt:variant>
        <vt:lpwstr/>
      </vt:variant>
      <vt:variant>
        <vt:lpwstr>_Toc454816262</vt:lpwstr>
      </vt:variant>
      <vt:variant>
        <vt:i4>1703987</vt:i4>
      </vt:variant>
      <vt:variant>
        <vt:i4>2</vt:i4>
      </vt:variant>
      <vt:variant>
        <vt:i4>0</vt:i4>
      </vt:variant>
      <vt:variant>
        <vt:i4>5</vt:i4>
      </vt:variant>
      <vt:variant>
        <vt:lpwstr/>
      </vt:variant>
      <vt:variant>
        <vt:lpwstr>_Toc454816261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Horn</dc:creator>
  <cp:lastModifiedBy>Chris Johnson</cp:lastModifiedBy>
  <cp:revision>11</cp:revision>
  <cp:lastPrinted>2016-08-25T10:36:00Z</cp:lastPrinted>
  <dcterms:created xsi:type="dcterms:W3CDTF">2016-10-04T12:19:00Z</dcterms:created>
  <dcterms:modified xsi:type="dcterms:W3CDTF">2016-11-16T22:24:00Z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74232591.2\at12</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BT Document Owner">
    <vt:lpwstr/>
  </property>
  <property fmtid="{D5CDD505-2E9C-101B-9397-08002B2CF9AE}" pid="7" name="BT Data Classification">
    <vt:lpwstr>In Confidence</vt:lpwstr>
  </property>
  <property fmtid="{D5CDD505-2E9C-101B-9397-08002B2CF9AE}" pid="8" name="TaxCatchAll">
    <vt:lpwstr/>
  </property>
</Properties>
</file>