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58" w:rsidRDefault="00467858" w:rsidP="001C412E">
      <w:pPr>
        <w:jc w:val="left"/>
        <w:rPr>
          <w:color w:val="000000"/>
        </w:rPr>
      </w:pPr>
      <w:r>
        <w:rPr>
          <w:bCs/>
          <w:noProof/>
        </w:rPr>
        <mc:AlternateContent>
          <mc:Choice Requires="wps">
            <w:drawing>
              <wp:inline distT="0" distB="0" distL="0" distR="0" wp14:anchorId="1F34080E" wp14:editId="2A25BBC2">
                <wp:extent cx="6042991" cy="1200647"/>
                <wp:effectExtent l="0" t="0" r="15240" b="19050"/>
                <wp:docPr id="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1200647"/>
                        </a:xfrm>
                        <a:prstGeom prst="rect">
                          <a:avLst/>
                        </a:prstGeom>
                        <a:solidFill>
                          <a:srgbClr val="FFFFFF"/>
                        </a:solidFill>
                        <a:ln w="12700">
                          <a:solidFill>
                            <a:srgbClr val="000000"/>
                          </a:solidFill>
                          <a:miter lim="800000"/>
                          <a:headEnd/>
                          <a:tailEnd/>
                        </a:ln>
                      </wps:spPr>
                      <wps:txbx>
                        <w:txbxContent>
                          <w:p w:rsidR="009F58CB" w:rsidRPr="00277E29" w:rsidRDefault="009F58CB" w:rsidP="00A06855">
                            <w:pPr>
                              <w:pStyle w:val="NormalWeb"/>
                              <w:jc w:val="left"/>
                              <w:rPr>
                                <w:sz w:val="32"/>
                                <w:szCs w:val="32"/>
                              </w:rPr>
                            </w:pPr>
                            <w:r w:rsidRPr="00277E29">
                              <w:rPr>
                                <w:b/>
                                <w:bCs/>
                                <w:color w:val="000000"/>
                                <w:sz w:val="32"/>
                                <w:szCs w:val="32"/>
                              </w:rPr>
                              <w:t>Further education and skills inspections and outcomes</w:t>
                            </w:r>
                          </w:p>
                          <w:p w:rsidR="009F58CB" w:rsidRPr="008B59EC" w:rsidRDefault="009F58CB" w:rsidP="00A06855">
                            <w:pPr>
                              <w:jc w:val="left"/>
                              <w:rPr>
                                <w:color w:val="000000"/>
                                <w:sz w:val="16"/>
                                <w:szCs w:val="16"/>
                              </w:rPr>
                            </w:pPr>
                          </w:p>
                          <w:p w:rsidR="009F58CB" w:rsidRDefault="00B45F16" w:rsidP="00A06855">
                            <w:pPr>
                              <w:pStyle w:val="NormalWeb"/>
                              <w:jc w:val="left"/>
                              <w:rPr>
                                <w:sz w:val="32"/>
                                <w:szCs w:val="32"/>
                              </w:rPr>
                            </w:pPr>
                            <w:r>
                              <w:rPr>
                                <w:sz w:val="32"/>
                                <w:szCs w:val="32"/>
                              </w:rPr>
                              <w:t>Official statistics c</w:t>
                            </w:r>
                            <w:r w:rsidR="009F58CB" w:rsidRPr="00467858">
                              <w:rPr>
                                <w:sz w:val="32"/>
                                <w:szCs w:val="32"/>
                              </w:rPr>
                              <w:t xml:space="preserve">onsultation </w:t>
                            </w:r>
                          </w:p>
                          <w:p w:rsidR="009F58CB" w:rsidRDefault="009F58CB" w:rsidP="00A06855">
                            <w:pPr>
                              <w:pStyle w:val="NormalWeb"/>
                              <w:jc w:val="left"/>
                              <w:rPr>
                                <w:sz w:val="32"/>
                                <w:szCs w:val="32"/>
                              </w:rPr>
                            </w:pPr>
                          </w:p>
                          <w:p w:rsidR="009F58CB" w:rsidRPr="0098403D" w:rsidRDefault="009F58CB" w:rsidP="00467858">
                            <w:pPr>
                              <w:pStyle w:val="NormalWeb"/>
                              <w:jc w:val="left"/>
                              <w:rPr>
                                <w:color w:val="000000"/>
                                <w:sz w:val="28"/>
                                <w:szCs w:val="28"/>
                              </w:rPr>
                            </w:pPr>
                            <w:r>
                              <w:rPr>
                                <w:sz w:val="28"/>
                                <w:szCs w:val="28"/>
                              </w:rPr>
                              <w:t>30</w:t>
                            </w:r>
                            <w:r w:rsidRPr="0098403D">
                              <w:rPr>
                                <w:sz w:val="28"/>
                                <w:szCs w:val="28"/>
                              </w:rPr>
                              <w:t xml:space="preserve"> June 2016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75.8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" strokeweight="1pt">
                <v:textbox>
                  <w:txbxContent>
                    <w:p w:rsidR="009F58CB" w:rsidRPr="00277E29" w:rsidRDefault="009F58CB" w:rsidP="00A06855">
                      <w:pPr>
                        <w:pStyle w:val="NormalWeb"/>
                        <w:jc w:val="left"/>
                        <w:rPr>
                          <w:sz w:val="32"/>
                          <w:szCs w:val="32"/>
                        </w:rPr>
                      </w:pPr>
                      <w:r w:rsidRPr="00277E29">
                        <w:rPr>
                          <w:b/>
                          <w:bCs/>
                          <w:color w:val="000000"/>
                          <w:sz w:val="32"/>
                          <w:szCs w:val="32"/>
                        </w:rPr>
                        <w:t>Further education and skills inspections and outcomes</w:t>
                      </w:r>
                    </w:p>
                    <w:p w:rsidR="009F58CB" w:rsidRPr="008B59EC" w:rsidRDefault="009F58CB" w:rsidP="00A06855">
                      <w:pPr>
                        <w:jc w:val="left"/>
                        <w:rPr>
                          <w:color w:val="000000"/>
                          <w:sz w:val="16"/>
                          <w:szCs w:val="16"/>
                        </w:rPr>
                      </w:pPr>
                    </w:p>
                    <w:p w:rsidR="009F58CB" w:rsidRDefault="00B45F16" w:rsidP="00A06855">
                      <w:pPr>
                        <w:pStyle w:val="NormalWeb"/>
                        <w:jc w:val="left"/>
                        <w:rPr>
                          <w:sz w:val="32"/>
                          <w:szCs w:val="32"/>
                        </w:rPr>
                      </w:pPr>
                      <w:r>
                        <w:rPr>
                          <w:sz w:val="32"/>
                          <w:szCs w:val="32"/>
                        </w:rPr>
                        <w:t>Official statistics c</w:t>
                      </w:r>
                      <w:r w:rsidR="009F58CB" w:rsidRPr="00467858">
                        <w:rPr>
                          <w:sz w:val="32"/>
                          <w:szCs w:val="32"/>
                        </w:rPr>
                        <w:t xml:space="preserve">onsultation </w:t>
                      </w:r>
                    </w:p>
                    <w:p w:rsidR="009F58CB" w:rsidRDefault="009F58CB" w:rsidP="00A06855">
                      <w:pPr>
                        <w:pStyle w:val="NormalWeb"/>
                        <w:jc w:val="left"/>
                        <w:rPr>
                          <w:sz w:val="32"/>
                          <w:szCs w:val="32"/>
                        </w:rPr>
                      </w:pPr>
                    </w:p>
                    <w:p w:rsidR="009F58CB" w:rsidRPr="0098403D" w:rsidRDefault="009F58CB" w:rsidP="00467858">
                      <w:pPr>
                        <w:pStyle w:val="NormalWeb"/>
                        <w:jc w:val="left"/>
                        <w:rPr>
                          <w:color w:val="000000"/>
                          <w:sz w:val="28"/>
                          <w:szCs w:val="28"/>
                        </w:rPr>
                      </w:pPr>
                      <w:r>
                        <w:rPr>
                          <w:sz w:val="28"/>
                          <w:szCs w:val="28"/>
                        </w:rPr>
                        <w:t>30</w:t>
                      </w:r>
                      <w:r w:rsidRPr="0098403D">
                        <w:rPr>
                          <w:sz w:val="28"/>
                          <w:szCs w:val="28"/>
                        </w:rPr>
                        <w:t xml:space="preserve"> June 2016 </w:t>
                      </w:r>
                    </w:p>
                  </w:txbxContent>
                </v:textbox>
                <w10:anchorlock/>
              </v:shape>
            </w:pict>
          </mc:Fallback>
        </mc:AlternateContent>
      </w:r>
    </w:p>
    <w:p w:rsidR="0015780D" w:rsidRDefault="0015780D" w:rsidP="001C412E">
      <w:pPr>
        <w:jc w:val="left"/>
        <w:rPr>
          <w:color w:val="000000"/>
        </w:rPr>
      </w:pPr>
      <w:bookmarkStart w:id="0" w:name="_GoBack"/>
      <w:bookmarkEnd w:id="0"/>
    </w:p>
    <w:sdt>
      <w:sdtPr>
        <w:rPr>
          <w:rFonts w:ascii="Tahoma" w:eastAsia="Times New Roman" w:hAnsi="Tahoma" w:cs="Times New Roman"/>
          <w:b w:val="0"/>
          <w:bCs w:val="0"/>
          <w:color w:val="auto"/>
          <w:sz w:val="24"/>
          <w:szCs w:val="24"/>
          <w:lang w:val="en-GB" w:eastAsia="en-GB"/>
        </w:rPr>
        <w:id w:val="-335545674"/>
        <w:docPartObj>
          <w:docPartGallery w:val="Table of Contents"/>
          <w:docPartUnique/>
        </w:docPartObj>
      </w:sdtPr>
      <w:sdtEndPr>
        <w:rPr>
          <w:noProof/>
        </w:rPr>
      </w:sdtEndPr>
      <w:sdtContent>
        <w:p w:rsidR="00862848" w:rsidRPr="00C91648" w:rsidRDefault="00862848" w:rsidP="001C412E">
          <w:pPr>
            <w:pStyle w:val="TOCHeading"/>
            <w:rPr>
              <w:rFonts w:ascii="Tahoma" w:hAnsi="Tahoma" w:cs="Tahoma"/>
              <w:color w:val="auto"/>
              <w:sz w:val="24"/>
              <w:szCs w:val="24"/>
            </w:rPr>
          </w:pPr>
          <w:r w:rsidRPr="00C91648">
            <w:rPr>
              <w:rFonts w:ascii="Tahoma" w:hAnsi="Tahoma" w:cs="Tahoma"/>
              <w:color w:val="auto"/>
              <w:sz w:val="24"/>
              <w:szCs w:val="24"/>
            </w:rPr>
            <w:t>Contents</w:t>
          </w:r>
        </w:p>
        <w:p w:rsidR="0086483A" w:rsidRDefault="00862848">
          <w:pPr>
            <w:pStyle w:val="TOC1"/>
            <w:tabs>
              <w:tab w:val="left" w:pos="480"/>
              <w:tab w:val="right" w:leader="dot" w:pos="9628"/>
            </w:tabs>
            <w:rPr>
              <w:rFonts w:asciiTheme="minorHAnsi" w:eastAsiaTheme="minorEastAsia" w:hAnsiTheme="minorHAnsi" w:cstheme="minorBidi"/>
              <w:noProof/>
              <w:sz w:val="22"/>
              <w:szCs w:val="22"/>
            </w:rPr>
          </w:pPr>
          <w:r w:rsidRPr="00862848">
            <w:rPr>
              <w:rFonts w:cs="Tahoma"/>
            </w:rPr>
            <w:fldChar w:fldCharType="begin"/>
          </w:r>
          <w:r w:rsidRPr="00862848">
            <w:rPr>
              <w:rFonts w:cs="Tahoma"/>
            </w:rPr>
            <w:instrText xml:space="preserve"> TOC \o "1-3" \h \z \u </w:instrText>
          </w:r>
          <w:r w:rsidRPr="00862848">
            <w:rPr>
              <w:rFonts w:cs="Tahoma"/>
            </w:rPr>
            <w:fldChar w:fldCharType="separate"/>
          </w:r>
          <w:hyperlink w:anchor="_Toc454910555" w:history="1">
            <w:r w:rsidR="0086483A" w:rsidRPr="00D3496C">
              <w:rPr>
                <w:rStyle w:val="Hyperlink"/>
                <w:noProof/>
              </w:rPr>
              <w:t>1.</w:t>
            </w:r>
            <w:r w:rsidR="0086483A">
              <w:rPr>
                <w:rFonts w:asciiTheme="minorHAnsi" w:eastAsiaTheme="minorEastAsia" w:hAnsiTheme="minorHAnsi" w:cstheme="minorBidi"/>
                <w:noProof/>
                <w:sz w:val="22"/>
                <w:szCs w:val="22"/>
              </w:rPr>
              <w:tab/>
            </w:r>
            <w:r w:rsidR="0086483A" w:rsidRPr="00D3496C">
              <w:rPr>
                <w:rStyle w:val="Hyperlink"/>
                <w:noProof/>
              </w:rPr>
              <w:t>Introduction</w:t>
            </w:r>
            <w:r w:rsidR="0086483A">
              <w:rPr>
                <w:noProof/>
                <w:webHidden/>
              </w:rPr>
              <w:tab/>
            </w:r>
            <w:r w:rsidR="0086483A">
              <w:rPr>
                <w:noProof/>
                <w:webHidden/>
              </w:rPr>
              <w:fldChar w:fldCharType="begin"/>
            </w:r>
            <w:r w:rsidR="0086483A">
              <w:rPr>
                <w:noProof/>
                <w:webHidden/>
              </w:rPr>
              <w:instrText xml:space="preserve"> PAGEREF _Toc454910555 \h </w:instrText>
            </w:r>
            <w:r w:rsidR="0086483A">
              <w:rPr>
                <w:noProof/>
                <w:webHidden/>
              </w:rPr>
            </w:r>
            <w:r w:rsidR="0086483A">
              <w:rPr>
                <w:noProof/>
                <w:webHidden/>
              </w:rPr>
              <w:fldChar w:fldCharType="separate"/>
            </w:r>
            <w:r w:rsidR="009B043A">
              <w:rPr>
                <w:noProof/>
                <w:webHidden/>
              </w:rPr>
              <w:t>2</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56" w:history="1">
            <w:r w:rsidR="0086483A" w:rsidRPr="00D3496C">
              <w:rPr>
                <w:rStyle w:val="Hyperlink"/>
                <w:noProof/>
              </w:rPr>
              <w:t>1.1 Consultation timeline</w:t>
            </w:r>
            <w:r w:rsidR="0086483A">
              <w:rPr>
                <w:noProof/>
                <w:webHidden/>
              </w:rPr>
              <w:tab/>
            </w:r>
            <w:r w:rsidR="0086483A">
              <w:rPr>
                <w:noProof/>
                <w:webHidden/>
              </w:rPr>
              <w:fldChar w:fldCharType="begin"/>
            </w:r>
            <w:r w:rsidR="0086483A">
              <w:rPr>
                <w:noProof/>
                <w:webHidden/>
              </w:rPr>
              <w:instrText xml:space="preserve"> PAGEREF _Toc454910556 \h </w:instrText>
            </w:r>
            <w:r w:rsidR="0086483A">
              <w:rPr>
                <w:noProof/>
                <w:webHidden/>
              </w:rPr>
            </w:r>
            <w:r w:rsidR="0086483A">
              <w:rPr>
                <w:noProof/>
                <w:webHidden/>
              </w:rPr>
              <w:fldChar w:fldCharType="separate"/>
            </w:r>
            <w:r>
              <w:rPr>
                <w:noProof/>
                <w:webHidden/>
              </w:rPr>
              <w:t>2</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57" w:history="1">
            <w:r w:rsidR="0086483A" w:rsidRPr="00D3496C">
              <w:rPr>
                <w:rStyle w:val="Hyperlink"/>
                <w:noProof/>
              </w:rPr>
              <w:t>1.2 Consultation response</w:t>
            </w:r>
            <w:r w:rsidR="0086483A">
              <w:rPr>
                <w:noProof/>
                <w:webHidden/>
              </w:rPr>
              <w:tab/>
            </w:r>
            <w:r w:rsidR="0086483A">
              <w:rPr>
                <w:noProof/>
                <w:webHidden/>
              </w:rPr>
              <w:fldChar w:fldCharType="begin"/>
            </w:r>
            <w:r w:rsidR="0086483A">
              <w:rPr>
                <w:noProof/>
                <w:webHidden/>
              </w:rPr>
              <w:instrText xml:space="preserve"> PAGEREF _Toc454910557 \h </w:instrText>
            </w:r>
            <w:r w:rsidR="0086483A">
              <w:rPr>
                <w:noProof/>
                <w:webHidden/>
              </w:rPr>
            </w:r>
            <w:r w:rsidR="0086483A">
              <w:rPr>
                <w:noProof/>
                <w:webHidden/>
              </w:rPr>
              <w:fldChar w:fldCharType="separate"/>
            </w:r>
            <w:r>
              <w:rPr>
                <w:noProof/>
                <w:webHidden/>
              </w:rPr>
              <w:t>2</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58" w:history="1">
            <w:r w:rsidR="0086483A" w:rsidRPr="00D3496C">
              <w:rPr>
                <w:rStyle w:val="Hyperlink"/>
                <w:noProof/>
              </w:rPr>
              <w:t>1.3 Common terms of reference</w:t>
            </w:r>
            <w:r w:rsidR="0086483A">
              <w:rPr>
                <w:noProof/>
                <w:webHidden/>
              </w:rPr>
              <w:tab/>
            </w:r>
            <w:r w:rsidR="0086483A">
              <w:rPr>
                <w:noProof/>
                <w:webHidden/>
              </w:rPr>
              <w:fldChar w:fldCharType="begin"/>
            </w:r>
            <w:r w:rsidR="0086483A">
              <w:rPr>
                <w:noProof/>
                <w:webHidden/>
              </w:rPr>
              <w:instrText xml:space="preserve"> PAGEREF _Toc454910558 \h </w:instrText>
            </w:r>
            <w:r w:rsidR="0086483A">
              <w:rPr>
                <w:noProof/>
                <w:webHidden/>
              </w:rPr>
            </w:r>
            <w:r w:rsidR="0086483A">
              <w:rPr>
                <w:noProof/>
                <w:webHidden/>
              </w:rPr>
              <w:fldChar w:fldCharType="separate"/>
            </w:r>
            <w:r>
              <w:rPr>
                <w:noProof/>
                <w:webHidden/>
              </w:rPr>
              <w:t>3</w:t>
            </w:r>
            <w:r w:rsidR="0086483A">
              <w:rPr>
                <w:noProof/>
                <w:webHidden/>
              </w:rPr>
              <w:fldChar w:fldCharType="end"/>
            </w:r>
          </w:hyperlink>
        </w:p>
        <w:p w:rsidR="0086483A" w:rsidRDefault="009B043A">
          <w:pPr>
            <w:pStyle w:val="TOC1"/>
            <w:tabs>
              <w:tab w:val="left" w:pos="480"/>
              <w:tab w:val="right" w:leader="dot" w:pos="9628"/>
            </w:tabs>
            <w:rPr>
              <w:rFonts w:asciiTheme="minorHAnsi" w:eastAsiaTheme="minorEastAsia" w:hAnsiTheme="minorHAnsi" w:cstheme="minorBidi"/>
              <w:noProof/>
              <w:sz w:val="22"/>
              <w:szCs w:val="22"/>
            </w:rPr>
          </w:pPr>
          <w:hyperlink w:anchor="_Toc454910559" w:history="1">
            <w:r w:rsidR="0086483A" w:rsidRPr="00D3496C">
              <w:rPr>
                <w:rStyle w:val="Hyperlink"/>
                <w:noProof/>
              </w:rPr>
              <w:t>2.</w:t>
            </w:r>
            <w:r w:rsidR="0086483A">
              <w:rPr>
                <w:rFonts w:asciiTheme="minorHAnsi" w:eastAsiaTheme="minorEastAsia" w:hAnsiTheme="minorHAnsi" w:cstheme="minorBidi"/>
                <w:noProof/>
                <w:sz w:val="22"/>
                <w:szCs w:val="22"/>
              </w:rPr>
              <w:tab/>
            </w:r>
            <w:r w:rsidR="0086483A" w:rsidRPr="00D3496C">
              <w:rPr>
                <w:rStyle w:val="Hyperlink"/>
                <w:noProof/>
              </w:rPr>
              <w:t>Changes for information</w:t>
            </w:r>
            <w:r w:rsidR="0086483A">
              <w:rPr>
                <w:noProof/>
                <w:webHidden/>
              </w:rPr>
              <w:tab/>
            </w:r>
            <w:r w:rsidR="0086483A">
              <w:rPr>
                <w:noProof/>
                <w:webHidden/>
              </w:rPr>
              <w:fldChar w:fldCharType="begin"/>
            </w:r>
            <w:r w:rsidR="0086483A">
              <w:rPr>
                <w:noProof/>
                <w:webHidden/>
              </w:rPr>
              <w:instrText xml:space="preserve"> PAGEREF _Toc454910559 \h </w:instrText>
            </w:r>
            <w:r w:rsidR="0086483A">
              <w:rPr>
                <w:noProof/>
                <w:webHidden/>
              </w:rPr>
            </w:r>
            <w:r w:rsidR="0086483A">
              <w:rPr>
                <w:noProof/>
                <w:webHidden/>
              </w:rPr>
              <w:fldChar w:fldCharType="separate"/>
            </w:r>
            <w:r>
              <w:rPr>
                <w:noProof/>
                <w:webHidden/>
              </w:rPr>
              <w:t>3</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0" w:history="1">
            <w:r w:rsidR="0086483A" w:rsidRPr="00D3496C">
              <w:rPr>
                <w:rStyle w:val="Hyperlink"/>
                <w:noProof/>
              </w:rPr>
              <w:t>2.1 The new common inspection framework</w:t>
            </w:r>
            <w:r w:rsidR="0086483A">
              <w:rPr>
                <w:noProof/>
                <w:webHidden/>
              </w:rPr>
              <w:tab/>
            </w:r>
            <w:r w:rsidR="0086483A">
              <w:rPr>
                <w:noProof/>
                <w:webHidden/>
              </w:rPr>
              <w:fldChar w:fldCharType="begin"/>
            </w:r>
            <w:r w:rsidR="0086483A">
              <w:rPr>
                <w:noProof/>
                <w:webHidden/>
              </w:rPr>
              <w:instrText xml:space="preserve"> PAGEREF _Toc454910560 \h </w:instrText>
            </w:r>
            <w:r w:rsidR="0086483A">
              <w:rPr>
                <w:noProof/>
                <w:webHidden/>
              </w:rPr>
            </w:r>
            <w:r w:rsidR="0086483A">
              <w:rPr>
                <w:noProof/>
                <w:webHidden/>
              </w:rPr>
              <w:fldChar w:fldCharType="separate"/>
            </w:r>
            <w:r>
              <w:rPr>
                <w:noProof/>
                <w:webHidden/>
              </w:rPr>
              <w:t>3</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1" w:history="1">
            <w:r w:rsidR="0086483A" w:rsidRPr="00D3496C">
              <w:rPr>
                <w:rStyle w:val="Hyperlink"/>
                <w:noProof/>
              </w:rPr>
              <w:t>2.2 Dance and drama colleges</w:t>
            </w:r>
            <w:r w:rsidR="0086483A">
              <w:rPr>
                <w:noProof/>
                <w:webHidden/>
              </w:rPr>
              <w:tab/>
            </w:r>
            <w:r w:rsidR="0086483A">
              <w:rPr>
                <w:noProof/>
                <w:webHidden/>
              </w:rPr>
              <w:fldChar w:fldCharType="begin"/>
            </w:r>
            <w:r w:rsidR="0086483A">
              <w:rPr>
                <w:noProof/>
                <w:webHidden/>
              </w:rPr>
              <w:instrText xml:space="preserve"> PAGEREF _Toc454910561 \h </w:instrText>
            </w:r>
            <w:r w:rsidR="0086483A">
              <w:rPr>
                <w:noProof/>
                <w:webHidden/>
              </w:rPr>
            </w:r>
            <w:r w:rsidR="0086483A">
              <w:rPr>
                <w:noProof/>
                <w:webHidden/>
              </w:rPr>
              <w:fldChar w:fldCharType="separate"/>
            </w:r>
            <w:r>
              <w:rPr>
                <w:noProof/>
                <w:webHidden/>
              </w:rPr>
              <w:t>5</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2" w:history="1">
            <w:r w:rsidR="0086483A" w:rsidRPr="00D3496C">
              <w:rPr>
                <w:rStyle w:val="Hyperlink"/>
                <w:noProof/>
              </w:rPr>
              <w:t>2.3 Independent specialist colleges</w:t>
            </w:r>
            <w:r w:rsidR="0086483A">
              <w:rPr>
                <w:noProof/>
                <w:webHidden/>
              </w:rPr>
              <w:tab/>
            </w:r>
            <w:r w:rsidR="0086483A">
              <w:rPr>
                <w:noProof/>
                <w:webHidden/>
              </w:rPr>
              <w:fldChar w:fldCharType="begin"/>
            </w:r>
            <w:r w:rsidR="0086483A">
              <w:rPr>
                <w:noProof/>
                <w:webHidden/>
              </w:rPr>
              <w:instrText xml:space="preserve"> PAGEREF _Toc454910562 \h </w:instrText>
            </w:r>
            <w:r w:rsidR="0086483A">
              <w:rPr>
                <w:noProof/>
                <w:webHidden/>
              </w:rPr>
            </w:r>
            <w:r w:rsidR="0086483A">
              <w:rPr>
                <w:noProof/>
                <w:webHidden/>
              </w:rPr>
              <w:fldChar w:fldCharType="separate"/>
            </w:r>
            <w:r>
              <w:rPr>
                <w:noProof/>
                <w:webHidden/>
              </w:rPr>
              <w:t>5</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3" w:history="1">
            <w:r w:rsidR="0086483A" w:rsidRPr="00D3496C">
              <w:rPr>
                <w:rStyle w:val="Hyperlink"/>
                <w:noProof/>
              </w:rPr>
              <w:t>2.4 Provider types and groups</w:t>
            </w:r>
            <w:r w:rsidR="0086483A">
              <w:rPr>
                <w:noProof/>
                <w:webHidden/>
              </w:rPr>
              <w:tab/>
            </w:r>
            <w:r w:rsidR="0086483A">
              <w:rPr>
                <w:noProof/>
                <w:webHidden/>
              </w:rPr>
              <w:fldChar w:fldCharType="begin"/>
            </w:r>
            <w:r w:rsidR="0086483A">
              <w:rPr>
                <w:noProof/>
                <w:webHidden/>
              </w:rPr>
              <w:instrText xml:space="preserve"> PAGEREF _Toc454910563 \h </w:instrText>
            </w:r>
            <w:r w:rsidR="0086483A">
              <w:rPr>
                <w:noProof/>
                <w:webHidden/>
              </w:rPr>
            </w:r>
            <w:r w:rsidR="0086483A">
              <w:rPr>
                <w:noProof/>
                <w:webHidden/>
              </w:rPr>
              <w:fldChar w:fldCharType="separate"/>
            </w:r>
            <w:r>
              <w:rPr>
                <w:noProof/>
                <w:webHidden/>
              </w:rPr>
              <w:t>6</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4" w:history="1">
            <w:r w:rsidR="0086483A" w:rsidRPr="00D3496C">
              <w:rPr>
                <w:rStyle w:val="Hyperlink"/>
                <w:noProof/>
              </w:rPr>
              <w:t>2.5 Database migration</w:t>
            </w:r>
            <w:r w:rsidR="0086483A">
              <w:rPr>
                <w:noProof/>
                <w:webHidden/>
              </w:rPr>
              <w:tab/>
            </w:r>
            <w:r w:rsidR="0086483A">
              <w:rPr>
                <w:noProof/>
                <w:webHidden/>
              </w:rPr>
              <w:fldChar w:fldCharType="begin"/>
            </w:r>
            <w:r w:rsidR="0086483A">
              <w:rPr>
                <w:noProof/>
                <w:webHidden/>
              </w:rPr>
              <w:instrText xml:space="preserve"> PAGEREF _Toc454910564 \h </w:instrText>
            </w:r>
            <w:r w:rsidR="0086483A">
              <w:rPr>
                <w:noProof/>
                <w:webHidden/>
              </w:rPr>
            </w:r>
            <w:r w:rsidR="0086483A">
              <w:rPr>
                <w:noProof/>
                <w:webHidden/>
              </w:rPr>
              <w:fldChar w:fldCharType="separate"/>
            </w:r>
            <w:r>
              <w:rPr>
                <w:noProof/>
                <w:webHidden/>
              </w:rPr>
              <w:t>7</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5" w:history="1">
            <w:r w:rsidR="0086483A" w:rsidRPr="00D3496C">
              <w:rPr>
                <w:rStyle w:val="Hyperlink"/>
                <w:noProof/>
              </w:rPr>
              <w:t>2.6 Aggregation of in-year statistics</w:t>
            </w:r>
            <w:r w:rsidR="0086483A">
              <w:rPr>
                <w:noProof/>
                <w:webHidden/>
              </w:rPr>
              <w:tab/>
            </w:r>
            <w:r w:rsidR="0086483A">
              <w:rPr>
                <w:noProof/>
                <w:webHidden/>
              </w:rPr>
              <w:fldChar w:fldCharType="begin"/>
            </w:r>
            <w:r w:rsidR="0086483A">
              <w:rPr>
                <w:noProof/>
                <w:webHidden/>
              </w:rPr>
              <w:instrText xml:space="preserve"> PAGEREF _Toc454910565 \h </w:instrText>
            </w:r>
            <w:r w:rsidR="0086483A">
              <w:rPr>
                <w:noProof/>
                <w:webHidden/>
              </w:rPr>
            </w:r>
            <w:r w:rsidR="0086483A">
              <w:rPr>
                <w:noProof/>
                <w:webHidden/>
              </w:rPr>
              <w:fldChar w:fldCharType="separate"/>
            </w:r>
            <w:r>
              <w:rPr>
                <w:noProof/>
                <w:webHidden/>
              </w:rPr>
              <w:t>8</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6" w:history="1">
            <w:r w:rsidR="0086483A" w:rsidRPr="00D3496C">
              <w:rPr>
                <w:rStyle w:val="Hyperlink"/>
                <w:noProof/>
              </w:rPr>
              <w:t>2.7 Published underlying data</w:t>
            </w:r>
            <w:r w:rsidR="0086483A">
              <w:rPr>
                <w:noProof/>
                <w:webHidden/>
              </w:rPr>
              <w:tab/>
            </w:r>
            <w:r w:rsidR="0086483A">
              <w:rPr>
                <w:noProof/>
                <w:webHidden/>
              </w:rPr>
              <w:fldChar w:fldCharType="begin"/>
            </w:r>
            <w:r w:rsidR="0086483A">
              <w:rPr>
                <w:noProof/>
                <w:webHidden/>
              </w:rPr>
              <w:instrText xml:space="preserve"> PAGEREF _Toc454910566 \h </w:instrText>
            </w:r>
            <w:r w:rsidR="0086483A">
              <w:rPr>
                <w:noProof/>
                <w:webHidden/>
              </w:rPr>
            </w:r>
            <w:r w:rsidR="0086483A">
              <w:rPr>
                <w:noProof/>
                <w:webHidden/>
              </w:rPr>
              <w:fldChar w:fldCharType="separate"/>
            </w:r>
            <w:r>
              <w:rPr>
                <w:noProof/>
                <w:webHidden/>
              </w:rPr>
              <w:t>8</w:t>
            </w:r>
            <w:r w:rsidR="0086483A">
              <w:rPr>
                <w:noProof/>
                <w:webHidden/>
              </w:rPr>
              <w:fldChar w:fldCharType="end"/>
            </w:r>
          </w:hyperlink>
        </w:p>
        <w:p w:rsidR="0086483A" w:rsidRDefault="009B043A">
          <w:pPr>
            <w:pStyle w:val="TOC1"/>
            <w:tabs>
              <w:tab w:val="left" w:pos="480"/>
              <w:tab w:val="right" w:leader="dot" w:pos="9628"/>
            </w:tabs>
            <w:rPr>
              <w:rFonts w:asciiTheme="minorHAnsi" w:eastAsiaTheme="minorEastAsia" w:hAnsiTheme="minorHAnsi" w:cstheme="minorBidi"/>
              <w:noProof/>
              <w:sz w:val="22"/>
              <w:szCs w:val="22"/>
            </w:rPr>
          </w:pPr>
          <w:hyperlink w:anchor="_Toc454910567" w:history="1">
            <w:r w:rsidR="0086483A" w:rsidRPr="00D3496C">
              <w:rPr>
                <w:rStyle w:val="Hyperlink"/>
                <w:noProof/>
              </w:rPr>
              <w:t>3.</w:t>
            </w:r>
            <w:r w:rsidR="0086483A">
              <w:rPr>
                <w:rFonts w:asciiTheme="minorHAnsi" w:eastAsiaTheme="minorEastAsia" w:hAnsiTheme="minorHAnsi" w:cstheme="minorBidi"/>
                <w:noProof/>
                <w:sz w:val="22"/>
                <w:szCs w:val="22"/>
              </w:rPr>
              <w:tab/>
            </w:r>
            <w:r w:rsidR="0086483A" w:rsidRPr="00D3496C">
              <w:rPr>
                <w:rStyle w:val="Hyperlink"/>
                <w:noProof/>
              </w:rPr>
              <w:t>Changes open for consultation</w:t>
            </w:r>
            <w:r w:rsidR="0086483A">
              <w:rPr>
                <w:noProof/>
                <w:webHidden/>
              </w:rPr>
              <w:tab/>
            </w:r>
            <w:r w:rsidR="0086483A">
              <w:rPr>
                <w:noProof/>
                <w:webHidden/>
              </w:rPr>
              <w:fldChar w:fldCharType="begin"/>
            </w:r>
            <w:r w:rsidR="0086483A">
              <w:rPr>
                <w:noProof/>
                <w:webHidden/>
              </w:rPr>
              <w:instrText xml:space="preserve"> PAGEREF _Toc454910567 \h </w:instrText>
            </w:r>
            <w:r w:rsidR="0086483A">
              <w:rPr>
                <w:noProof/>
                <w:webHidden/>
              </w:rPr>
            </w:r>
            <w:r w:rsidR="0086483A">
              <w:rPr>
                <w:noProof/>
                <w:webHidden/>
              </w:rPr>
              <w:fldChar w:fldCharType="separate"/>
            </w:r>
            <w:r>
              <w:rPr>
                <w:noProof/>
                <w:webHidden/>
              </w:rPr>
              <w:t>8</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8" w:history="1">
            <w:r w:rsidR="0086483A" w:rsidRPr="00D3496C">
              <w:rPr>
                <w:rStyle w:val="Hyperlink"/>
                <w:noProof/>
              </w:rPr>
              <w:t>3.1 ‘All further education and skills providers’ aggregation</w:t>
            </w:r>
            <w:r w:rsidR="0086483A">
              <w:rPr>
                <w:noProof/>
                <w:webHidden/>
              </w:rPr>
              <w:tab/>
            </w:r>
            <w:r w:rsidR="0086483A">
              <w:rPr>
                <w:noProof/>
                <w:webHidden/>
              </w:rPr>
              <w:fldChar w:fldCharType="begin"/>
            </w:r>
            <w:r w:rsidR="0086483A">
              <w:rPr>
                <w:noProof/>
                <w:webHidden/>
              </w:rPr>
              <w:instrText xml:space="preserve"> PAGEREF _Toc454910568 \h </w:instrText>
            </w:r>
            <w:r w:rsidR="0086483A">
              <w:rPr>
                <w:noProof/>
                <w:webHidden/>
              </w:rPr>
            </w:r>
            <w:r w:rsidR="0086483A">
              <w:rPr>
                <w:noProof/>
                <w:webHidden/>
              </w:rPr>
              <w:fldChar w:fldCharType="separate"/>
            </w:r>
            <w:r>
              <w:rPr>
                <w:noProof/>
                <w:webHidden/>
              </w:rPr>
              <w:t>8</w:t>
            </w:r>
            <w:r w:rsidR="0086483A">
              <w:rPr>
                <w:noProof/>
                <w:webHidden/>
              </w:rPr>
              <w:fldChar w:fldCharType="end"/>
            </w:r>
          </w:hyperlink>
        </w:p>
        <w:p w:rsidR="0086483A" w:rsidRDefault="009B043A">
          <w:pPr>
            <w:pStyle w:val="TOC3"/>
            <w:tabs>
              <w:tab w:val="right" w:leader="dot" w:pos="9628"/>
            </w:tabs>
            <w:rPr>
              <w:rFonts w:asciiTheme="minorHAnsi" w:eastAsiaTheme="minorEastAsia" w:hAnsiTheme="minorHAnsi" w:cstheme="minorBidi"/>
              <w:noProof/>
              <w:sz w:val="22"/>
              <w:szCs w:val="22"/>
            </w:rPr>
          </w:pPr>
          <w:hyperlink w:anchor="_Toc454910569" w:history="1">
            <w:r w:rsidR="0086483A" w:rsidRPr="00D3496C">
              <w:rPr>
                <w:rStyle w:val="Hyperlink"/>
                <w:noProof/>
              </w:rPr>
              <w:t>3.2 Methodology change for the most recent outcomes</w:t>
            </w:r>
            <w:r w:rsidR="0086483A">
              <w:rPr>
                <w:noProof/>
                <w:webHidden/>
              </w:rPr>
              <w:tab/>
            </w:r>
            <w:r w:rsidR="0086483A">
              <w:rPr>
                <w:noProof/>
                <w:webHidden/>
              </w:rPr>
              <w:fldChar w:fldCharType="begin"/>
            </w:r>
            <w:r w:rsidR="0086483A">
              <w:rPr>
                <w:noProof/>
                <w:webHidden/>
              </w:rPr>
              <w:instrText xml:space="preserve"> PAGEREF _Toc454910569 \h </w:instrText>
            </w:r>
            <w:r w:rsidR="0086483A">
              <w:rPr>
                <w:noProof/>
                <w:webHidden/>
              </w:rPr>
            </w:r>
            <w:r w:rsidR="0086483A">
              <w:rPr>
                <w:noProof/>
                <w:webHidden/>
              </w:rPr>
              <w:fldChar w:fldCharType="separate"/>
            </w:r>
            <w:r>
              <w:rPr>
                <w:noProof/>
                <w:webHidden/>
              </w:rPr>
              <w:t>9</w:t>
            </w:r>
            <w:r w:rsidR="0086483A">
              <w:rPr>
                <w:noProof/>
                <w:webHidden/>
              </w:rPr>
              <w:fldChar w:fldCharType="end"/>
            </w:r>
          </w:hyperlink>
        </w:p>
        <w:p w:rsidR="0086483A" w:rsidRDefault="009B043A">
          <w:pPr>
            <w:pStyle w:val="TOC1"/>
            <w:tabs>
              <w:tab w:val="right" w:leader="dot" w:pos="9628"/>
            </w:tabs>
            <w:rPr>
              <w:rFonts w:asciiTheme="minorHAnsi" w:eastAsiaTheme="minorEastAsia" w:hAnsiTheme="minorHAnsi" w:cstheme="minorBidi"/>
              <w:noProof/>
              <w:sz w:val="22"/>
              <w:szCs w:val="22"/>
            </w:rPr>
          </w:pPr>
          <w:hyperlink w:anchor="_Toc454910570" w:history="1">
            <w:r w:rsidR="0086483A" w:rsidRPr="00D3496C">
              <w:rPr>
                <w:rStyle w:val="Hyperlink"/>
                <w:noProof/>
              </w:rPr>
              <w:t>Annex A: questionnaire for the further education and skills inspections and outcomes Official Statistics consultation</w:t>
            </w:r>
            <w:r w:rsidR="0086483A">
              <w:rPr>
                <w:noProof/>
                <w:webHidden/>
              </w:rPr>
              <w:tab/>
            </w:r>
            <w:r w:rsidR="0086483A">
              <w:rPr>
                <w:noProof/>
                <w:webHidden/>
              </w:rPr>
              <w:fldChar w:fldCharType="begin"/>
            </w:r>
            <w:r w:rsidR="0086483A">
              <w:rPr>
                <w:noProof/>
                <w:webHidden/>
              </w:rPr>
              <w:instrText xml:space="preserve"> PAGEREF _Toc454910570 \h </w:instrText>
            </w:r>
            <w:r w:rsidR="0086483A">
              <w:rPr>
                <w:noProof/>
                <w:webHidden/>
              </w:rPr>
            </w:r>
            <w:r w:rsidR="0086483A">
              <w:rPr>
                <w:noProof/>
                <w:webHidden/>
              </w:rPr>
              <w:fldChar w:fldCharType="separate"/>
            </w:r>
            <w:r>
              <w:rPr>
                <w:noProof/>
                <w:webHidden/>
              </w:rPr>
              <w:t>11</w:t>
            </w:r>
            <w:r w:rsidR="0086483A">
              <w:rPr>
                <w:noProof/>
                <w:webHidden/>
              </w:rPr>
              <w:fldChar w:fldCharType="end"/>
            </w:r>
          </w:hyperlink>
        </w:p>
        <w:p w:rsidR="00862848" w:rsidRDefault="00862848" w:rsidP="001C412E">
          <w:pPr>
            <w:jc w:val="left"/>
          </w:pPr>
          <w:r w:rsidRPr="00862848">
            <w:rPr>
              <w:rFonts w:cs="Tahoma"/>
              <w:b/>
              <w:bCs/>
              <w:noProof/>
            </w:rPr>
            <w:fldChar w:fldCharType="end"/>
          </w:r>
        </w:p>
      </w:sdtContent>
    </w:sdt>
    <w:p w:rsidR="00A06855" w:rsidRDefault="00A06855" w:rsidP="00A06855"/>
    <w:p w:rsidR="00A06855" w:rsidRDefault="0015780D">
      <w:pPr>
        <w:jc w:val="left"/>
        <w:rPr>
          <w:b/>
          <w:kern w:val="28"/>
          <w:sz w:val="32"/>
        </w:rPr>
      </w:pPr>
      <w:r w:rsidRPr="005E574D">
        <w:t>If you would like a version of this document in a different format, such as large print or Braille, please telephone 0300 123 1231 or email</w:t>
      </w:r>
      <w:r>
        <w:t xml:space="preserve"> </w:t>
      </w:r>
      <w:hyperlink r:id="rId9" w:history="1">
        <w:r w:rsidRPr="00001771">
          <w:rPr>
            <w:rStyle w:val="Hyperlink"/>
          </w:rPr>
          <w:t>enquiries@ofsted.gov.uk</w:t>
        </w:r>
      </w:hyperlink>
      <w:r w:rsidR="00A06855">
        <w:rPr>
          <w:caps/>
        </w:rPr>
        <w:br w:type="page"/>
      </w:r>
    </w:p>
    <w:p w:rsidR="00862848" w:rsidRPr="004E4656" w:rsidRDefault="00E44662" w:rsidP="001C412E">
      <w:pPr>
        <w:pStyle w:val="Heading1"/>
        <w:numPr>
          <w:ilvl w:val="0"/>
          <w:numId w:val="4"/>
        </w:numPr>
        <w:jc w:val="left"/>
        <w:rPr>
          <w:caps w:val="0"/>
        </w:rPr>
      </w:pPr>
      <w:bookmarkStart w:id="1" w:name="_Toc454910555"/>
      <w:r w:rsidRPr="004E4656">
        <w:rPr>
          <w:caps w:val="0"/>
        </w:rPr>
        <w:lastRenderedPageBreak/>
        <w:t>Introduction</w:t>
      </w:r>
      <w:bookmarkEnd w:id="1"/>
    </w:p>
    <w:p w:rsidR="001C412E" w:rsidRPr="004E4656" w:rsidRDefault="00E44662" w:rsidP="001C412E">
      <w:pPr>
        <w:jc w:val="left"/>
      </w:pPr>
      <w:r w:rsidRPr="004E4656">
        <w:t xml:space="preserve">There have been several changes to </w:t>
      </w:r>
      <w:r w:rsidR="0015780D">
        <w:t>the ‘f</w:t>
      </w:r>
      <w:r w:rsidRPr="004E4656">
        <w:t>urther education and skills inspection</w:t>
      </w:r>
      <w:r w:rsidR="002F5695" w:rsidRPr="004E4656">
        <w:t>s and</w:t>
      </w:r>
      <w:r w:rsidRPr="004E4656">
        <w:t xml:space="preserve"> outcomes</w:t>
      </w:r>
      <w:r w:rsidR="002F5695" w:rsidRPr="004E4656">
        <w:t>’</w:t>
      </w:r>
      <w:r w:rsidRPr="004E4656">
        <w:t xml:space="preserve"> </w:t>
      </w:r>
      <w:r w:rsidR="002F5695" w:rsidRPr="004E4656">
        <w:t>Official Statistics</w:t>
      </w:r>
      <w:r w:rsidRPr="004E4656">
        <w:t xml:space="preserve"> since they were last published in December 2015. </w:t>
      </w:r>
    </w:p>
    <w:p w:rsidR="001C412E" w:rsidRPr="004E4656" w:rsidRDefault="001C412E" w:rsidP="001C412E">
      <w:pPr>
        <w:jc w:val="left"/>
      </w:pPr>
    </w:p>
    <w:p w:rsidR="001C412E" w:rsidRPr="004E4656" w:rsidRDefault="001C412E" w:rsidP="001C412E">
      <w:pPr>
        <w:jc w:val="left"/>
      </w:pPr>
      <w:r w:rsidRPr="004E4656">
        <w:t>There are two types of changes described in this document, those that are for information and those that are open for consultation.</w:t>
      </w:r>
    </w:p>
    <w:p w:rsidR="001C412E" w:rsidRPr="004E4656" w:rsidRDefault="001C412E" w:rsidP="001C412E">
      <w:pPr>
        <w:jc w:val="left"/>
      </w:pPr>
    </w:p>
    <w:p w:rsidR="00B84682" w:rsidRDefault="001C412E" w:rsidP="001C412E">
      <w:pPr>
        <w:jc w:val="left"/>
      </w:pPr>
      <w:r w:rsidRPr="004E4656">
        <w:t>The ‘changes for information’</w:t>
      </w:r>
      <w:r w:rsidR="002F5695" w:rsidRPr="004E4656">
        <w:t xml:space="preserve"> section describes essential changes </w:t>
      </w:r>
      <w:r w:rsidR="004E4656" w:rsidRPr="004E4656">
        <w:t xml:space="preserve">that have happened </w:t>
      </w:r>
      <w:r w:rsidR="002F5695" w:rsidRPr="004E4656">
        <w:t>to accommodate the new</w:t>
      </w:r>
      <w:r w:rsidR="004145AF">
        <w:t xml:space="preserve"> common inspection framework</w:t>
      </w:r>
      <w:r w:rsidR="000F52A8">
        <w:t>, implemented by Ofsted on</w:t>
      </w:r>
      <w:r w:rsidR="002F5695" w:rsidRPr="004E4656">
        <w:t xml:space="preserve"> 1 September 2015</w:t>
      </w:r>
      <w:r w:rsidR="000F52A8">
        <w:t>,</w:t>
      </w:r>
      <w:r w:rsidR="002F5695" w:rsidRPr="004E4656">
        <w:t xml:space="preserve"> and</w:t>
      </w:r>
      <w:r w:rsidR="004E4656" w:rsidRPr="004E4656">
        <w:t xml:space="preserve"> changes resulting from a database migration.</w:t>
      </w:r>
      <w:r w:rsidR="002F5695" w:rsidRPr="004E4656">
        <w:t xml:space="preserve"> </w:t>
      </w:r>
    </w:p>
    <w:p w:rsidR="00015CCE" w:rsidRDefault="00015CCE" w:rsidP="001C412E">
      <w:pPr>
        <w:jc w:val="left"/>
      </w:pPr>
    </w:p>
    <w:p w:rsidR="00C675DD" w:rsidRDefault="00015CCE" w:rsidP="001C412E">
      <w:pPr>
        <w:jc w:val="left"/>
      </w:pPr>
      <w:r>
        <w:t>The ‘changes open for consultation’ section describes a possible change in the methodology for aggregating the ‘all further education and skills</w:t>
      </w:r>
      <w:r w:rsidR="005B6D33">
        <w:t xml:space="preserve"> providers</w:t>
      </w:r>
      <w:r>
        <w:t xml:space="preserve">’ figure, along with excluding </w:t>
      </w:r>
      <w:r w:rsidR="005B6D33">
        <w:t>providers that</w:t>
      </w:r>
      <w:r w:rsidR="00C675DD">
        <w:t xml:space="preserve"> have ceased to be funded or closed from the statistics as at 31 August.</w:t>
      </w:r>
    </w:p>
    <w:p w:rsidR="00C675DD" w:rsidRDefault="00C675DD" w:rsidP="001C412E">
      <w:pPr>
        <w:jc w:val="left"/>
      </w:pPr>
    </w:p>
    <w:p w:rsidR="00E87453" w:rsidRDefault="000F52A8" w:rsidP="00E87453">
      <w:pPr>
        <w:jc w:val="left"/>
      </w:pPr>
      <w:r>
        <w:t>All of t</w:t>
      </w:r>
      <w:r w:rsidR="00C675DD">
        <w:t>he above changes</w:t>
      </w:r>
      <w:r>
        <w:t xml:space="preserve"> </w:t>
      </w:r>
      <w:r w:rsidR="000D662F">
        <w:t>have been applied to t</w:t>
      </w:r>
      <w:r w:rsidR="00C675DD">
        <w:t xml:space="preserve">he key findings and ‘data, tables and charts’ file </w:t>
      </w:r>
      <w:r w:rsidR="000D662F">
        <w:t>for the Official Statistics published on 30 June 2016.</w:t>
      </w:r>
      <w:r w:rsidR="00E87453">
        <w:t xml:space="preserve"> Data within these statistics have been labelled as ‘final’, as the outcomes from all inspections conducted between 1 September 2015 and 29 February 2016 have been included. The way that the data has been aggregated is provisional and open for consultation. </w:t>
      </w:r>
    </w:p>
    <w:p w:rsidR="00E87453" w:rsidRDefault="00E87453" w:rsidP="001C412E">
      <w:pPr>
        <w:jc w:val="left"/>
      </w:pPr>
    </w:p>
    <w:p w:rsidR="000D662F" w:rsidRPr="004E4656" w:rsidRDefault="000D662F" w:rsidP="001C412E">
      <w:pPr>
        <w:jc w:val="left"/>
      </w:pPr>
      <w:r>
        <w:t>We are inviting users to explore the changes that have been made and to feedback on the changes that are open for consultation. Depending on the results of this consultation, the aggregations could be revised and the statistics republished.</w:t>
      </w:r>
    </w:p>
    <w:p w:rsidR="00E44662" w:rsidRPr="00A06855" w:rsidRDefault="00E44662" w:rsidP="001C412E">
      <w:pPr>
        <w:jc w:val="left"/>
        <w:rPr>
          <w:highlight w:val="yellow"/>
        </w:rPr>
      </w:pPr>
    </w:p>
    <w:p w:rsidR="007B7D42" w:rsidRPr="00A06855" w:rsidRDefault="008807BD" w:rsidP="00A06855">
      <w:pPr>
        <w:pStyle w:val="Heading3"/>
        <w:jc w:val="left"/>
        <w:rPr>
          <w:caps w:val="0"/>
        </w:rPr>
      </w:pPr>
      <w:bookmarkStart w:id="2" w:name="_Toc454910556"/>
      <w:r w:rsidRPr="00A06855">
        <w:rPr>
          <w:caps w:val="0"/>
        </w:rPr>
        <w:t>1.</w:t>
      </w:r>
      <w:r w:rsidR="00A06855">
        <w:rPr>
          <w:caps w:val="0"/>
        </w:rPr>
        <w:t>1</w:t>
      </w:r>
      <w:r w:rsidRPr="00A06855">
        <w:rPr>
          <w:caps w:val="0"/>
        </w:rPr>
        <w:t xml:space="preserve"> Consultation</w:t>
      </w:r>
      <w:r w:rsidR="0098403D" w:rsidRPr="00A06855">
        <w:rPr>
          <w:caps w:val="0"/>
        </w:rPr>
        <w:t xml:space="preserve"> timeline</w:t>
      </w:r>
      <w:bookmarkEnd w:id="2"/>
    </w:p>
    <w:p w:rsidR="0098403D" w:rsidRPr="00B36370" w:rsidRDefault="0098403D" w:rsidP="001C412E">
      <w:pPr>
        <w:jc w:val="left"/>
      </w:pPr>
      <w:r w:rsidRPr="00B36370">
        <w:t xml:space="preserve">The consultation will remain open for a period of four weeks, closing at 17:00 on </w:t>
      </w:r>
      <w:r w:rsidR="00B36370" w:rsidRPr="00B36370">
        <w:t xml:space="preserve">Friday </w:t>
      </w:r>
      <w:r w:rsidRPr="00B36370">
        <w:t xml:space="preserve">29 July 2016.    </w:t>
      </w:r>
    </w:p>
    <w:p w:rsidR="008807BD" w:rsidRPr="00A06855" w:rsidRDefault="008807BD" w:rsidP="008807BD">
      <w:pPr>
        <w:jc w:val="left"/>
        <w:rPr>
          <w:highlight w:val="yellow"/>
        </w:rPr>
      </w:pPr>
    </w:p>
    <w:p w:rsidR="008807BD" w:rsidRPr="00A06855" w:rsidRDefault="0098403D" w:rsidP="00A06855">
      <w:pPr>
        <w:pStyle w:val="Heading3"/>
        <w:jc w:val="left"/>
        <w:rPr>
          <w:caps w:val="0"/>
        </w:rPr>
      </w:pPr>
      <w:bookmarkStart w:id="3" w:name="_Toc454910557"/>
      <w:r w:rsidRPr="00A06855">
        <w:rPr>
          <w:caps w:val="0"/>
        </w:rPr>
        <w:t>1.</w:t>
      </w:r>
      <w:r w:rsidR="00A06855">
        <w:rPr>
          <w:caps w:val="0"/>
        </w:rPr>
        <w:t>2</w:t>
      </w:r>
      <w:r w:rsidRPr="00A06855">
        <w:rPr>
          <w:caps w:val="0"/>
        </w:rPr>
        <w:t xml:space="preserve"> Consultation response</w:t>
      </w:r>
      <w:bookmarkEnd w:id="3"/>
    </w:p>
    <w:p w:rsidR="00A338BA" w:rsidRDefault="00A338BA" w:rsidP="00A338BA">
      <w:pPr>
        <w:jc w:val="left"/>
      </w:pPr>
      <w:r w:rsidRPr="00A338BA">
        <w:t xml:space="preserve">We welcome your responses to this consultation and the information you provide us with will inform our future releases. </w:t>
      </w:r>
    </w:p>
    <w:p w:rsidR="00A338BA" w:rsidRDefault="00A338BA" w:rsidP="001C412E">
      <w:pPr>
        <w:jc w:val="left"/>
      </w:pPr>
    </w:p>
    <w:p w:rsidR="00D923FF" w:rsidRPr="00A338BA" w:rsidRDefault="00A338BA" w:rsidP="001C412E">
      <w:pPr>
        <w:jc w:val="left"/>
      </w:pPr>
      <w:r w:rsidRPr="00A338BA">
        <w:t>If you would like to respond</w:t>
      </w:r>
      <w:r w:rsidR="00520C32">
        <w:t xml:space="preserve"> </w:t>
      </w:r>
      <w:r w:rsidRPr="00A338BA">
        <w:t xml:space="preserve">please complete </w:t>
      </w:r>
      <w:r w:rsidR="00520C32">
        <w:t xml:space="preserve">and send back </w:t>
      </w:r>
      <w:r w:rsidRPr="00A338BA">
        <w:t xml:space="preserve">the </w:t>
      </w:r>
      <w:r w:rsidR="00520C32">
        <w:t>questionnaire</w:t>
      </w:r>
      <w:r w:rsidRPr="00A338BA">
        <w:t xml:space="preserve"> in Annex A of this document.</w:t>
      </w:r>
    </w:p>
    <w:p w:rsidR="00A338BA" w:rsidRDefault="00A338BA" w:rsidP="001C412E">
      <w:pPr>
        <w:jc w:val="left"/>
      </w:pPr>
    </w:p>
    <w:p w:rsidR="00A338BA" w:rsidRPr="00A06855" w:rsidRDefault="00A338BA" w:rsidP="001C412E">
      <w:pPr>
        <w:jc w:val="left"/>
        <w:rPr>
          <w:highlight w:val="yellow"/>
        </w:rPr>
      </w:pPr>
      <w:r w:rsidRPr="00A338BA">
        <w:t>A response to the consultation will be published in August 2016.</w:t>
      </w:r>
    </w:p>
    <w:p w:rsidR="00E75617" w:rsidRPr="005B6D33" w:rsidRDefault="00D23683" w:rsidP="00D23683">
      <w:pPr>
        <w:pStyle w:val="Heading3"/>
        <w:jc w:val="left"/>
        <w:rPr>
          <w:caps w:val="0"/>
        </w:rPr>
      </w:pPr>
      <w:bookmarkStart w:id="4" w:name="_Toc454910558"/>
      <w:r>
        <w:rPr>
          <w:caps w:val="0"/>
        </w:rPr>
        <w:lastRenderedPageBreak/>
        <w:t xml:space="preserve">1.3 </w:t>
      </w:r>
      <w:r w:rsidR="00E75617" w:rsidRPr="005B6D33">
        <w:rPr>
          <w:caps w:val="0"/>
        </w:rPr>
        <w:t>Common terms of reference</w:t>
      </w:r>
      <w:bookmarkEnd w:id="4"/>
    </w:p>
    <w:p w:rsidR="00B36370" w:rsidRPr="005B6D33" w:rsidRDefault="00B36370" w:rsidP="000639E8">
      <w:pPr>
        <w:spacing w:after="120"/>
        <w:jc w:val="left"/>
      </w:pPr>
      <w:r w:rsidRPr="005B6D33">
        <w:t>Throughout this document there are two key terms used to describe the different periods or points in time</w:t>
      </w:r>
      <w:r w:rsidR="000F52A8">
        <w:t xml:space="preserve"> that</w:t>
      </w:r>
      <w:r w:rsidRPr="005B6D33">
        <w:t xml:space="preserve"> the data </w:t>
      </w:r>
      <w:r w:rsidR="005B6D33">
        <w:t>refer</w:t>
      </w:r>
      <w:r w:rsidR="000F52A8">
        <w:t>s</w:t>
      </w:r>
      <w:r w:rsidRPr="005B6D33">
        <w:t xml:space="preserve"> to:</w:t>
      </w:r>
    </w:p>
    <w:p w:rsidR="00B36370" w:rsidRPr="002F35EB" w:rsidRDefault="00B36370" w:rsidP="000639E8">
      <w:pPr>
        <w:spacing w:after="120"/>
        <w:jc w:val="left"/>
        <w:rPr>
          <w:u w:val="single"/>
        </w:rPr>
      </w:pPr>
      <w:r w:rsidRPr="002F35EB">
        <w:rPr>
          <w:u w:val="single"/>
        </w:rPr>
        <w:t>In-year reporting</w:t>
      </w:r>
    </w:p>
    <w:p w:rsidR="00B36370" w:rsidRPr="002F35EB" w:rsidRDefault="000639E8" w:rsidP="000639E8">
      <w:pPr>
        <w:spacing w:before="120"/>
        <w:jc w:val="left"/>
      </w:pPr>
      <w:r w:rsidRPr="002F35EB">
        <w:t xml:space="preserve">This refers to inspections that </w:t>
      </w:r>
      <w:r w:rsidR="005B6D33" w:rsidRPr="002F35EB">
        <w:t xml:space="preserve">have been </w:t>
      </w:r>
      <w:r w:rsidRPr="002F35EB">
        <w:t xml:space="preserve">conducted </w:t>
      </w:r>
      <w:r w:rsidR="005B6D33" w:rsidRPr="002F35EB">
        <w:t>within</w:t>
      </w:r>
      <w:r w:rsidRPr="002F35EB">
        <w:t xml:space="preserve"> a reporting year, </w:t>
      </w:r>
      <w:r w:rsidR="00B36370" w:rsidRPr="002F35EB">
        <w:t>between 1 September and 31 August.</w:t>
      </w:r>
      <w:r w:rsidRPr="002F35EB">
        <w:t xml:space="preserve"> </w:t>
      </w:r>
      <w:r w:rsidR="002F35EB">
        <w:t xml:space="preserve">The tables and charts count the number of inspections that have been conducted during the reporting year. If a provider has been inspected twice, they will appear twice in the underlying data. </w:t>
      </w:r>
    </w:p>
    <w:p w:rsidR="000639E8" w:rsidRPr="000639E8" w:rsidRDefault="000639E8" w:rsidP="000639E8">
      <w:pPr>
        <w:jc w:val="left"/>
        <w:rPr>
          <w:highlight w:val="yellow"/>
        </w:rPr>
      </w:pPr>
    </w:p>
    <w:p w:rsidR="00B36370" w:rsidRPr="002F35EB" w:rsidRDefault="00B36370" w:rsidP="000639E8">
      <w:pPr>
        <w:spacing w:after="120"/>
        <w:jc w:val="left"/>
        <w:rPr>
          <w:u w:val="single"/>
        </w:rPr>
      </w:pPr>
      <w:r w:rsidRPr="002F35EB">
        <w:rPr>
          <w:u w:val="single"/>
        </w:rPr>
        <w:t>Most recent inspection outcomes</w:t>
      </w:r>
    </w:p>
    <w:p w:rsidR="002F35EB" w:rsidRPr="002F35EB" w:rsidRDefault="002F35EB" w:rsidP="000639E8">
      <w:pPr>
        <w:jc w:val="left"/>
      </w:pPr>
      <w:r w:rsidRPr="002F35EB">
        <w:t>Th</w:t>
      </w:r>
      <w:r>
        <w:t>is refers to the most recent (or latest) full inspection outcome</w:t>
      </w:r>
      <w:r w:rsidR="00C97C54">
        <w:t>s</w:t>
      </w:r>
      <w:r>
        <w:t xml:space="preserve"> for all open and funded providers</w:t>
      </w:r>
      <w:r w:rsidR="00C97C54">
        <w:t xml:space="preserve"> at one point in time</w:t>
      </w:r>
      <w:r w:rsidR="00DF64EC">
        <w:t>, regardless of when the inspection took place</w:t>
      </w:r>
      <w:r>
        <w:t>.</w:t>
      </w:r>
      <w:r w:rsidR="00DF64EC">
        <w:t xml:space="preserve"> The tables and charts count the number of providers that have been inspected. Each provider can only appear once in the underlying data.</w:t>
      </w:r>
      <w:r w:rsidR="00C97C54">
        <w:t xml:space="preserve"> </w:t>
      </w:r>
      <w:r w:rsidR="000F52A8">
        <w:t>If a provider is open and funded but has not yet been inspected then they do not appear in this measure</w:t>
      </w:r>
      <w:r w:rsidR="0045363E">
        <w:t>, but are included within the underlying data</w:t>
      </w:r>
      <w:r w:rsidR="000F52A8">
        <w:t>. Statistics about the most recent inspection outcomes for all providers open and funded on</w:t>
      </w:r>
      <w:r w:rsidR="00C97C54">
        <w:t xml:space="preserve"> 31 August </w:t>
      </w:r>
      <w:r w:rsidR="000F52A8">
        <w:t>are published each year</w:t>
      </w:r>
      <w:r w:rsidR="00C97C54">
        <w:t xml:space="preserve">, with a mid-year picture </w:t>
      </w:r>
      <w:r w:rsidR="000F52A8">
        <w:t>also published part way through the year</w:t>
      </w:r>
      <w:r w:rsidR="00C97C54">
        <w:t xml:space="preserve">. </w:t>
      </w:r>
      <w:r w:rsidR="00DF64EC">
        <w:t xml:space="preserve"> </w:t>
      </w:r>
      <w:r>
        <w:t xml:space="preserve">  </w:t>
      </w:r>
    </w:p>
    <w:p w:rsidR="002F35EB" w:rsidRPr="002F35EB" w:rsidRDefault="002F35EB" w:rsidP="000639E8">
      <w:pPr>
        <w:jc w:val="left"/>
      </w:pPr>
    </w:p>
    <w:p w:rsidR="000639E8" w:rsidRDefault="000639E8" w:rsidP="000639E8">
      <w:pPr>
        <w:jc w:val="left"/>
      </w:pPr>
    </w:p>
    <w:p w:rsidR="00FC13A3" w:rsidRDefault="00FC13A3" w:rsidP="001C412E">
      <w:pPr>
        <w:jc w:val="left"/>
      </w:pPr>
    </w:p>
    <w:p w:rsidR="00FC13A3" w:rsidRPr="001C412E" w:rsidRDefault="00FC13A3" w:rsidP="001C412E">
      <w:pPr>
        <w:pStyle w:val="Heading1"/>
        <w:numPr>
          <w:ilvl w:val="0"/>
          <w:numId w:val="4"/>
        </w:numPr>
        <w:jc w:val="left"/>
        <w:rPr>
          <w:caps w:val="0"/>
        </w:rPr>
      </w:pPr>
      <w:bookmarkStart w:id="5" w:name="_Toc454910559"/>
      <w:r w:rsidRPr="001C412E">
        <w:rPr>
          <w:caps w:val="0"/>
        </w:rPr>
        <w:t>Changes for information</w:t>
      </w:r>
      <w:bookmarkEnd w:id="5"/>
    </w:p>
    <w:p w:rsidR="006C595C" w:rsidRDefault="006C595C" w:rsidP="006C595C">
      <w:pPr>
        <w:jc w:val="left"/>
      </w:pPr>
      <w:r>
        <w:t>The introduction of the new</w:t>
      </w:r>
      <w:r w:rsidR="004145AF">
        <w:t xml:space="preserve"> common inspection framework</w:t>
      </w:r>
      <w:r>
        <w:t xml:space="preserve"> and the migration to a new database has </w:t>
      </w:r>
      <w:r w:rsidR="000F52A8">
        <w:t>led to</w:t>
      </w:r>
      <w:r>
        <w:t xml:space="preserve"> </w:t>
      </w:r>
      <w:r w:rsidR="00DC5941">
        <w:t xml:space="preserve">some essential changes </w:t>
      </w:r>
      <w:r>
        <w:t>to the Official Statistics</w:t>
      </w:r>
      <w:r w:rsidR="00DC5941">
        <w:t>.</w:t>
      </w:r>
      <w:r w:rsidR="00CF6FBF">
        <w:t xml:space="preserve"> </w:t>
      </w:r>
      <w:r>
        <w:t xml:space="preserve">These changes </w:t>
      </w:r>
      <w:r w:rsidR="000F52A8">
        <w:t xml:space="preserve">are </w:t>
      </w:r>
      <w:r>
        <w:t>described within this</w:t>
      </w:r>
      <w:r w:rsidR="000F52A8">
        <w:t xml:space="preserve"> section of the</w:t>
      </w:r>
      <w:r>
        <w:t xml:space="preserve"> document</w:t>
      </w:r>
      <w:r w:rsidR="000F52A8">
        <w:t>. As well as helping users understand the reasons and impact of changes made, they will also</w:t>
      </w:r>
      <w:r w:rsidRPr="00DC5941">
        <w:t xml:space="preserve"> help users understand the context behind the changes open for consultation.</w:t>
      </w:r>
      <w:r w:rsidR="002F5695">
        <w:t xml:space="preserve"> </w:t>
      </w:r>
    </w:p>
    <w:p w:rsidR="006C595C" w:rsidRDefault="006C595C" w:rsidP="001C412E">
      <w:pPr>
        <w:jc w:val="left"/>
      </w:pPr>
    </w:p>
    <w:p w:rsidR="00FC13A3" w:rsidRPr="004145AF" w:rsidRDefault="001C412E" w:rsidP="001C412E">
      <w:pPr>
        <w:pStyle w:val="Heading3"/>
        <w:jc w:val="left"/>
        <w:rPr>
          <w:caps w:val="0"/>
        </w:rPr>
      </w:pPr>
      <w:bookmarkStart w:id="6" w:name="_Toc454910560"/>
      <w:r w:rsidRPr="004145AF">
        <w:rPr>
          <w:caps w:val="0"/>
        </w:rPr>
        <w:t xml:space="preserve">2.1 </w:t>
      </w:r>
      <w:r w:rsidR="00FC13A3" w:rsidRPr="004145AF">
        <w:rPr>
          <w:caps w:val="0"/>
        </w:rPr>
        <w:t>The new</w:t>
      </w:r>
      <w:r w:rsidR="004145AF">
        <w:rPr>
          <w:caps w:val="0"/>
        </w:rPr>
        <w:t xml:space="preserve"> common inspection framework</w:t>
      </w:r>
      <w:bookmarkEnd w:id="6"/>
    </w:p>
    <w:p w:rsidR="0048595E" w:rsidRDefault="00FC13A3" w:rsidP="00AE3575">
      <w:pPr>
        <w:spacing w:after="120"/>
        <w:jc w:val="left"/>
      </w:pPr>
      <w:r w:rsidRPr="004145AF">
        <w:t>The new</w:t>
      </w:r>
      <w:r w:rsidR="004145AF">
        <w:t xml:space="preserve"> common inspection framework</w:t>
      </w:r>
      <w:r w:rsidRPr="004145AF">
        <w:t xml:space="preserve"> was introduced on 1 September 2015</w:t>
      </w:r>
      <w:r w:rsidR="0048595E" w:rsidRPr="0048595E">
        <w:t xml:space="preserve"> </w:t>
      </w:r>
      <w:r w:rsidR="0048595E">
        <w:t>and wa</w:t>
      </w:r>
      <w:r w:rsidR="0048595E" w:rsidRPr="004145AF">
        <w:t>s designed to provide greater coherence across different providers that cater for similar age ranges</w:t>
      </w:r>
      <w:r w:rsidRPr="004145AF">
        <w:t xml:space="preserve">. </w:t>
      </w:r>
      <w:r w:rsidR="0048595E" w:rsidRPr="004145AF">
        <w:t>It sets out the principles that apply to inspection and the main judgements that inspectors make when conducting inspections of maintained schools, academies, non-association independent schools, further education and skills providers and registered early years settings.</w:t>
      </w:r>
      <w:r w:rsidR="00AE3575">
        <w:t xml:space="preserve"> The framework can be found here:</w:t>
      </w:r>
      <w:r w:rsidR="0048595E" w:rsidRPr="004145AF">
        <w:t xml:space="preserve"> </w:t>
      </w:r>
    </w:p>
    <w:p w:rsidR="00AE3575" w:rsidRDefault="009B043A" w:rsidP="00AE3575">
      <w:pPr>
        <w:jc w:val="left"/>
      </w:pPr>
      <w:hyperlink r:id="rId10" w:history="1">
        <w:r w:rsidR="00AE3575" w:rsidRPr="004145AF">
          <w:rPr>
            <w:rStyle w:val="Hyperlink"/>
          </w:rPr>
          <w:t>https://www.gov.uk/government/publications/common-inspection-framework-education-skills-and-early-years-from-september-2015</w:t>
        </w:r>
      </w:hyperlink>
    </w:p>
    <w:p w:rsidR="0048595E" w:rsidRDefault="0048595E" w:rsidP="001C412E">
      <w:pPr>
        <w:jc w:val="left"/>
      </w:pPr>
    </w:p>
    <w:p w:rsidR="00FC13A3" w:rsidRDefault="005F0A6C" w:rsidP="00AE3575">
      <w:pPr>
        <w:spacing w:after="120"/>
        <w:jc w:val="left"/>
      </w:pPr>
      <w:r w:rsidRPr="004145AF">
        <w:lastRenderedPageBreak/>
        <w:t>The framework is accompanied by an inspection handbook for each of the four remits. The handbooks set out how each of the inspection judg</w:t>
      </w:r>
      <w:r w:rsidR="00D1673B">
        <w:t xml:space="preserve">ements will be made and reflects </w:t>
      </w:r>
      <w:r w:rsidRPr="004145AF">
        <w:t xml:space="preserve">the needs and expectations of different phases and the differences between various age groups. The further education and skills inspection handbook </w:t>
      </w:r>
      <w:r w:rsidR="00D1673B">
        <w:t xml:space="preserve">can be found </w:t>
      </w:r>
      <w:r w:rsidR="00AE3575">
        <w:t>here:</w:t>
      </w:r>
    </w:p>
    <w:p w:rsidR="00AE3575" w:rsidRDefault="009B043A" w:rsidP="001C412E">
      <w:pPr>
        <w:jc w:val="left"/>
      </w:pPr>
      <w:hyperlink r:id="rId11" w:history="1">
        <w:r w:rsidR="00AE3575" w:rsidRPr="00AE3575">
          <w:rPr>
            <w:rStyle w:val="Hyperlink"/>
          </w:rPr>
          <w:t>https://www.gov.uk/government/publications/further-education-and-skills-inspection-handbook-from-september-2015</w:t>
        </w:r>
      </w:hyperlink>
    </w:p>
    <w:p w:rsidR="005F0A6C" w:rsidRDefault="005F0A6C" w:rsidP="001C412E">
      <w:pPr>
        <w:jc w:val="left"/>
      </w:pPr>
    </w:p>
    <w:p w:rsidR="009B043A" w:rsidRDefault="009B043A" w:rsidP="001C412E">
      <w:pPr>
        <w:jc w:val="left"/>
      </w:pPr>
      <w:r>
        <w:t>The framework includes a</w:t>
      </w:r>
      <w:r w:rsidRPr="009B043A">
        <w:t xml:space="preserve"> new</w:t>
      </w:r>
      <w:r>
        <w:t xml:space="preserve"> key judgment on</w:t>
      </w:r>
      <w:r w:rsidRPr="009B043A">
        <w:t xml:space="preserve"> ‘personal development, behaviour </w:t>
      </w:r>
      <w:r>
        <w:t xml:space="preserve">and </w:t>
      </w:r>
      <w:r w:rsidRPr="009B043A">
        <w:t xml:space="preserve">welfare’. As such, analysis of this judgement will only represent inspections since </w:t>
      </w:r>
      <w:r>
        <w:t xml:space="preserve">1 </w:t>
      </w:r>
      <w:r w:rsidRPr="009B043A">
        <w:t>September 2015 and will not provide a comprehensive view of the quality of provision nationally.</w:t>
      </w:r>
    </w:p>
    <w:p w:rsidR="009B043A" w:rsidRDefault="009B043A" w:rsidP="001C412E">
      <w:pPr>
        <w:jc w:val="left"/>
      </w:pPr>
    </w:p>
    <w:p w:rsidR="005B0755" w:rsidRDefault="00410D5D" w:rsidP="001C412E">
      <w:pPr>
        <w:jc w:val="left"/>
      </w:pPr>
      <w:r w:rsidRPr="00A06855">
        <w:t xml:space="preserve">Under the new framework previously good providers can receive a short inspection, rather than a full inspection. Short inspections can either confirm that the provider is still good overall or the lead inspector can choose to convert the inspection to a full inspection where: </w:t>
      </w:r>
    </w:p>
    <w:p w:rsidR="005B0755" w:rsidRDefault="005B0755" w:rsidP="008F07B5">
      <w:pPr>
        <w:pStyle w:val="ListParagraph"/>
        <w:numPr>
          <w:ilvl w:val="0"/>
          <w:numId w:val="10"/>
        </w:numPr>
        <w:ind w:left="357" w:hanging="357"/>
        <w:jc w:val="left"/>
      </w:pPr>
      <w:r>
        <w:t>T</w:t>
      </w:r>
      <w:r w:rsidR="00410D5D" w:rsidRPr="00A06855">
        <w:t>here is insufficient evidence to confirm that the provider remains good;</w:t>
      </w:r>
    </w:p>
    <w:p w:rsidR="005B0755" w:rsidRDefault="005B0755" w:rsidP="008F07B5">
      <w:pPr>
        <w:pStyle w:val="ListParagraph"/>
        <w:numPr>
          <w:ilvl w:val="0"/>
          <w:numId w:val="10"/>
        </w:numPr>
        <w:ind w:left="357" w:hanging="357"/>
        <w:jc w:val="left"/>
      </w:pPr>
      <w:r>
        <w:t>T</w:t>
      </w:r>
      <w:r w:rsidR="00410D5D" w:rsidRPr="00A06855">
        <w:t>here are concerns that there is evidence that the provider may no longer be good (which may include concerns about safeguarding);</w:t>
      </w:r>
    </w:p>
    <w:p w:rsidR="005B0755" w:rsidRPr="00614627" w:rsidRDefault="005B0755" w:rsidP="008F07B5">
      <w:pPr>
        <w:pStyle w:val="ListParagraph"/>
        <w:numPr>
          <w:ilvl w:val="0"/>
          <w:numId w:val="10"/>
        </w:numPr>
        <w:ind w:left="357" w:hanging="357"/>
        <w:jc w:val="left"/>
      </w:pPr>
      <w:r>
        <w:t>O</w:t>
      </w:r>
      <w:r w:rsidR="00410D5D" w:rsidRPr="00A06855">
        <w:t xml:space="preserve">r if there is sufficient evidence of improved performance to suggest that the provider </w:t>
      </w:r>
      <w:r w:rsidR="00410D5D" w:rsidRPr="00614627">
        <w:t>may be judged outstanding.</w:t>
      </w:r>
    </w:p>
    <w:p w:rsidR="00862848" w:rsidRPr="00A06855" w:rsidRDefault="005F0A6C" w:rsidP="00614627">
      <w:pPr>
        <w:spacing w:before="120"/>
        <w:jc w:val="left"/>
      </w:pPr>
      <w:r w:rsidRPr="00614627">
        <w:t xml:space="preserve">A decision to convert the </w:t>
      </w:r>
      <w:r w:rsidR="00614627" w:rsidRPr="00614627">
        <w:t xml:space="preserve">short </w:t>
      </w:r>
      <w:r w:rsidRPr="00614627">
        <w:t>inspection does not predetermine the outcome of the full inspection.</w:t>
      </w:r>
      <w:r w:rsidR="00614627" w:rsidRPr="00614627">
        <w:t xml:space="preserve"> </w:t>
      </w:r>
      <w:r w:rsidR="00410D5D" w:rsidRPr="00614627">
        <w:t>A</w:t>
      </w:r>
      <w:r w:rsidR="00614627" w:rsidRPr="00614627">
        <w:t>t the end of the full inspection a provider could remain good, improve to outstanding or decline to requires improvement or inadequate.</w:t>
      </w:r>
    </w:p>
    <w:p w:rsidR="00E44662" w:rsidRDefault="00E44662" w:rsidP="001C412E">
      <w:pPr>
        <w:jc w:val="left"/>
      </w:pPr>
    </w:p>
    <w:p w:rsidR="00650F3C" w:rsidRPr="00A06855" w:rsidRDefault="00650F3C" w:rsidP="00650F3C">
      <w:pPr>
        <w:spacing w:after="120"/>
        <w:jc w:val="left"/>
        <w:rPr>
          <w:u w:val="single"/>
        </w:rPr>
      </w:pPr>
      <w:r w:rsidRPr="00A06855">
        <w:rPr>
          <w:u w:val="single"/>
        </w:rPr>
        <w:t>In-year reporting</w:t>
      </w:r>
    </w:p>
    <w:p w:rsidR="008F07B5" w:rsidRDefault="008F07B5" w:rsidP="001C412E">
      <w:pPr>
        <w:jc w:val="left"/>
      </w:pPr>
      <w:r>
        <w:t xml:space="preserve">To help users identify short inspections within the </w:t>
      </w:r>
      <w:r w:rsidR="00410D5D" w:rsidRPr="00A06855">
        <w:t>‘data, tables and charts’</w:t>
      </w:r>
      <w:r w:rsidR="00D220FA" w:rsidRPr="00A06855">
        <w:t xml:space="preserve"> file</w:t>
      </w:r>
      <w:r>
        <w:t xml:space="preserve">, the following fields and labels have been added: </w:t>
      </w:r>
    </w:p>
    <w:p w:rsidR="00D220FA" w:rsidRPr="00A06855" w:rsidRDefault="00D220FA" w:rsidP="00D220FA">
      <w:pPr>
        <w:pStyle w:val="ListParagraph"/>
        <w:numPr>
          <w:ilvl w:val="0"/>
          <w:numId w:val="5"/>
        </w:numPr>
        <w:jc w:val="left"/>
      </w:pPr>
      <w:r w:rsidRPr="00A06855">
        <w:t>An ‘inspection type group’ has been added to the in-year data tabs to allow users to identify whether a provider received a full or short inspection;</w:t>
      </w:r>
    </w:p>
    <w:p w:rsidR="00D220FA" w:rsidRPr="006E120E" w:rsidRDefault="00D220FA" w:rsidP="006E120E">
      <w:pPr>
        <w:pStyle w:val="ListParagraph"/>
        <w:numPr>
          <w:ilvl w:val="0"/>
          <w:numId w:val="5"/>
        </w:numPr>
        <w:jc w:val="left"/>
      </w:pPr>
      <w:r>
        <w:t xml:space="preserve">Where a short inspection did not covert and the provider remained good, this </w:t>
      </w:r>
      <w:r w:rsidR="00C175D4">
        <w:t xml:space="preserve">will be recorded in the inspection type </w:t>
      </w:r>
      <w:r w:rsidR="00C175D4" w:rsidRPr="006E120E">
        <w:t>group as ‘</w:t>
      </w:r>
      <w:r w:rsidR="006E120E" w:rsidRPr="006E120E">
        <w:t>FES - Short inspection</w:t>
      </w:r>
      <w:r w:rsidR="00C175D4" w:rsidRPr="006E120E">
        <w:t xml:space="preserve">’ and the </w:t>
      </w:r>
      <w:r w:rsidRPr="006E120E">
        <w:t xml:space="preserve">overall effectiveness column </w:t>
      </w:r>
      <w:r w:rsidR="00C175D4" w:rsidRPr="006E120E">
        <w:t xml:space="preserve">will </w:t>
      </w:r>
      <w:r w:rsidR="003B5E40" w:rsidRPr="006E120E">
        <w:t xml:space="preserve">be populated with </w:t>
      </w:r>
      <w:r w:rsidRPr="006E120E">
        <w:t xml:space="preserve">grade 2. No other </w:t>
      </w:r>
      <w:r w:rsidR="00CF6FBF" w:rsidRPr="006E120E">
        <w:t xml:space="preserve">key </w:t>
      </w:r>
      <w:r w:rsidRPr="006E120E">
        <w:t xml:space="preserve">judgements </w:t>
      </w:r>
      <w:r w:rsidR="003D52DE" w:rsidRPr="006E120E">
        <w:t>can</w:t>
      </w:r>
      <w:r w:rsidRPr="006E120E">
        <w:t xml:space="preserve"> result from </w:t>
      </w:r>
      <w:r w:rsidR="00CF6FBF" w:rsidRPr="006E120E">
        <w:t>a</w:t>
      </w:r>
      <w:r w:rsidRPr="006E120E">
        <w:t xml:space="preserve"> short inspection;</w:t>
      </w:r>
    </w:p>
    <w:p w:rsidR="003D52DE" w:rsidRPr="006E120E" w:rsidRDefault="003D52DE" w:rsidP="006E120E">
      <w:pPr>
        <w:pStyle w:val="ListParagraph"/>
        <w:numPr>
          <w:ilvl w:val="0"/>
          <w:numId w:val="5"/>
        </w:numPr>
        <w:jc w:val="left"/>
      </w:pPr>
      <w:r w:rsidRPr="006E120E">
        <w:t>Where a short inspection did convert to a full inspection</w:t>
      </w:r>
      <w:r w:rsidR="00C175D4" w:rsidRPr="006E120E">
        <w:t>, this will be recorded in the inspection type group as ‘</w:t>
      </w:r>
      <w:r w:rsidR="006E120E" w:rsidRPr="006E120E">
        <w:t xml:space="preserve">FES - Full </w:t>
      </w:r>
      <w:r w:rsidR="006E120E" w:rsidRPr="00B45F16">
        <w:t>In</w:t>
      </w:r>
      <w:r w:rsidR="006E120E" w:rsidRPr="006E120E">
        <w:t>spection (short converted)</w:t>
      </w:r>
      <w:r w:rsidR="00C175D4" w:rsidRPr="006E120E">
        <w:t>’ and the</w:t>
      </w:r>
      <w:r w:rsidR="003B5E40" w:rsidRPr="006E120E">
        <w:t xml:space="preserve"> remaining columns will be completed as they would for a full inspection;</w:t>
      </w:r>
      <w:r w:rsidR="00C175D4" w:rsidRPr="006E120E">
        <w:t xml:space="preserve"> </w:t>
      </w:r>
    </w:p>
    <w:p w:rsidR="00410D5D" w:rsidRDefault="00D220FA" w:rsidP="00CF6FBF">
      <w:pPr>
        <w:pStyle w:val="ListParagraph"/>
        <w:numPr>
          <w:ilvl w:val="0"/>
          <w:numId w:val="5"/>
        </w:numPr>
        <w:jc w:val="left"/>
      </w:pPr>
      <w:r w:rsidRPr="006E120E">
        <w:t xml:space="preserve">The titles on each tab </w:t>
      </w:r>
      <w:r w:rsidR="00410D5D" w:rsidRPr="006E120E">
        <w:t xml:space="preserve">have been edited to clearly </w:t>
      </w:r>
      <w:r w:rsidR="003D52DE" w:rsidRPr="006E120E">
        <w:t>identify</w:t>
      </w:r>
      <w:r w:rsidR="00410D5D" w:rsidRPr="006E120E">
        <w:t xml:space="preserve"> whether</w:t>
      </w:r>
      <w:r>
        <w:t xml:space="preserve"> the data shown includes the outcomes from full inspections </w:t>
      </w:r>
      <w:r w:rsidR="005F0BD4">
        <w:t xml:space="preserve">only </w:t>
      </w:r>
      <w:r>
        <w:t>or full and short inspections combined</w:t>
      </w:r>
      <w:r w:rsidR="00CF6FBF">
        <w:t>.</w:t>
      </w:r>
      <w:r>
        <w:t xml:space="preserve"> </w:t>
      </w:r>
      <w:r w:rsidR="00410D5D">
        <w:t xml:space="preserve">   </w:t>
      </w:r>
    </w:p>
    <w:p w:rsidR="00CF6FBF" w:rsidRDefault="00CF6FBF" w:rsidP="001C412E">
      <w:pPr>
        <w:jc w:val="left"/>
      </w:pPr>
    </w:p>
    <w:p w:rsidR="00CF6FBF" w:rsidRPr="00A06855" w:rsidRDefault="00CF6FBF" w:rsidP="001C412E">
      <w:pPr>
        <w:jc w:val="left"/>
      </w:pPr>
      <w:r w:rsidRPr="00A06855">
        <w:lastRenderedPageBreak/>
        <w:t xml:space="preserve">For example in ‘Chart 2: Further education and skills </w:t>
      </w:r>
      <w:r w:rsidRPr="006E120E">
        <w:t>full and short</w:t>
      </w:r>
      <w:r w:rsidRPr="00A06855">
        <w:t xml:space="preserve"> inspection outcomes this reporting year, by overall effectiveness and provider group’:</w:t>
      </w:r>
    </w:p>
    <w:p w:rsidR="00CF6FBF" w:rsidRPr="00A06855" w:rsidRDefault="00CF6FBF" w:rsidP="00CF6FBF">
      <w:pPr>
        <w:pStyle w:val="ListParagraph"/>
        <w:numPr>
          <w:ilvl w:val="0"/>
          <w:numId w:val="7"/>
        </w:numPr>
        <w:jc w:val="left"/>
      </w:pPr>
      <w:r w:rsidRPr="00A06855">
        <w:t>The title indicates the chart contains the overall effectiveness outcomes from both full and short inspections;</w:t>
      </w:r>
    </w:p>
    <w:p w:rsidR="00CF6FBF" w:rsidRPr="00A06855" w:rsidRDefault="003B5E40" w:rsidP="00CF6FBF">
      <w:pPr>
        <w:pStyle w:val="ListParagraph"/>
        <w:numPr>
          <w:ilvl w:val="0"/>
          <w:numId w:val="7"/>
        </w:numPr>
        <w:jc w:val="left"/>
      </w:pPr>
      <w:r w:rsidRPr="00A06855">
        <w:t>The 199 inspections are a combination of t</w:t>
      </w:r>
      <w:r w:rsidR="00CF6FBF" w:rsidRPr="00A06855">
        <w:t xml:space="preserve">he overall effectiveness from 152 full inspections (including short inspections that converted) and 47 short inspections </w:t>
      </w:r>
      <w:r w:rsidR="00983CFA" w:rsidRPr="00A06855">
        <w:t>that did not convert</w:t>
      </w:r>
      <w:r w:rsidR="00647089" w:rsidRPr="00A06855">
        <w:t>.</w:t>
      </w:r>
      <w:r w:rsidR="00CF6FBF" w:rsidRPr="00A06855">
        <w:t xml:space="preserve">   </w:t>
      </w:r>
    </w:p>
    <w:p w:rsidR="00CF6FBF" w:rsidRDefault="00CF6FBF" w:rsidP="001C412E">
      <w:pPr>
        <w:jc w:val="left"/>
      </w:pPr>
    </w:p>
    <w:p w:rsidR="00650F3C" w:rsidRPr="00475D48" w:rsidRDefault="00650F3C" w:rsidP="00650F3C">
      <w:pPr>
        <w:spacing w:after="120"/>
        <w:jc w:val="left"/>
        <w:rPr>
          <w:u w:val="single"/>
        </w:rPr>
      </w:pPr>
      <w:r w:rsidRPr="00475D48">
        <w:rPr>
          <w:u w:val="single"/>
        </w:rPr>
        <w:t>Most recent</w:t>
      </w:r>
      <w:r w:rsidR="00B45F16">
        <w:rPr>
          <w:u w:val="single"/>
        </w:rPr>
        <w:t xml:space="preserve"> inspection outcomes</w:t>
      </w:r>
    </w:p>
    <w:p w:rsidR="00932027" w:rsidRPr="00932027" w:rsidRDefault="00650F3C" w:rsidP="001C412E">
      <w:pPr>
        <w:jc w:val="left"/>
      </w:pPr>
      <w:r w:rsidRPr="00475D48">
        <w:t>Within the ‘</w:t>
      </w:r>
      <w:r w:rsidR="006E120E" w:rsidRPr="00475D48">
        <w:t>Most recent inspection data’</w:t>
      </w:r>
      <w:r w:rsidRPr="00475D48">
        <w:t xml:space="preserve"> tab</w:t>
      </w:r>
      <w:r w:rsidR="00475D48" w:rsidRPr="00475D48">
        <w:t>,</w:t>
      </w:r>
      <w:r w:rsidRPr="00475D48">
        <w:t xml:space="preserve"> the </w:t>
      </w:r>
      <w:r w:rsidR="00475B85">
        <w:t>most recent (</w:t>
      </w:r>
      <w:r w:rsidRPr="00475D48">
        <w:t>latest</w:t>
      </w:r>
      <w:r w:rsidR="00475B85">
        <w:t>)</w:t>
      </w:r>
      <w:r w:rsidRPr="00475D48">
        <w:t xml:space="preserve"> full inspection </w:t>
      </w:r>
      <w:r w:rsidR="006E120E" w:rsidRPr="00475D48">
        <w:t>outcomes are</w:t>
      </w:r>
      <w:r w:rsidRPr="00475D48">
        <w:t xml:space="preserve"> shown</w:t>
      </w:r>
      <w:r w:rsidR="00595F42" w:rsidRPr="00475D48">
        <w:t xml:space="preserve"> for</w:t>
      </w:r>
      <w:r w:rsidRPr="00475D48">
        <w:t xml:space="preserve"> </w:t>
      </w:r>
      <w:r w:rsidR="005F07F8" w:rsidRPr="00475D48">
        <w:t>each</w:t>
      </w:r>
      <w:r w:rsidRPr="00475D48">
        <w:t xml:space="preserve"> provider</w:t>
      </w:r>
      <w:r w:rsidR="005F07F8" w:rsidRPr="00475D48">
        <w:t>.</w:t>
      </w:r>
      <w:r w:rsidR="00475D48" w:rsidRPr="00475D48">
        <w:t xml:space="preserve"> This includes short inspections that converted to full inspections.</w:t>
      </w:r>
      <w:r w:rsidR="004637A0">
        <w:t xml:space="preserve"> </w:t>
      </w:r>
      <w:r w:rsidR="00475B85">
        <w:t>S</w:t>
      </w:r>
      <w:r w:rsidR="00932027" w:rsidRPr="00932027">
        <w:t>hort inspections</w:t>
      </w:r>
      <w:r w:rsidR="004637A0">
        <w:t xml:space="preserve"> which</w:t>
      </w:r>
      <w:r w:rsidR="00932027" w:rsidRPr="00932027">
        <w:t xml:space="preserve"> did not convert </w:t>
      </w:r>
      <w:r w:rsidR="00475B85">
        <w:t xml:space="preserve">to full inspections </w:t>
      </w:r>
      <w:r w:rsidR="00932027" w:rsidRPr="00932027">
        <w:t>do not affect this tab because</w:t>
      </w:r>
      <w:r w:rsidR="004637A0">
        <w:t xml:space="preserve"> the provider’s </w:t>
      </w:r>
      <w:r w:rsidR="00932027" w:rsidRPr="00932027">
        <w:t xml:space="preserve">original overall effectiveness </w:t>
      </w:r>
      <w:r w:rsidR="004637A0">
        <w:t>judgement remains good</w:t>
      </w:r>
      <w:r w:rsidR="00932027">
        <w:t>.</w:t>
      </w:r>
      <w:r w:rsidR="00932027" w:rsidRPr="00932027">
        <w:t xml:space="preserve"> </w:t>
      </w:r>
    </w:p>
    <w:p w:rsidR="004637A0" w:rsidRDefault="004637A0" w:rsidP="004637A0">
      <w:pPr>
        <w:pStyle w:val="Heading3"/>
        <w:spacing w:after="0"/>
        <w:jc w:val="left"/>
        <w:rPr>
          <w:caps w:val="0"/>
        </w:rPr>
      </w:pPr>
    </w:p>
    <w:p w:rsidR="00FC13A3" w:rsidRPr="00A06855" w:rsidRDefault="001C412E" w:rsidP="001C412E">
      <w:pPr>
        <w:pStyle w:val="Heading3"/>
        <w:jc w:val="left"/>
      </w:pPr>
      <w:bookmarkStart w:id="7" w:name="_Toc454910561"/>
      <w:r w:rsidRPr="00A06855">
        <w:rPr>
          <w:caps w:val="0"/>
        </w:rPr>
        <w:t>2.</w:t>
      </w:r>
      <w:r w:rsidR="005823FA" w:rsidRPr="00A06855">
        <w:rPr>
          <w:caps w:val="0"/>
        </w:rPr>
        <w:t>2</w:t>
      </w:r>
      <w:r w:rsidRPr="00A06855">
        <w:rPr>
          <w:caps w:val="0"/>
        </w:rPr>
        <w:t xml:space="preserve"> </w:t>
      </w:r>
      <w:r w:rsidR="00FC13A3" w:rsidRPr="00A06855">
        <w:rPr>
          <w:caps w:val="0"/>
        </w:rPr>
        <w:t>Dance and drama colleges</w:t>
      </w:r>
      <w:bookmarkEnd w:id="7"/>
    </w:p>
    <w:p w:rsidR="00FC13A3" w:rsidRPr="00A06855" w:rsidRDefault="00FC13A3" w:rsidP="001C412E">
      <w:pPr>
        <w:jc w:val="left"/>
      </w:pPr>
      <w:r w:rsidRPr="003F0490">
        <w:t xml:space="preserve">Before 1 September 2015 Ofsted inspected dance and drama </w:t>
      </w:r>
      <w:r w:rsidR="003F0490">
        <w:t>colleges at course level</w:t>
      </w:r>
      <w:r w:rsidRPr="003F0490">
        <w:t xml:space="preserve">, with one dance and drama college potentially receiving multiple judgements for the different </w:t>
      </w:r>
      <w:r w:rsidR="003F0490">
        <w:t xml:space="preserve">courses </w:t>
      </w:r>
      <w:r w:rsidRPr="003F0490">
        <w:t>they delivered.</w:t>
      </w:r>
      <w:r w:rsidRPr="00A06855">
        <w:t xml:space="preserve"> One of these judgements would </w:t>
      </w:r>
      <w:r w:rsidR="00DC5941" w:rsidRPr="00A06855">
        <w:t xml:space="preserve">have </w:t>
      </w:r>
      <w:r w:rsidRPr="00A06855">
        <w:t>be</w:t>
      </w:r>
      <w:r w:rsidR="00DC5941" w:rsidRPr="00A06855">
        <w:t>en</w:t>
      </w:r>
      <w:r w:rsidRPr="00A06855">
        <w:t xml:space="preserve"> published as a proxy for overall effectiveness</w:t>
      </w:r>
      <w:r w:rsidR="00667D33" w:rsidRPr="00A06855">
        <w:t xml:space="preserve"> in the underlying data</w:t>
      </w:r>
      <w:r w:rsidR="00DA2E1F" w:rsidRPr="00A06855">
        <w:t xml:space="preserve"> and tables</w:t>
      </w:r>
      <w:r w:rsidRPr="00A06855">
        <w:t>.</w:t>
      </w:r>
      <w:r w:rsidR="00667D33" w:rsidRPr="00A06855">
        <w:t xml:space="preserve"> The proxy for overall effectiveness was never included in the aggregation for ‘all further education and skills providers’. </w:t>
      </w:r>
      <w:r w:rsidRPr="00A06855">
        <w:t xml:space="preserve">  </w:t>
      </w:r>
    </w:p>
    <w:p w:rsidR="00FC13A3" w:rsidRPr="00A06855" w:rsidRDefault="00FC13A3" w:rsidP="001C412E">
      <w:pPr>
        <w:jc w:val="left"/>
      </w:pPr>
    </w:p>
    <w:p w:rsidR="00973DC2" w:rsidRDefault="00FC13A3" w:rsidP="001C412E">
      <w:pPr>
        <w:jc w:val="left"/>
      </w:pPr>
      <w:r w:rsidRPr="00A06855">
        <w:t>From 1 September 2015</w:t>
      </w:r>
      <w:r w:rsidR="00DA2E1F" w:rsidRPr="00A06855">
        <w:t xml:space="preserve"> under the new</w:t>
      </w:r>
      <w:r w:rsidR="004145AF">
        <w:t xml:space="preserve"> common inspection framework</w:t>
      </w:r>
      <w:r w:rsidRPr="00A06855">
        <w:t xml:space="preserve">, Ofsted </w:t>
      </w:r>
      <w:r w:rsidR="00932027">
        <w:t xml:space="preserve">makes a judgement </w:t>
      </w:r>
      <w:r w:rsidR="00C31CBB">
        <w:t>on the</w:t>
      </w:r>
      <w:r w:rsidR="00932027">
        <w:t xml:space="preserve"> </w:t>
      </w:r>
      <w:r w:rsidRPr="00A06855">
        <w:t>overall effectiveness for dance and drama college</w:t>
      </w:r>
      <w:r w:rsidR="00DA2E1F" w:rsidRPr="00A06855">
        <w:t>s</w:t>
      </w:r>
      <w:r w:rsidRPr="00A06855">
        <w:t>.</w:t>
      </w:r>
      <w:r w:rsidR="00DA2E1F" w:rsidRPr="00A06855">
        <w:t xml:space="preserve"> This change makes the judgement comparable to other providers and therefore </w:t>
      </w:r>
      <w:r w:rsidR="00932027">
        <w:t xml:space="preserve">dance and drama colleges will </w:t>
      </w:r>
      <w:r w:rsidR="00932027" w:rsidRPr="00C31CBB">
        <w:t xml:space="preserve">now </w:t>
      </w:r>
      <w:r w:rsidR="00DA2E1F" w:rsidRPr="00C31CBB">
        <w:t xml:space="preserve">be included in the aggregation for ‘all further education and skills providers’. </w:t>
      </w:r>
    </w:p>
    <w:p w:rsidR="00973DC2" w:rsidRDefault="00973DC2" w:rsidP="001C412E">
      <w:pPr>
        <w:jc w:val="left"/>
      </w:pPr>
    </w:p>
    <w:p w:rsidR="00C31CBB" w:rsidRDefault="00DA2E1F" w:rsidP="001C412E">
      <w:pPr>
        <w:jc w:val="left"/>
      </w:pPr>
      <w:r w:rsidRPr="00C31CBB">
        <w:t>The previously published proxy for overall effectiveness is not comparable to the new judgement</w:t>
      </w:r>
      <w:r w:rsidR="00C31CBB">
        <w:t xml:space="preserve"> and has been removed from the underlying data so that inappropriate comparisons cannot be made</w:t>
      </w:r>
      <w:r w:rsidR="00BB02FE" w:rsidRPr="00C31CBB">
        <w:t>.</w:t>
      </w:r>
      <w:r w:rsidR="00C31CBB">
        <w:t xml:space="preserve"> </w:t>
      </w:r>
      <w:r w:rsidR="00973DC2">
        <w:t xml:space="preserve">This means that for the 29 February statistics, </w:t>
      </w:r>
      <w:r w:rsidR="00B12DDF">
        <w:t xml:space="preserve">there are no previous inspection outcomes and </w:t>
      </w:r>
      <w:r w:rsidR="00973DC2">
        <w:t xml:space="preserve">three dance and drama colleges have no </w:t>
      </w:r>
      <w:r w:rsidR="00E87453">
        <w:t xml:space="preserve">recent </w:t>
      </w:r>
      <w:r w:rsidR="00973DC2">
        <w:t xml:space="preserve">key judgements recorded on the ‘Most recent inspection data’ tab. All currently open and funded dance and drama colleges have now been inspected and will </w:t>
      </w:r>
      <w:r w:rsidR="00E87453">
        <w:t>be included in</w:t>
      </w:r>
      <w:r w:rsidR="00973DC2">
        <w:t xml:space="preserve"> 31 August 2016 statistics.</w:t>
      </w:r>
    </w:p>
    <w:p w:rsidR="00FC13A3" w:rsidRDefault="00FC13A3" w:rsidP="001C412E">
      <w:pPr>
        <w:jc w:val="left"/>
      </w:pPr>
    </w:p>
    <w:p w:rsidR="00416547" w:rsidRPr="00A06855" w:rsidRDefault="00416547" w:rsidP="00416547">
      <w:pPr>
        <w:pStyle w:val="Heading3"/>
        <w:jc w:val="left"/>
        <w:rPr>
          <w:caps w:val="0"/>
        </w:rPr>
      </w:pPr>
      <w:bookmarkStart w:id="8" w:name="_Toc454910562"/>
      <w:r w:rsidRPr="00A06855">
        <w:rPr>
          <w:caps w:val="0"/>
        </w:rPr>
        <w:t>2.3 Independent specialist colleges</w:t>
      </w:r>
      <w:bookmarkEnd w:id="8"/>
    </w:p>
    <w:p w:rsidR="0077355B" w:rsidRPr="00490863" w:rsidRDefault="0077355B" w:rsidP="003211E8">
      <w:pPr>
        <w:spacing w:after="120"/>
        <w:jc w:val="left"/>
        <w:rPr>
          <w:rFonts w:cs="Tahoma"/>
        </w:rPr>
      </w:pPr>
      <w:r w:rsidRPr="00A06855">
        <w:rPr>
          <w:rFonts w:cs="Tahoma"/>
        </w:rPr>
        <w:t xml:space="preserve">Prior to 1 September 2015, independent specialist colleges (ISCs) were included within the ‘colleges’ group, along with general further education colleges, sixth form colleges and specialist further education colleges (which specialise in agriculture and horticulture or performing arts). Ofsted has taken the decision to no longer include ISCs within the </w:t>
      </w:r>
      <w:r w:rsidRPr="00490863">
        <w:rPr>
          <w:rFonts w:cs="Tahoma"/>
        </w:rPr>
        <w:t>‘colleges’ group and to report on them separately from 1 September 2015 because:</w:t>
      </w:r>
    </w:p>
    <w:p w:rsidR="0077355B" w:rsidRPr="00490863" w:rsidRDefault="0077355B" w:rsidP="0077355B">
      <w:pPr>
        <w:pStyle w:val="ListParagraph"/>
        <w:numPr>
          <w:ilvl w:val="0"/>
          <w:numId w:val="8"/>
        </w:numPr>
        <w:jc w:val="left"/>
      </w:pPr>
      <w:r w:rsidRPr="00490863">
        <w:lastRenderedPageBreak/>
        <w:t>They exclusively offer programmes for learners with learning difficulties and/or disabilities, and in particular for those in receipt of high needs funding;</w:t>
      </w:r>
    </w:p>
    <w:p w:rsidR="0077355B" w:rsidRPr="00490863" w:rsidRDefault="0077355B" w:rsidP="0077355B">
      <w:pPr>
        <w:pStyle w:val="ListParagraph"/>
        <w:numPr>
          <w:ilvl w:val="0"/>
          <w:numId w:val="8"/>
        </w:numPr>
        <w:jc w:val="left"/>
      </w:pPr>
      <w:r w:rsidRPr="00490863">
        <w:t>The range of qualification aims and the positive outcomes ISCs are trying to help their learners achieve are different compared with other colleges</w:t>
      </w:r>
      <w:r w:rsidR="00AF14DA" w:rsidRPr="00490863">
        <w:t>.</w:t>
      </w:r>
      <w:r w:rsidRPr="00490863">
        <w:t xml:space="preserve"> </w:t>
      </w:r>
      <w:r w:rsidR="00AF14DA" w:rsidRPr="00490863">
        <w:t>W</w:t>
      </w:r>
      <w:r w:rsidRPr="00490863">
        <w:t>hilst the achievement of relevant qualifications is important, the main focus of ISCs is to prepare young people for adult life</w:t>
      </w:r>
      <w:r w:rsidR="00AF14DA" w:rsidRPr="00490863">
        <w:t>.</w:t>
      </w:r>
      <w:r w:rsidRPr="00490863">
        <w:t xml:space="preserve"> </w:t>
      </w:r>
      <w:r w:rsidR="00AF14DA" w:rsidRPr="00490863">
        <w:t>T</w:t>
      </w:r>
      <w:r w:rsidRPr="00490863">
        <w:t>his will include supported, voluntary or paid employment, supported or independent living</w:t>
      </w:r>
      <w:r w:rsidR="00AF14DA" w:rsidRPr="00490863">
        <w:t>,</w:t>
      </w:r>
      <w:r w:rsidRPr="00490863">
        <w:t xml:space="preserve"> and further training or qualifications;</w:t>
      </w:r>
    </w:p>
    <w:p w:rsidR="00B45F16" w:rsidRPr="00B45F16" w:rsidRDefault="00490863" w:rsidP="00B45F16">
      <w:pPr>
        <w:pStyle w:val="ListParagraph"/>
        <w:numPr>
          <w:ilvl w:val="0"/>
          <w:numId w:val="8"/>
        </w:numPr>
        <w:jc w:val="left"/>
      </w:pPr>
      <w:r w:rsidRPr="00B45F16">
        <w:t>ISCs are not ‘institutions within the further education sector’ by definition of s.91(3) of the Further and Higher Education Act 1992</w:t>
      </w:r>
      <w:r w:rsidR="00B45F16" w:rsidRPr="00B45F16">
        <w:t>,</w:t>
      </w:r>
      <w:r w:rsidRPr="00B45F16">
        <w:t xml:space="preserve"> unlike the other types of college</w:t>
      </w:r>
      <w:r w:rsidR="00B45F16" w:rsidRPr="00B45F16">
        <w:t>s</w:t>
      </w:r>
      <w:r w:rsidRPr="00B45F16">
        <w:t>.</w:t>
      </w:r>
    </w:p>
    <w:p w:rsidR="00416547" w:rsidRDefault="00416547" w:rsidP="0077355B">
      <w:pPr>
        <w:jc w:val="left"/>
      </w:pPr>
    </w:p>
    <w:p w:rsidR="00A1365E" w:rsidRPr="00A06855" w:rsidRDefault="00A1365E" w:rsidP="00A1365E">
      <w:pPr>
        <w:pStyle w:val="Heading3"/>
        <w:jc w:val="left"/>
        <w:rPr>
          <w:caps w:val="0"/>
        </w:rPr>
      </w:pPr>
      <w:bookmarkStart w:id="9" w:name="_Toc454910563"/>
      <w:r w:rsidRPr="00A06855">
        <w:rPr>
          <w:caps w:val="0"/>
        </w:rPr>
        <w:t>2.</w:t>
      </w:r>
      <w:r w:rsidR="005823FA" w:rsidRPr="00A06855">
        <w:rPr>
          <w:caps w:val="0"/>
        </w:rPr>
        <w:t>4</w:t>
      </w:r>
      <w:r w:rsidRPr="00A06855">
        <w:rPr>
          <w:caps w:val="0"/>
        </w:rPr>
        <w:t xml:space="preserve"> Provider types and groups</w:t>
      </w:r>
      <w:bookmarkEnd w:id="9"/>
    </w:p>
    <w:p w:rsidR="001F3D75" w:rsidRDefault="00A1365E" w:rsidP="00A1365E">
      <w:pPr>
        <w:jc w:val="left"/>
      </w:pPr>
      <w:r w:rsidRPr="00A06855">
        <w:t xml:space="preserve">To make </w:t>
      </w:r>
      <w:r w:rsidR="00B665CA" w:rsidRPr="00A06855">
        <w:t>the</w:t>
      </w:r>
      <w:r w:rsidRPr="00A06855">
        <w:t xml:space="preserve"> </w:t>
      </w:r>
      <w:r w:rsidR="001F3D75" w:rsidRPr="00A06855">
        <w:t xml:space="preserve">underlying </w:t>
      </w:r>
      <w:r w:rsidRPr="00A06855">
        <w:t xml:space="preserve">data easier for users to </w:t>
      </w:r>
      <w:r w:rsidR="001F3D75" w:rsidRPr="00A06855">
        <w:t>aggregate</w:t>
      </w:r>
      <w:r w:rsidRPr="00A06855">
        <w:t xml:space="preserve">, we have </w:t>
      </w:r>
      <w:r w:rsidR="001F3D75" w:rsidRPr="00A06855">
        <w:t xml:space="preserve">separated out </w:t>
      </w:r>
      <w:r w:rsidR="002B300B" w:rsidRPr="00A06855">
        <w:t>the</w:t>
      </w:r>
      <w:r w:rsidR="001F3D75" w:rsidRPr="00A06855">
        <w:t xml:space="preserve"> provider types and groups</w:t>
      </w:r>
      <w:r w:rsidR="0039525B" w:rsidRPr="00A06855">
        <w:t xml:space="preserve"> and included them within the underlying data, tables and charts</w:t>
      </w:r>
      <w:r w:rsidR="001F3D75" w:rsidRPr="00A06855">
        <w:t>:</w:t>
      </w:r>
    </w:p>
    <w:p w:rsidR="001F3D75" w:rsidRDefault="001F3D75" w:rsidP="00A1365E">
      <w:pPr>
        <w:jc w:val="left"/>
      </w:pPr>
    </w:p>
    <w:tbl>
      <w:tblPr>
        <w:tblStyle w:val="TableGrid"/>
        <w:tblW w:w="0" w:type="auto"/>
        <w:tblInd w:w="108" w:type="dxa"/>
        <w:tblLook w:val="04A0" w:firstRow="1" w:lastRow="0" w:firstColumn="1" w:lastColumn="0" w:noHBand="0" w:noVBand="1"/>
      </w:tblPr>
      <w:tblGrid>
        <w:gridCol w:w="3686"/>
        <w:gridCol w:w="3827"/>
        <w:gridCol w:w="2233"/>
      </w:tblGrid>
      <w:tr w:rsidR="002B300B" w:rsidRPr="002B300B" w:rsidTr="002B300B">
        <w:trPr>
          <w:trHeight w:val="429"/>
        </w:trPr>
        <w:tc>
          <w:tcPr>
            <w:tcW w:w="3686" w:type="dxa"/>
            <w:shd w:val="clear" w:color="auto" w:fill="B6DDE8" w:themeFill="accent5" w:themeFillTint="66"/>
            <w:vAlign w:val="bottom"/>
          </w:tcPr>
          <w:p w:rsidR="002B300B" w:rsidRPr="002B300B" w:rsidRDefault="002B300B" w:rsidP="002B300B">
            <w:pPr>
              <w:jc w:val="left"/>
              <w:rPr>
                <w:sz w:val="22"/>
                <w:szCs w:val="22"/>
              </w:rPr>
            </w:pPr>
            <w:r w:rsidRPr="002B300B">
              <w:rPr>
                <w:sz w:val="22"/>
                <w:szCs w:val="22"/>
              </w:rPr>
              <w:t>Provider type</w:t>
            </w:r>
          </w:p>
        </w:tc>
        <w:tc>
          <w:tcPr>
            <w:tcW w:w="6060" w:type="dxa"/>
            <w:gridSpan w:val="2"/>
            <w:shd w:val="clear" w:color="auto" w:fill="B6DDE8" w:themeFill="accent5" w:themeFillTint="66"/>
            <w:vAlign w:val="bottom"/>
          </w:tcPr>
          <w:p w:rsidR="002B300B" w:rsidRPr="002B300B" w:rsidRDefault="002B300B" w:rsidP="002B300B">
            <w:pPr>
              <w:jc w:val="left"/>
              <w:rPr>
                <w:sz w:val="22"/>
                <w:szCs w:val="22"/>
              </w:rPr>
            </w:pPr>
            <w:r w:rsidRPr="002B300B">
              <w:rPr>
                <w:sz w:val="22"/>
                <w:szCs w:val="22"/>
              </w:rPr>
              <w:t>Provider group</w:t>
            </w:r>
          </w:p>
        </w:tc>
      </w:tr>
      <w:tr w:rsidR="002B300B" w:rsidRPr="002B300B" w:rsidTr="002B300B">
        <w:trPr>
          <w:trHeight w:val="420"/>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General further education college</w:t>
            </w:r>
          </w:p>
        </w:tc>
        <w:tc>
          <w:tcPr>
            <w:tcW w:w="3827" w:type="dxa"/>
            <w:vMerge w:val="restart"/>
            <w:vAlign w:val="center"/>
          </w:tcPr>
          <w:p w:rsidR="002B300B" w:rsidRPr="002B300B" w:rsidRDefault="002B300B" w:rsidP="002B300B">
            <w:pPr>
              <w:jc w:val="left"/>
              <w:rPr>
                <w:sz w:val="22"/>
                <w:szCs w:val="22"/>
              </w:rPr>
            </w:pPr>
            <w:r w:rsidRPr="002B300B">
              <w:rPr>
                <w:rFonts w:cs="Tahoma"/>
                <w:color w:val="000000"/>
                <w:sz w:val="22"/>
                <w:szCs w:val="22"/>
              </w:rPr>
              <w:t>Colleges</w:t>
            </w:r>
          </w:p>
        </w:tc>
        <w:tc>
          <w:tcPr>
            <w:tcW w:w="2233" w:type="dxa"/>
            <w:vMerge w:val="restart"/>
            <w:vAlign w:val="center"/>
          </w:tcPr>
          <w:p w:rsidR="002B300B" w:rsidRPr="002B300B" w:rsidRDefault="002B300B" w:rsidP="002B300B">
            <w:pPr>
              <w:jc w:val="center"/>
              <w:rPr>
                <w:rFonts w:cs="Tahoma"/>
                <w:color w:val="000000"/>
                <w:sz w:val="22"/>
                <w:szCs w:val="22"/>
              </w:rPr>
            </w:pPr>
            <w:r w:rsidRPr="002B300B">
              <w:rPr>
                <w:rFonts w:cs="Tahoma"/>
                <w:color w:val="000000"/>
                <w:sz w:val="22"/>
                <w:szCs w:val="22"/>
              </w:rPr>
              <w:t>All further education and skills providers</w:t>
            </w:r>
          </w:p>
        </w:tc>
      </w:tr>
      <w:tr w:rsidR="002B300B" w:rsidRPr="002B300B" w:rsidTr="002B300B">
        <w:trPr>
          <w:trHeight w:val="412"/>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Sixth form college</w:t>
            </w:r>
          </w:p>
        </w:tc>
        <w:tc>
          <w:tcPr>
            <w:tcW w:w="3827" w:type="dxa"/>
            <w:vMerge/>
            <w:vAlign w:val="center"/>
          </w:tcPr>
          <w:p w:rsidR="002B300B" w:rsidRPr="002B300B" w:rsidRDefault="002B300B" w:rsidP="002B300B">
            <w:pPr>
              <w:jc w:val="left"/>
              <w:rPr>
                <w:sz w:val="22"/>
                <w:szCs w:val="22"/>
              </w:rPr>
            </w:pP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17"/>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Specialist further education college</w:t>
            </w:r>
          </w:p>
        </w:tc>
        <w:tc>
          <w:tcPr>
            <w:tcW w:w="3827" w:type="dxa"/>
            <w:vMerge/>
            <w:vAlign w:val="center"/>
          </w:tcPr>
          <w:p w:rsidR="002B300B" w:rsidRPr="002B300B" w:rsidRDefault="002B300B" w:rsidP="002B300B">
            <w:pPr>
              <w:jc w:val="left"/>
              <w:rPr>
                <w:sz w:val="22"/>
                <w:szCs w:val="22"/>
              </w:rPr>
            </w:pP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09"/>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Independent specialist college</w:t>
            </w:r>
          </w:p>
        </w:tc>
        <w:tc>
          <w:tcPr>
            <w:tcW w:w="3827" w:type="dxa"/>
            <w:vAlign w:val="center"/>
          </w:tcPr>
          <w:p w:rsidR="002B300B" w:rsidRPr="002B300B" w:rsidRDefault="002B300B" w:rsidP="002B300B">
            <w:pPr>
              <w:jc w:val="left"/>
              <w:rPr>
                <w:sz w:val="22"/>
                <w:szCs w:val="22"/>
              </w:rPr>
            </w:pPr>
            <w:r w:rsidRPr="002B300B">
              <w:rPr>
                <w:rFonts w:cs="Tahoma"/>
                <w:color w:val="000000"/>
                <w:sz w:val="22"/>
                <w:szCs w:val="22"/>
              </w:rPr>
              <w:t>Independent specialist colleges</w:t>
            </w:r>
          </w:p>
        </w:tc>
        <w:tc>
          <w:tcPr>
            <w:tcW w:w="2233" w:type="dxa"/>
            <w:vMerge/>
            <w:vAlign w:val="center"/>
          </w:tcPr>
          <w:p w:rsidR="002B300B" w:rsidRPr="002B300B" w:rsidRDefault="002B300B" w:rsidP="002B300B">
            <w:pPr>
              <w:jc w:val="left"/>
              <w:rPr>
                <w:rFonts w:cs="Tahoma"/>
                <w:color w:val="000000"/>
                <w:sz w:val="22"/>
                <w:szCs w:val="22"/>
              </w:rPr>
            </w:pPr>
          </w:p>
        </w:tc>
      </w:tr>
      <w:tr w:rsidR="002B300B" w:rsidRPr="002B300B" w:rsidTr="002B300B">
        <w:trPr>
          <w:trHeight w:val="416"/>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Independent learning provider</w:t>
            </w:r>
          </w:p>
        </w:tc>
        <w:tc>
          <w:tcPr>
            <w:tcW w:w="3827" w:type="dxa"/>
            <w:vMerge w:val="restart"/>
            <w:vAlign w:val="center"/>
          </w:tcPr>
          <w:p w:rsidR="002B300B" w:rsidRPr="002B300B" w:rsidRDefault="002B300B" w:rsidP="002B300B">
            <w:pPr>
              <w:jc w:val="left"/>
              <w:rPr>
                <w:sz w:val="22"/>
                <w:szCs w:val="22"/>
              </w:rPr>
            </w:pPr>
            <w:r w:rsidRPr="002B300B">
              <w:rPr>
                <w:rFonts w:cs="Tahoma"/>
                <w:color w:val="000000"/>
                <w:sz w:val="22"/>
                <w:szCs w:val="22"/>
              </w:rPr>
              <w:t xml:space="preserve">Independent learning providers </w:t>
            </w:r>
            <w:r w:rsidRPr="002B300B">
              <w:rPr>
                <w:rFonts w:cs="Tahoma"/>
                <w:color w:val="000000"/>
                <w:sz w:val="22"/>
                <w:szCs w:val="22"/>
              </w:rPr>
              <w:br/>
              <w:t>(including employer providers)</w:t>
            </w:r>
          </w:p>
        </w:tc>
        <w:tc>
          <w:tcPr>
            <w:tcW w:w="2233" w:type="dxa"/>
            <w:vMerge/>
            <w:vAlign w:val="center"/>
          </w:tcPr>
          <w:p w:rsidR="002B300B" w:rsidRPr="002B300B" w:rsidRDefault="002B300B" w:rsidP="002B300B">
            <w:pPr>
              <w:jc w:val="left"/>
              <w:rPr>
                <w:rFonts w:cs="Tahoma"/>
                <w:color w:val="000000"/>
                <w:sz w:val="22"/>
                <w:szCs w:val="22"/>
              </w:rPr>
            </w:pPr>
          </w:p>
        </w:tc>
      </w:tr>
      <w:tr w:rsidR="002B300B" w:rsidRPr="002B300B" w:rsidTr="002B300B">
        <w:trPr>
          <w:trHeight w:val="408"/>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Employer provider</w:t>
            </w:r>
          </w:p>
        </w:tc>
        <w:tc>
          <w:tcPr>
            <w:tcW w:w="3827" w:type="dxa"/>
            <w:vMerge/>
            <w:vAlign w:val="center"/>
          </w:tcPr>
          <w:p w:rsidR="002B300B" w:rsidRPr="002B300B" w:rsidRDefault="002B300B" w:rsidP="002B300B">
            <w:pPr>
              <w:jc w:val="left"/>
              <w:rPr>
                <w:sz w:val="22"/>
                <w:szCs w:val="22"/>
              </w:rPr>
            </w:pP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27"/>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Local authority provider</w:t>
            </w:r>
          </w:p>
        </w:tc>
        <w:tc>
          <w:tcPr>
            <w:tcW w:w="3827" w:type="dxa"/>
            <w:vMerge w:val="restart"/>
            <w:vAlign w:val="center"/>
          </w:tcPr>
          <w:p w:rsidR="002B300B" w:rsidRPr="002B300B" w:rsidRDefault="002B300B" w:rsidP="002B300B">
            <w:pPr>
              <w:jc w:val="left"/>
              <w:rPr>
                <w:sz w:val="22"/>
                <w:szCs w:val="22"/>
              </w:rPr>
            </w:pPr>
            <w:r w:rsidRPr="002B300B">
              <w:rPr>
                <w:rFonts w:cs="Tahoma"/>
                <w:color w:val="000000"/>
                <w:sz w:val="22"/>
                <w:szCs w:val="22"/>
              </w:rPr>
              <w:t>Community learning and skills providers</w:t>
            </w:r>
          </w:p>
        </w:tc>
        <w:tc>
          <w:tcPr>
            <w:tcW w:w="2233" w:type="dxa"/>
            <w:vMerge/>
            <w:vAlign w:val="center"/>
          </w:tcPr>
          <w:p w:rsidR="002B300B" w:rsidRPr="002B300B" w:rsidRDefault="002B300B" w:rsidP="002B300B">
            <w:pPr>
              <w:jc w:val="left"/>
              <w:rPr>
                <w:rFonts w:cs="Tahoma"/>
                <w:color w:val="000000"/>
                <w:sz w:val="22"/>
                <w:szCs w:val="22"/>
              </w:rPr>
            </w:pPr>
          </w:p>
        </w:tc>
      </w:tr>
      <w:tr w:rsidR="002B300B" w:rsidRPr="002B300B" w:rsidTr="002B300B">
        <w:trPr>
          <w:trHeight w:val="405"/>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Not for profit organisation</w:t>
            </w:r>
          </w:p>
        </w:tc>
        <w:tc>
          <w:tcPr>
            <w:tcW w:w="3827" w:type="dxa"/>
            <w:vMerge/>
            <w:vAlign w:val="center"/>
          </w:tcPr>
          <w:p w:rsidR="002B300B" w:rsidRPr="002B300B" w:rsidRDefault="002B300B" w:rsidP="002B300B">
            <w:pPr>
              <w:jc w:val="left"/>
              <w:rPr>
                <w:sz w:val="22"/>
                <w:szCs w:val="22"/>
              </w:rPr>
            </w:pP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26"/>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Specialist designated institution</w:t>
            </w:r>
          </w:p>
        </w:tc>
        <w:tc>
          <w:tcPr>
            <w:tcW w:w="3827" w:type="dxa"/>
            <w:vMerge/>
            <w:vAlign w:val="center"/>
          </w:tcPr>
          <w:p w:rsidR="002B300B" w:rsidRPr="002B300B" w:rsidRDefault="002B300B" w:rsidP="002B300B">
            <w:pPr>
              <w:jc w:val="left"/>
              <w:rPr>
                <w:sz w:val="22"/>
                <w:szCs w:val="22"/>
              </w:rPr>
            </w:pP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04"/>
        </w:trPr>
        <w:tc>
          <w:tcPr>
            <w:tcW w:w="3686" w:type="dxa"/>
            <w:vAlign w:val="center"/>
          </w:tcPr>
          <w:p w:rsidR="002B300B" w:rsidRPr="002B300B" w:rsidRDefault="002B300B" w:rsidP="002B300B">
            <w:pPr>
              <w:jc w:val="left"/>
              <w:rPr>
                <w:sz w:val="22"/>
                <w:szCs w:val="22"/>
              </w:rPr>
            </w:pPr>
            <w:r w:rsidRPr="002B300B">
              <w:rPr>
                <w:sz w:val="22"/>
                <w:szCs w:val="22"/>
              </w:rPr>
              <w:t>16-19 academy converter</w:t>
            </w:r>
          </w:p>
        </w:tc>
        <w:tc>
          <w:tcPr>
            <w:tcW w:w="3827" w:type="dxa"/>
            <w:vMerge w:val="restart"/>
            <w:vAlign w:val="center"/>
          </w:tcPr>
          <w:p w:rsidR="002B300B" w:rsidRPr="002B300B" w:rsidRDefault="002B300B" w:rsidP="002B300B">
            <w:pPr>
              <w:jc w:val="left"/>
              <w:rPr>
                <w:sz w:val="22"/>
                <w:szCs w:val="22"/>
              </w:rPr>
            </w:pPr>
            <w:r w:rsidRPr="002B300B">
              <w:rPr>
                <w:sz w:val="22"/>
                <w:szCs w:val="22"/>
              </w:rPr>
              <w:t>16-19 academies</w:t>
            </w: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23"/>
        </w:trPr>
        <w:tc>
          <w:tcPr>
            <w:tcW w:w="3686" w:type="dxa"/>
            <w:vAlign w:val="center"/>
          </w:tcPr>
          <w:p w:rsidR="002B300B" w:rsidRPr="002B300B" w:rsidRDefault="002B300B" w:rsidP="002B300B">
            <w:pPr>
              <w:jc w:val="left"/>
              <w:rPr>
                <w:sz w:val="22"/>
                <w:szCs w:val="22"/>
              </w:rPr>
            </w:pPr>
            <w:r w:rsidRPr="002B300B">
              <w:rPr>
                <w:sz w:val="22"/>
                <w:szCs w:val="22"/>
              </w:rPr>
              <w:t xml:space="preserve">16-19 academy sponsor led </w:t>
            </w:r>
          </w:p>
        </w:tc>
        <w:tc>
          <w:tcPr>
            <w:tcW w:w="3827" w:type="dxa"/>
            <w:vMerge/>
            <w:vAlign w:val="center"/>
          </w:tcPr>
          <w:p w:rsidR="002B300B" w:rsidRPr="002B300B" w:rsidRDefault="002B300B" w:rsidP="002B300B">
            <w:pPr>
              <w:jc w:val="left"/>
              <w:rPr>
                <w:sz w:val="22"/>
                <w:szCs w:val="22"/>
              </w:rPr>
            </w:pP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01"/>
        </w:trPr>
        <w:tc>
          <w:tcPr>
            <w:tcW w:w="3686" w:type="dxa"/>
            <w:vAlign w:val="center"/>
          </w:tcPr>
          <w:p w:rsidR="002B300B" w:rsidRPr="002B300B" w:rsidRDefault="002B300B" w:rsidP="002B300B">
            <w:pPr>
              <w:jc w:val="left"/>
              <w:rPr>
                <w:sz w:val="22"/>
                <w:szCs w:val="22"/>
              </w:rPr>
            </w:pPr>
            <w:r w:rsidRPr="002B300B">
              <w:rPr>
                <w:sz w:val="22"/>
                <w:szCs w:val="22"/>
              </w:rPr>
              <w:t>16-19 free school</w:t>
            </w:r>
          </w:p>
        </w:tc>
        <w:tc>
          <w:tcPr>
            <w:tcW w:w="3827" w:type="dxa"/>
            <w:vMerge/>
            <w:vAlign w:val="center"/>
          </w:tcPr>
          <w:p w:rsidR="002B300B" w:rsidRPr="002B300B" w:rsidRDefault="002B300B" w:rsidP="002B300B">
            <w:pPr>
              <w:jc w:val="left"/>
              <w:rPr>
                <w:sz w:val="22"/>
                <w:szCs w:val="22"/>
              </w:rPr>
            </w:pPr>
          </w:p>
        </w:tc>
        <w:tc>
          <w:tcPr>
            <w:tcW w:w="2233" w:type="dxa"/>
            <w:vMerge/>
            <w:vAlign w:val="center"/>
          </w:tcPr>
          <w:p w:rsidR="002B300B" w:rsidRPr="002B300B" w:rsidRDefault="002B300B" w:rsidP="002B300B">
            <w:pPr>
              <w:jc w:val="left"/>
              <w:rPr>
                <w:sz w:val="22"/>
                <w:szCs w:val="22"/>
              </w:rPr>
            </w:pPr>
          </w:p>
        </w:tc>
      </w:tr>
      <w:tr w:rsidR="002B300B" w:rsidRPr="002B300B" w:rsidTr="002B300B">
        <w:trPr>
          <w:trHeight w:val="436"/>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Dance and drama college</w:t>
            </w:r>
          </w:p>
        </w:tc>
        <w:tc>
          <w:tcPr>
            <w:tcW w:w="3827" w:type="dxa"/>
            <w:vAlign w:val="center"/>
          </w:tcPr>
          <w:p w:rsidR="002B300B" w:rsidRPr="002B300B" w:rsidRDefault="002B300B" w:rsidP="002B300B">
            <w:pPr>
              <w:jc w:val="left"/>
              <w:rPr>
                <w:sz w:val="22"/>
                <w:szCs w:val="22"/>
              </w:rPr>
            </w:pPr>
            <w:r w:rsidRPr="002B300B">
              <w:rPr>
                <w:rFonts w:cs="Tahoma"/>
                <w:color w:val="000000"/>
                <w:sz w:val="22"/>
                <w:szCs w:val="22"/>
              </w:rPr>
              <w:t>Dance and drama colleges</w:t>
            </w:r>
          </w:p>
        </w:tc>
        <w:tc>
          <w:tcPr>
            <w:tcW w:w="2233" w:type="dxa"/>
            <w:vMerge/>
            <w:vAlign w:val="center"/>
          </w:tcPr>
          <w:p w:rsidR="002B300B" w:rsidRPr="002B300B" w:rsidRDefault="002B300B" w:rsidP="002B300B">
            <w:pPr>
              <w:jc w:val="left"/>
              <w:rPr>
                <w:rFonts w:cs="Tahoma"/>
                <w:color w:val="000000"/>
                <w:sz w:val="22"/>
                <w:szCs w:val="22"/>
              </w:rPr>
            </w:pPr>
          </w:p>
        </w:tc>
      </w:tr>
      <w:tr w:rsidR="002B300B" w:rsidRPr="002B300B" w:rsidTr="002B300B">
        <w:trPr>
          <w:trHeight w:val="414"/>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Higher education institution</w:t>
            </w:r>
            <w:r w:rsidR="00D57D16">
              <w:rPr>
                <w:rFonts w:cs="Tahoma"/>
                <w:color w:val="000000"/>
                <w:sz w:val="22"/>
                <w:szCs w:val="22"/>
              </w:rPr>
              <w:t>*</w:t>
            </w:r>
          </w:p>
        </w:tc>
        <w:tc>
          <w:tcPr>
            <w:tcW w:w="3827" w:type="dxa"/>
            <w:vAlign w:val="center"/>
          </w:tcPr>
          <w:p w:rsidR="002B300B" w:rsidRPr="002B300B" w:rsidRDefault="002B300B" w:rsidP="002B300B">
            <w:pPr>
              <w:jc w:val="left"/>
              <w:rPr>
                <w:sz w:val="22"/>
                <w:szCs w:val="22"/>
              </w:rPr>
            </w:pPr>
            <w:r w:rsidRPr="002B300B">
              <w:rPr>
                <w:rFonts w:cs="Tahoma"/>
                <w:color w:val="000000"/>
                <w:sz w:val="22"/>
                <w:szCs w:val="22"/>
              </w:rPr>
              <w:t>Higher education institutions</w:t>
            </w:r>
          </w:p>
        </w:tc>
        <w:tc>
          <w:tcPr>
            <w:tcW w:w="2233" w:type="dxa"/>
            <w:vMerge/>
            <w:vAlign w:val="center"/>
          </w:tcPr>
          <w:p w:rsidR="002B300B" w:rsidRPr="002B300B" w:rsidRDefault="002B300B" w:rsidP="002B300B">
            <w:pPr>
              <w:jc w:val="left"/>
              <w:rPr>
                <w:rFonts w:cs="Tahoma"/>
                <w:color w:val="000000"/>
                <w:sz w:val="22"/>
                <w:szCs w:val="22"/>
              </w:rPr>
            </w:pPr>
          </w:p>
        </w:tc>
      </w:tr>
      <w:tr w:rsidR="002B300B" w:rsidRPr="002B300B" w:rsidTr="002B300B">
        <w:trPr>
          <w:trHeight w:val="405"/>
        </w:trPr>
        <w:tc>
          <w:tcPr>
            <w:tcW w:w="3686" w:type="dxa"/>
            <w:vAlign w:val="center"/>
          </w:tcPr>
          <w:p w:rsidR="002B300B" w:rsidRPr="002B300B" w:rsidRDefault="002B300B" w:rsidP="002B300B">
            <w:pPr>
              <w:jc w:val="left"/>
              <w:rPr>
                <w:sz w:val="22"/>
                <w:szCs w:val="22"/>
              </w:rPr>
            </w:pPr>
            <w:r w:rsidRPr="002B300B">
              <w:rPr>
                <w:rFonts w:cs="Tahoma"/>
                <w:color w:val="000000"/>
                <w:sz w:val="22"/>
                <w:szCs w:val="22"/>
              </w:rPr>
              <w:t>National Careers Service contractor</w:t>
            </w:r>
          </w:p>
        </w:tc>
        <w:tc>
          <w:tcPr>
            <w:tcW w:w="3827" w:type="dxa"/>
            <w:vAlign w:val="center"/>
          </w:tcPr>
          <w:p w:rsidR="002B300B" w:rsidRPr="002B300B" w:rsidRDefault="002B300B" w:rsidP="002B300B">
            <w:pPr>
              <w:jc w:val="left"/>
              <w:rPr>
                <w:sz w:val="22"/>
                <w:szCs w:val="22"/>
              </w:rPr>
            </w:pPr>
            <w:r w:rsidRPr="002B300B">
              <w:rPr>
                <w:rFonts w:cs="Tahoma"/>
                <w:color w:val="000000"/>
                <w:sz w:val="22"/>
                <w:szCs w:val="22"/>
              </w:rPr>
              <w:t>National Careers Service contractors</w:t>
            </w:r>
          </w:p>
        </w:tc>
        <w:tc>
          <w:tcPr>
            <w:tcW w:w="2233" w:type="dxa"/>
            <w:vMerge/>
            <w:vAlign w:val="center"/>
          </w:tcPr>
          <w:p w:rsidR="002B300B" w:rsidRPr="002B300B" w:rsidRDefault="002B300B" w:rsidP="002B300B">
            <w:pPr>
              <w:jc w:val="left"/>
              <w:rPr>
                <w:rFonts w:cs="Tahoma"/>
                <w:color w:val="000000"/>
                <w:sz w:val="22"/>
                <w:szCs w:val="22"/>
              </w:rPr>
            </w:pPr>
          </w:p>
        </w:tc>
      </w:tr>
      <w:tr w:rsidR="00B665CA" w:rsidRPr="002B300B" w:rsidTr="002B300B">
        <w:trPr>
          <w:trHeight w:val="405"/>
        </w:trPr>
        <w:tc>
          <w:tcPr>
            <w:tcW w:w="3686" w:type="dxa"/>
            <w:vAlign w:val="center"/>
          </w:tcPr>
          <w:p w:rsidR="00B665CA" w:rsidRPr="002B300B" w:rsidRDefault="00B665CA" w:rsidP="002B300B">
            <w:pPr>
              <w:jc w:val="left"/>
              <w:rPr>
                <w:rFonts w:cs="Tahoma"/>
                <w:color w:val="000000"/>
                <w:sz w:val="22"/>
                <w:szCs w:val="22"/>
              </w:rPr>
            </w:pPr>
            <w:r>
              <w:rPr>
                <w:rFonts w:cs="Tahoma"/>
                <w:color w:val="000000"/>
                <w:sz w:val="22"/>
                <w:szCs w:val="22"/>
              </w:rPr>
              <w:t>Prison and young offender institution</w:t>
            </w:r>
          </w:p>
        </w:tc>
        <w:tc>
          <w:tcPr>
            <w:tcW w:w="3827" w:type="dxa"/>
            <w:vAlign w:val="center"/>
          </w:tcPr>
          <w:p w:rsidR="00B665CA" w:rsidRPr="002B300B" w:rsidRDefault="00B665CA" w:rsidP="002B300B">
            <w:pPr>
              <w:jc w:val="left"/>
              <w:rPr>
                <w:rFonts w:cs="Tahoma"/>
                <w:color w:val="000000"/>
                <w:sz w:val="22"/>
                <w:szCs w:val="22"/>
              </w:rPr>
            </w:pPr>
            <w:r>
              <w:rPr>
                <w:rFonts w:cs="Tahoma"/>
                <w:color w:val="000000"/>
                <w:sz w:val="22"/>
                <w:szCs w:val="22"/>
              </w:rPr>
              <w:t>Prison and young offender institutions</w:t>
            </w:r>
          </w:p>
        </w:tc>
        <w:tc>
          <w:tcPr>
            <w:tcW w:w="2233" w:type="dxa"/>
            <w:vAlign w:val="center"/>
          </w:tcPr>
          <w:p w:rsidR="00B665CA" w:rsidRPr="002B300B" w:rsidRDefault="00B665CA" w:rsidP="002B300B">
            <w:pPr>
              <w:jc w:val="left"/>
              <w:rPr>
                <w:rFonts w:cs="Tahoma"/>
                <w:color w:val="000000"/>
                <w:sz w:val="22"/>
                <w:szCs w:val="22"/>
              </w:rPr>
            </w:pPr>
            <w:r>
              <w:rPr>
                <w:rFonts w:cs="Tahoma"/>
                <w:color w:val="000000"/>
                <w:sz w:val="22"/>
                <w:szCs w:val="22"/>
              </w:rPr>
              <w:t>Prison and young offender institutions</w:t>
            </w:r>
          </w:p>
        </w:tc>
      </w:tr>
    </w:tbl>
    <w:p w:rsidR="001F3D75" w:rsidRPr="00D57D16" w:rsidRDefault="00D57D16" w:rsidP="00A1365E">
      <w:pPr>
        <w:jc w:val="left"/>
        <w:rPr>
          <w:sz w:val="20"/>
          <w:szCs w:val="20"/>
        </w:rPr>
      </w:pPr>
      <w:r w:rsidRPr="00D57D16">
        <w:rPr>
          <w:sz w:val="20"/>
          <w:szCs w:val="20"/>
        </w:rPr>
        <w:t>*Further education being delivered in higher education institutions</w:t>
      </w:r>
    </w:p>
    <w:p w:rsidR="00D57D16" w:rsidRDefault="00D57D16" w:rsidP="00A1365E">
      <w:pPr>
        <w:jc w:val="left"/>
      </w:pPr>
    </w:p>
    <w:p w:rsidR="00B1681D" w:rsidRPr="00A06855" w:rsidRDefault="001C412E" w:rsidP="001C412E">
      <w:pPr>
        <w:pStyle w:val="Heading3"/>
        <w:jc w:val="left"/>
      </w:pPr>
      <w:bookmarkStart w:id="10" w:name="_Toc454910564"/>
      <w:r w:rsidRPr="00A06855">
        <w:rPr>
          <w:caps w:val="0"/>
        </w:rPr>
        <w:lastRenderedPageBreak/>
        <w:t>2.</w:t>
      </w:r>
      <w:r w:rsidR="005823FA" w:rsidRPr="00A06855">
        <w:rPr>
          <w:caps w:val="0"/>
        </w:rPr>
        <w:t>5</w:t>
      </w:r>
      <w:r w:rsidRPr="00A06855">
        <w:rPr>
          <w:caps w:val="0"/>
        </w:rPr>
        <w:t xml:space="preserve"> </w:t>
      </w:r>
      <w:r w:rsidR="00E44662" w:rsidRPr="00A06855">
        <w:rPr>
          <w:caps w:val="0"/>
        </w:rPr>
        <w:t>Data</w:t>
      </w:r>
      <w:r w:rsidR="00B1681D" w:rsidRPr="00A06855">
        <w:rPr>
          <w:caps w:val="0"/>
        </w:rPr>
        <w:t xml:space="preserve">base </w:t>
      </w:r>
      <w:r w:rsidR="00B665CA" w:rsidRPr="00A06855">
        <w:rPr>
          <w:caps w:val="0"/>
        </w:rPr>
        <w:t>migration</w:t>
      </w:r>
      <w:bookmarkEnd w:id="10"/>
    </w:p>
    <w:p w:rsidR="00B665CA" w:rsidRPr="00A06855" w:rsidRDefault="00B665CA" w:rsidP="00B665CA">
      <w:pPr>
        <w:jc w:val="left"/>
      </w:pPr>
      <w:r w:rsidRPr="00A06855">
        <w:t xml:space="preserve">In September 2015 Ofsted changed how it records and stores all of its inspection information, with the introduction of a new database. As part of the data migration, one missing inspection and a small number of missing judgements were identified and have been corrected. Details are below:    </w:t>
      </w:r>
    </w:p>
    <w:p w:rsidR="00B665CA" w:rsidRPr="00A06855" w:rsidRDefault="00B665CA" w:rsidP="00B665CA">
      <w:pPr>
        <w:jc w:val="left"/>
      </w:pPr>
    </w:p>
    <w:p w:rsidR="00B665CA" w:rsidRPr="00A06855" w:rsidRDefault="00B665CA" w:rsidP="00B665CA">
      <w:pPr>
        <w:spacing w:after="120"/>
        <w:jc w:val="left"/>
        <w:rPr>
          <w:u w:val="single"/>
        </w:rPr>
      </w:pPr>
      <w:r w:rsidRPr="00A06855">
        <w:rPr>
          <w:u w:val="single"/>
        </w:rPr>
        <w:t>Revision 1</w:t>
      </w:r>
    </w:p>
    <w:p w:rsidR="00B665CA" w:rsidRPr="00A06855" w:rsidRDefault="00B665CA" w:rsidP="00B665CA">
      <w:pPr>
        <w:jc w:val="left"/>
      </w:pPr>
      <w:r w:rsidRPr="00A06855">
        <w:t>There has been one addition to the in-year historical inspection outcomes for 2013/14. This inspection was for an independent learning provider that was judged to be inadequate for overall effectiveness.</w:t>
      </w:r>
    </w:p>
    <w:p w:rsidR="00B665CA" w:rsidRPr="00A06855" w:rsidRDefault="00B665CA" w:rsidP="00B665CA">
      <w:pPr>
        <w:jc w:val="left"/>
      </w:pPr>
    </w:p>
    <w:p w:rsidR="00B665CA" w:rsidRPr="00A06855" w:rsidRDefault="00B665CA" w:rsidP="00B665CA">
      <w:pPr>
        <w:jc w:val="left"/>
      </w:pPr>
      <w:r w:rsidRPr="00A06855">
        <w:t>The impact of this revision is that the proportion of independent learning providers (including employer providers) judged to be inadequate between 1 September 2013 and 31 August 2014 rose by one percentage point, to 9%. This did not affect the proportions judged to be outstanding, good or requiring improvement.</w:t>
      </w:r>
    </w:p>
    <w:p w:rsidR="00B665CA" w:rsidRPr="00A06855" w:rsidRDefault="00B665CA" w:rsidP="00B665CA">
      <w:pPr>
        <w:jc w:val="left"/>
      </w:pPr>
    </w:p>
    <w:p w:rsidR="00B665CA" w:rsidRPr="00A06855" w:rsidRDefault="00B665CA" w:rsidP="00B665CA">
      <w:pPr>
        <w:jc w:val="left"/>
      </w:pPr>
      <w:r w:rsidRPr="00A06855">
        <w:t>The revision also changed the number of previously grade 3 providers that improved, stayed the same or declined during 2013/14, but did not affect the percentages reported.</w:t>
      </w:r>
    </w:p>
    <w:p w:rsidR="00B665CA" w:rsidRPr="00A06855" w:rsidRDefault="00B665CA" w:rsidP="00B665CA">
      <w:pPr>
        <w:jc w:val="left"/>
      </w:pPr>
    </w:p>
    <w:p w:rsidR="00B665CA" w:rsidRPr="00A06855" w:rsidRDefault="00B665CA" w:rsidP="00B665CA">
      <w:pPr>
        <w:spacing w:after="120"/>
        <w:jc w:val="left"/>
        <w:rPr>
          <w:u w:val="single"/>
        </w:rPr>
      </w:pPr>
      <w:r w:rsidRPr="00A06855">
        <w:rPr>
          <w:u w:val="single"/>
        </w:rPr>
        <w:t>Revision 2</w:t>
      </w:r>
    </w:p>
    <w:p w:rsidR="00B665CA" w:rsidRPr="00A06855" w:rsidRDefault="00B665CA" w:rsidP="00B665CA">
      <w:pPr>
        <w:jc w:val="left"/>
      </w:pPr>
      <w:r w:rsidRPr="00A06855">
        <w:t>As at 31 August 2015, 47 providers that were last inspected between 2006 and 2009 did not have an ‘outcomes for learners’ judgement recorded (these judgements were made at the time of inspection, under the old judgement ‘achievement and standards’). Out of the 47 providers, 40 were found to be outstanding and seven good. This revision has no impact on the previously published key findings or ‘tables and charts’ files.</w:t>
      </w:r>
    </w:p>
    <w:p w:rsidR="00B665CA" w:rsidRPr="00A06855" w:rsidRDefault="00B665CA" w:rsidP="00B665CA">
      <w:pPr>
        <w:jc w:val="left"/>
      </w:pPr>
    </w:p>
    <w:p w:rsidR="00B665CA" w:rsidRPr="00A06855" w:rsidRDefault="00B665CA" w:rsidP="00B665CA">
      <w:pPr>
        <w:jc w:val="left"/>
      </w:pPr>
      <w:r w:rsidRPr="00A06855">
        <w:t>These outcomes have now been added to the underlying data supporting this Official Statistics release and a separate data set will be published amending the underlying data for the 31 August 2015.</w:t>
      </w:r>
    </w:p>
    <w:p w:rsidR="00B665CA" w:rsidRPr="00A06855" w:rsidRDefault="00B665CA" w:rsidP="00B665CA">
      <w:pPr>
        <w:jc w:val="left"/>
      </w:pPr>
    </w:p>
    <w:p w:rsidR="00B665CA" w:rsidRPr="00A06855" w:rsidRDefault="00B665CA" w:rsidP="00B665CA">
      <w:pPr>
        <w:spacing w:after="120"/>
        <w:jc w:val="left"/>
        <w:rPr>
          <w:u w:val="single"/>
        </w:rPr>
      </w:pPr>
      <w:r w:rsidRPr="00A06855">
        <w:rPr>
          <w:u w:val="single"/>
        </w:rPr>
        <w:t>Revision 3</w:t>
      </w:r>
    </w:p>
    <w:p w:rsidR="00B665CA" w:rsidRPr="00A06855" w:rsidRDefault="00B665CA" w:rsidP="00B665CA">
      <w:pPr>
        <w:jc w:val="left"/>
      </w:pPr>
      <w:r w:rsidRPr="00A06855">
        <w:t xml:space="preserve">As at 31 August 2015, 58 providers that were last inspected between 2006 and 2009 did not have a ‘teaching, learning and assessment’ </w:t>
      </w:r>
      <w:r w:rsidRPr="003F0490">
        <w:t>judgement recorded (</w:t>
      </w:r>
      <w:r w:rsidR="00BF0382">
        <w:t>comparable</w:t>
      </w:r>
      <w:r w:rsidRPr="003F0490">
        <w:t xml:space="preserve"> judgements were made at the time of inspection, recorded in the text under the old judgement ‘quality of provision’).</w:t>
      </w:r>
      <w:r w:rsidRPr="00A06855">
        <w:t xml:space="preserve"> Out of the 58 providers, 40 were found to be outstanding, 17 good and one satisfactory. This revision has no impact on the previously published key findings or ‘tables and charts’ files.</w:t>
      </w:r>
    </w:p>
    <w:p w:rsidR="00B665CA" w:rsidRPr="00A06855" w:rsidRDefault="00B665CA" w:rsidP="00B665CA">
      <w:pPr>
        <w:jc w:val="left"/>
      </w:pPr>
    </w:p>
    <w:p w:rsidR="00E44662" w:rsidRPr="00A06855" w:rsidRDefault="00B665CA" w:rsidP="00B665CA">
      <w:pPr>
        <w:jc w:val="left"/>
      </w:pPr>
      <w:r w:rsidRPr="00A06855">
        <w:t>These outcomes have now been added to the underlying data supporting this Official Statistics release and a separate data set will be published amending the underlying data for the 31 August 2015</w:t>
      </w:r>
      <w:r w:rsidR="00E44662" w:rsidRPr="00A06855">
        <w:t>.</w:t>
      </w:r>
    </w:p>
    <w:p w:rsidR="00E44662" w:rsidRPr="00A06855" w:rsidRDefault="00E44662" w:rsidP="001C412E">
      <w:pPr>
        <w:jc w:val="left"/>
      </w:pPr>
    </w:p>
    <w:p w:rsidR="00E44662" w:rsidRPr="00A06855" w:rsidRDefault="00416547" w:rsidP="00416547">
      <w:pPr>
        <w:pStyle w:val="Heading3"/>
        <w:jc w:val="left"/>
      </w:pPr>
      <w:bookmarkStart w:id="11" w:name="_Toc454910565"/>
      <w:r w:rsidRPr="00A06855">
        <w:rPr>
          <w:caps w:val="0"/>
        </w:rPr>
        <w:lastRenderedPageBreak/>
        <w:t>2.</w:t>
      </w:r>
      <w:r w:rsidR="005823FA" w:rsidRPr="00A06855">
        <w:rPr>
          <w:caps w:val="0"/>
        </w:rPr>
        <w:t>6</w:t>
      </w:r>
      <w:r w:rsidRPr="00A06855">
        <w:rPr>
          <w:caps w:val="0"/>
        </w:rPr>
        <w:t xml:space="preserve"> </w:t>
      </w:r>
      <w:r w:rsidR="0025793D">
        <w:rPr>
          <w:caps w:val="0"/>
        </w:rPr>
        <w:t>A</w:t>
      </w:r>
      <w:r w:rsidR="00D57D16" w:rsidRPr="00A06855">
        <w:rPr>
          <w:caps w:val="0"/>
        </w:rPr>
        <w:t>ggregation of in-year</w:t>
      </w:r>
      <w:r w:rsidRPr="00A06855">
        <w:rPr>
          <w:caps w:val="0"/>
        </w:rPr>
        <w:t xml:space="preserve"> statistics</w:t>
      </w:r>
      <w:bookmarkEnd w:id="11"/>
    </w:p>
    <w:p w:rsidR="00416547" w:rsidRPr="00A06855" w:rsidRDefault="00416547" w:rsidP="001C412E">
      <w:pPr>
        <w:jc w:val="left"/>
      </w:pPr>
      <w:r w:rsidRPr="00A06855">
        <w:t>The in-year statistics over</w:t>
      </w:r>
      <w:r w:rsidR="005F0BD4">
        <w:t xml:space="preserve"> </w:t>
      </w:r>
      <w:r w:rsidRPr="00A06855">
        <w:t>time have been re</w:t>
      </w:r>
      <w:r w:rsidR="0025793D">
        <w:t>calculated</w:t>
      </w:r>
      <w:r w:rsidRPr="00A06855">
        <w:t xml:space="preserve"> to account for the changes listed above and to make the data </w:t>
      </w:r>
      <w:r w:rsidR="00D57D16" w:rsidRPr="00A06855">
        <w:t>over</w:t>
      </w:r>
      <w:r w:rsidR="005F0BD4">
        <w:t xml:space="preserve"> </w:t>
      </w:r>
      <w:r w:rsidR="00D57D16" w:rsidRPr="00A06855">
        <w:t xml:space="preserve">time </w:t>
      </w:r>
      <w:r w:rsidRPr="00A06855">
        <w:t>comparable</w:t>
      </w:r>
      <w:r w:rsidR="005F0BD4">
        <w:t>. We hope</w:t>
      </w:r>
      <w:r w:rsidRPr="00A06855">
        <w:t xml:space="preserve"> users</w:t>
      </w:r>
      <w:r w:rsidR="005F0BD4">
        <w:t xml:space="preserve"> will find this helpful</w:t>
      </w:r>
      <w:r w:rsidRPr="00A06855">
        <w:t>.</w:t>
      </w:r>
    </w:p>
    <w:p w:rsidR="00416547" w:rsidRPr="00A06855" w:rsidRDefault="00416547" w:rsidP="001C412E">
      <w:pPr>
        <w:jc w:val="left"/>
      </w:pPr>
    </w:p>
    <w:p w:rsidR="00A06855" w:rsidRPr="00A06855" w:rsidRDefault="00A06855" w:rsidP="00A06855">
      <w:pPr>
        <w:pStyle w:val="Heading3"/>
        <w:jc w:val="left"/>
        <w:rPr>
          <w:caps w:val="0"/>
        </w:rPr>
      </w:pPr>
      <w:bookmarkStart w:id="12" w:name="_Toc454910566"/>
      <w:r w:rsidRPr="00A06855">
        <w:rPr>
          <w:caps w:val="0"/>
        </w:rPr>
        <w:t>2.7 Published underlying data</w:t>
      </w:r>
      <w:bookmarkEnd w:id="12"/>
    </w:p>
    <w:p w:rsidR="00A06855" w:rsidRPr="00A06855" w:rsidRDefault="00A06855" w:rsidP="00A06855">
      <w:pPr>
        <w:jc w:val="left"/>
      </w:pPr>
      <w:r w:rsidRPr="00A06855">
        <w:t xml:space="preserve">Previously, the underlying data for the Official Statistics were published as separate files, available from the same landing page as the key findings.    </w:t>
      </w:r>
    </w:p>
    <w:p w:rsidR="00A06855" w:rsidRPr="00A06855" w:rsidRDefault="00A06855" w:rsidP="00A06855">
      <w:pPr>
        <w:jc w:val="left"/>
      </w:pPr>
    </w:p>
    <w:p w:rsidR="00A06855" w:rsidRDefault="00A06855" w:rsidP="00A06855">
      <w:pPr>
        <w:jc w:val="left"/>
      </w:pPr>
      <w:r w:rsidRPr="00A06855">
        <w:t>To be more consistent across the Official Statistics published by Ofsted, we are now including our underlying data within the ‘data, tables and charts’ file. We have also included additional columns of data to make the statistics more useful.</w:t>
      </w:r>
    </w:p>
    <w:p w:rsidR="00904177" w:rsidRDefault="00904177" w:rsidP="00A06855">
      <w:pPr>
        <w:jc w:val="left"/>
      </w:pPr>
    </w:p>
    <w:p w:rsidR="00A06855" w:rsidRPr="00A06855" w:rsidRDefault="00A06855" w:rsidP="00A06855">
      <w:pPr>
        <w:jc w:val="left"/>
      </w:pPr>
    </w:p>
    <w:p w:rsidR="00B408A8" w:rsidRDefault="00B408A8" w:rsidP="001C412E">
      <w:pPr>
        <w:jc w:val="left"/>
      </w:pPr>
    </w:p>
    <w:p w:rsidR="00B84682" w:rsidRDefault="00B84682" w:rsidP="003C1180">
      <w:pPr>
        <w:pStyle w:val="Heading1"/>
        <w:numPr>
          <w:ilvl w:val="0"/>
          <w:numId w:val="4"/>
        </w:numPr>
        <w:jc w:val="left"/>
      </w:pPr>
      <w:bookmarkStart w:id="13" w:name="_Toc454910567"/>
      <w:r>
        <w:rPr>
          <w:caps w:val="0"/>
        </w:rPr>
        <w:t xml:space="preserve">Changes open </w:t>
      </w:r>
      <w:r w:rsidR="00015CCE">
        <w:rPr>
          <w:caps w:val="0"/>
        </w:rPr>
        <w:t>for</w:t>
      </w:r>
      <w:r>
        <w:rPr>
          <w:caps w:val="0"/>
        </w:rPr>
        <w:t xml:space="preserve"> consultation</w:t>
      </w:r>
      <w:bookmarkEnd w:id="13"/>
    </w:p>
    <w:p w:rsidR="002607F4" w:rsidRDefault="00595F42" w:rsidP="003C1180">
      <w:pPr>
        <w:jc w:val="left"/>
      </w:pPr>
      <w:r w:rsidRPr="00E87453">
        <w:t xml:space="preserve">Listed below </w:t>
      </w:r>
      <w:r w:rsidR="002607F4" w:rsidRPr="00E87453">
        <w:t xml:space="preserve">are the changes </w:t>
      </w:r>
      <w:r w:rsidR="00AF14DA" w:rsidRPr="00E87453">
        <w:t xml:space="preserve">open </w:t>
      </w:r>
      <w:r w:rsidR="002607F4" w:rsidRPr="00E87453">
        <w:t>for</w:t>
      </w:r>
      <w:r w:rsidR="00AF14DA" w:rsidRPr="00E87453">
        <w:t xml:space="preserve"> consultation.</w:t>
      </w:r>
    </w:p>
    <w:p w:rsidR="002607F4" w:rsidRDefault="002607F4" w:rsidP="003C1180">
      <w:pPr>
        <w:jc w:val="left"/>
      </w:pPr>
    </w:p>
    <w:p w:rsidR="00667D33" w:rsidRPr="00A06855" w:rsidRDefault="00667D33" w:rsidP="003C1180">
      <w:pPr>
        <w:pStyle w:val="Heading3"/>
        <w:jc w:val="left"/>
        <w:rPr>
          <w:caps w:val="0"/>
        </w:rPr>
      </w:pPr>
      <w:bookmarkStart w:id="14" w:name="_Toc454910568"/>
      <w:r w:rsidRPr="00A06855">
        <w:rPr>
          <w:caps w:val="0"/>
        </w:rPr>
        <w:t>3.1 ‘All further education and skills provider</w:t>
      </w:r>
      <w:r w:rsidR="005F719F" w:rsidRPr="00A06855">
        <w:rPr>
          <w:caps w:val="0"/>
        </w:rPr>
        <w:t>s</w:t>
      </w:r>
      <w:r w:rsidRPr="00A06855">
        <w:rPr>
          <w:caps w:val="0"/>
        </w:rPr>
        <w:t>’ aggregation</w:t>
      </w:r>
      <w:bookmarkEnd w:id="14"/>
    </w:p>
    <w:p w:rsidR="00B976B2" w:rsidRDefault="00B976B2" w:rsidP="003C1180">
      <w:pPr>
        <w:jc w:val="left"/>
      </w:pPr>
      <w:r w:rsidRPr="00A06855">
        <w:rPr>
          <w:rFonts w:cs="Tahoma"/>
          <w:color w:val="000000"/>
        </w:rPr>
        <w:t xml:space="preserve">We are seeking users’ views as to whether </w:t>
      </w:r>
      <w:r w:rsidRPr="00A06855">
        <w:t>National Careers Service contractors and higher education institutions should be included within the ‘all further education and skills providers’ aggregation.</w:t>
      </w:r>
    </w:p>
    <w:p w:rsidR="00B976B2" w:rsidRDefault="00B976B2" w:rsidP="003C1180">
      <w:pPr>
        <w:jc w:val="left"/>
      </w:pPr>
    </w:p>
    <w:p w:rsidR="00925A17" w:rsidRPr="00A06855" w:rsidRDefault="00D57D16" w:rsidP="003C1180">
      <w:pPr>
        <w:jc w:val="left"/>
      </w:pPr>
      <w:r w:rsidRPr="00A06855">
        <w:rPr>
          <w:rFonts w:cs="Tahoma"/>
          <w:color w:val="000000"/>
        </w:rPr>
        <w:t xml:space="preserve">Prior to 1 September 2015 </w:t>
      </w:r>
      <w:r w:rsidRPr="00A06855">
        <w:t>National Careers S</w:t>
      </w:r>
      <w:r w:rsidR="0039525B" w:rsidRPr="00A06855">
        <w:t>ervice contractors and higher education institutions</w:t>
      </w:r>
      <w:r w:rsidR="005F719F" w:rsidRPr="00A06855">
        <w:t xml:space="preserve"> (delivering further education) were excluded from the </w:t>
      </w:r>
      <w:r w:rsidR="00B950D9" w:rsidRPr="00A06855">
        <w:t xml:space="preserve">aggregation of </w:t>
      </w:r>
      <w:r w:rsidR="005F719F" w:rsidRPr="00A06855">
        <w:t>‘all further education and skills providers’</w:t>
      </w:r>
      <w:r w:rsidR="00B950D9" w:rsidRPr="00A06855">
        <w:t>,</w:t>
      </w:r>
      <w:r w:rsidR="005F719F" w:rsidRPr="00A06855">
        <w:t xml:space="preserve"> </w:t>
      </w:r>
      <w:r w:rsidR="00B950D9" w:rsidRPr="00A06855">
        <w:t>which</w:t>
      </w:r>
      <w:r w:rsidR="00925A17" w:rsidRPr="00A06855">
        <w:t xml:space="preserve"> appeared on both the in-year and</w:t>
      </w:r>
      <w:r w:rsidR="007F66F3">
        <w:t xml:space="preserve"> most recent inspection outcome</w:t>
      </w:r>
      <w:r w:rsidR="00925A17" w:rsidRPr="00A06855">
        <w:t xml:space="preserve"> tables and charts.</w:t>
      </w:r>
    </w:p>
    <w:p w:rsidR="00925A17" w:rsidRPr="00A06855" w:rsidRDefault="00925A17" w:rsidP="003C1180">
      <w:pPr>
        <w:jc w:val="left"/>
      </w:pPr>
    </w:p>
    <w:p w:rsidR="00925A17" w:rsidRPr="00A06855" w:rsidRDefault="00925A17" w:rsidP="003C1180">
      <w:pPr>
        <w:jc w:val="left"/>
      </w:pPr>
      <w:r w:rsidRPr="00A06855">
        <w:t>These providers were included in the underlying data, tables and charts for the in-year reporting, but were not included as part of the aggregated figure for ‘all further education and ski</w:t>
      </w:r>
      <w:r w:rsidR="00AD22EB">
        <w:t>lls providers’</w:t>
      </w:r>
      <w:r w:rsidR="007F66F3">
        <w:t>, which appeared in the same tables and charts</w:t>
      </w:r>
      <w:r w:rsidRPr="00A06855">
        <w:t>. They were completely excluded from the most recent inspection outcome</w:t>
      </w:r>
      <w:r w:rsidR="003C3286">
        <w:t xml:space="preserve"> statistics</w:t>
      </w:r>
      <w:r w:rsidRPr="00A06855">
        <w:t xml:space="preserve">. </w:t>
      </w:r>
    </w:p>
    <w:p w:rsidR="00925A17" w:rsidRPr="00A06855" w:rsidRDefault="00925A17" w:rsidP="003C1180">
      <w:pPr>
        <w:jc w:val="left"/>
      </w:pPr>
    </w:p>
    <w:p w:rsidR="007F66F3" w:rsidRDefault="00925A17" w:rsidP="003C1180">
      <w:pPr>
        <w:jc w:val="left"/>
      </w:pPr>
      <w:r w:rsidRPr="00A06855">
        <w:t>F</w:t>
      </w:r>
      <w:r w:rsidR="002052D2" w:rsidRPr="00A06855">
        <w:t xml:space="preserve">rom 1 September 2015 we are proposing to include both of these provider types within the </w:t>
      </w:r>
      <w:r w:rsidRPr="00A06855">
        <w:t xml:space="preserve">‘all further education and skills providers’ </w:t>
      </w:r>
      <w:r w:rsidR="002052D2" w:rsidRPr="00A06855">
        <w:t xml:space="preserve">aggregation, so that it becomes a true representation of </w:t>
      </w:r>
      <w:r w:rsidR="00707E3A" w:rsidRPr="00A06855">
        <w:t xml:space="preserve">all </w:t>
      </w:r>
      <w:r w:rsidR="002052D2" w:rsidRPr="00A06855">
        <w:t>further education and skills providers.</w:t>
      </w:r>
      <w:r w:rsidR="00707E3A" w:rsidRPr="00A06855">
        <w:t xml:space="preserve"> (Prison and young offender institutions will continue to be excluded</w:t>
      </w:r>
      <w:r w:rsidRPr="00A06855">
        <w:t>,</w:t>
      </w:r>
      <w:r w:rsidR="00707E3A" w:rsidRPr="00A06855">
        <w:t xml:space="preserve"> as the inspection is led by Her Majesty’s Inspectorate of Prisons.)</w:t>
      </w:r>
      <w:r w:rsidR="007F66F3">
        <w:t xml:space="preserve"> </w:t>
      </w:r>
    </w:p>
    <w:p w:rsidR="007F66F3" w:rsidRDefault="007F66F3" w:rsidP="003C1180">
      <w:pPr>
        <w:jc w:val="left"/>
      </w:pPr>
    </w:p>
    <w:p w:rsidR="002052D2" w:rsidRPr="00A06855" w:rsidRDefault="007F66F3" w:rsidP="003C1180">
      <w:pPr>
        <w:jc w:val="left"/>
      </w:pPr>
      <w:r>
        <w:t>This will affect both the in-year reporting and the most recent inspection outcomes:</w:t>
      </w:r>
    </w:p>
    <w:p w:rsidR="007F66F3" w:rsidRDefault="007F66F3" w:rsidP="00D57D16">
      <w:pPr>
        <w:jc w:val="left"/>
      </w:pPr>
    </w:p>
    <w:p w:rsidR="0097609D" w:rsidRPr="0097609D" w:rsidRDefault="0097609D" w:rsidP="00A86CD7">
      <w:pPr>
        <w:spacing w:after="120"/>
        <w:jc w:val="left"/>
        <w:rPr>
          <w:u w:val="single"/>
        </w:rPr>
      </w:pPr>
      <w:r w:rsidRPr="0097609D">
        <w:rPr>
          <w:u w:val="single"/>
        </w:rPr>
        <w:lastRenderedPageBreak/>
        <w:t>In-year reporting</w:t>
      </w:r>
    </w:p>
    <w:p w:rsidR="003C3286" w:rsidRDefault="003C3286" w:rsidP="00D57D16">
      <w:pPr>
        <w:jc w:val="left"/>
      </w:pPr>
      <w:r w:rsidRPr="00886515">
        <w:t>National Careers Service contractors and higher education institutions</w:t>
      </w:r>
      <w:r>
        <w:t xml:space="preserve"> have been included within the </w:t>
      </w:r>
      <w:r w:rsidRPr="00A06855">
        <w:t>‘all further education and skills providers’ aggregation</w:t>
      </w:r>
      <w:r w:rsidRPr="00886515">
        <w:t>.</w:t>
      </w:r>
    </w:p>
    <w:p w:rsidR="003C3286" w:rsidRDefault="003C3286" w:rsidP="00D57D16">
      <w:pPr>
        <w:jc w:val="left"/>
      </w:pPr>
    </w:p>
    <w:p w:rsidR="003C3286" w:rsidRPr="00A06855" w:rsidRDefault="003C3286" w:rsidP="003C3286">
      <w:pPr>
        <w:jc w:val="left"/>
      </w:pPr>
      <w:r w:rsidRPr="00A06855">
        <w:t>The in-year statistics over</w:t>
      </w:r>
      <w:r w:rsidR="00812959">
        <w:t xml:space="preserve"> </w:t>
      </w:r>
      <w:r w:rsidRPr="00A06855">
        <w:t>time have been re</w:t>
      </w:r>
      <w:r>
        <w:t>calculated</w:t>
      </w:r>
      <w:r w:rsidRPr="00A06855">
        <w:t xml:space="preserve"> to </w:t>
      </w:r>
      <w:r>
        <w:t xml:space="preserve">include the two provider types and </w:t>
      </w:r>
      <w:r w:rsidRPr="00A06855">
        <w:t xml:space="preserve">make the data </w:t>
      </w:r>
      <w:r>
        <w:t>c</w:t>
      </w:r>
      <w:r w:rsidRPr="00A06855">
        <w:t>omparable for users.</w:t>
      </w:r>
    </w:p>
    <w:p w:rsidR="0097609D" w:rsidRDefault="0097609D" w:rsidP="00D57D16">
      <w:pPr>
        <w:jc w:val="left"/>
      </w:pPr>
    </w:p>
    <w:p w:rsidR="0097609D" w:rsidRPr="0097609D" w:rsidRDefault="0097609D" w:rsidP="00A86CD7">
      <w:pPr>
        <w:spacing w:after="120"/>
        <w:jc w:val="left"/>
        <w:rPr>
          <w:u w:val="single"/>
        </w:rPr>
      </w:pPr>
      <w:r w:rsidRPr="0097609D">
        <w:rPr>
          <w:u w:val="single"/>
        </w:rPr>
        <w:t xml:space="preserve">Most recent inspection outcomes </w:t>
      </w:r>
    </w:p>
    <w:p w:rsidR="002024B9" w:rsidRDefault="00AD22EB" w:rsidP="00886515">
      <w:pPr>
        <w:jc w:val="left"/>
      </w:pPr>
      <w:r w:rsidRPr="00AD22EB">
        <w:t xml:space="preserve">For the statistics as at 29 February 2016, </w:t>
      </w:r>
      <w:r w:rsidRPr="00886515">
        <w:t>National Careers Service contractors and higher education institutions</w:t>
      </w:r>
      <w:r>
        <w:t xml:space="preserve"> have been included within the </w:t>
      </w:r>
      <w:r w:rsidRPr="00A06855">
        <w:t>‘all further education and skills providers’ aggregation</w:t>
      </w:r>
      <w:r w:rsidRPr="00886515">
        <w:t>.</w:t>
      </w:r>
      <w:r>
        <w:t xml:space="preserve"> </w:t>
      </w:r>
    </w:p>
    <w:p w:rsidR="002024B9" w:rsidRDefault="002024B9" w:rsidP="00886515">
      <w:pPr>
        <w:jc w:val="left"/>
      </w:pPr>
    </w:p>
    <w:p w:rsidR="00AD22EB" w:rsidRPr="00AD22EB" w:rsidRDefault="00AD22EB" w:rsidP="00886515">
      <w:pPr>
        <w:jc w:val="left"/>
      </w:pPr>
      <w:r>
        <w:t>Unfortunately, the most recent inspection ou</w:t>
      </w:r>
      <w:r w:rsidRPr="002024B9">
        <w:t xml:space="preserve">tcomes </w:t>
      </w:r>
      <w:r w:rsidR="002024B9" w:rsidRPr="002024B9">
        <w:t xml:space="preserve">for ‘all further education and skills </w:t>
      </w:r>
      <w:r w:rsidR="002024B9" w:rsidRPr="00E87453">
        <w:t xml:space="preserve">providers’ </w:t>
      </w:r>
      <w:r w:rsidRPr="00E87453">
        <w:t>cannot be recalculated</w:t>
      </w:r>
      <w:r w:rsidR="00812959" w:rsidRPr="00E87453">
        <w:t xml:space="preserve"> for previous years</w:t>
      </w:r>
      <w:r w:rsidR="00156B63" w:rsidRPr="00E87453">
        <w:t xml:space="preserve">, as we do not hold a record of </w:t>
      </w:r>
      <w:r w:rsidR="002024B9" w:rsidRPr="00E87453">
        <w:t xml:space="preserve">the National Careers Service contractors and higher education institutions  that </w:t>
      </w:r>
      <w:r w:rsidR="00156B63" w:rsidRPr="00E87453">
        <w:t>were</w:t>
      </w:r>
      <w:r w:rsidR="00BE0386" w:rsidRPr="00E87453">
        <w:t xml:space="preserve"> </w:t>
      </w:r>
      <w:r w:rsidR="002024B9" w:rsidRPr="00E87453">
        <w:t>open and funded as at 31 August each year.</w:t>
      </w:r>
      <w:r w:rsidR="002024B9">
        <w:t xml:space="preserve"> </w:t>
      </w:r>
      <w:r w:rsidR="00156B63">
        <w:t xml:space="preserve">  </w:t>
      </w:r>
      <w:r>
        <w:t xml:space="preserve">  </w:t>
      </w:r>
    </w:p>
    <w:p w:rsidR="00AD22EB" w:rsidRDefault="00AD22EB" w:rsidP="00886515">
      <w:pPr>
        <w:jc w:val="left"/>
        <w:rPr>
          <w:highlight w:val="yellow"/>
        </w:rPr>
      </w:pPr>
    </w:p>
    <w:p w:rsidR="007468CF" w:rsidRPr="005F0A6C" w:rsidRDefault="00E75617" w:rsidP="00D57D16">
      <w:pPr>
        <w:jc w:val="left"/>
      </w:pPr>
      <w:r w:rsidRPr="005F0A6C">
        <w:t xml:space="preserve">By making this change the most recent </w:t>
      </w:r>
      <w:r w:rsidR="00707E3A" w:rsidRPr="005F0A6C">
        <w:t xml:space="preserve">inspection </w:t>
      </w:r>
      <w:r w:rsidRPr="005F0A6C">
        <w:t xml:space="preserve">outcomes for National Careers Service contractors and higher education institutions </w:t>
      </w:r>
      <w:r w:rsidR="002024B9" w:rsidRPr="005F0A6C">
        <w:t>would</w:t>
      </w:r>
      <w:r w:rsidRPr="005F0A6C">
        <w:t xml:space="preserve"> be made available in the underlying data, tables and charts</w:t>
      </w:r>
      <w:r w:rsidR="00925A17" w:rsidRPr="005F0A6C">
        <w:t>.</w:t>
      </w:r>
      <w:r w:rsidR="00BB02FE" w:rsidRPr="005F0A6C">
        <w:t xml:space="preserve"> This w</w:t>
      </w:r>
      <w:r w:rsidR="00923177" w:rsidRPr="005F0A6C">
        <w:t>ould</w:t>
      </w:r>
      <w:r w:rsidR="00BB02FE" w:rsidRPr="005F0A6C">
        <w:t xml:space="preserve"> </w:t>
      </w:r>
      <w:r w:rsidR="007468CF" w:rsidRPr="005F0A6C">
        <w:t xml:space="preserve">create a comprehensive view of the inspection outcomes for all National Careers Service contractors </w:t>
      </w:r>
      <w:r w:rsidR="00923177" w:rsidRPr="005F0A6C">
        <w:t>and</w:t>
      </w:r>
      <w:r w:rsidR="007468CF" w:rsidRPr="005F0A6C">
        <w:t xml:space="preserve"> higher education institutions, rather than only being able to see the providers that had been inspected within one reporting year. </w:t>
      </w:r>
    </w:p>
    <w:p w:rsidR="00BB02FE" w:rsidRPr="00667D33" w:rsidRDefault="00BB02FE" w:rsidP="00D57D16">
      <w:pPr>
        <w:jc w:val="left"/>
      </w:pPr>
    </w:p>
    <w:p w:rsidR="00B84682" w:rsidRPr="00FC13A3" w:rsidRDefault="00AF0CE7" w:rsidP="001C412E">
      <w:pPr>
        <w:pStyle w:val="Heading3"/>
        <w:jc w:val="left"/>
        <w:rPr>
          <w:caps w:val="0"/>
        </w:rPr>
      </w:pPr>
      <w:bookmarkStart w:id="15" w:name="_Toc454910569"/>
      <w:r>
        <w:rPr>
          <w:caps w:val="0"/>
        </w:rPr>
        <w:t>3.2</w:t>
      </w:r>
      <w:r w:rsidR="001C412E">
        <w:rPr>
          <w:caps w:val="0"/>
        </w:rPr>
        <w:t xml:space="preserve"> </w:t>
      </w:r>
      <w:r w:rsidR="00925A17">
        <w:rPr>
          <w:caps w:val="0"/>
        </w:rPr>
        <w:t>Methodology change for the</w:t>
      </w:r>
      <w:r w:rsidR="00FC13A3" w:rsidRPr="00FC13A3">
        <w:rPr>
          <w:caps w:val="0"/>
        </w:rPr>
        <w:t xml:space="preserve"> most recent outcomes</w:t>
      </w:r>
      <w:bookmarkEnd w:id="15"/>
    </w:p>
    <w:p w:rsidR="00973E13" w:rsidRDefault="00973E13" w:rsidP="00973E13">
      <w:pPr>
        <w:jc w:val="left"/>
      </w:pPr>
      <w:r>
        <w:rPr>
          <w:rFonts w:cs="Tahoma"/>
          <w:color w:val="000000"/>
        </w:rPr>
        <w:t>We are seeking users</w:t>
      </w:r>
      <w:r w:rsidR="00D42F9A">
        <w:rPr>
          <w:rFonts w:cs="Tahoma"/>
          <w:color w:val="000000"/>
        </w:rPr>
        <w:t>’</w:t>
      </w:r>
      <w:r>
        <w:rPr>
          <w:rFonts w:cs="Tahoma"/>
          <w:color w:val="000000"/>
        </w:rPr>
        <w:t xml:space="preserve"> views as to whether providers </w:t>
      </w:r>
      <w:r w:rsidR="00D02E0A">
        <w:rPr>
          <w:rFonts w:cs="Tahoma"/>
          <w:color w:val="000000"/>
        </w:rPr>
        <w:t>that</w:t>
      </w:r>
      <w:r>
        <w:rPr>
          <w:rFonts w:cs="Tahoma"/>
          <w:color w:val="000000"/>
        </w:rPr>
        <w:t xml:space="preserve"> ceased to be funded or closed during the year should no longer be included in the </w:t>
      </w:r>
      <w:r w:rsidR="00890451">
        <w:rPr>
          <w:rFonts w:cs="Tahoma"/>
          <w:color w:val="000000"/>
        </w:rPr>
        <w:t xml:space="preserve">most recent inspection </w:t>
      </w:r>
      <w:r w:rsidR="00FB1175">
        <w:rPr>
          <w:rFonts w:cs="Tahoma"/>
          <w:color w:val="000000"/>
        </w:rPr>
        <w:t xml:space="preserve">outcome </w:t>
      </w:r>
      <w:r>
        <w:rPr>
          <w:rFonts w:cs="Tahoma"/>
          <w:color w:val="000000"/>
        </w:rPr>
        <w:t>statist</w:t>
      </w:r>
      <w:r w:rsidR="00FB1175">
        <w:rPr>
          <w:rFonts w:cs="Tahoma"/>
          <w:color w:val="000000"/>
        </w:rPr>
        <w:t>ics as at 31 August each year.</w:t>
      </w:r>
    </w:p>
    <w:p w:rsidR="00973E13" w:rsidRDefault="00973E13" w:rsidP="001C412E">
      <w:pPr>
        <w:jc w:val="left"/>
        <w:rPr>
          <w:rFonts w:cs="Tahoma"/>
          <w:color w:val="000000"/>
        </w:rPr>
      </w:pPr>
    </w:p>
    <w:p w:rsidR="008142F4" w:rsidRDefault="008142F4" w:rsidP="001C412E">
      <w:pPr>
        <w:jc w:val="left"/>
        <w:rPr>
          <w:rFonts w:cs="Tahoma"/>
          <w:color w:val="000000"/>
        </w:rPr>
      </w:pPr>
      <w:r>
        <w:rPr>
          <w:rFonts w:cs="Tahoma"/>
          <w:color w:val="000000"/>
        </w:rPr>
        <w:t>Prior to 1 September 2015</w:t>
      </w:r>
      <w:r w:rsidRPr="00403672">
        <w:rPr>
          <w:rFonts w:cs="Tahoma"/>
          <w:color w:val="000000"/>
        </w:rPr>
        <w:t xml:space="preserve"> the</w:t>
      </w:r>
      <w:r w:rsidR="007B6555">
        <w:rPr>
          <w:rFonts w:cs="Tahoma"/>
          <w:color w:val="000000"/>
        </w:rPr>
        <w:t xml:space="preserve"> most recent inspection outcome</w:t>
      </w:r>
      <w:r w:rsidRPr="00403672">
        <w:rPr>
          <w:rFonts w:cs="Tahoma"/>
          <w:color w:val="000000"/>
        </w:rPr>
        <w:t xml:space="preserve"> </w:t>
      </w:r>
      <w:r>
        <w:rPr>
          <w:rFonts w:cs="Tahoma"/>
          <w:color w:val="000000"/>
        </w:rPr>
        <w:t xml:space="preserve">statistics as at 31 August each year </w:t>
      </w:r>
      <w:r w:rsidRPr="00403672">
        <w:rPr>
          <w:rFonts w:cs="Tahoma"/>
          <w:color w:val="000000"/>
        </w:rPr>
        <w:t>include</w:t>
      </w:r>
      <w:r>
        <w:rPr>
          <w:rFonts w:cs="Tahoma"/>
          <w:color w:val="000000"/>
        </w:rPr>
        <w:t>d</w:t>
      </w:r>
      <w:r w:rsidRPr="00403672">
        <w:rPr>
          <w:rFonts w:cs="Tahoma"/>
          <w:color w:val="000000"/>
        </w:rPr>
        <w:t xml:space="preserve">: 1) </w:t>
      </w:r>
      <w:r w:rsidR="00B93FC1">
        <w:rPr>
          <w:rFonts w:cs="Tahoma"/>
          <w:color w:val="000000"/>
        </w:rPr>
        <w:t xml:space="preserve">open </w:t>
      </w:r>
      <w:r w:rsidRPr="00403672">
        <w:rPr>
          <w:rFonts w:cs="Tahoma"/>
          <w:color w:val="000000"/>
        </w:rPr>
        <w:t xml:space="preserve">providers </w:t>
      </w:r>
      <w:r w:rsidR="00812959">
        <w:rPr>
          <w:rFonts w:cs="Tahoma"/>
          <w:color w:val="000000"/>
        </w:rPr>
        <w:t xml:space="preserve">that </w:t>
      </w:r>
      <w:r w:rsidR="00B93FC1">
        <w:rPr>
          <w:rFonts w:cs="Tahoma"/>
          <w:color w:val="000000"/>
        </w:rPr>
        <w:t xml:space="preserve">were either </w:t>
      </w:r>
      <w:r w:rsidRPr="00403672">
        <w:rPr>
          <w:rFonts w:cs="Tahoma"/>
          <w:color w:val="000000"/>
        </w:rPr>
        <w:t xml:space="preserve">wholly or partly funded by the Skills Funding Agency or the Education Funding Agency at that point in time, and 2) providers </w:t>
      </w:r>
      <w:r>
        <w:rPr>
          <w:rFonts w:cs="Tahoma"/>
          <w:color w:val="000000"/>
        </w:rPr>
        <w:t xml:space="preserve">that had </w:t>
      </w:r>
      <w:r w:rsidRPr="00403672">
        <w:rPr>
          <w:rFonts w:cs="Tahoma"/>
          <w:color w:val="000000"/>
        </w:rPr>
        <w:t>lost funding or closed</w:t>
      </w:r>
      <w:r>
        <w:rPr>
          <w:rFonts w:cs="Tahoma"/>
          <w:color w:val="000000"/>
        </w:rPr>
        <w:t xml:space="preserve"> </w:t>
      </w:r>
      <w:r w:rsidR="00B93FC1">
        <w:rPr>
          <w:rFonts w:cs="Tahoma"/>
          <w:color w:val="000000"/>
        </w:rPr>
        <w:t xml:space="preserve">between 1 September and 31 August </w:t>
      </w:r>
      <w:r w:rsidR="00B950D9">
        <w:rPr>
          <w:rFonts w:cs="Tahoma"/>
          <w:color w:val="000000"/>
        </w:rPr>
        <w:t xml:space="preserve">for </w:t>
      </w:r>
      <w:r w:rsidR="00890451">
        <w:rPr>
          <w:rFonts w:cs="Tahoma"/>
          <w:color w:val="000000"/>
        </w:rPr>
        <w:t>the stated</w:t>
      </w:r>
      <w:r w:rsidR="00835313">
        <w:rPr>
          <w:rFonts w:cs="Tahoma"/>
          <w:color w:val="000000"/>
        </w:rPr>
        <w:t xml:space="preserve"> </w:t>
      </w:r>
      <w:r w:rsidR="00B950D9">
        <w:rPr>
          <w:rFonts w:cs="Tahoma"/>
          <w:color w:val="000000"/>
        </w:rPr>
        <w:t>reporting year</w:t>
      </w:r>
      <w:r>
        <w:rPr>
          <w:rFonts w:cs="Tahoma"/>
          <w:color w:val="000000"/>
        </w:rPr>
        <w:t>.</w:t>
      </w:r>
      <w:r w:rsidR="007B6555">
        <w:rPr>
          <w:rFonts w:cs="Tahoma"/>
          <w:color w:val="000000"/>
        </w:rPr>
        <w:t xml:space="preserve"> The statistics as at February each year </w:t>
      </w:r>
      <w:r w:rsidR="00AF0CE7">
        <w:rPr>
          <w:rFonts w:cs="Tahoma"/>
          <w:color w:val="000000"/>
        </w:rPr>
        <w:t>only included open and funded providers</w:t>
      </w:r>
      <w:r w:rsidR="00812959">
        <w:rPr>
          <w:rFonts w:cs="Tahoma"/>
          <w:color w:val="000000"/>
        </w:rPr>
        <w:t xml:space="preserve"> at that point in time</w:t>
      </w:r>
      <w:r w:rsidR="00AF0CE7">
        <w:rPr>
          <w:rFonts w:cs="Tahoma"/>
          <w:color w:val="000000"/>
        </w:rPr>
        <w:t xml:space="preserve">. </w:t>
      </w:r>
    </w:p>
    <w:p w:rsidR="008142F4" w:rsidRDefault="008142F4" w:rsidP="001C412E">
      <w:pPr>
        <w:jc w:val="left"/>
        <w:rPr>
          <w:rFonts w:cs="Tahoma"/>
          <w:color w:val="000000"/>
        </w:rPr>
      </w:pPr>
    </w:p>
    <w:p w:rsidR="007B6555" w:rsidRPr="004145AF" w:rsidRDefault="008142F4" w:rsidP="00B93FC1">
      <w:pPr>
        <w:jc w:val="left"/>
        <w:rPr>
          <w:rFonts w:cs="Tahoma"/>
          <w:color w:val="000000"/>
        </w:rPr>
      </w:pPr>
      <w:r w:rsidRPr="008111CA">
        <w:rPr>
          <w:rFonts w:cs="Tahoma"/>
          <w:color w:val="000000"/>
        </w:rPr>
        <w:t xml:space="preserve">From the 1 September 2015 </w:t>
      </w:r>
      <w:r w:rsidR="00B93FC1" w:rsidRPr="008111CA">
        <w:rPr>
          <w:rFonts w:cs="Tahoma"/>
          <w:color w:val="000000"/>
        </w:rPr>
        <w:t>we are proposing</w:t>
      </w:r>
      <w:r w:rsidR="00812959">
        <w:rPr>
          <w:rFonts w:cs="Tahoma"/>
          <w:color w:val="000000"/>
        </w:rPr>
        <w:t xml:space="preserve"> that the 31 August statistics will</w:t>
      </w:r>
      <w:r w:rsidR="00B93FC1" w:rsidRPr="008111CA">
        <w:rPr>
          <w:rFonts w:cs="Tahoma"/>
          <w:color w:val="000000"/>
        </w:rPr>
        <w:t xml:space="preserve"> only include</w:t>
      </w:r>
      <w:r w:rsidR="00812959">
        <w:rPr>
          <w:rFonts w:cs="Tahoma"/>
          <w:color w:val="000000"/>
        </w:rPr>
        <w:t xml:space="preserve"> providers that were</w:t>
      </w:r>
      <w:r w:rsidR="00B93FC1" w:rsidRPr="008111CA">
        <w:rPr>
          <w:rFonts w:cs="Tahoma"/>
          <w:color w:val="000000"/>
        </w:rPr>
        <w:t xml:space="preserve"> open and funded </w:t>
      </w:r>
      <w:r w:rsidR="00812959">
        <w:rPr>
          <w:rFonts w:cs="Tahoma"/>
          <w:color w:val="000000"/>
        </w:rPr>
        <w:t>on</w:t>
      </w:r>
      <w:r w:rsidR="00B93FC1" w:rsidRPr="008111CA">
        <w:rPr>
          <w:rFonts w:cs="Tahoma"/>
          <w:color w:val="000000"/>
        </w:rPr>
        <w:t xml:space="preserve"> 31 August. Providers </w:t>
      </w:r>
      <w:r w:rsidR="00812959">
        <w:rPr>
          <w:rFonts w:cs="Tahoma"/>
          <w:color w:val="000000"/>
        </w:rPr>
        <w:t>which</w:t>
      </w:r>
      <w:r w:rsidR="00812959" w:rsidRPr="008111CA">
        <w:rPr>
          <w:rFonts w:cs="Tahoma"/>
          <w:color w:val="000000"/>
        </w:rPr>
        <w:t xml:space="preserve"> </w:t>
      </w:r>
      <w:r w:rsidR="00B93FC1" w:rsidRPr="008111CA">
        <w:rPr>
          <w:rFonts w:cs="Tahoma"/>
          <w:color w:val="000000"/>
        </w:rPr>
        <w:t xml:space="preserve">ceased to be funded or closed during the year will no longer be included. This is to bring the most recent inspection outcomes methodology in-line with the Official Statistics for maintained </w:t>
      </w:r>
      <w:r w:rsidR="00B93FC1" w:rsidRPr="004145AF">
        <w:rPr>
          <w:rFonts w:cs="Tahoma"/>
          <w:color w:val="000000"/>
        </w:rPr>
        <w:t>schools and academies, and early years</w:t>
      </w:r>
      <w:r w:rsidR="00B950D9" w:rsidRPr="004145AF">
        <w:rPr>
          <w:rFonts w:cs="Tahoma"/>
          <w:color w:val="000000"/>
        </w:rPr>
        <w:t xml:space="preserve"> and childcare</w:t>
      </w:r>
      <w:r w:rsidR="00B93FC1" w:rsidRPr="004145AF">
        <w:rPr>
          <w:rFonts w:cs="Tahoma"/>
          <w:color w:val="000000"/>
        </w:rPr>
        <w:t>.</w:t>
      </w:r>
    </w:p>
    <w:p w:rsidR="00FB1175" w:rsidRPr="004145AF" w:rsidRDefault="00FB1175" w:rsidP="00B93FC1">
      <w:pPr>
        <w:jc w:val="left"/>
        <w:rPr>
          <w:rFonts w:cs="Tahoma"/>
          <w:color w:val="000000"/>
        </w:rPr>
      </w:pPr>
    </w:p>
    <w:p w:rsidR="00FB1175" w:rsidRDefault="00FB1175" w:rsidP="00B93FC1">
      <w:pPr>
        <w:jc w:val="left"/>
        <w:rPr>
          <w:rFonts w:cs="Tahoma"/>
          <w:color w:val="000000"/>
        </w:rPr>
      </w:pPr>
      <w:r w:rsidRPr="004145AF">
        <w:rPr>
          <w:rFonts w:cs="Tahoma"/>
          <w:color w:val="000000"/>
        </w:rPr>
        <w:lastRenderedPageBreak/>
        <w:t xml:space="preserve">This change would mean the most recent inspection outcome statistics </w:t>
      </w:r>
      <w:r w:rsidR="004145AF" w:rsidRPr="004145AF">
        <w:rPr>
          <w:rFonts w:cs="Tahoma"/>
          <w:color w:val="000000"/>
        </w:rPr>
        <w:t xml:space="preserve">as at 31 August 2016, </w:t>
      </w:r>
      <w:r w:rsidR="003D618D" w:rsidRPr="004145AF">
        <w:rPr>
          <w:rFonts w:cs="Tahoma"/>
          <w:color w:val="000000"/>
        </w:rPr>
        <w:t>due to be published in November</w:t>
      </w:r>
      <w:r w:rsidR="004145AF" w:rsidRPr="004145AF">
        <w:rPr>
          <w:rFonts w:cs="Tahoma"/>
          <w:color w:val="000000"/>
        </w:rPr>
        <w:t xml:space="preserve"> 2016,</w:t>
      </w:r>
      <w:r w:rsidR="003D618D" w:rsidRPr="004145AF">
        <w:rPr>
          <w:rFonts w:cs="Tahoma"/>
          <w:color w:val="000000"/>
        </w:rPr>
        <w:t xml:space="preserve"> </w:t>
      </w:r>
      <w:r w:rsidRPr="004145AF">
        <w:rPr>
          <w:rFonts w:cs="Tahoma"/>
          <w:color w:val="000000"/>
        </w:rPr>
        <w:t>would not be comparable to previous years</w:t>
      </w:r>
      <w:r w:rsidR="00E50BD7" w:rsidRPr="004145AF">
        <w:rPr>
          <w:rFonts w:cs="Tahoma"/>
          <w:color w:val="000000"/>
        </w:rPr>
        <w:t>. This primarily affects Chart 6 within the ‘data, tables and charts’ file.</w:t>
      </w:r>
    </w:p>
    <w:p w:rsidR="008111CA" w:rsidRDefault="008111CA" w:rsidP="001C412E">
      <w:pPr>
        <w:jc w:val="left"/>
        <w:rPr>
          <w:rFonts w:cs="Tahoma"/>
          <w:color w:val="000000"/>
        </w:rPr>
      </w:pPr>
    </w:p>
    <w:p w:rsidR="003D618D" w:rsidRDefault="003D618D" w:rsidP="003D618D">
      <w:pPr>
        <w:jc w:val="left"/>
      </w:pPr>
      <w:r>
        <w:t>T</w:t>
      </w:r>
      <w:r w:rsidRPr="0014275A">
        <w:t xml:space="preserve">he </w:t>
      </w:r>
      <w:r>
        <w:t xml:space="preserve">underlying data for the </w:t>
      </w:r>
      <w:r w:rsidRPr="0014275A">
        <w:t>most recent inspection outcomes as at 31 August 2015</w:t>
      </w:r>
      <w:r w:rsidRPr="00C834FE">
        <w:t xml:space="preserve"> </w:t>
      </w:r>
      <w:r>
        <w:t xml:space="preserve">will be </w:t>
      </w:r>
      <w:r w:rsidRPr="003D618D">
        <w:t>published alongside the Official</w:t>
      </w:r>
      <w:r>
        <w:t xml:space="preserve"> Statistics on 30 June 2016, with </w:t>
      </w:r>
      <w:r w:rsidRPr="0014275A">
        <w:t xml:space="preserve">providers </w:t>
      </w:r>
      <w:r>
        <w:t>that</w:t>
      </w:r>
      <w:r w:rsidRPr="0014275A">
        <w:t xml:space="preserve"> ceased to be funded or closed during 2014/15</w:t>
      </w:r>
      <w:r>
        <w:t xml:space="preserve"> excluded from the data</w:t>
      </w:r>
      <w:r w:rsidRPr="0014275A">
        <w:t>. This data was used to aggregate the 31 August 2015 statistics in ‘Figure 5’ of the key findings document</w:t>
      </w:r>
      <w:r>
        <w:t xml:space="preserve"> and </w:t>
      </w:r>
      <w:r w:rsidRPr="0014275A">
        <w:t>allow</w:t>
      </w:r>
      <w:r>
        <w:t>s valid comparisons to be made for different provider groups between 31 August 2015 and 29 February 2016</w:t>
      </w:r>
      <w:r w:rsidRPr="0014275A">
        <w:t>.</w:t>
      </w:r>
      <w:r>
        <w:t xml:space="preserve"> </w:t>
      </w:r>
    </w:p>
    <w:p w:rsidR="003D618D" w:rsidRDefault="003D618D" w:rsidP="001C412E">
      <w:pPr>
        <w:jc w:val="left"/>
        <w:rPr>
          <w:rFonts w:cs="Tahoma"/>
          <w:color w:val="000000"/>
        </w:rPr>
      </w:pPr>
    </w:p>
    <w:p w:rsidR="00C834FE" w:rsidRDefault="00C834FE" w:rsidP="00C834FE">
      <w:pPr>
        <w:jc w:val="left"/>
        <w:rPr>
          <w:rFonts w:cs="Tahoma"/>
          <w:color w:val="000000"/>
        </w:rPr>
      </w:pPr>
      <w:r>
        <w:rPr>
          <w:rFonts w:cs="Tahoma"/>
          <w:color w:val="000000"/>
        </w:rPr>
        <w:t xml:space="preserve">For those providers that may not appear in the Official </w:t>
      </w:r>
      <w:r w:rsidR="00764883">
        <w:rPr>
          <w:rFonts w:cs="Tahoma"/>
          <w:color w:val="000000"/>
        </w:rPr>
        <w:t>Statistics</w:t>
      </w:r>
      <w:r>
        <w:rPr>
          <w:rFonts w:cs="Tahoma"/>
          <w:color w:val="000000"/>
        </w:rPr>
        <w:t xml:space="preserve"> the most recent inspection outcomes have now been included in the published monthly management information.</w:t>
      </w:r>
      <w:r w:rsidR="003D618D">
        <w:rPr>
          <w:rFonts w:cs="Tahoma"/>
          <w:color w:val="000000"/>
        </w:rPr>
        <w:t xml:space="preserve"> This ensures users have a regular updated picture of the sector, with every provider that has been funded at any point during the year appearing in at least one set of management information.</w:t>
      </w:r>
    </w:p>
    <w:p w:rsidR="00BB02FE" w:rsidRDefault="00BB02FE" w:rsidP="001C412E">
      <w:pPr>
        <w:jc w:val="left"/>
        <w:rPr>
          <w:rFonts w:cs="Tahoma"/>
          <w:color w:val="000000"/>
        </w:rPr>
      </w:pPr>
    </w:p>
    <w:p w:rsidR="00976016" w:rsidRDefault="00976016" w:rsidP="00976016">
      <w:pPr>
        <w:jc w:val="left"/>
        <w:rPr>
          <w:rFonts w:cs="Tahoma"/>
          <w:color w:val="000000"/>
        </w:rPr>
      </w:pPr>
      <w:r>
        <w:rPr>
          <w:rFonts w:cs="Tahoma"/>
          <w:color w:val="000000"/>
        </w:rPr>
        <w:t xml:space="preserve">This change </w:t>
      </w:r>
      <w:r w:rsidR="00AD4183">
        <w:rPr>
          <w:rFonts w:cs="Tahoma"/>
          <w:color w:val="000000"/>
        </w:rPr>
        <w:t>does</w:t>
      </w:r>
      <w:r>
        <w:rPr>
          <w:rFonts w:cs="Tahoma"/>
          <w:color w:val="000000"/>
        </w:rPr>
        <w:t xml:space="preserve"> not affect the in-year reporting statistics.</w:t>
      </w:r>
    </w:p>
    <w:p w:rsidR="0067447B" w:rsidRDefault="0067447B" w:rsidP="001C412E">
      <w:pPr>
        <w:jc w:val="left"/>
        <w:rPr>
          <w:rFonts w:cs="Tahoma"/>
        </w:rPr>
      </w:pPr>
    </w:p>
    <w:p w:rsidR="00D1673B" w:rsidRDefault="00D1673B">
      <w:pPr>
        <w:jc w:val="left"/>
        <w:rPr>
          <w:rFonts w:cs="Tahoma"/>
        </w:rPr>
      </w:pPr>
      <w:r>
        <w:rPr>
          <w:rFonts w:cs="Tahoma"/>
        </w:rPr>
        <w:br w:type="page"/>
      </w:r>
    </w:p>
    <w:p w:rsidR="009F58CB" w:rsidRPr="00520C32" w:rsidRDefault="00DF4F30" w:rsidP="00520C32">
      <w:pPr>
        <w:pStyle w:val="Heading1"/>
        <w:jc w:val="left"/>
        <w:rPr>
          <w:caps w:val="0"/>
        </w:rPr>
      </w:pPr>
      <w:bookmarkStart w:id="16" w:name="_Toc403135636"/>
      <w:bookmarkStart w:id="17" w:name="_Toc423510215"/>
      <w:bookmarkStart w:id="18" w:name="_Toc454910570"/>
      <w:r w:rsidRPr="00520C32">
        <w:rPr>
          <w:caps w:val="0"/>
        </w:rPr>
        <w:lastRenderedPageBreak/>
        <w:t>Annex A: q</w:t>
      </w:r>
      <w:r w:rsidR="009F58CB" w:rsidRPr="00520C32">
        <w:rPr>
          <w:caps w:val="0"/>
        </w:rPr>
        <w:t xml:space="preserve">uestionnaire for </w:t>
      </w:r>
      <w:r w:rsidR="0015780D">
        <w:rPr>
          <w:caps w:val="0"/>
        </w:rPr>
        <w:t xml:space="preserve">the </w:t>
      </w:r>
      <w:r w:rsidR="00520C32">
        <w:rPr>
          <w:caps w:val="0"/>
        </w:rPr>
        <w:t>f</w:t>
      </w:r>
      <w:r w:rsidR="009F58CB" w:rsidRPr="00520C32">
        <w:rPr>
          <w:caps w:val="0"/>
        </w:rPr>
        <w:t>urther education and skills inspection</w:t>
      </w:r>
      <w:r w:rsidRPr="00520C32">
        <w:rPr>
          <w:caps w:val="0"/>
        </w:rPr>
        <w:t xml:space="preserve">s and </w:t>
      </w:r>
      <w:r w:rsidR="009F58CB" w:rsidRPr="00520C32">
        <w:rPr>
          <w:caps w:val="0"/>
        </w:rPr>
        <w:t>outcomes</w:t>
      </w:r>
      <w:bookmarkEnd w:id="16"/>
      <w:bookmarkEnd w:id="17"/>
      <w:r w:rsidR="00520C32" w:rsidRPr="00520C32">
        <w:rPr>
          <w:caps w:val="0"/>
        </w:rPr>
        <w:t xml:space="preserve"> </w:t>
      </w:r>
      <w:r w:rsidR="00520C32">
        <w:rPr>
          <w:caps w:val="0"/>
        </w:rPr>
        <w:t xml:space="preserve">Official Statistics </w:t>
      </w:r>
      <w:r w:rsidR="00520C32" w:rsidRPr="00520C32">
        <w:rPr>
          <w:caps w:val="0"/>
        </w:rPr>
        <w:t>consultation</w:t>
      </w:r>
      <w:bookmarkEnd w:id="18"/>
    </w:p>
    <w:p w:rsidR="00A338BA" w:rsidRDefault="00A338BA" w:rsidP="00C91648">
      <w:bookmarkStart w:id="19" w:name="_Toc423510216"/>
    </w:p>
    <w:p w:rsidR="00A338BA" w:rsidRPr="00C91648" w:rsidRDefault="009F58CB" w:rsidP="00C91648">
      <w:pPr>
        <w:rPr>
          <w:b/>
          <w:sz w:val="28"/>
          <w:szCs w:val="28"/>
        </w:rPr>
      </w:pPr>
      <w:r w:rsidRPr="00C91648">
        <w:rPr>
          <w:b/>
          <w:sz w:val="28"/>
          <w:szCs w:val="28"/>
        </w:rPr>
        <w:t>Confidentiality</w:t>
      </w:r>
      <w:bookmarkEnd w:id="19"/>
    </w:p>
    <w:p w:rsidR="00520C32" w:rsidRDefault="00520C32" w:rsidP="00C91648"/>
    <w:p w:rsidR="009F58CB" w:rsidRPr="00A338BA" w:rsidRDefault="009F58CB" w:rsidP="00C91648">
      <w:r w:rsidRPr="00DF4F30">
        <w:t xml:space="preserve">The information you provide will be held by </w:t>
      </w:r>
      <w:r w:rsidR="00DF4F30" w:rsidRPr="00DF4F30">
        <w:t>Ofsted</w:t>
      </w:r>
      <w:r w:rsidRPr="00DF4F30">
        <w:t>. It will only be used for the purposes of consultation and to help us plan and develop our statistical outputs.</w:t>
      </w:r>
    </w:p>
    <w:p w:rsidR="0015780D" w:rsidRDefault="0015780D" w:rsidP="00C91648"/>
    <w:p w:rsidR="009F58CB" w:rsidRPr="00DF4F30" w:rsidRDefault="009F58CB" w:rsidP="00C91648">
      <w:r w:rsidRPr="00DF4F30">
        <w:t xml:space="preserve">We will treat your identity in confidence, if you disclose it to us. </w:t>
      </w:r>
    </w:p>
    <w:p w:rsidR="00520C32" w:rsidRDefault="00520C32" w:rsidP="00C91648"/>
    <w:p w:rsidR="009F58CB" w:rsidRPr="00DF4F30" w:rsidRDefault="009F58CB" w:rsidP="00C91648">
      <w:r w:rsidRPr="00DF4F30">
        <w:t>Are you responding on behalf of an organisation?</w:t>
      </w:r>
    </w:p>
    <w:p w:rsidR="00520C32" w:rsidRDefault="00520C32" w:rsidP="00C91648"/>
    <w:p w:rsidR="009F58CB" w:rsidRPr="00DF4F30" w:rsidRDefault="009F58CB" w:rsidP="00C91648">
      <w:r w:rsidRPr="00DF4F30">
        <w:t>Yes</w:t>
      </w:r>
      <w:r w:rsidRPr="00DF4F30">
        <w:tab/>
      </w:r>
      <w:sdt>
        <w:sdtPr>
          <w:id w:val="1362243277"/>
          <w14:checkbox>
            <w14:checked w14:val="0"/>
            <w14:checkedState w14:val="2612" w14:font="MS Gothic"/>
            <w14:uncheckedState w14:val="2610" w14:font="MS Gothic"/>
          </w14:checkbox>
        </w:sdtPr>
        <w:sdtEndPr/>
        <w:sdtContent>
          <w:r w:rsidR="00A338BA">
            <w:rPr>
              <w:rFonts w:ascii="MS Gothic" w:eastAsia="MS Gothic" w:hAnsi="MS Gothic" w:hint="eastAsia"/>
            </w:rPr>
            <w:t>☐</w:t>
          </w:r>
        </w:sdtContent>
      </w:sdt>
      <w:r w:rsidRPr="00DF4F30">
        <w:tab/>
        <w:t>please complete Section 1 and the following questions</w:t>
      </w:r>
    </w:p>
    <w:p w:rsidR="009F58CB" w:rsidRPr="00DF4F30" w:rsidRDefault="009F58CB" w:rsidP="00C91648">
      <w:r w:rsidRPr="00DF4F30">
        <w:t>No</w:t>
      </w:r>
      <w:r w:rsidRPr="00DF4F30">
        <w:tab/>
      </w:r>
      <w:sdt>
        <w:sdtPr>
          <w:id w:val="1885522393"/>
          <w14:checkbox>
            <w14:checked w14:val="0"/>
            <w14:checkedState w14:val="2612" w14:font="MS Gothic"/>
            <w14:uncheckedState w14:val="2610" w14:font="MS Gothic"/>
          </w14:checkbox>
        </w:sdtPr>
        <w:sdtEndPr/>
        <w:sdtContent>
          <w:r w:rsidR="00A338BA">
            <w:rPr>
              <w:rFonts w:ascii="MS Gothic" w:eastAsia="MS Gothic" w:hAnsi="MS Gothic" w:hint="eastAsia"/>
            </w:rPr>
            <w:t>☐</w:t>
          </w:r>
        </w:sdtContent>
      </w:sdt>
      <w:r w:rsidRPr="00DF4F30">
        <w:tab/>
        <w:t>please complete Section 2 and the following questions</w:t>
      </w:r>
    </w:p>
    <w:p w:rsidR="00A338BA" w:rsidRDefault="00A338BA" w:rsidP="00C91648"/>
    <w:p w:rsidR="00520C32" w:rsidRDefault="00520C32" w:rsidP="00C91648"/>
    <w:p w:rsidR="00A338BA" w:rsidRPr="00C91648" w:rsidRDefault="00A338BA" w:rsidP="00C91648">
      <w:pPr>
        <w:rPr>
          <w:b/>
        </w:rPr>
      </w:pPr>
      <w:r w:rsidRPr="00C91648">
        <w:rPr>
          <w:b/>
        </w:rPr>
        <w:t>Section 1</w:t>
      </w:r>
    </w:p>
    <w:p w:rsidR="00A338BA" w:rsidRDefault="00A338BA" w:rsidP="00C91648"/>
    <w:p w:rsidR="00A338BA" w:rsidRDefault="00A338BA" w:rsidP="00C91648">
      <w:r w:rsidRPr="00A338BA">
        <w:t xml:space="preserve">Which organisation are you responding on behalf of? </w:t>
      </w:r>
    </w:p>
    <w:p w:rsidR="00A338BA" w:rsidRDefault="00A338BA" w:rsidP="00C91648">
      <w:pPr>
        <w:rPr>
          <w:color w:val="808080"/>
        </w:rPr>
      </w:pPr>
    </w:p>
    <w:sdt>
      <w:sdtPr>
        <w:rPr>
          <w:u w:val="single"/>
        </w:rPr>
        <w:id w:val="1862016345"/>
        <w:showingPlcHdr/>
      </w:sdtPr>
      <w:sdtEndPr/>
      <w:sdtContent>
        <w:p w:rsidR="00A338BA" w:rsidRPr="00A338BA" w:rsidRDefault="00A338BA" w:rsidP="00C91648">
          <w:pPr>
            <w:rPr>
              <w:u w:val="single"/>
            </w:rPr>
          </w:pPr>
          <w:r w:rsidRPr="000009EE">
            <w:rPr>
              <w:rStyle w:val="PlaceholderText"/>
            </w:rPr>
            <w:t>Click here to enter text.</w:t>
          </w:r>
        </w:p>
      </w:sdtContent>
    </w:sdt>
    <w:p w:rsidR="00A338BA" w:rsidRDefault="00A338BA" w:rsidP="00C91648"/>
    <w:p w:rsidR="009F58CB" w:rsidRPr="00A338BA" w:rsidRDefault="009F58CB" w:rsidP="00C91648">
      <w:r w:rsidRPr="00A338BA">
        <w:t>Are you happy for us to consider publishing the views of your organisation?</w:t>
      </w:r>
    </w:p>
    <w:p w:rsidR="009F58CB" w:rsidRDefault="009F58CB" w:rsidP="00C91648">
      <w:pPr>
        <w:rPr>
          <w:highlight w:val="yellow"/>
        </w:rPr>
      </w:pPr>
    </w:p>
    <w:p w:rsidR="00A338BA" w:rsidRPr="00DF4F30" w:rsidRDefault="00A338BA" w:rsidP="00C91648">
      <w:r w:rsidRPr="00DF4F30">
        <w:t>Yes</w:t>
      </w:r>
      <w:r w:rsidRPr="00DF4F30">
        <w:tab/>
      </w:r>
      <w:sdt>
        <w:sdtPr>
          <w:id w:val="106786666"/>
          <w14:checkbox>
            <w14:checked w14:val="0"/>
            <w14:checkedState w14:val="2612" w14:font="MS Gothic"/>
            <w14:uncheckedState w14:val="2610" w14:font="MS Gothic"/>
          </w14:checkbox>
        </w:sdtPr>
        <w:sdtEndPr/>
        <w:sdtContent>
          <w:r w:rsidR="00520C32">
            <w:rPr>
              <w:rFonts w:ascii="MS Gothic" w:eastAsia="MS Gothic" w:hAnsi="MS Gothic" w:hint="eastAsia"/>
            </w:rPr>
            <w:t>☐</w:t>
          </w:r>
        </w:sdtContent>
      </w:sdt>
      <w:r w:rsidRPr="00DF4F30">
        <w:tab/>
      </w:r>
    </w:p>
    <w:p w:rsidR="00A338BA" w:rsidRPr="00DF4F30" w:rsidRDefault="00A338BA" w:rsidP="00C91648">
      <w:r w:rsidRPr="00DF4F30">
        <w:t>No</w:t>
      </w:r>
      <w:r w:rsidRPr="00DF4F30">
        <w:tab/>
      </w:r>
      <w:sdt>
        <w:sdtPr>
          <w:id w:val="-17510347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38BA" w:rsidRDefault="00A338BA" w:rsidP="00C91648"/>
    <w:p w:rsidR="00520C32" w:rsidRPr="00A338BA" w:rsidRDefault="00520C32" w:rsidP="00C91648"/>
    <w:p w:rsidR="009F58CB" w:rsidRPr="00C91648" w:rsidRDefault="009F58CB" w:rsidP="00C91648">
      <w:pPr>
        <w:rPr>
          <w:b/>
        </w:rPr>
      </w:pPr>
      <w:r w:rsidRPr="00C91648">
        <w:rPr>
          <w:b/>
        </w:rPr>
        <w:t>Section 2</w:t>
      </w:r>
    </w:p>
    <w:p w:rsidR="00A338BA" w:rsidRPr="00A338BA" w:rsidRDefault="00A338BA" w:rsidP="00C91648"/>
    <w:p w:rsidR="009F58CB" w:rsidRDefault="00520C32" w:rsidP="00C91648">
      <w:r>
        <w:t>Which</w:t>
      </w:r>
      <w:r w:rsidR="009F58CB" w:rsidRPr="00A338BA">
        <w:t xml:space="preserve"> sector do you work in? </w:t>
      </w:r>
    </w:p>
    <w:p w:rsidR="00A338BA" w:rsidRDefault="00A338BA" w:rsidP="00C91648"/>
    <w:sdt>
      <w:sdtPr>
        <w:id w:val="186034176"/>
        <w:showingPlcHdr/>
      </w:sdtPr>
      <w:sdtEndPr/>
      <w:sdtContent>
        <w:p w:rsidR="00A338BA" w:rsidRPr="00A338BA" w:rsidRDefault="00A338BA" w:rsidP="00C91648">
          <w:r w:rsidRPr="000009EE">
            <w:rPr>
              <w:rStyle w:val="PlaceholderText"/>
            </w:rPr>
            <w:t>Click here to enter text.</w:t>
          </w:r>
        </w:p>
      </w:sdtContent>
    </w:sdt>
    <w:p w:rsidR="00A338BA" w:rsidRPr="00A338BA" w:rsidRDefault="00A338BA" w:rsidP="00C91648"/>
    <w:p w:rsidR="009F58CB" w:rsidRDefault="00A338BA" w:rsidP="00C91648">
      <w:r>
        <w:t>What is your profession?</w:t>
      </w:r>
    </w:p>
    <w:p w:rsidR="00A338BA" w:rsidRDefault="00A338BA" w:rsidP="00C91648"/>
    <w:sdt>
      <w:sdtPr>
        <w:id w:val="940876279"/>
        <w:showingPlcHdr/>
      </w:sdtPr>
      <w:sdtEndPr/>
      <w:sdtContent>
        <w:p w:rsidR="00A338BA" w:rsidRPr="00A338BA" w:rsidRDefault="00A338BA" w:rsidP="00C91648">
          <w:r w:rsidRPr="000009EE">
            <w:rPr>
              <w:rStyle w:val="PlaceholderText"/>
            </w:rPr>
            <w:t>Click here to enter text.</w:t>
          </w:r>
        </w:p>
      </w:sdtContent>
    </w:sdt>
    <w:p w:rsidR="009F58CB" w:rsidRDefault="009F58CB" w:rsidP="00C91648">
      <w:bookmarkStart w:id="20" w:name="_Toc423510217"/>
    </w:p>
    <w:p w:rsidR="00520C32" w:rsidRDefault="00520C32" w:rsidP="00C91648">
      <w:r>
        <w:br w:type="page"/>
      </w:r>
    </w:p>
    <w:p w:rsidR="009F58CB" w:rsidRPr="00C91648" w:rsidRDefault="009F58CB" w:rsidP="00C91648">
      <w:pPr>
        <w:rPr>
          <w:b/>
          <w:sz w:val="28"/>
          <w:szCs w:val="28"/>
        </w:rPr>
      </w:pPr>
      <w:r w:rsidRPr="00C91648">
        <w:rPr>
          <w:b/>
          <w:sz w:val="28"/>
          <w:szCs w:val="28"/>
        </w:rPr>
        <w:lastRenderedPageBreak/>
        <w:t>The questionnaire</w:t>
      </w:r>
      <w:bookmarkEnd w:id="20"/>
    </w:p>
    <w:p w:rsidR="0015780D" w:rsidRDefault="0015780D" w:rsidP="00C91648">
      <w:pPr>
        <w:rPr>
          <w:highlight w:val="yellow"/>
        </w:rPr>
      </w:pPr>
    </w:p>
    <w:p w:rsidR="00520C32" w:rsidRPr="00C91648" w:rsidRDefault="00520C32" w:rsidP="0015780D">
      <w:pPr>
        <w:spacing w:after="120"/>
        <w:rPr>
          <w:b/>
        </w:rPr>
      </w:pPr>
      <w:r w:rsidRPr="00C91648">
        <w:rPr>
          <w:b/>
        </w:rPr>
        <w:t>Question 1</w:t>
      </w:r>
    </w:p>
    <w:p w:rsidR="00520C32" w:rsidRPr="00520C32" w:rsidRDefault="00520C32" w:rsidP="00C91648">
      <w:bookmarkStart w:id="21" w:name="_Toc394925751"/>
      <w:bookmarkStart w:id="22" w:name="_Toc396457586"/>
      <w:bookmarkStart w:id="23" w:name="_Toc398553964"/>
      <w:bookmarkStart w:id="24" w:name="_Toc402276832"/>
      <w:bookmarkStart w:id="25" w:name="_Toc402880045"/>
      <w:bookmarkStart w:id="26" w:name="_Toc403062902"/>
      <w:bookmarkStart w:id="27" w:name="_Toc403135644"/>
      <w:r w:rsidRPr="00520C32">
        <w:t>Should National Careers Service contractors and higher education institutions be included within the ‘all further education and skills providers’ aggregation?</w:t>
      </w:r>
    </w:p>
    <w:p w:rsidR="00520C32" w:rsidRDefault="00520C32" w:rsidP="00C91648">
      <w:pPr>
        <w:rPr>
          <w:highlight w:val="yellow"/>
        </w:rPr>
      </w:pPr>
    </w:p>
    <w:p w:rsidR="00520C32" w:rsidRPr="00DF4F30" w:rsidRDefault="00520C32" w:rsidP="00C91648">
      <w:r w:rsidRPr="00DF4F30">
        <w:t>Yes</w:t>
      </w:r>
      <w:r w:rsidRPr="00DF4F30">
        <w:tab/>
      </w:r>
      <w:sdt>
        <w:sdtPr>
          <w:id w:val="-16654609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4F30">
        <w:tab/>
      </w:r>
    </w:p>
    <w:p w:rsidR="00520C32" w:rsidRPr="00DF4F30" w:rsidRDefault="00520C32" w:rsidP="00C91648">
      <w:r w:rsidRPr="00DF4F30">
        <w:t>No</w:t>
      </w:r>
      <w:r w:rsidRPr="00DF4F30">
        <w:tab/>
      </w:r>
      <w:sdt>
        <w:sdtPr>
          <w:id w:val="1461533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20C32" w:rsidRDefault="00520C32" w:rsidP="00C91648">
      <w:pPr>
        <w:rPr>
          <w:highlight w:val="yellow"/>
        </w:rPr>
      </w:pPr>
    </w:p>
    <w:p w:rsidR="00520C32" w:rsidRDefault="00520C32" w:rsidP="0015780D">
      <w:pPr>
        <w:spacing w:after="120"/>
      </w:pPr>
      <w:r w:rsidRPr="00520C32">
        <w:t>Comments</w:t>
      </w:r>
      <w:r>
        <w:t>:</w:t>
      </w:r>
    </w:p>
    <w:sdt>
      <w:sdtPr>
        <w:rPr>
          <w:highlight w:val="yellow"/>
        </w:rPr>
        <w:id w:val="2137293615"/>
        <w:showingPlcHdr/>
      </w:sdtPr>
      <w:sdtEndPr/>
      <w:sdtContent>
        <w:p w:rsidR="00520C32" w:rsidRDefault="00520C32" w:rsidP="00C91648">
          <w:pPr>
            <w:rPr>
              <w:highlight w:val="yellow"/>
            </w:rPr>
          </w:pPr>
          <w:r w:rsidRPr="000009EE">
            <w:rPr>
              <w:rStyle w:val="PlaceholderText"/>
            </w:rPr>
            <w:t>Click here to enter text.</w:t>
          </w:r>
        </w:p>
      </w:sdtContent>
    </w:sdt>
    <w:p w:rsidR="00520C32" w:rsidRPr="0015780D" w:rsidRDefault="00520C32" w:rsidP="00C91648">
      <w:pPr>
        <w:rPr>
          <w:sz w:val="12"/>
          <w:szCs w:val="12"/>
          <w:highlight w:val="yellow"/>
        </w:rPr>
      </w:pPr>
    </w:p>
    <w:p w:rsidR="0015780D" w:rsidRDefault="0015780D" w:rsidP="00C91648">
      <w:pPr>
        <w:rPr>
          <w:highlight w:val="yellow"/>
        </w:rPr>
      </w:pPr>
    </w:p>
    <w:p w:rsidR="00520C32" w:rsidRPr="00C91648" w:rsidRDefault="00520C32" w:rsidP="0015780D">
      <w:pPr>
        <w:spacing w:after="120"/>
        <w:rPr>
          <w:b/>
        </w:rPr>
      </w:pPr>
      <w:r w:rsidRPr="00C91648">
        <w:rPr>
          <w:b/>
        </w:rPr>
        <w:t>Question 2</w:t>
      </w:r>
    </w:p>
    <w:p w:rsidR="00520C32" w:rsidRPr="00520C32" w:rsidRDefault="00520C32" w:rsidP="00C91648">
      <w:r w:rsidRPr="00520C32">
        <w:t>Should providers that ceased to be funded or closed during the year no longer be included in the most recent inspection outcome statistics as at 31 August each year?</w:t>
      </w:r>
    </w:p>
    <w:p w:rsidR="00520C32" w:rsidRDefault="00520C32" w:rsidP="00C91648"/>
    <w:p w:rsidR="00520C32" w:rsidRPr="00DF4F30" w:rsidRDefault="00520C32" w:rsidP="00C91648">
      <w:r w:rsidRPr="00DF4F30">
        <w:t>Yes</w:t>
      </w:r>
      <w:r w:rsidRPr="00DF4F30">
        <w:tab/>
      </w:r>
      <w:sdt>
        <w:sdtPr>
          <w:id w:val="160670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4F30">
        <w:tab/>
      </w:r>
    </w:p>
    <w:p w:rsidR="00520C32" w:rsidRPr="00DF4F30" w:rsidRDefault="00520C32" w:rsidP="00C91648">
      <w:r w:rsidRPr="00DF4F30">
        <w:t>No</w:t>
      </w:r>
      <w:r w:rsidRPr="00DF4F30">
        <w:tab/>
      </w:r>
      <w:sdt>
        <w:sdtPr>
          <w:id w:val="337814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20C32" w:rsidRDefault="00520C32" w:rsidP="00C91648">
      <w:pPr>
        <w:rPr>
          <w:highlight w:val="yellow"/>
        </w:rPr>
      </w:pPr>
    </w:p>
    <w:p w:rsidR="00520C32" w:rsidRDefault="00520C32" w:rsidP="0015780D">
      <w:pPr>
        <w:spacing w:after="120"/>
      </w:pPr>
      <w:r w:rsidRPr="00520C32">
        <w:t>Comments</w:t>
      </w:r>
      <w:r>
        <w:t>:</w:t>
      </w:r>
    </w:p>
    <w:sdt>
      <w:sdtPr>
        <w:rPr>
          <w:highlight w:val="yellow"/>
        </w:rPr>
        <w:id w:val="-1351791554"/>
        <w:showingPlcHdr/>
      </w:sdtPr>
      <w:sdtEndPr/>
      <w:sdtContent>
        <w:p w:rsidR="00520C32" w:rsidRDefault="00520C32" w:rsidP="00C91648">
          <w:pPr>
            <w:rPr>
              <w:highlight w:val="yellow"/>
            </w:rPr>
          </w:pPr>
          <w:r w:rsidRPr="000009EE">
            <w:rPr>
              <w:rStyle w:val="PlaceholderText"/>
            </w:rPr>
            <w:t>Click here to enter text.</w:t>
          </w:r>
        </w:p>
      </w:sdtContent>
    </w:sdt>
    <w:p w:rsidR="00520C32" w:rsidRPr="0015780D" w:rsidRDefault="00520C32" w:rsidP="00C91648">
      <w:pPr>
        <w:rPr>
          <w:sz w:val="12"/>
          <w:szCs w:val="12"/>
        </w:rPr>
      </w:pPr>
    </w:p>
    <w:p w:rsidR="0015780D" w:rsidRDefault="0015780D" w:rsidP="00C91648"/>
    <w:p w:rsidR="00764883" w:rsidRDefault="00764883" w:rsidP="0015780D">
      <w:pPr>
        <w:spacing w:after="120"/>
        <w:rPr>
          <w:b/>
        </w:rPr>
      </w:pPr>
      <w:r>
        <w:rPr>
          <w:b/>
        </w:rPr>
        <w:t>Additional comments</w:t>
      </w:r>
    </w:p>
    <w:p w:rsidR="0015780D" w:rsidRPr="00764883" w:rsidRDefault="0015780D" w:rsidP="0015780D">
      <w:pPr>
        <w:spacing w:after="120"/>
      </w:pPr>
      <w:r w:rsidRPr="00764883">
        <w:t xml:space="preserve">Any </w:t>
      </w:r>
      <w:r w:rsidR="00764883">
        <w:t xml:space="preserve">there any </w:t>
      </w:r>
      <w:r w:rsidRPr="00764883">
        <w:t xml:space="preserve">other </w:t>
      </w:r>
      <w:r w:rsidR="0086483A">
        <w:t xml:space="preserve">additional </w:t>
      </w:r>
      <w:r w:rsidRPr="00764883">
        <w:t>comments you would like to make?</w:t>
      </w:r>
    </w:p>
    <w:sdt>
      <w:sdtPr>
        <w:rPr>
          <w:highlight w:val="yellow"/>
        </w:rPr>
        <w:id w:val="-280193870"/>
        <w:showingPlcHdr/>
      </w:sdtPr>
      <w:sdtEndPr/>
      <w:sdtContent>
        <w:p w:rsidR="00520C32" w:rsidRDefault="0015780D" w:rsidP="00C91648">
          <w:pPr>
            <w:rPr>
              <w:highlight w:val="yellow"/>
            </w:rPr>
          </w:pPr>
          <w:r w:rsidRPr="000009EE">
            <w:rPr>
              <w:rStyle w:val="PlaceholderText"/>
            </w:rPr>
            <w:t>Click here to enter text.</w:t>
          </w:r>
        </w:p>
      </w:sdtContent>
    </w:sdt>
    <w:p w:rsidR="0015780D" w:rsidRDefault="0015780D" w:rsidP="00C91648">
      <w:pPr>
        <w:rPr>
          <w:highlight w:val="yellow"/>
        </w:rPr>
      </w:pPr>
    </w:p>
    <w:p w:rsidR="0015780D" w:rsidRDefault="0015780D" w:rsidP="00C91648">
      <w:pPr>
        <w:rPr>
          <w:highlight w:val="yellow"/>
        </w:rPr>
      </w:pPr>
    </w:p>
    <w:p w:rsidR="009F58CB" w:rsidRPr="00C91648" w:rsidRDefault="009F58CB" w:rsidP="00C91648">
      <w:pPr>
        <w:rPr>
          <w:b/>
          <w:sz w:val="28"/>
          <w:szCs w:val="28"/>
        </w:rPr>
      </w:pPr>
      <w:r w:rsidRPr="00C91648">
        <w:rPr>
          <w:b/>
          <w:sz w:val="28"/>
          <w:szCs w:val="28"/>
        </w:rPr>
        <w:t>Thank you</w:t>
      </w:r>
      <w:bookmarkEnd w:id="21"/>
      <w:bookmarkEnd w:id="22"/>
      <w:bookmarkEnd w:id="23"/>
      <w:bookmarkEnd w:id="24"/>
      <w:bookmarkEnd w:id="25"/>
      <w:bookmarkEnd w:id="26"/>
      <w:bookmarkEnd w:id="27"/>
    </w:p>
    <w:p w:rsidR="00A338BA" w:rsidRPr="00A338BA" w:rsidRDefault="00A338BA" w:rsidP="00C91648"/>
    <w:p w:rsidR="009F58CB" w:rsidRPr="00A338BA" w:rsidRDefault="009F58CB" w:rsidP="00C91648">
      <w:r w:rsidRPr="00A338BA">
        <w:t>Thank you very much for taking the time to complete the questionnaire and contribute to the consultation. We will collate the responses we receive and these will influence the decision</w:t>
      </w:r>
      <w:r w:rsidR="00A338BA" w:rsidRPr="00A338BA">
        <w:t>s</w:t>
      </w:r>
      <w:r w:rsidRPr="00A338BA">
        <w:t xml:space="preserve"> we make </w:t>
      </w:r>
      <w:r w:rsidR="00A338BA" w:rsidRPr="00A338BA">
        <w:t>for our Official S</w:t>
      </w:r>
      <w:r w:rsidRPr="00A338BA">
        <w:t xml:space="preserve">tatistics. </w:t>
      </w:r>
    </w:p>
    <w:p w:rsidR="00A338BA" w:rsidRDefault="00A338BA" w:rsidP="00C91648">
      <w:pPr>
        <w:rPr>
          <w:rFonts w:cs="Tahoma"/>
        </w:rPr>
      </w:pPr>
    </w:p>
    <w:p w:rsidR="00A338BA" w:rsidRDefault="00A338BA" w:rsidP="00C91648">
      <w:pPr>
        <w:rPr>
          <w:rFonts w:cs="Tahoma"/>
        </w:rPr>
      </w:pPr>
    </w:p>
    <w:p w:rsidR="009F58CB" w:rsidRPr="00C91648" w:rsidRDefault="009F58CB" w:rsidP="00C91648">
      <w:pPr>
        <w:rPr>
          <w:rFonts w:cs="Tahoma"/>
          <w:b/>
          <w:sz w:val="28"/>
          <w:szCs w:val="28"/>
        </w:rPr>
      </w:pPr>
      <w:r w:rsidRPr="00C91648">
        <w:rPr>
          <w:rFonts w:cs="Tahoma"/>
          <w:b/>
          <w:sz w:val="28"/>
          <w:szCs w:val="28"/>
        </w:rPr>
        <w:t>Please return</w:t>
      </w:r>
      <w:r w:rsidR="00520C32" w:rsidRPr="00C91648">
        <w:rPr>
          <w:rFonts w:cs="Tahoma"/>
          <w:b/>
          <w:sz w:val="28"/>
          <w:szCs w:val="28"/>
        </w:rPr>
        <w:t>:</w:t>
      </w:r>
    </w:p>
    <w:p w:rsidR="009F58CB" w:rsidRDefault="009F58CB" w:rsidP="00C91648">
      <w:pPr>
        <w:rPr>
          <w:rFonts w:cs="Tahoma"/>
        </w:rPr>
      </w:pPr>
    </w:p>
    <w:p w:rsidR="009F58CB" w:rsidRDefault="00520C32" w:rsidP="00C91648">
      <w:pPr>
        <w:rPr>
          <w:rFonts w:cs="Tahoma"/>
        </w:rPr>
      </w:pPr>
      <w:r>
        <w:rPr>
          <w:rFonts w:cs="Tahoma"/>
        </w:rPr>
        <w:t xml:space="preserve">Either by email to: </w:t>
      </w:r>
      <w:hyperlink r:id="rId12" w:history="1">
        <w:r w:rsidRPr="000009EE">
          <w:rPr>
            <w:rStyle w:val="Hyperlink"/>
            <w:rFonts w:cs="Tahoma"/>
          </w:rPr>
          <w:t>FEandSkillsData@ofsted.gov.uk</w:t>
        </w:r>
      </w:hyperlink>
    </w:p>
    <w:p w:rsidR="009F58CB" w:rsidRDefault="009F58CB" w:rsidP="00C91648">
      <w:pPr>
        <w:rPr>
          <w:rFonts w:cs="Tahoma"/>
        </w:rPr>
      </w:pPr>
    </w:p>
    <w:p w:rsidR="009F58CB" w:rsidRPr="00C05243" w:rsidRDefault="00DF4F30" w:rsidP="00C91648">
      <w:pPr>
        <w:rPr>
          <w:rFonts w:cs="Tahoma"/>
        </w:rPr>
      </w:pPr>
      <w:r>
        <w:rPr>
          <w:rFonts w:cs="Tahoma"/>
        </w:rPr>
        <w:t>O</w:t>
      </w:r>
      <w:r w:rsidR="009F58CB">
        <w:rPr>
          <w:rFonts w:cs="Tahoma"/>
        </w:rPr>
        <w:t>r</w:t>
      </w:r>
      <w:r>
        <w:rPr>
          <w:rFonts w:cs="Tahoma"/>
        </w:rPr>
        <w:t xml:space="preserve"> by </w:t>
      </w:r>
      <w:r w:rsidR="00520C32">
        <w:rPr>
          <w:rFonts w:cs="Tahoma"/>
        </w:rPr>
        <w:t xml:space="preserve">post to: </w:t>
      </w:r>
      <w:r w:rsidRPr="00C05243">
        <w:t>Ofsted</w:t>
      </w:r>
      <w:r w:rsidR="00520C32">
        <w:t xml:space="preserve">, </w:t>
      </w:r>
      <w:r>
        <w:t xml:space="preserve">C/O Marc McGreavy, </w:t>
      </w:r>
      <w:r w:rsidRPr="00C05243">
        <w:t>Data and Insight</w:t>
      </w:r>
      <w:r w:rsidR="00520C32">
        <w:t xml:space="preserve">, </w:t>
      </w:r>
      <w:r w:rsidR="009F58CB" w:rsidRPr="00C05243">
        <w:t>2 Rivergate</w:t>
      </w:r>
      <w:r w:rsidR="00520C32">
        <w:t xml:space="preserve">, </w:t>
      </w:r>
      <w:r w:rsidR="009F58CB" w:rsidRPr="00C05243">
        <w:t>Temple Quay</w:t>
      </w:r>
      <w:r w:rsidR="00520C32">
        <w:t xml:space="preserve">, </w:t>
      </w:r>
      <w:r w:rsidR="009F58CB" w:rsidRPr="00C05243">
        <w:t>Bristol</w:t>
      </w:r>
      <w:r w:rsidR="00520C32">
        <w:t xml:space="preserve">, </w:t>
      </w:r>
      <w:r w:rsidR="009F58CB" w:rsidRPr="00C05243">
        <w:t>BS1 6EH</w:t>
      </w:r>
    </w:p>
    <w:p w:rsidR="009F58CB" w:rsidRPr="00C05243" w:rsidRDefault="009F58CB" w:rsidP="00520C32">
      <w:pPr>
        <w:ind w:firstLine="426"/>
      </w:pPr>
    </w:p>
    <w:p w:rsidR="00D923FF" w:rsidRDefault="00D923FF" w:rsidP="001C412E">
      <w:pPr>
        <w:jc w:val="left"/>
        <w:rPr>
          <w:rFonts w:cs="Tahoma"/>
          <w:highlight w:val="yellow"/>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520C32" w:rsidRDefault="00520C32" w:rsidP="001C412E">
      <w:pPr>
        <w:jc w:val="left"/>
        <w:rPr>
          <w:rFonts w:cs="Tahoma"/>
        </w:rPr>
      </w:pPr>
    </w:p>
    <w:p w:rsidR="0067447B" w:rsidRDefault="0067447B" w:rsidP="001C412E">
      <w:pPr>
        <w:jc w:val="left"/>
        <w:rPr>
          <w:rFonts w:cs="Tahoma"/>
        </w:rPr>
      </w:pPr>
      <w:r w:rsidRPr="00D923FF">
        <w:rPr>
          <w:rFonts w:cs="Tahoma"/>
        </w:rPr>
        <w:t>© Crown copyright</w:t>
      </w:r>
    </w:p>
    <w:p w:rsidR="00D923FF" w:rsidRDefault="00D923FF" w:rsidP="001C412E">
      <w:pPr>
        <w:jc w:val="left"/>
        <w:rPr>
          <w:rFonts w:cs="Tahoma"/>
          <w:sz w:val="20"/>
          <w:szCs w:val="20"/>
        </w:rPr>
      </w:pPr>
    </w:p>
    <w:p w:rsidR="0067447B" w:rsidRPr="00396060" w:rsidRDefault="0067447B" w:rsidP="001C412E">
      <w:pPr>
        <w:jc w:val="left"/>
        <w:rPr>
          <w:rFonts w:cs="Tahoma"/>
          <w:bCs/>
        </w:rPr>
      </w:pPr>
      <w:r>
        <w:rPr>
          <w:rFonts w:cs="Tahoma"/>
          <w:sz w:val="20"/>
          <w:szCs w:val="20"/>
        </w:rPr>
        <w:t xml:space="preserve">You may re-use this information (not including logos) free of charge in any format or medium, under </w:t>
      </w:r>
      <w:r w:rsidRPr="0071428E">
        <w:rPr>
          <w:rFonts w:cs="Tahoma"/>
          <w:sz w:val="20"/>
          <w:szCs w:val="20"/>
        </w:rPr>
        <w:t xml:space="preserve">the terms of the Open Government Licence. To view this licence, visit </w:t>
      </w:r>
      <w:hyperlink r:id="rId13" w:history="1">
        <w:r w:rsidRPr="0071428E">
          <w:rPr>
            <w:rStyle w:val="Hyperlink"/>
            <w:rFonts w:cs="Tahoma"/>
            <w:sz w:val="20"/>
            <w:szCs w:val="20"/>
          </w:rPr>
          <w:t>http://www.nationalarchives.gov.uk/doc/open-government-licence/</w:t>
        </w:r>
      </w:hyperlink>
      <w:r w:rsidRPr="0071428E">
        <w:rPr>
          <w:rFonts w:cs="Tahoma"/>
          <w:sz w:val="20"/>
          <w:szCs w:val="20"/>
        </w:rPr>
        <w:t xml:space="preserve"> or write to the Information Policy Team, The National Archives, Kew, London, TW9 4DU or e-mail: </w:t>
      </w:r>
      <w:hyperlink r:id="rId14" w:history="1">
        <w:r w:rsidRPr="0071428E">
          <w:rPr>
            <w:rStyle w:val="Hyperlink"/>
            <w:rFonts w:cs="Tahoma"/>
            <w:sz w:val="20"/>
            <w:szCs w:val="20"/>
          </w:rPr>
          <w:t>psi@nationalarchives.gsi.gov.uk</w:t>
        </w:r>
      </w:hyperlink>
    </w:p>
    <w:sectPr w:rsidR="0067447B" w:rsidRPr="00396060" w:rsidSect="00F151A4">
      <w:headerReference w:type="default"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CB" w:rsidRDefault="009F58CB" w:rsidP="00467858">
      <w:r>
        <w:separator/>
      </w:r>
    </w:p>
  </w:endnote>
  <w:endnote w:type="continuationSeparator" w:id="0">
    <w:p w:rsidR="009F58CB" w:rsidRDefault="009F58CB" w:rsidP="0046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51603"/>
      <w:docPartObj>
        <w:docPartGallery w:val="Page Numbers (Bottom of Page)"/>
        <w:docPartUnique/>
      </w:docPartObj>
    </w:sdtPr>
    <w:sdtEndPr/>
    <w:sdtContent>
      <w:sdt>
        <w:sdtPr>
          <w:id w:val="860082579"/>
          <w:docPartObj>
            <w:docPartGallery w:val="Page Numbers (Top of Page)"/>
            <w:docPartUnique/>
          </w:docPartObj>
        </w:sdtPr>
        <w:sdtEndPr/>
        <w:sdtContent>
          <w:p w:rsidR="009F58CB" w:rsidRDefault="009F58CB">
            <w:pPr>
              <w:pStyle w:val="Footer"/>
              <w:jc w:val="right"/>
            </w:pPr>
            <w:r w:rsidRPr="00A06855">
              <w:rPr>
                <w:sz w:val="20"/>
                <w:szCs w:val="20"/>
              </w:rPr>
              <w:t xml:space="preserve">Page </w:t>
            </w:r>
            <w:r w:rsidRPr="00A06855">
              <w:rPr>
                <w:bCs/>
                <w:sz w:val="20"/>
                <w:szCs w:val="20"/>
              </w:rPr>
              <w:fldChar w:fldCharType="begin"/>
            </w:r>
            <w:r w:rsidRPr="00A06855">
              <w:rPr>
                <w:bCs/>
                <w:sz w:val="20"/>
                <w:szCs w:val="20"/>
              </w:rPr>
              <w:instrText xml:space="preserve"> PAGE </w:instrText>
            </w:r>
            <w:r w:rsidRPr="00A06855">
              <w:rPr>
                <w:bCs/>
                <w:sz w:val="20"/>
                <w:szCs w:val="20"/>
              </w:rPr>
              <w:fldChar w:fldCharType="separate"/>
            </w:r>
            <w:r w:rsidR="009B043A">
              <w:rPr>
                <w:bCs/>
                <w:noProof/>
                <w:sz w:val="20"/>
                <w:szCs w:val="20"/>
              </w:rPr>
              <w:t>1</w:t>
            </w:r>
            <w:r w:rsidRPr="00A06855">
              <w:rPr>
                <w:bCs/>
                <w:sz w:val="20"/>
                <w:szCs w:val="20"/>
              </w:rPr>
              <w:fldChar w:fldCharType="end"/>
            </w:r>
            <w:r w:rsidRPr="00A06855">
              <w:rPr>
                <w:sz w:val="20"/>
                <w:szCs w:val="20"/>
              </w:rPr>
              <w:t xml:space="preserve"> of </w:t>
            </w:r>
            <w:r w:rsidRPr="00A06855">
              <w:rPr>
                <w:bCs/>
                <w:sz w:val="20"/>
                <w:szCs w:val="20"/>
              </w:rPr>
              <w:fldChar w:fldCharType="begin"/>
            </w:r>
            <w:r w:rsidRPr="00A06855">
              <w:rPr>
                <w:bCs/>
                <w:sz w:val="20"/>
                <w:szCs w:val="20"/>
              </w:rPr>
              <w:instrText xml:space="preserve"> NUMPAGES  </w:instrText>
            </w:r>
            <w:r w:rsidRPr="00A06855">
              <w:rPr>
                <w:bCs/>
                <w:sz w:val="20"/>
                <w:szCs w:val="20"/>
              </w:rPr>
              <w:fldChar w:fldCharType="separate"/>
            </w:r>
            <w:r w:rsidR="009B043A">
              <w:rPr>
                <w:bCs/>
                <w:noProof/>
                <w:sz w:val="20"/>
                <w:szCs w:val="20"/>
              </w:rPr>
              <w:t>13</w:t>
            </w:r>
            <w:r w:rsidRPr="00A06855">
              <w:rPr>
                <w:bCs/>
                <w:sz w:val="20"/>
                <w:szCs w:val="20"/>
              </w:rPr>
              <w:fldChar w:fldCharType="end"/>
            </w:r>
          </w:p>
        </w:sdtContent>
      </w:sdt>
    </w:sdtContent>
  </w:sdt>
  <w:p w:rsidR="009F58CB" w:rsidRDefault="009F5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CB" w:rsidRDefault="009F58CB" w:rsidP="00467858">
      <w:r>
        <w:separator/>
      </w:r>
    </w:p>
  </w:footnote>
  <w:footnote w:type="continuationSeparator" w:id="0">
    <w:p w:rsidR="009F58CB" w:rsidRDefault="009F58CB" w:rsidP="0046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CB" w:rsidRDefault="009F58CB" w:rsidP="00467858">
    <w:pPr>
      <w:pStyle w:val="Header"/>
      <w:jc w:val="right"/>
    </w:pPr>
    <w:r>
      <w:rPr>
        <w:noProof/>
      </w:rPr>
      <w:drawing>
        <wp:inline distT="0" distB="0" distL="0" distR="0" wp14:anchorId="1C829F67" wp14:editId="5A29ECDC">
          <wp:extent cx="1343660" cy="1137285"/>
          <wp:effectExtent l="0" t="0" r="8890" b="5715"/>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137285"/>
                  </a:xfrm>
                  <a:prstGeom prst="rect">
                    <a:avLst/>
                  </a:prstGeom>
                  <a:noFill/>
                  <a:ln>
                    <a:noFill/>
                  </a:ln>
                </pic:spPr>
              </pic:pic>
            </a:graphicData>
          </a:graphic>
        </wp:inline>
      </w:drawing>
    </w:r>
  </w:p>
  <w:p w:rsidR="009F58CB" w:rsidRPr="00467858" w:rsidRDefault="009F58CB" w:rsidP="00467858">
    <w:pPr>
      <w:pStyle w:val="Header"/>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015"/>
    <w:multiLevelType w:val="hybridMultilevel"/>
    <w:tmpl w:val="06040312"/>
    <w:lvl w:ilvl="0" w:tplc="87E4C03A">
      <w:start w:val="1"/>
      <w:numFmt w:val="bullet"/>
      <w:lvlText w:val=""/>
      <w:lvlJc w:val="left"/>
      <w:pPr>
        <w:ind w:left="720" w:hanging="360"/>
      </w:pPr>
      <w:rPr>
        <w:rFonts w:ascii="Wingdings" w:hAnsi="Wingdings"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502A"/>
    <w:multiLevelType w:val="hybridMultilevel"/>
    <w:tmpl w:val="91444F48"/>
    <w:lvl w:ilvl="0" w:tplc="1A2A2F54">
      <w:start w:val="1"/>
      <w:numFmt w:val="decimal"/>
      <w:pStyle w:val="Numberedparagraph"/>
      <w:lvlText w:val="%1."/>
      <w:lvlJc w:val="left"/>
      <w:pPr>
        <w:tabs>
          <w:tab w:val="num" w:pos="709"/>
        </w:tabs>
        <w:ind w:left="142"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46D600D"/>
    <w:multiLevelType w:val="hybridMultilevel"/>
    <w:tmpl w:val="0FA6A65A"/>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886F32"/>
    <w:multiLevelType w:val="hybridMultilevel"/>
    <w:tmpl w:val="5FC47FB0"/>
    <w:lvl w:ilvl="0" w:tplc="F2369620">
      <w:start w:val="1"/>
      <w:numFmt w:val="bullet"/>
      <w:lvlText w:val=""/>
      <w:lvlJc w:val="left"/>
      <w:pPr>
        <w:tabs>
          <w:tab w:val="num" w:pos="720"/>
        </w:tabs>
        <w:ind w:left="720" w:hanging="360"/>
      </w:pPr>
      <w:rPr>
        <w:rFonts w:ascii="Symbol" w:hAnsi="Symbol" w:hint="default"/>
      </w:rPr>
    </w:lvl>
    <w:lvl w:ilvl="1" w:tplc="E1F29514" w:tentative="1">
      <w:start w:val="1"/>
      <w:numFmt w:val="bullet"/>
      <w:lvlText w:val=""/>
      <w:lvlJc w:val="left"/>
      <w:pPr>
        <w:tabs>
          <w:tab w:val="num" w:pos="1440"/>
        </w:tabs>
        <w:ind w:left="1440" w:hanging="360"/>
      </w:pPr>
      <w:rPr>
        <w:rFonts w:ascii="Symbol" w:hAnsi="Symbol" w:hint="default"/>
      </w:rPr>
    </w:lvl>
    <w:lvl w:ilvl="2" w:tplc="CC067A10" w:tentative="1">
      <w:start w:val="1"/>
      <w:numFmt w:val="bullet"/>
      <w:lvlText w:val=""/>
      <w:lvlJc w:val="left"/>
      <w:pPr>
        <w:tabs>
          <w:tab w:val="num" w:pos="2160"/>
        </w:tabs>
        <w:ind w:left="2160" w:hanging="360"/>
      </w:pPr>
      <w:rPr>
        <w:rFonts w:ascii="Symbol" w:hAnsi="Symbol" w:hint="default"/>
      </w:rPr>
    </w:lvl>
    <w:lvl w:ilvl="3" w:tplc="1F4AA2E6" w:tentative="1">
      <w:start w:val="1"/>
      <w:numFmt w:val="bullet"/>
      <w:lvlText w:val=""/>
      <w:lvlJc w:val="left"/>
      <w:pPr>
        <w:tabs>
          <w:tab w:val="num" w:pos="2880"/>
        </w:tabs>
        <w:ind w:left="2880" w:hanging="360"/>
      </w:pPr>
      <w:rPr>
        <w:rFonts w:ascii="Symbol" w:hAnsi="Symbol" w:hint="default"/>
      </w:rPr>
    </w:lvl>
    <w:lvl w:ilvl="4" w:tplc="B9489422" w:tentative="1">
      <w:start w:val="1"/>
      <w:numFmt w:val="bullet"/>
      <w:lvlText w:val=""/>
      <w:lvlJc w:val="left"/>
      <w:pPr>
        <w:tabs>
          <w:tab w:val="num" w:pos="3600"/>
        </w:tabs>
        <w:ind w:left="3600" w:hanging="360"/>
      </w:pPr>
      <w:rPr>
        <w:rFonts w:ascii="Symbol" w:hAnsi="Symbol" w:hint="default"/>
      </w:rPr>
    </w:lvl>
    <w:lvl w:ilvl="5" w:tplc="822C40AA" w:tentative="1">
      <w:start w:val="1"/>
      <w:numFmt w:val="bullet"/>
      <w:lvlText w:val=""/>
      <w:lvlJc w:val="left"/>
      <w:pPr>
        <w:tabs>
          <w:tab w:val="num" w:pos="4320"/>
        </w:tabs>
        <w:ind w:left="4320" w:hanging="360"/>
      </w:pPr>
      <w:rPr>
        <w:rFonts w:ascii="Symbol" w:hAnsi="Symbol" w:hint="default"/>
      </w:rPr>
    </w:lvl>
    <w:lvl w:ilvl="6" w:tplc="319C7EAC" w:tentative="1">
      <w:start w:val="1"/>
      <w:numFmt w:val="bullet"/>
      <w:lvlText w:val=""/>
      <w:lvlJc w:val="left"/>
      <w:pPr>
        <w:tabs>
          <w:tab w:val="num" w:pos="5040"/>
        </w:tabs>
        <w:ind w:left="5040" w:hanging="360"/>
      </w:pPr>
      <w:rPr>
        <w:rFonts w:ascii="Symbol" w:hAnsi="Symbol" w:hint="default"/>
      </w:rPr>
    </w:lvl>
    <w:lvl w:ilvl="7" w:tplc="11B004C0" w:tentative="1">
      <w:start w:val="1"/>
      <w:numFmt w:val="bullet"/>
      <w:lvlText w:val=""/>
      <w:lvlJc w:val="left"/>
      <w:pPr>
        <w:tabs>
          <w:tab w:val="num" w:pos="5760"/>
        </w:tabs>
        <w:ind w:left="5760" w:hanging="360"/>
      </w:pPr>
      <w:rPr>
        <w:rFonts w:ascii="Symbol" w:hAnsi="Symbol" w:hint="default"/>
      </w:rPr>
    </w:lvl>
    <w:lvl w:ilvl="8" w:tplc="7DD0307A" w:tentative="1">
      <w:start w:val="1"/>
      <w:numFmt w:val="bullet"/>
      <w:lvlText w:val=""/>
      <w:lvlJc w:val="left"/>
      <w:pPr>
        <w:tabs>
          <w:tab w:val="num" w:pos="6480"/>
        </w:tabs>
        <w:ind w:left="6480" w:hanging="360"/>
      </w:pPr>
      <w:rPr>
        <w:rFonts w:ascii="Symbol" w:hAnsi="Symbol" w:hint="default"/>
      </w:rPr>
    </w:lvl>
  </w:abstractNum>
  <w:abstractNum w:abstractNumId="4">
    <w:nsid w:val="20B57B03"/>
    <w:multiLevelType w:val="hybridMultilevel"/>
    <w:tmpl w:val="D09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4157A"/>
    <w:multiLevelType w:val="hybridMultilevel"/>
    <w:tmpl w:val="466AB3CC"/>
    <w:lvl w:ilvl="0" w:tplc="8772CAB0">
      <w:start w:val="1"/>
      <w:numFmt w:val="decimal"/>
      <w:lvlText w:val="%1."/>
      <w:lvlJc w:val="left"/>
      <w:pPr>
        <w:ind w:left="360" w:hanging="360"/>
      </w:pPr>
      <w:rPr>
        <w:rFonts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E7149B"/>
    <w:multiLevelType w:val="multilevel"/>
    <w:tmpl w:val="45EE45D2"/>
    <w:lvl w:ilvl="0">
      <w:start w:val="1"/>
      <w:numFmt w:val="decimal"/>
      <w:lvlText w:val="%1."/>
      <w:lvlJc w:val="left"/>
      <w:pPr>
        <w:ind w:left="720" w:hanging="72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nsid w:val="30474F96"/>
    <w:multiLevelType w:val="hybridMultilevel"/>
    <w:tmpl w:val="F7E6B5EC"/>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4D724A"/>
    <w:multiLevelType w:val="hybridMultilevel"/>
    <w:tmpl w:val="A3349D46"/>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4122AA2"/>
    <w:multiLevelType w:val="hybridMultilevel"/>
    <w:tmpl w:val="C3F2B626"/>
    <w:lvl w:ilvl="0" w:tplc="5EA2D18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726DE0"/>
    <w:multiLevelType w:val="hybridMultilevel"/>
    <w:tmpl w:val="F03E0BE0"/>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8214FED"/>
    <w:multiLevelType w:val="hybridMultilevel"/>
    <w:tmpl w:val="F8F68234"/>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0"/>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A4"/>
    <w:rsid w:val="0000199F"/>
    <w:rsid w:val="00003BB2"/>
    <w:rsid w:val="0000517D"/>
    <w:rsid w:val="000066F9"/>
    <w:rsid w:val="00012647"/>
    <w:rsid w:val="00012F03"/>
    <w:rsid w:val="000130EE"/>
    <w:rsid w:val="00015CCE"/>
    <w:rsid w:val="0002121E"/>
    <w:rsid w:val="00034048"/>
    <w:rsid w:val="00040288"/>
    <w:rsid w:val="00041690"/>
    <w:rsid w:val="00054717"/>
    <w:rsid w:val="000639E8"/>
    <w:rsid w:val="0006406A"/>
    <w:rsid w:val="00067313"/>
    <w:rsid w:val="000700D3"/>
    <w:rsid w:val="000718BC"/>
    <w:rsid w:val="00072D4B"/>
    <w:rsid w:val="0007449D"/>
    <w:rsid w:val="00075EE0"/>
    <w:rsid w:val="00084A12"/>
    <w:rsid w:val="0008558A"/>
    <w:rsid w:val="000A2971"/>
    <w:rsid w:val="000A3601"/>
    <w:rsid w:val="000B41AF"/>
    <w:rsid w:val="000C10D8"/>
    <w:rsid w:val="000C14ED"/>
    <w:rsid w:val="000C2278"/>
    <w:rsid w:val="000C58BA"/>
    <w:rsid w:val="000C6E27"/>
    <w:rsid w:val="000D0614"/>
    <w:rsid w:val="000D54CC"/>
    <w:rsid w:val="000D5D3A"/>
    <w:rsid w:val="000D662F"/>
    <w:rsid w:val="000E0739"/>
    <w:rsid w:val="000E29D1"/>
    <w:rsid w:val="000E2E78"/>
    <w:rsid w:val="000E598D"/>
    <w:rsid w:val="000F2331"/>
    <w:rsid w:val="000F32EF"/>
    <w:rsid w:val="000F4344"/>
    <w:rsid w:val="000F52A8"/>
    <w:rsid w:val="001044EA"/>
    <w:rsid w:val="00110082"/>
    <w:rsid w:val="0012274F"/>
    <w:rsid w:val="00122B21"/>
    <w:rsid w:val="0012662E"/>
    <w:rsid w:val="00135ECF"/>
    <w:rsid w:val="00137C1D"/>
    <w:rsid w:val="0014275A"/>
    <w:rsid w:val="00147BB6"/>
    <w:rsid w:val="001522C2"/>
    <w:rsid w:val="001548F4"/>
    <w:rsid w:val="00156B63"/>
    <w:rsid w:val="0015780D"/>
    <w:rsid w:val="001601DA"/>
    <w:rsid w:val="00161B4F"/>
    <w:rsid w:val="0016735F"/>
    <w:rsid w:val="0017171A"/>
    <w:rsid w:val="00175AA2"/>
    <w:rsid w:val="0017649F"/>
    <w:rsid w:val="00180137"/>
    <w:rsid w:val="00184CC5"/>
    <w:rsid w:val="00186E2F"/>
    <w:rsid w:val="00187004"/>
    <w:rsid w:val="00191318"/>
    <w:rsid w:val="0019288F"/>
    <w:rsid w:val="0019425F"/>
    <w:rsid w:val="00196A95"/>
    <w:rsid w:val="001A2A0A"/>
    <w:rsid w:val="001A57E0"/>
    <w:rsid w:val="001B0A60"/>
    <w:rsid w:val="001B4D61"/>
    <w:rsid w:val="001B5267"/>
    <w:rsid w:val="001B7F58"/>
    <w:rsid w:val="001C012A"/>
    <w:rsid w:val="001C28AD"/>
    <w:rsid w:val="001C412E"/>
    <w:rsid w:val="001D0885"/>
    <w:rsid w:val="001D6EA6"/>
    <w:rsid w:val="001E1DD0"/>
    <w:rsid w:val="001F31D9"/>
    <w:rsid w:val="001F3D75"/>
    <w:rsid w:val="001F4A6C"/>
    <w:rsid w:val="002020A6"/>
    <w:rsid w:val="002024B9"/>
    <w:rsid w:val="002052D2"/>
    <w:rsid w:val="0021122D"/>
    <w:rsid w:val="00214EEF"/>
    <w:rsid w:val="00223E23"/>
    <w:rsid w:val="00224457"/>
    <w:rsid w:val="00225379"/>
    <w:rsid w:val="002360CB"/>
    <w:rsid w:val="0024281B"/>
    <w:rsid w:val="0024609E"/>
    <w:rsid w:val="0025793D"/>
    <w:rsid w:val="002607F4"/>
    <w:rsid w:val="002641B7"/>
    <w:rsid w:val="0027566A"/>
    <w:rsid w:val="00277E29"/>
    <w:rsid w:val="00282A1C"/>
    <w:rsid w:val="00283414"/>
    <w:rsid w:val="002944CB"/>
    <w:rsid w:val="00297214"/>
    <w:rsid w:val="0029736D"/>
    <w:rsid w:val="002A5605"/>
    <w:rsid w:val="002A767E"/>
    <w:rsid w:val="002B12DC"/>
    <w:rsid w:val="002B300B"/>
    <w:rsid w:val="002B48D3"/>
    <w:rsid w:val="002C22D1"/>
    <w:rsid w:val="002D4955"/>
    <w:rsid w:val="002E2D02"/>
    <w:rsid w:val="002F12CB"/>
    <w:rsid w:val="002F1A91"/>
    <w:rsid w:val="002F35EB"/>
    <w:rsid w:val="002F5695"/>
    <w:rsid w:val="002F7263"/>
    <w:rsid w:val="00306D68"/>
    <w:rsid w:val="0031311D"/>
    <w:rsid w:val="003161BC"/>
    <w:rsid w:val="003211E8"/>
    <w:rsid w:val="00324191"/>
    <w:rsid w:val="00325532"/>
    <w:rsid w:val="003270A9"/>
    <w:rsid w:val="003302B8"/>
    <w:rsid w:val="00330B5F"/>
    <w:rsid w:val="00330C03"/>
    <w:rsid w:val="003318EC"/>
    <w:rsid w:val="00340114"/>
    <w:rsid w:val="003412B4"/>
    <w:rsid w:val="00341C80"/>
    <w:rsid w:val="00342F3E"/>
    <w:rsid w:val="00347248"/>
    <w:rsid w:val="003570AF"/>
    <w:rsid w:val="003571D0"/>
    <w:rsid w:val="003605B5"/>
    <w:rsid w:val="0036383C"/>
    <w:rsid w:val="0036537E"/>
    <w:rsid w:val="00370DA1"/>
    <w:rsid w:val="00374420"/>
    <w:rsid w:val="00375018"/>
    <w:rsid w:val="00375B78"/>
    <w:rsid w:val="00376A47"/>
    <w:rsid w:val="003863A2"/>
    <w:rsid w:val="0038732E"/>
    <w:rsid w:val="00387D7B"/>
    <w:rsid w:val="00390AE7"/>
    <w:rsid w:val="00393483"/>
    <w:rsid w:val="0039525B"/>
    <w:rsid w:val="00396060"/>
    <w:rsid w:val="003A13A2"/>
    <w:rsid w:val="003B0166"/>
    <w:rsid w:val="003B0D57"/>
    <w:rsid w:val="003B2075"/>
    <w:rsid w:val="003B260E"/>
    <w:rsid w:val="003B5E40"/>
    <w:rsid w:val="003C024F"/>
    <w:rsid w:val="003C1180"/>
    <w:rsid w:val="003C3286"/>
    <w:rsid w:val="003C69CF"/>
    <w:rsid w:val="003C7994"/>
    <w:rsid w:val="003D3730"/>
    <w:rsid w:val="003D52DE"/>
    <w:rsid w:val="003D585B"/>
    <w:rsid w:val="003D618D"/>
    <w:rsid w:val="003D721F"/>
    <w:rsid w:val="003E14FE"/>
    <w:rsid w:val="003E2098"/>
    <w:rsid w:val="003F0490"/>
    <w:rsid w:val="003F1175"/>
    <w:rsid w:val="003F2054"/>
    <w:rsid w:val="003F23FF"/>
    <w:rsid w:val="00400367"/>
    <w:rsid w:val="00401FF2"/>
    <w:rsid w:val="0040201C"/>
    <w:rsid w:val="0040457F"/>
    <w:rsid w:val="00410D5D"/>
    <w:rsid w:val="004114DC"/>
    <w:rsid w:val="00411902"/>
    <w:rsid w:val="004145AF"/>
    <w:rsid w:val="0041541A"/>
    <w:rsid w:val="00415882"/>
    <w:rsid w:val="00416205"/>
    <w:rsid w:val="004163C8"/>
    <w:rsid w:val="00416547"/>
    <w:rsid w:val="00420A72"/>
    <w:rsid w:val="00420ACE"/>
    <w:rsid w:val="00420DDA"/>
    <w:rsid w:val="004518BC"/>
    <w:rsid w:val="004522F8"/>
    <w:rsid w:val="0045274D"/>
    <w:rsid w:val="0045322C"/>
    <w:rsid w:val="0045363E"/>
    <w:rsid w:val="004536C3"/>
    <w:rsid w:val="0045373D"/>
    <w:rsid w:val="00453DFB"/>
    <w:rsid w:val="00454377"/>
    <w:rsid w:val="00454F37"/>
    <w:rsid w:val="00456D28"/>
    <w:rsid w:val="0045720B"/>
    <w:rsid w:val="00460A02"/>
    <w:rsid w:val="00461C93"/>
    <w:rsid w:val="00462D65"/>
    <w:rsid w:val="004633F2"/>
    <w:rsid w:val="004637A0"/>
    <w:rsid w:val="00467858"/>
    <w:rsid w:val="00472E6E"/>
    <w:rsid w:val="00475B85"/>
    <w:rsid w:val="00475D48"/>
    <w:rsid w:val="00476DF5"/>
    <w:rsid w:val="0048595E"/>
    <w:rsid w:val="00485E45"/>
    <w:rsid w:val="00490863"/>
    <w:rsid w:val="004909DD"/>
    <w:rsid w:val="004958AA"/>
    <w:rsid w:val="004A15DA"/>
    <w:rsid w:val="004A1603"/>
    <w:rsid w:val="004B2849"/>
    <w:rsid w:val="004B2FC4"/>
    <w:rsid w:val="004B34D2"/>
    <w:rsid w:val="004B79FE"/>
    <w:rsid w:val="004C6BA2"/>
    <w:rsid w:val="004C6C19"/>
    <w:rsid w:val="004E1ECA"/>
    <w:rsid w:val="004E4656"/>
    <w:rsid w:val="004F1E0B"/>
    <w:rsid w:val="004F3E1D"/>
    <w:rsid w:val="00502214"/>
    <w:rsid w:val="00520C32"/>
    <w:rsid w:val="00523F12"/>
    <w:rsid w:val="00524950"/>
    <w:rsid w:val="00524D98"/>
    <w:rsid w:val="00525A3F"/>
    <w:rsid w:val="0052630E"/>
    <w:rsid w:val="00534892"/>
    <w:rsid w:val="00536EE3"/>
    <w:rsid w:val="00537480"/>
    <w:rsid w:val="00541154"/>
    <w:rsid w:val="0055469A"/>
    <w:rsid w:val="00554E97"/>
    <w:rsid w:val="005569D8"/>
    <w:rsid w:val="005572B5"/>
    <w:rsid w:val="0056059A"/>
    <w:rsid w:val="0056335E"/>
    <w:rsid w:val="0056744F"/>
    <w:rsid w:val="00567AC2"/>
    <w:rsid w:val="00570B15"/>
    <w:rsid w:val="0057279E"/>
    <w:rsid w:val="00573C75"/>
    <w:rsid w:val="00577205"/>
    <w:rsid w:val="005823FA"/>
    <w:rsid w:val="005825C2"/>
    <w:rsid w:val="005841BB"/>
    <w:rsid w:val="00590C3C"/>
    <w:rsid w:val="00595F42"/>
    <w:rsid w:val="0059619F"/>
    <w:rsid w:val="005A07F6"/>
    <w:rsid w:val="005A5400"/>
    <w:rsid w:val="005B0755"/>
    <w:rsid w:val="005B0767"/>
    <w:rsid w:val="005B1BCB"/>
    <w:rsid w:val="005B1D85"/>
    <w:rsid w:val="005B6D33"/>
    <w:rsid w:val="005C238A"/>
    <w:rsid w:val="005C3122"/>
    <w:rsid w:val="005C7976"/>
    <w:rsid w:val="005C7B18"/>
    <w:rsid w:val="005D248A"/>
    <w:rsid w:val="005D784F"/>
    <w:rsid w:val="005F07F8"/>
    <w:rsid w:val="005F0A6C"/>
    <w:rsid w:val="005F0BD4"/>
    <w:rsid w:val="005F374D"/>
    <w:rsid w:val="005F719F"/>
    <w:rsid w:val="005F7904"/>
    <w:rsid w:val="00603985"/>
    <w:rsid w:val="00604861"/>
    <w:rsid w:val="00606120"/>
    <w:rsid w:val="00612610"/>
    <w:rsid w:val="00614627"/>
    <w:rsid w:val="00626E4E"/>
    <w:rsid w:val="00633743"/>
    <w:rsid w:val="00637145"/>
    <w:rsid w:val="00647089"/>
    <w:rsid w:val="006470E4"/>
    <w:rsid w:val="00647FDE"/>
    <w:rsid w:val="00650F3C"/>
    <w:rsid w:val="00653413"/>
    <w:rsid w:val="0066166E"/>
    <w:rsid w:val="006650D8"/>
    <w:rsid w:val="00667D33"/>
    <w:rsid w:val="0067393D"/>
    <w:rsid w:val="0067447B"/>
    <w:rsid w:val="00676675"/>
    <w:rsid w:val="00682918"/>
    <w:rsid w:val="0068379A"/>
    <w:rsid w:val="00691392"/>
    <w:rsid w:val="00695805"/>
    <w:rsid w:val="00697F56"/>
    <w:rsid w:val="006A2E7A"/>
    <w:rsid w:val="006B0123"/>
    <w:rsid w:val="006B69A9"/>
    <w:rsid w:val="006C51C7"/>
    <w:rsid w:val="006C595C"/>
    <w:rsid w:val="006D5201"/>
    <w:rsid w:val="006D6966"/>
    <w:rsid w:val="006E0D0E"/>
    <w:rsid w:val="006E120E"/>
    <w:rsid w:val="006F189D"/>
    <w:rsid w:val="006F23AE"/>
    <w:rsid w:val="006F5D42"/>
    <w:rsid w:val="007035C0"/>
    <w:rsid w:val="00703983"/>
    <w:rsid w:val="00706C62"/>
    <w:rsid w:val="00707E3A"/>
    <w:rsid w:val="00710BB7"/>
    <w:rsid w:val="007118FF"/>
    <w:rsid w:val="007128F1"/>
    <w:rsid w:val="007129DB"/>
    <w:rsid w:val="007129FE"/>
    <w:rsid w:val="00714D40"/>
    <w:rsid w:val="00723143"/>
    <w:rsid w:val="0072385F"/>
    <w:rsid w:val="00723A12"/>
    <w:rsid w:val="00727AE7"/>
    <w:rsid w:val="00732C57"/>
    <w:rsid w:val="00735E40"/>
    <w:rsid w:val="007468CF"/>
    <w:rsid w:val="007520B2"/>
    <w:rsid w:val="00764883"/>
    <w:rsid w:val="007706B5"/>
    <w:rsid w:val="0077355B"/>
    <w:rsid w:val="007768AB"/>
    <w:rsid w:val="007812C7"/>
    <w:rsid w:val="00782BA3"/>
    <w:rsid w:val="007875C4"/>
    <w:rsid w:val="007923B6"/>
    <w:rsid w:val="007A2A7F"/>
    <w:rsid w:val="007A6563"/>
    <w:rsid w:val="007B0A98"/>
    <w:rsid w:val="007B2E33"/>
    <w:rsid w:val="007B4D21"/>
    <w:rsid w:val="007B6555"/>
    <w:rsid w:val="007B7D42"/>
    <w:rsid w:val="007C264B"/>
    <w:rsid w:val="007C2FBA"/>
    <w:rsid w:val="007C319D"/>
    <w:rsid w:val="007C7F22"/>
    <w:rsid w:val="007D0DC5"/>
    <w:rsid w:val="007D4669"/>
    <w:rsid w:val="007D47F0"/>
    <w:rsid w:val="007E66CD"/>
    <w:rsid w:val="007F5E03"/>
    <w:rsid w:val="007F6245"/>
    <w:rsid w:val="007F66F3"/>
    <w:rsid w:val="008111CA"/>
    <w:rsid w:val="00812959"/>
    <w:rsid w:val="008142F4"/>
    <w:rsid w:val="00816F97"/>
    <w:rsid w:val="00822B23"/>
    <w:rsid w:val="008342D9"/>
    <w:rsid w:val="00835313"/>
    <w:rsid w:val="00840E01"/>
    <w:rsid w:val="00841B31"/>
    <w:rsid w:val="00844FD0"/>
    <w:rsid w:val="008457D2"/>
    <w:rsid w:val="00845C33"/>
    <w:rsid w:val="0085513A"/>
    <w:rsid w:val="008574AD"/>
    <w:rsid w:val="00860276"/>
    <w:rsid w:val="00862848"/>
    <w:rsid w:val="00863BA6"/>
    <w:rsid w:val="0086483A"/>
    <w:rsid w:val="008668A9"/>
    <w:rsid w:val="00867337"/>
    <w:rsid w:val="00870148"/>
    <w:rsid w:val="008807BD"/>
    <w:rsid w:val="00881498"/>
    <w:rsid w:val="00883DA7"/>
    <w:rsid w:val="00886515"/>
    <w:rsid w:val="00886C99"/>
    <w:rsid w:val="00887F9C"/>
    <w:rsid w:val="00890451"/>
    <w:rsid w:val="00895768"/>
    <w:rsid w:val="00895D67"/>
    <w:rsid w:val="008A29BC"/>
    <w:rsid w:val="008A762F"/>
    <w:rsid w:val="008B0BAE"/>
    <w:rsid w:val="008B23AF"/>
    <w:rsid w:val="008B37BA"/>
    <w:rsid w:val="008C226B"/>
    <w:rsid w:val="008C27C6"/>
    <w:rsid w:val="008C4188"/>
    <w:rsid w:val="008D32CE"/>
    <w:rsid w:val="008D46F9"/>
    <w:rsid w:val="008E0F06"/>
    <w:rsid w:val="008E3249"/>
    <w:rsid w:val="008E4D7C"/>
    <w:rsid w:val="008F07B5"/>
    <w:rsid w:val="008F1C56"/>
    <w:rsid w:val="008F454A"/>
    <w:rsid w:val="00901E7E"/>
    <w:rsid w:val="00902C5E"/>
    <w:rsid w:val="00903E52"/>
    <w:rsid w:val="00904177"/>
    <w:rsid w:val="00907FEA"/>
    <w:rsid w:val="009121BD"/>
    <w:rsid w:val="009127C3"/>
    <w:rsid w:val="00914541"/>
    <w:rsid w:val="0091699C"/>
    <w:rsid w:val="00923177"/>
    <w:rsid w:val="00924685"/>
    <w:rsid w:val="00925A17"/>
    <w:rsid w:val="00932027"/>
    <w:rsid w:val="00937A9B"/>
    <w:rsid w:val="00937AAD"/>
    <w:rsid w:val="00942789"/>
    <w:rsid w:val="00950B7F"/>
    <w:rsid w:val="00956054"/>
    <w:rsid w:val="00961A0A"/>
    <w:rsid w:val="00962F37"/>
    <w:rsid w:val="009650F3"/>
    <w:rsid w:val="009653CA"/>
    <w:rsid w:val="00966689"/>
    <w:rsid w:val="00972E12"/>
    <w:rsid w:val="00973DC2"/>
    <w:rsid w:val="00973E13"/>
    <w:rsid w:val="00975BB0"/>
    <w:rsid w:val="00976016"/>
    <w:rsid w:val="0097609D"/>
    <w:rsid w:val="00976C96"/>
    <w:rsid w:val="00980A65"/>
    <w:rsid w:val="00983CFA"/>
    <w:rsid w:val="0098403D"/>
    <w:rsid w:val="00984391"/>
    <w:rsid w:val="0099037F"/>
    <w:rsid w:val="00994357"/>
    <w:rsid w:val="009960A1"/>
    <w:rsid w:val="00996C24"/>
    <w:rsid w:val="009A1083"/>
    <w:rsid w:val="009A1D69"/>
    <w:rsid w:val="009A27D5"/>
    <w:rsid w:val="009A3140"/>
    <w:rsid w:val="009A6B08"/>
    <w:rsid w:val="009B043A"/>
    <w:rsid w:val="009B2E00"/>
    <w:rsid w:val="009B79BA"/>
    <w:rsid w:val="009C6CBC"/>
    <w:rsid w:val="009E7593"/>
    <w:rsid w:val="009F159C"/>
    <w:rsid w:val="009F27BB"/>
    <w:rsid w:val="009F4C9C"/>
    <w:rsid w:val="009F58CB"/>
    <w:rsid w:val="00A0280B"/>
    <w:rsid w:val="00A04573"/>
    <w:rsid w:val="00A05FA5"/>
    <w:rsid w:val="00A06855"/>
    <w:rsid w:val="00A11F04"/>
    <w:rsid w:val="00A1365E"/>
    <w:rsid w:val="00A14900"/>
    <w:rsid w:val="00A20C00"/>
    <w:rsid w:val="00A212F2"/>
    <w:rsid w:val="00A21B2A"/>
    <w:rsid w:val="00A27EEC"/>
    <w:rsid w:val="00A31D78"/>
    <w:rsid w:val="00A338BA"/>
    <w:rsid w:val="00A35084"/>
    <w:rsid w:val="00A365EB"/>
    <w:rsid w:val="00A40A28"/>
    <w:rsid w:val="00A42244"/>
    <w:rsid w:val="00A423CA"/>
    <w:rsid w:val="00A423E5"/>
    <w:rsid w:val="00A513F5"/>
    <w:rsid w:val="00A53312"/>
    <w:rsid w:val="00A577D2"/>
    <w:rsid w:val="00A57D6C"/>
    <w:rsid w:val="00A63957"/>
    <w:rsid w:val="00A73C76"/>
    <w:rsid w:val="00A74778"/>
    <w:rsid w:val="00A762FD"/>
    <w:rsid w:val="00A8611A"/>
    <w:rsid w:val="00A86CD7"/>
    <w:rsid w:val="00A92B63"/>
    <w:rsid w:val="00A958CB"/>
    <w:rsid w:val="00AA21FF"/>
    <w:rsid w:val="00AA483B"/>
    <w:rsid w:val="00AA7569"/>
    <w:rsid w:val="00AB1405"/>
    <w:rsid w:val="00AB232E"/>
    <w:rsid w:val="00AB3F8F"/>
    <w:rsid w:val="00AB45AE"/>
    <w:rsid w:val="00AB5BC8"/>
    <w:rsid w:val="00AB6883"/>
    <w:rsid w:val="00AC1A58"/>
    <w:rsid w:val="00AC1A5D"/>
    <w:rsid w:val="00AC1D07"/>
    <w:rsid w:val="00AC4B28"/>
    <w:rsid w:val="00AC5ECE"/>
    <w:rsid w:val="00AD1AA3"/>
    <w:rsid w:val="00AD220E"/>
    <w:rsid w:val="00AD22EB"/>
    <w:rsid w:val="00AD4183"/>
    <w:rsid w:val="00AE195D"/>
    <w:rsid w:val="00AE3575"/>
    <w:rsid w:val="00AE4420"/>
    <w:rsid w:val="00AF0CE7"/>
    <w:rsid w:val="00AF14DA"/>
    <w:rsid w:val="00AF17A5"/>
    <w:rsid w:val="00B04BAC"/>
    <w:rsid w:val="00B057A2"/>
    <w:rsid w:val="00B10B7F"/>
    <w:rsid w:val="00B12DDF"/>
    <w:rsid w:val="00B13E59"/>
    <w:rsid w:val="00B1681D"/>
    <w:rsid w:val="00B20C29"/>
    <w:rsid w:val="00B25B03"/>
    <w:rsid w:val="00B27778"/>
    <w:rsid w:val="00B31886"/>
    <w:rsid w:val="00B32A10"/>
    <w:rsid w:val="00B3336D"/>
    <w:rsid w:val="00B35FAF"/>
    <w:rsid w:val="00B36370"/>
    <w:rsid w:val="00B408A8"/>
    <w:rsid w:val="00B43EF2"/>
    <w:rsid w:val="00B45F16"/>
    <w:rsid w:val="00B464B0"/>
    <w:rsid w:val="00B522DB"/>
    <w:rsid w:val="00B52CD8"/>
    <w:rsid w:val="00B557B1"/>
    <w:rsid w:val="00B642A6"/>
    <w:rsid w:val="00B665CA"/>
    <w:rsid w:val="00B70624"/>
    <w:rsid w:val="00B70B0C"/>
    <w:rsid w:val="00B71914"/>
    <w:rsid w:val="00B7307C"/>
    <w:rsid w:val="00B7484B"/>
    <w:rsid w:val="00B77A0F"/>
    <w:rsid w:val="00B84682"/>
    <w:rsid w:val="00B87512"/>
    <w:rsid w:val="00B93AA6"/>
    <w:rsid w:val="00B93FC1"/>
    <w:rsid w:val="00B94583"/>
    <w:rsid w:val="00B950D9"/>
    <w:rsid w:val="00B976B2"/>
    <w:rsid w:val="00B97BD6"/>
    <w:rsid w:val="00BA2916"/>
    <w:rsid w:val="00BA7056"/>
    <w:rsid w:val="00BB02FE"/>
    <w:rsid w:val="00BB08FE"/>
    <w:rsid w:val="00BB1FA2"/>
    <w:rsid w:val="00BB4A11"/>
    <w:rsid w:val="00BC4C9D"/>
    <w:rsid w:val="00BD02BC"/>
    <w:rsid w:val="00BD0B78"/>
    <w:rsid w:val="00BD4EAA"/>
    <w:rsid w:val="00BE0386"/>
    <w:rsid w:val="00BE1E43"/>
    <w:rsid w:val="00BE3CC5"/>
    <w:rsid w:val="00BE404D"/>
    <w:rsid w:val="00BE410A"/>
    <w:rsid w:val="00BF0382"/>
    <w:rsid w:val="00BF044E"/>
    <w:rsid w:val="00BF2AE1"/>
    <w:rsid w:val="00BF6A11"/>
    <w:rsid w:val="00C04F0C"/>
    <w:rsid w:val="00C104C9"/>
    <w:rsid w:val="00C158B7"/>
    <w:rsid w:val="00C16C85"/>
    <w:rsid w:val="00C175D4"/>
    <w:rsid w:val="00C203BC"/>
    <w:rsid w:val="00C23FB5"/>
    <w:rsid w:val="00C31CBB"/>
    <w:rsid w:val="00C43CBB"/>
    <w:rsid w:val="00C50462"/>
    <w:rsid w:val="00C53F73"/>
    <w:rsid w:val="00C607A8"/>
    <w:rsid w:val="00C62F97"/>
    <w:rsid w:val="00C66558"/>
    <w:rsid w:val="00C675DD"/>
    <w:rsid w:val="00C744FA"/>
    <w:rsid w:val="00C80FF8"/>
    <w:rsid w:val="00C834FE"/>
    <w:rsid w:val="00C8647E"/>
    <w:rsid w:val="00C87653"/>
    <w:rsid w:val="00C91648"/>
    <w:rsid w:val="00C93E9D"/>
    <w:rsid w:val="00C95036"/>
    <w:rsid w:val="00C97741"/>
    <w:rsid w:val="00C97C54"/>
    <w:rsid w:val="00CA2212"/>
    <w:rsid w:val="00CA56B6"/>
    <w:rsid w:val="00CB6303"/>
    <w:rsid w:val="00CC15D6"/>
    <w:rsid w:val="00CC367E"/>
    <w:rsid w:val="00CC6FE5"/>
    <w:rsid w:val="00CD1CFA"/>
    <w:rsid w:val="00CD562F"/>
    <w:rsid w:val="00CE52B7"/>
    <w:rsid w:val="00CE54C6"/>
    <w:rsid w:val="00CE59D6"/>
    <w:rsid w:val="00CF214B"/>
    <w:rsid w:val="00CF51AF"/>
    <w:rsid w:val="00CF6FBF"/>
    <w:rsid w:val="00D01D5F"/>
    <w:rsid w:val="00D02E0A"/>
    <w:rsid w:val="00D0764E"/>
    <w:rsid w:val="00D1032A"/>
    <w:rsid w:val="00D1673B"/>
    <w:rsid w:val="00D20389"/>
    <w:rsid w:val="00D21E0D"/>
    <w:rsid w:val="00D220FA"/>
    <w:rsid w:val="00D23683"/>
    <w:rsid w:val="00D30E59"/>
    <w:rsid w:val="00D330D6"/>
    <w:rsid w:val="00D3411A"/>
    <w:rsid w:val="00D42F9A"/>
    <w:rsid w:val="00D45EED"/>
    <w:rsid w:val="00D55D09"/>
    <w:rsid w:val="00D57D16"/>
    <w:rsid w:val="00D57EE1"/>
    <w:rsid w:val="00D66F51"/>
    <w:rsid w:val="00D73DB7"/>
    <w:rsid w:val="00D75A83"/>
    <w:rsid w:val="00D9091C"/>
    <w:rsid w:val="00D923FF"/>
    <w:rsid w:val="00DA18D2"/>
    <w:rsid w:val="00DA2E1F"/>
    <w:rsid w:val="00DA30D6"/>
    <w:rsid w:val="00DA3713"/>
    <w:rsid w:val="00DA51CC"/>
    <w:rsid w:val="00DB070C"/>
    <w:rsid w:val="00DB0E47"/>
    <w:rsid w:val="00DB17BB"/>
    <w:rsid w:val="00DB4FBC"/>
    <w:rsid w:val="00DB60DB"/>
    <w:rsid w:val="00DC0028"/>
    <w:rsid w:val="00DC0BE2"/>
    <w:rsid w:val="00DC5941"/>
    <w:rsid w:val="00DD00BF"/>
    <w:rsid w:val="00DD259C"/>
    <w:rsid w:val="00DD314D"/>
    <w:rsid w:val="00DE0032"/>
    <w:rsid w:val="00DE3A60"/>
    <w:rsid w:val="00DE4BB8"/>
    <w:rsid w:val="00DE5816"/>
    <w:rsid w:val="00DE7D73"/>
    <w:rsid w:val="00DF0C99"/>
    <w:rsid w:val="00DF21DB"/>
    <w:rsid w:val="00DF2443"/>
    <w:rsid w:val="00DF4F30"/>
    <w:rsid w:val="00DF64EC"/>
    <w:rsid w:val="00DF6F65"/>
    <w:rsid w:val="00E02203"/>
    <w:rsid w:val="00E04270"/>
    <w:rsid w:val="00E12356"/>
    <w:rsid w:val="00E125B5"/>
    <w:rsid w:val="00E14514"/>
    <w:rsid w:val="00E1654E"/>
    <w:rsid w:val="00E172FA"/>
    <w:rsid w:val="00E33AAD"/>
    <w:rsid w:val="00E33B11"/>
    <w:rsid w:val="00E371C2"/>
    <w:rsid w:val="00E40D67"/>
    <w:rsid w:val="00E44662"/>
    <w:rsid w:val="00E44F3E"/>
    <w:rsid w:val="00E46A86"/>
    <w:rsid w:val="00E47139"/>
    <w:rsid w:val="00E50BD7"/>
    <w:rsid w:val="00E52C9B"/>
    <w:rsid w:val="00E535A2"/>
    <w:rsid w:val="00E602FB"/>
    <w:rsid w:val="00E61D68"/>
    <w:rsid w:val="00E6317A"/>
    <w:rsid w:val="00E6381D"/>
    <w:rsid w:val="00E704CD"/>
    <w:rsid w:val="00E71399"/>
    <w:rsid w:val="00E75617"/>
    <w:rsid w:val="00E81F17"/>
    <w:rsid w:val="00E87453"/>
    <w:rsid w:val="00E87459"/>
    <w:rsid w:val="00E87A12"/>
    <w:rsid w:val="00E92C7B"/>
    <w:rsid w:val="00E93A45"/>
    <w:rsid w:val="00EA3B33"/>
    <w:rsid w:val="00EA4DEC"/>
    <w:rsid w:val="00EB4A39"/>
    <w:rsid w:val="00EB5D52"/>
    <w:rsid w:val="00EC1A55"/>
    <w:rsid w:val="00EC2F22"/>
    <w:rsid w:val="00EC5CD3"/>
    <w:rsid w:val="00EC6081"/>
    <w:rsid w:val="00EC697C"/>
    <w:rsid w:val="00EC7BC0"/>
    <w:rsid w:val="00ED013C"/>
    <w:rsid w:val="00ED7FD8"/>
    <w:rsid w:val="00EF13A7"/>
    <w:rsid w:val="00EF4A76"/>
    <w:rsid w:val="00EF5F36"/>
    <w:rsid w:val="00EF6D4C"/>
    <w:rsid w:val="00F0476B"/>
    <w:rsid w:val="00F10F00"/>
    <w:rsid w:val="00F15009"/>
    <w:rsid w:val="00F151A4"/>
    <w:rsid w:val="00F17CBC"/>
    <w:rsid w:val="00F20DA2"/>
    <w:rsid w:val="00F233B2"/>
    <w:rsid w:val="00F2506D"/>
    <w:rsid w:val="00F534B0"/>
    <w:rsid w:val="00F53DD2"/>
    <w:rsid w:val="00F5748B"/>
    <w:rsid w:val="00F631E0"/>
    <w:rsid w:val="00F66679"/>
    <w:rsid w:val="00F70ECC"/>
    <w:rsid w:val="00F729E3"/>
    <w:rsid w:val="00F76206"/>
    <w:rsid w:val="00F77999"/>
    <w:rsid w:val="00F8667B"/>
    <w:rsid w:val="00F93DC4"/>
    <w:rsid w:val="00F9404D"/>
    <w:rsid w:val="00F966D3"/>
    <w:rsid w:val="00F977FF"/>
    <w:rsid w:val="00F97C0D"/>
    <w:rsid w:val="00FA009A"/>
    <w:rsid w:val="00FB0139"/>
    <w:rsid w:val="00FB1175"/>
    <w:rsid w:val="00FB4B1A"/>
    <w:rsid w:val="00FC13A3"/>
    <w:rsid w:val="00FC1885"/>
    <w:rsid w:val="00FC2991"/>
    <w:rsid w:val="00FC48AD"/>
    <w:rsid w:val="00FC6C34"/>
    <w:rsid w:val="00FD19FB"/>
    <w:rsid w:val="00FE5413"/>
    <w:rsid w:val="00FF1FAC"/>
    <w:rsid w:val="00FF20EB"/>
    <w:rsid w:val="00FF38A6"/>
    <w:rsid w:val="00FF40E3"/>
    <w:rsid w:val="00FF5EFC"/>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95"/>
    <w:pPr>
      <w:jc w:val="both"/>
    </w:pPr>
    <w:rPr>
      <w:rFonts w:ascii="Tahoma" w:hAnsi="Tahoma"/>
      <w:sz w:val="24"/>
      <w:szCs w:val="24"/>
    </w:rPr>
  </w:style>
  <w:style w:type="paragraph" w:styleId="Heading1">
    <w:name w:val="heading 1"/>
    <w:basedOn w:val="Normal"/>
    <w:next w:val="Normal"/>
    <w:link w:val="Heading1Char"/>
    <w:qFormat/>
    <w:rsid w:val="00196A95"/>
    <w:pPr>
      <w:keepNext/>
      <w:spacing w:after="240"/>
      <w:jc w:val="center"/>
      <w:outlineLvl w:val="0"/>
    </w:pPr>
    <w:rPr>
      <w:b/>
      <w:caps/>
      <w:kern w:val="28"/>
      <w:sz w:val="32"/>
    </w:rPr>
  </w:style>
  <w:style w:type="paragraph" w:styleId="Heading2">
    <w:name w:val="heading 2"/>
    <w:basedOn w:val="Normal"/>
    <w:next w:val="Normal"/>
    <w:link w:val="Heading2Char"/>
    <w:qFormat/>
    <w:rsid w:val="00196A95"/>
    <w:pPr>
      <w:keepNext/>
      <w:spacing w:after="240"/>
      <w:outlineLvl w:val="1"/>
    </w:pPr>
    <w:rPr>
      <w:b/>
      <w:caps/>
      <w:sz w:val="28"/>
    </w:rPr>
  </w:style>
  <w:style w:type="paragraph" w:styleId="Heading3">
    <w:name w:val="heading 3"/>
    <w:basedOn w:val="Normal"/>
    <w:next w:val="Normal"/>
    <w:link w:val="Heading3Char"/>
    <w:qFormat/>
    <w:rsid w:val="00196A95"/>
    <w:pPr>
      <w:keepNext/>
      <w:spacing w:after="240"/>
      <w:outlineLvl w:val="2"/>
    </w:pPr>
    <w:rPr>
      <w:b/>
      <w:caps/>
    </w:rPr>
  </w:style>
  <w:style w:type="paragraph" w:styleId="Heading4">
    <w:name w:val="heading 4"/>
    <w:basedOn w:val="Normal"/>
    <w:next w:val="Normal"/>
    <w:link w:val="Heading4Char"/>
    <w:qFormat/>
    <w:rsid w:val="00196A95"/>
    <w:pPr>
      <w:keepNext/>
      <w:spacing w:after="240"/>
      <w:outlineLvl w:val="3"/>
    </w:pPr>
    <w:rPr>
      <w:b/>
    </w:rPr>
  </w:style>
  <w:style w:type="paragraph" w:styleId="Heading5">
    <w:name w:val="heading 5"/>
    <w:basedOn w:val="Normal"/>
    <w:next w:val="Normal"/>
    <w:link w:val="Heading5Char"/>
    <w:qFormat/>
    <w:rsid w:val="00196A95"/>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558"/>
    <w:rPr>
      <w:rFonts w:ascii="Tahoma" w:hAnsi="Tahoma" w:cs="Times New Roman"/>
      <w:b/>
      <w:caps/>
      <w:kern w:val="28"/>
      <w:sz w:val="32"/>
      <w:szCs w:val="24"/>
      <w:lang w:eastAsia="en-GB"/>
    </w:rPr>
  </w:style>
  <w:style w:type="character" w:customStyle="1" w:styleId="Heading2Char">
    <w:name w:val="Heading 2 Char"/>
    <w:link w:val="Heading2"/>
    <w:rsid w:val="00C66558"/>
    <w:rPr>
      <w:rFonts w:ascii="Tahoma" w:hAnsi="Tahoma" w:cs="Times New Roman"/>
      <w:b/>
      <w:caps/>
      <w:sz w:val="28"/>
      <w:szCs w:val="24"/>
      <w:lang w:eastAsia="en-GB"/>
    </w:rPr>
  </w:style>
  <w:style w:type="character" w:customStyle="1" w:styleId="Heading3Char">
    <w:name w:val="Heading 3 Char"/>
    <w:link w:val="Heading3"/>
    <w:rsid w:val="00C66558"/>
    <w:rPr>
      <w:rFonts w:ascii="Tahoma" w:hAnsi="Tahoma" w:cs="Times New Roman"/>
      <w:b/>
      <w:caps/>
      <w:sz w:val="24"/>
      <w:szCs w:val="24"/>
      <w:lang w:eastAsia="en-GB"/>
    </w:rPr>
  </w:style>
  <w:style w:type="character" w:customStyle="1" w:styleId="Heading4Char">
    <w:name w:val="Heading 4 Char"/>
    <w:link w:val="Heading4"/>
    <w:rsid w:val="00C66558"/>
    <w:rPr>
      <w:rFonts w:ascii="Tahoma" w:hAnsi="Tahoma" w:cs="Times New Roman"/>
      <w:b/>
      <w:sz w:val="24"/>
      <w:szCs w:val="24"/>
      <w:lang w:eastAsia="en-GB"/>
    </w:rPr>
  </w:style>
  <w:style w:type="character" w:customStyle="1" w:styleId="Heading5Char">
    <w:name w:val="Heading 5 Char"/>
    <w:link w:val="Heading5"/>
    <w:rsid w:val="00C66558"/>
    <w:rPr>
      <w:rFonts w:ascii="Tahoma" w:hAnsi="Tahoma" w:cs="Times New Roman"/>
      <w:i/>
      <w:sz w:val="24"/>
      <w:szCs w:val="24"/>
      <w:lang w:eastAsia="en-GB"/>
    </w:rPr>
  </w:style>
  <w:style w:type="paragraph" w:styleId="BodyText">
    <w:name w:val="Body Text"/>
    <w:basedOn w:val="Normal"/>
    <w:link w:val="BodyTextChar"/>
    <w:rsid w:val="00196A95"/>
    <w:pPr>
      <w:spacing w:after="120"/>
    </w:pPr>
  </w:style>
  <w:style w:type="character" w:customStyle="1" w:styleId="BodyTextChar">
    <w:name w:val="Body Text Char"/>
    <w:link w:val="BodyText"/>
    <w:rsid w:val="00C66558"/>
    <w:rPr>
      <w:rFonts w:ascii="Tahoma" w:hAnsi="Tahoma" w:cs="Times New Roman"/>
      <w:sz w:val="24"/>
      <w:szCs w:val="24"/>
      <w:lang w:eastAsia="en-GB"/>
    </w:rPr>
  </w:style>
  <w:style w:type="paragraph" w:customStyle="1" w:styleId="LetterBodyText">
    <w:name w:val="Letter Body Text"/>
    <w:basedOn w:val="LetterText"/>
    <w:rsid w:val="00196A95"/>
    <w:pPr>
      <w:spacing w:after="120"/>
    </w:pPr>
  </w:style>
  <w:style w:type="paragraph" w:styleId="Footer">
    <w:name w:val="footer"/>
    <w:basedOn w:val="Normal"/>
    <w:link w:val="FooterChar"/>
    <w:uiPriority w:val="99"/>
    <w:rsid w:val="00196A95"/>
    <w:pPr>
      <w:tabs>
        <w:tab w:val="center" w:pos="4320"/>
        <w:tab w:val="right" w:pos="8640"/>
      </w:tabs>
    </w:pPr>
  </w:style>
  <w:style w:type="character" w:customStyle="1" w:styleId="FooterChar">
    <w:name w:val="Footer Char"/>
    <w:link w:val="Footer"/>
    <w:uiPriority w:val="99"/>
    <w:rsid w:val="00C66558"/>
    <w:rPr>
      <w:rFonts w:ascii="Tahoma" w:hAnsi="Tahoma" w:cs="Times New Roman"/>
      <w:sz w:val="24"/>
      <w:szCs w:val="24"/>
      <w:lang w:eastAsia="en-GB"/>
    </w:rPr>
  </w:style>
  <w:style w:type="paragraph" w:styleId="Header">
    <w:name w:val="header"/>
    <w:basedOn w:val="Normal"/>
    <w:link w:val="HeaderChar"/>
    <w:rsid w:val="00196A95"/>
    <w:pPr>
      <w:tabs>
        <w:tab w:val="center" w:pos="4320"/>
        <w:tab w:val="right" w:pos="8640"/>
      </w:tabs>
    </w:pPr>
  </w:style>
  <w:style w:type="character" w:customStyle="1" w:styleId="HeaderChar">
    <w:name w:val="Header Char"/>
    <w:link w:val="Header"/>
    <w:rsid w:val="00C66558"/>
    <w:rPr>
      <w:rFonts w:ascii="Tahoma" w:hAnsi="Tahoma" w:cs="Times New Roman"/>
      <w:sz w:val="24"/>
      <w:szCs w:val="24"/>
      <w:lang w:eastAsia="en-GB"/>
    </w:rPr>
  </w:style>
  <w:style w:type="paragraph" w:customStyle="1" w:styleId="LetterText">
    <w:name w:val="Letter Text"/>
    <w:basedOn w:val="Normal"/>
    <w:rsid w:val="00196A95"/>
  </w:style>
  <w:style w:type="paragraph" w:styleId="PlainText">
    <w:name w:val="Plain Text"/>
    <w:basedOn w:val="Normal"/>
    <w:link w:val="PlainTextChar"/>
    <w:rsid w:val="00196A95"/>
    <w:rPr>
      <w:rFonts w:ascii="Courier New" w:hAnsi="Courier New"/>
    </w:rPr>
  </w:style>
  <w:style w:type="character" w:customStyle="1" w:styleId="PlainTextChar">
    <w:name w:val="Plain Text Char"/>
    <w:link w:val="PlainText"/>
    <w:rsid w:val="00C66558"/>
    <w:rPr>
      <w:rFonts w:ascii="Courier New" w:hAnsi="Courier New" w:cs="Times New Roman"/>
      <w:sz w:val="24"/>
      <w:szCs w:val="24"/>
      <w:lang w:eastAsia="en-GB"/>
    </w:rPr>
  </w:style>
  <w:style w:type="paragraph" w:styleId="ListParagraph">
    <w:name w:val="List Paragraph"/>
    <w:basedOn w:val="Normal"/>
    <w:uiPriority w:val="34"/>
    <w:qFormat/>
    <w:rsid w:val="00E71399"/>
    <w:pPr>
      <w:ind w:left="720"/>
      <w:contextualSpacing/>
    </w:pPr>
  </w:style>
  <w:style w:type="character" w:styleId="Hyperlink">
    <w:name w:val="Hyperlink"/>
    <w:basedOn w:val="DefaultParagraphFont"/>
    <w:uiPriority w:val="99"/>
    <w:unhideWhenUsed/>
    <w:rsid w:val="00B52CD8"/>
    <w:rPr>
      <w:color w:val="0000FF" w:themeColor="hyperlink"/>
      <w:u w:val="single"/>
    </w:rPr>
  </w:style>
  <w:style w:type="character" w:styleId="CommentReference">
    <w:name w:val="annotation reference"/>
    <w:basedOn w:val="DefaultParagraphFont"/>
    <w:uiPriority w:val="99"/>
    <w:semiHidden/>
    <w:unhideWhenUsed/>
    <w:rsid w:val="002360CB"/>
    <w:rPr>
      <w:sz w:val="16"/>
      <w:szCs w:val="16"/>
    </w:rPr>
  </w:style>
  <w:style w:type="paragraph" w:styleId="CommentText">
    <w:name w:val="annotation text"/>
    <w:basedOn w:val="Normal"/>
    <w:link w:val="CommentTextChar"/>
    <w:uiPriority w:val="99"/>
    <w:semiHidden/>
    <w:unhideWhenUsed/>
    <w:rsid w:val="002360CB"/>
    <w:rPr>
      <w:sz w:val="20"/>
      <w:szCs w:val="20"/>
    </w:rPr>
  </w:style>
  <w:style w:type="character" w:customStyle="1" w:styleId="CommentTextChar">
    <w:name w:val="Comment Text Char"/>
    <w:basedOn w:val="DefaultParagraphFont"/>
    <w:link w:val="CommentText"/>
    <w:uiPriority w:val="99"/>
    <w:semiHidden/>
    <w:rsid w:val="002360CB"/>
    <w:rPr>
      <w:rFonts w:ascii="Tahoma" w:hAnsi="Tahoma"/>
    </w:rPr>
  </w:style>
  <w:style w:type="paragraph" w:styleId="CommentSubject">
    <w:name w:val="annotation subject"/>
    <w:basedOn w:val="CommentText"/>
    <w:next w:val="CommentText"/>
    <w:link w:val="CommentSubjectChar"/>
    <w:uiPriority w:val="99"/>
    <w:semiHidden/>
    <w:unhideWhenUsed/>
    <w:rsid w:val="002360CB"/>
    <w:rPr>
      <w:b/>
      <w:bCs/>
    </w:rPr>
  </w:style>
  <w:style w:type="character" w:customStyle="1" w:styleId="CommentSubjectChar">
    <w:name w:val="Comment Subject Char"/>
    <w:basedOn w:val="CommentTextChar"/>
    <w:link w:val="CommentSubject"/>
    <w:uiPriority w:val="99"/>
    <w:semiHidden/>
    <w:rsid w:val="002360CB"/>
    <w:rPr>
      <w:rFonts w:ascii="Tahoma" w:hAnsi="Tahoma"/>
      <w:b/>
      <w:bCs/>
    </w:rPr>
  </w:style>
  <w:style w:type="paragraph" w:styleId="BalloonText">
    <w:name w:val="Balloon Text"/>
    <w:basedOn w:val="Normal"/>
    <w:link w:val="BalloonTextChar"/>
    <w:uiPriority w:val="99"/>
    <w:semiHidden/>
    <w:unhideWhenUsed/>
    <w:rsid w:val="002360CB"/>
    <w:rPr>
      <w:rFonts w:cs="Tahoma"/>
      <w:sz w:val="16"/>
      <w:szCs w:val="16"/>
    </w:rPr>
  </w:style>
  <w:style w:type="character" w:customStyle="1" w:styleId="BalloonTextChar">
    <w:name w:val="Balloon Text Char"/>
    <w:basedOn w:val="DefaultParagraphFont"/>
    <w:link w:val="BalloonText"/>
    <w:uiPriority w:val="99"/>
    <w:semiHidden/>
    <w:rsid w:val="002360CB"/>
    <w:rPr>
      <w:rFonts w:ascii="Tahoma" w:hAnsi="Tahoma" w:cs="Tahoma"/>
      <w:sz w:val="16"/>
      <w:szCs w:val="16"/>
    </w:rPr>
  </w:style>
  <w:style w:type="paragraph" w:styleId="NormalWeb">
    <w:name w:val="Normal (Web)"/>
    <w:basedOn w:val="Normal"/>
    <w:uiPriority w:val="99"/>
    <w:rsid w:val="00467858"/>
  </w:style>
  <w:style w:type="paragraph" w:styleId="TOCHeading">
    <w:name w:val="TOC Heading"/>
    <w:basedOn w:val="Heading1"/>
    <w:next w:val="Normal"/>
    <w:uiPriority w:val="39"/>
    <w:semiHidden/>
    <w:unhideWhenUsed/>
    <w:qFormat/>
    <w:rsid w:val="00862848"/>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862848"/>
    <w:pPr>
      <w:spacing w:after="100"/>
    </w:pPr>
  </w:style>
  <w:style w:type="paragraph" w:styleId="TOC3">
    <w:name w:val="toc 3"/>
    <w:basedOn w:val="Normal"/>
    <w:next w:val="Normal"/>
    <w:autoRedefine/>
    <w:uiPriority w:val="39"/>
    <w:unhideWhenUsed/>
    <w:rsid w:val="00862848"/>
    <w:pPr>
      <w:spacing w:after="100"/>
      <w:ind w:left="480"/>
    </w:pPr>
  </w:style>
  <w:style w:type="table" w:styleId="TableGrid">
    <w:name w:val="Table Grid"/>
    <w:basedOn w:val="TableNormal"/>
    <w:uiPriority w:val="59"/>
    <w:rsid w:val="001F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autoRedefine/>
    <w:rsid w:val="009F58CB"/>
    <w:pPr>
      <w:numPr>
        <w:numId w:val="13"/>
      </w:numPr>
      <w:spacing w:after="240"/>
      <w:ind w:left="567" w:hanging="567"/>
      <w:jc w:val="left"/>
    </w:pPr>
    <w:rPr>
      <w:color w:val="000000"/>
      <w:lang w:eastAsia="en-US"/>
    </w:rPr>
  </w:style>
  <w:style w:type="character" w:styleId="PlaceholderText">
    <w:name w:val="Placeholder Text"/>
    <w:basedOn w:val="DefaultParagraphFont"/>
    <w:uiPriority w:val="99"/>
    <w:semiHidden/>
    <w:rsid w:val="00A338BA"/>
    <w:rPr>
      <w:color w:val="808080"/>
    </w:rPr>
  </w:style>
  <w:style w:type="paragraph" w:styleId="TOC2">
    <w:name w:val="toc 2"/>
    <w:basedOn w:val="Normal"/>
    <w:next w:val="Normal"/>
    <w:autoRedefine/>
    <w:uiPriority w:val="39"/>
    <w:unhideWhenUsed/>
    <w:rsid w:val="00C9164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95"/>
    <w:pPr>
      <w:jc w:val="both"/>
    </w:pPr>
    <w:rPr>
      <w:rFonts w:ascii="Tahoma" w:hAnsi="Tahoma"/>
      <w:sz w:val="24"/>
      <w:szCs w:val="24"/>
    </w:rPr>
  </w:style>
  <w:style w:type="paragraph" w:styleId="Heading1">
    <w:name w:val="heading 1"/>
    <w:basedOn w:val="Normal"/>
    <w:next w:val="Normal"/>
    <w:link w:val="Heading1Char"/>
    <w:qFormat/>
    <w:rsid w:val="00196A95"/>
    <w:pPr>
      <w:keepNext/>
      <w:spacing w:after="240"/>
      <w:jc w:val="center"/>
      <w:outlineLvl w:val="0"/>
    </w:pPr>
    <w:rPr>
      <w:b/>
      <w:caps/>
      <w:kern w:val="28"/>
      <w:sz w:val="32"/>
    </w:rPr>
  </w:style>
  <w:style w:type="paragraph" w:styleId="Heading2">
    <w:name w:val="heading 2"/>
    <w:basedOn w:val="Normal"/>
    <w:next w:val="Normal"/>
    <w:link w:val="Heading2Char"/>
    <w:qFormat/>
    <w:rsid w:val="00196A95"/>
    <w:pPr>
      <w:keepNext/>
      <w:spacing w:after="240"/>
      <w:outlineLvl w:val="1"/>
    </w:pPr>
    <w:rPr>
      <w:b/>
      <w:caps/>
      <w:sz w:val="28"/>
    </w:rPr>
  </w:style>
  <w:style w:type="paragraph" w:styleId="Heading3">
    <w:name w:val="heading 3"/>
    <w:basedOn w:val="Normal"/>
    <w:next w:val="Normal"/>
    <w:link w:val="Heading3Char"/>
    <w:qFormat/>
    <w:rsid w:val="00196A95"/>
    <w:pPr>
      <w:keepNext/>
      <w:spacing w:after="240"/>
      <w:outlineLvl w:val="2"/>
    </w:pPr>
    <w:rPr>
      <w:b/>
      <w:caps/>
    </w:rPr>
  </w:style>
  <w:style w:type="paragraph" w:styleId="Heading4">
    <w:name w:val="heading 4"/>
    <w:basedOn w:val="Normal"/>
    <w:next w:val="Normal"/>
    <w:link w:val="Heading4Char"/>
    <w:qFormat/>
    <w:rsid w:val="00196A95"/>
    <w:pPr>
      <w:keepNext/>
      <w:spacing w:after="240"/>
      <w:outlineLvl w:val="3"/>
    </w:pPr>
    <w:rPr>
      <w:b/>
    </w:rPr>
  </w:style>
  <w:style w:type="paragraph" w:styleId="Heading5">
    <w:name w:val="heading 5"/>
    <w:basedOn w:val="Normal"/>
    <w:next w:val="Normal"/>
    <w:link w:val="Heading5Char"/>
    <w:qFormat/>
    <w:rsid w:val="00196A95"/>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558"/>
    <w:rPr>
      <w:rFonts w:ascii="Tahoma" w:hAnsi="Tahoma" w:cs="Times New Roman"/>
      <w:b/>
      <w:caps/>
      <w:kern w:val="28"/>
      <w:sz w:val="32"/>
      <w:szCs w:val="24"/>
      <w:lang w:eastAsia="en-GB"/>
    </w:rPr>
  </w:style>
  <w:style w:type="character" w:customStyle="1" w:styleId="Heading2Char">
    <w:name w:val="Heading 2 Char"/>
    <w:link w:val="Heading2"/>
    <w:rsid w:val="00C66558"/>
    <w:rPr>
      <w:rFonts w:ascii="Tahoma" w:hAnsi="Tahoma" w:cs="Times New Roman"/>
      <w:b/>
      <w:caps/>
      <w:sz w:val="28"/>
      <w:szCs w:val="24"/>
      <w:lang w:eastAsia="en-GB"/>
    </w:rPr>
  </w:style>
  <w:style w:type="character" w:customStyle="1" w:styleId="Heading3Char">
    <w:name w:val="Heading 3 Char"/>
    <w:link w:val="Heading3"/>
    <w:rsid w:val="00C66558"/>
    <w:rPr>
      <w:rFonts w:ascii="Tahoma" w:hAnsi="Tahoma" w:cs="Times New Roman"/>
      <w:b/>
      <w:caps/>
      <w:sz w:val="24"/>
      <w:szCs w:val="24"/>
      <w:lang w:eastAsia="en-GB"/>
    </w:rPr>
  </w:style>
  <w:style w:type="character" w:customStyle="1" w:styleId="Heading4Char">
    <w:name w:val="Heading 4 Char"/>
    <w:link w:val="Heading4"/>
    <w:rsid w:val="00C66558"/>
    <w:rPr>
      <w:rFonts w:ascii="Tahoma" w:hAnsi="Tahoma" w:cs="Times New Roman"/>
      <w:b/>
      <w:sz w:val="24"/>
      <w:szCs w:val="24"/>
      <w:lang w:eastAsia="en-GB"/>
    </w:rPr>
  </w:style>
  <w:style w:type="character" w:customStyle="1" w:styleId="Heading5Char">
    <w:name w:val="Heading 5 Char"/>
    <w:link w:val="Heading5"/>
    <w:rsid w:val="00C66558"/>
    <w:rPr>
      <w:rFonts w:ascii="Tahoma" w:hAnsi="Tahoma" w:cs="Times New Roman"/>
      <w:i/>
      <w:sz w:val="24"/>
      <w:szCs w:val="24"/>
      <w:lang w:eastAsia="en-GB"/>
    </w:rPr>
  </w:style>
  <w:style w:type="paragraph" w:styleId="BodyText">
    <w:name w:val="Body Text"/>
    <w:basedOn w:val="Normal"/>
    <w:link w:val="BodyTextChar"/>
    <w:rsid w:val="00196A95"/>
    <w:pPr>
      <w:spacing w:after="120"/>
    </w:pPr>
  </w:style>
  <w:style w:type="character" w:customStyle="1" w:styleId="BodyTextChar">
    <w:name w:val="Body Text Char"/>
    <w:link w:val="BodyText"/>
    <w:rsid w:val="00C66558"/>
    <w:rPr>
      <w:rFonts w:ascii="Tahoma" w:hAnsi="Tahoma" w:cs="Times New Roman"/>
      <w:sz w:val="24"/>
      <w:szCs w:val="24"/>
      <w:lang w:eastAsia="en-GB"/>
    </w:rPr>
  </w:style>
  <w:style w:type="paragraph" w:customStyle="1" w:styleId="LetterBodyText">
    <w:name w:val="Letter Body Text"/>
    <w:basedOn w:val="LetterText"/>
    <w:rsid w:val="00196A95"/>
    <w:pPr>
      <w:spacing w:after="120"/>
    </w:pPr>
  </w:style>
  <w:style w:type="paragraph" w:styleId="Footer">
    <w:name w:val="footer"/>
    <w:basedOn w:val="Normal"/>
    <w:link w:val="FooterChar"/>
    <w:uiPriority w:val="99"/>
    <w:rsid w:val="00196A95"/>
    <w:pPr>
      <w:tabs>
        <w:tab w:val="center" w:pos="4320"/>
        <w:tab w:val="right" w:pos="8640"/>
      </w:tabs>
    </w:pPr>
  </w:style>
  <w:style w:type="character" w:customStyle="1" w:styleId="FooterChar">
    <w:name w:val="Footer Char"/>
    <w:link w:val="Footer"/>
    <w:uiPriority w:val="99"/>
    <w:rsid w:val="00C66558"/>
    <w:rPr>
      <w:rFonts w:ascii="Tahoma" w:hAnsi="Tahoma" w:cs="Times New Roman"/>
      <w:sz w:val="24"/>
      <w:szCs w:val="24"/>
      <w:lang w:eastAsia="en-GB"/>
    </w:rPr>
  </w:style>
  <w:style w:type="paragraph" w:styleId="Header">
    <w:name w:val="header"/>
    <w:basedOn w:val="Normal"/>
    <w:link w:val="HeaderChar"/>
    <w:rsid w:val="00196A95"/>
    <w:pPr>
      <w:tabs>
        <w:tab w:val="center" w:pos="4320"/>
        <w:tab w:val="right" w:pos="8640"/>
      </w:tabs>
    </w:pPr>
  </w:style>
  <w:style w:type="character" w:customStyle="1" w:styleId="HeaderChar">
    <w:name w:val="Header Char"/>
    <w:link w:val="Header"/>
    <w:rsid w:val="00C66558"/>
    <w:rPr>
      <w:rFonts w:ascii="Tahoma" w:hAnsi="Tahoma" w:cs="Times New Roman"/>
      <w:sz w:val="24"/>
      <w:szCs w:val="24"/>
      <w:lang w:eastAsia="en-GB"/>
    </w:rPr>
  </w:style>
  <w:style w:type="paragraph" w:customStyle="1" w:styleId="LetterText">
    <w:name w:val="Letter Text"/>
    <w:basedOn w:val="Normal"/>
    <w:rsid w:val="00196A95"/>
  </w:style>
  <w:style w:type="paragraph" w:styleId="PlainText">
    <w:name w:val="Plain Text"/>
    <w:basedOn w:val="Normal"/>
    <w:link w:val="PlainTextChar"/>
    <w:rsid w:val="00196A95"/>
    <w:rPr>
      <w:rFonts w:ascii="Courier New" w:hAnsi="Courier New"/>
    </w:rPr>
  </w:style>
  <w:style w:type="character" w:customStyle="1" w:styleId="PlainTextChar">
    <w:name w:val="Plain Text Char"/>
    <w:link w:val="PlainText"/>
    <w:rsid w:val="00C66558"/>
    <w:rPr>
      <w:rFonts w:ascii="Courier New" w:hAnsi="Courier New" w:cs="Times New Roman"/>
      <w:sz w:val="24"/>
      <w:szCs w:val="24"/>
      <w:lang w:eastAsia="en-GB"/>
    </w:rPr>
  </w:style>
  <w:style w:type="paragraph" w:styleId="ListParagraph">
    <w:name w:val="List Paragraph"/>
    <w:basedOn w:val="Normal"/>
    <w:uiPriority w:val="34"/>
    <w:qFormat/>
    <w:rsid w:val="00E71399"/>
    <w:pPr>
      <w:ind w:left="720"/>
      <w:contextualSpacing/>
    </w:pPr>
  </w:style>
  <w:style w:type="character" w:styleId="Hyperlink">
    <w:name w:val="Hyperlink"/>
    <w:basedOn w:val="DefaultParagraphFont"/>
    <w:uiPriority w:val="99"/>
    <w:unhideWhenUsed/>
    <w:rsid w:val="00B52CD8"/>
    <w:rPr>
      <w:color w:val="0000FF" w:themeColor="hyperlink"/>
      <w:u w:val="single"/>
    </w:rPr>
  </w:style>
  <w:style w:type="character" w:styleId="CommentReference">
    <w:name w:val="annotation reference"/>
    <w:basedOn w:val="DefaultParagraphFont"/>
    <w:uiPriority w:val="99"/>
    <w:semiHidden/>
    <w:unhideWhenUsed/>
    <w:rsid w:val="002360CB"/>
    <w:rPr>
      <w:sz w:val="16"/>
      <w:szCs w:val="16"/>
    </w:rPr>
  </w:style>
  <w:style w:type="paragraph" w:styleId="CommentText">
    <w:name w:val="annotation text"/>
    <w:basedOn w:val="Normal"/>
    <w:link w:val="CommentTextChar"/>
    <w:uiPriority w:val="99"/>
    <w:semiHidden/>
    <w:unhideWhenUsed/>
    <w:rsid w:val="002360CB"/>
    <w:rPr>
      <w:sz w:val="20"/>
      <w:szCs w:val="20"/>
    </w:rPr>
  </w:style>
  <w:style w:type="character" w:customStyle="1" w:styleId="CommentTextChar">
    <w:name w:val="Comment Text Char"/>
    <w:basedOn w:val="DefaultParagraphFont"/>
    <w:link w:val="CommentText"/>
    <w:uiPriority w:val="99"/>
    <w:semiHidden/>
    <w:rsid w:val="002360CB"/>
    <w:rPr>
      <w:rFonts w:ascii="Tahoma" w:hAnsi="Tahoma"/>
    </w:rPr>
  </w:style>
  <w:style w:type="paragraph" w:styleId="CommentSubject">
    <w:name w:val="annotation subject"/>
    <w:basedOn w:val="CommentText"/>
    <w:next w:val="CommentText"/>
    <w:link w:val="CommentSubjectChar"/>
    <w:uiPriority w:val="99"/>
    <w:semiHidden/>
    <w:unhideWhenUsed/>
    <w:rsid w:val="002360CB"/>
    <w:rPr>
      <w:b/>
      <w:bCs/>
    </w:rPr>
  </w:style>
  <w:style w:type="character" w:customStyle="1" w:styleId="CommentSubjectChar">
    <w:name w:val="Comment Subject Char"/>
    <w:basedOn w:val="CommentTextChar"/>
    <w:link w:val="CommentSubject"/>
    <w:uiPriority w:val="99"/>
    <w:semiHidden/>
    <w:rsid w:val="002360CB"/>
    <w:rPr>
      <w:rFonts w:ascii="Tahoma" w:hAnsi="Tahoma"/>
      <w:b/>
      <w:bCs/>
    </w:rPr>
  </w:style>
  <w:style w:type="paragraph" w:styleId="BalloonText">
    <w:name w:val="Balloon Text"/>
    <w:basedOn w:val="Normal"/>
    <w:link w:val="BalloonTextChar"/>
    <w:uiPriority w:val="99"/>
    <w:semiHidden/>
    <w:unhideWhenUsed/>
    <w:rsid w:val="002360CB"/>
    <w:rPr>
      <w:rFonts w:cs="Tahoma"/>
      <w:sz w:val="16"/>
      <w:szCs w:val="16"/>
    </w:rPr>
  </w:style>
  <w:style w:type="character" w:customStyle="1" w:styleId="BalloonTextChar">
    <w:name w:val="Balloon Text Char"/>
    <w:basedOn w:val="DefaultParagraphFont"/>
    <w:link w:val="BalloonText"/>
    <w:uiPriority w:val="99"/>
    <w:semiHidden/>
    <w:rsid w:val="002360CB"/>
    <w:rPr>
      <w:rFonts w:ascii="Tahoma" w:hAnsi="Tahoma" w:cs="Tahoma"/>
      <w:sz w:val="16"/>
      <w:szCs w:val="16"/>
    </w:rPr>
  </w:style>
  <w:style w:type="paragraph" w:styleId="NormalWeb">
    <w:name w:val="Normal (Web)"/>
    <w:basedOn w:val="Normal"/>
    <w:uiPriority w:val="99"/>
    <w:rsid w:val="00467858"/>
  </w:style>
  <w:style w:type="paragraph" w:styleId="TOCHeading">
    <w:name w:val="TOC Heading"/>
    <w:basedOn w:val="Heading1"/>
    <w:next w:val="Normal"/>
    <w:uiPriority w:val="39"/>
    <w:semiHidden/>
    <w:unhideWhenUsed/>
    <w:qFormat/>
    <w:rsid w:val="00862848"/>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862848"/>
    <w:pPr>
      <w:spacing w:after="100"/>
    </w:pPr>
  </w:style>
  <w:style w:type="paragraph" w:styleId="TOC3">
    <w:name w:val="toc 3"/>
    <w:basedOn w:val="Normal"/>
    <w:next w:val="Normal"/>
    <w:autoRedefine/>
    <w:uiPriority w:val="39"/>
    <w:unhideWhenUsed/>
    <w:rsid w:val="00862848"/>
    <w:pPr>
      <w:spacing w:after="100"/>
      <w:ind w:left="480"/>
    </w:pPr>
  </w:style>
  <w:style w:type="table" w:styleId="TableGrid">
    <w:name w:val="Table Grid"/>
    <w:basedOn w:val="TableNormal"/>
    <w:uiPriority w:val="59"/>
    <w:rsid w:val="001F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autoRedefine/>
    <w:rsid w:val="009F58CB"/>
    <w:pPr>
      <w:numPr>
        <w:numId w:val="13"/>
      </w:numPr>
      <w:spacing w:after="240"/>
      <w:ind w:left="567" w:hanging="567"/>
      <w:jc w:val="left"/>
    </w:pPr>
    <w:rPr>
      <w:color w:val="000000"/>
      <w:lang w:eastAsia="en-US"/>
    </w:rPr>
  </w:style>
  <w:style w:type="character" w:styleId="PlaceholderText">
    <w:name w:val="Placeholder Text"/>
    <w:basedOn w:val="DefaultParagraphFont"/>
    <w:uiPriority w:val="99"/>
    <w:semiHidden/>
    <w:rsid w:val="00A338BA"/>
    <w:rPr>
      <w:color w:val="808080"/>
    </w:rPr>
  </w:style>
  <w:style w:type="paragraph" w:styleId="TOC2">
    <w:name w:val="toc 2"/>
    <w:basedOn w:val="Normal"/>
    <w:next w:val="Normal"/>
    <w:autoRedefine/>
    <w:uiPriority w:val="39"/>
    <w:unhideWhenUsed/>
    <w:rsid w:val="00C9164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rchives.gov.uk/doc/open-government-lic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andSkillsData@ofste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urther-education-and-skills-inspection-handbook-from-september-201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common-inspection-framework-education-skills-and-early-years-from-september-2015" TargetMode="External"/><Relationship Id="rId4" Type="http://schemas.microsoft.com/office/2007/relationships/stylesWithEffects" Target="stylesWithEffects.xml"/><Relationship Id="rId9" Type="http://schemas.openxmlformats.org/officeDocument/2006/relationships/hyperlink" Target="mailto:enquiries@ofsted.gov.uk" TargetMode="External"/><Relationship Id="rId14" Type="http://schemas.openxmlformats.org/officeDocument/2006/relationships/hyperlink" Target="mailto:psi@nationalarchive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A752-D69A-4934-971B-0E3F99BD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Ofsted</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Pearce</dc:creator>
  <cp:lastModifiedBy>Sarah Pearce</cp:lastModifiedBy>
  <cp:revision>6</cp:revision>
  <cp:lastPrinted>2016-05-20T15:47:00Z</cp:lastPrinted>
  <dcterms:created xsi:type="dcterms:W3CDTF">2016-06-28T19:16:00Z</dcterms:created>
  <dcterms:modified xsi:type="dcterms:W3CDTF">2016-06-29T09:33:00Z</dcterms:modified>
</cp:coreProperties>
</file>