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48" w:rsidRPr="00655622" w:rsidRDefault="00AB16AB" w:rsidP="00121C30">
      <w:pPr>
        <w:tabs>
          <w:tab w:val="center" w:pos="4513"/>
          <w:tab w:val="right" w:pos="9026"/>
        </w:tabs>
        <w:spacing w:after="0" w:line="240" w:lineRule="auto"/>
        <w:rPr>
          <w:rFonts w:eastAsia="Times New Roman" w:cs="Arial"/>
          <w:b/>
          <w:sz w:val="24"/>
          <w:szCs w:val="24"/>
          <w:lang w:eastAsia="en-GB"/>
        </w:rPr>
      </w:pPr>
      <w:r w:rsidRPr="00655622">
        <w:rPr>
          <w:rFonts w:eastAsia="Times New Roman" w:cs="Arial"/>
          <w:b/>
          <w:noProof/>
          <w:color w:val="FF0000"/>
          <w:sz w:val="24"/>
          <w:szCs w:val="24"/>
          <w:lang w:eastAsia="en-GB"/>
        </w:rPr>
        <mc:AlternateContent>
          <mc:Choice Requires="wps">
            <w:drawing>
              <wp:anchor distT="91440" distB="91440" distL="114300" distR="114300" simplePos="0" relativeHeight="251660288" behindDoc="0" locked="0" layoutInCell="0" allowOverlap="1" wp14:anchorId="48A83082" wp14:editId="7759B747">
                <wp:simplePos x="0" y="0"/>
                <wp:positionH relativeFrom="margin">
                  <wp:posOffset>3962400</wp:posOffset>
                </wp:positionH>
                <wp:positionV relativeFrom="page">
                  <wp:posOffset>-47625</wp:posOffset>
                </wp:positionV>
                <wp:extent cx="1857375" cy="243840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4384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45734E" w:rsidRDefault="0045734E" w:rsidP="00AB16AB">
                            <w:pPr>
                              <w:rPr>
                                <w:b/>
                                <w:color w:val="FFFFFF"/>
                                <w:sz w:val="8"/>
                                <w:szCs w:val="8"/>
                              </w:rPr>
                            </w:pPr>
                          </w:p>
                          <w:p w:rsidR="0045734E" w:rsidRDefault="0045734E" w:rsidP="00AB16AB">
                            <w:pPr>
                              <w:rPr>
                                <w:b/>
                                <w:color w:val="FFFFFF"/>
                                <w:sz w:val="4"/>
                                <w:szCs w:val="4"/>
                              </w:rPr>
                            </w:pPr>
                          </w:p>
                          <w:p w:rsidR="0045734E" w:rsidRPr="009230A0" w:rsidRDefault="0045734E" w:rsidP="00AB16AB">
                            <w:pPr>
                              <w:rPr>
                                <w:b/>
                                <w:color w:val="FFFFFF"/>
                                <w:sz w:val="30"/>
                                <w:szCs w:val="30"/>
                              </w:rPr>
                            </w:pPr>
                            <w:r w:rsidRPr="009230A0">
                              <w:rPr>
                                <w:b/>
                                <w:color w:val="FFFFFF"/>
                                <w:sz w:val="30"/>
                                <w:szCs w:val="30"/>
                              </w:rPr>
                              <w:t>Committee on Standards in Public Life</w:t>
                            </w:r>
                          </w:p>
                          <w:p w:rsidR="0045734E" w:rsidRPr="009230A0" w:rsidRDefault="0045734E" w:rsidP="00AB16AB">
                            <w:pPr>
                              <w:rPr>
                                <w:rFonts w:ascii="Calibri" w:hAnsi="Calibri"/>
                                <w:b/>
                                <w:color w:val="FFFFFF"/>
                              </w:rPr>
                            </w:pPr>
                          </w:p>
                          <w:p w:rsidR="0045734E" w:rsidRPr="009230A0" w:rsidRDefault="0045734E" w:rsidP="00AB16AB">
                            <w:pPr>
                              <w:rPr>
                                <w:rFonts w:ascii="Calibri" w:hAnsi="Calibri"/>
                                <w:b/>
                                <w:color w:val="3B4D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312pt;margin-top:-3.75pt;width:146.25pt;height:19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y2DgMAAHAGAAAOAAAAZHJzL2Uyb0RvYy54bWysVduO0zAQfUfiHyy/Z3Np2qTRpqjttoC0&#10;wIoF8ewmTmPh2MF2my6If2fs9BbgAQGtFHmc8fGcM5fcvjg0HO2p0kyKHIc3AUZUFLJkYpvjjx/W&#10;XoqRNkSUhEtBc/xENX4xe/7stmszGsla8pIqBCBCZ12b49qYNvN9XdS0IfpGtlTAy0qqhhgw1dYv&#10;FekAveF+FAQTv5OqbJUsqNawe9e/xDOHX1W0MO+qSlODeI4hNuOeyj039unPbkm2VaStWXEMg/xF&#10;FA1hAi49Q90RQ9BOsV+gGlYoqWVlbgrZ+LKqWEEdB2ATBj+xeaxJSx0XEEe3Z5n0/4Mt3u4fFGJl&#10;jscYCdJAit6DaERsOUVjK0/X6gy8HtsHZQnq9l4WnzUSclmDF50rJbuakhKCCq2/PzhgDQ1H0aZ7&#10;I0tAJzsjnVKHSjWo4qx9ZQ9aaFADHVxqns6poQeDCtgM03EySiDGAt5F8SiNA5c8n2QWyB5vlTYv&#10;qWyQXeRYAQ0HS/b32tjALi6OiOSsXDPOnaG2myVXaE+gTtJFGASJ4wJ8r924sM5C2mM9Yr9DXaX1&#10;15AMYoal9bTRuyr4Ng2jOFhEU289SRMvXsdjb5oEqReE08V0EsTT+G793YYbxlnNypKKeyboqSLD&#10;+M8yfuyNvpZcTaIux6MU+DgpBmT0Ned1ZP+/49wwAx3KWQPCBPZnnUhmU74SpVsbwni/9ofxO9FB&#10;hKEW8/U4SCCFXpKMR148WgXeIl0vvfkynEyS1WK5WIVDLVZOX/3vcrhATsmyhtwBu8e67FDJbNVE&#10;6WgKI6tkMCNGaTAJpglGhG9huBVGYaSk+cRM7TrTFqnFGAg5iaI4GvWFx9ua9CU1PgkHRXh0d9qc&#10;r++VukR2JeSR/EVLwDiVmGs22199n5rD5gAZsU23keUTtB3E6zoKRjQsaqm+YtTBuMux/rIjimLE&#10;Xwto3QgSEtkBObDUwNoMLCIKgMuxAX3ccmn6ubprFdvWcFvf1ULOoeUr5lrwEhnQsQaMNUfsOILt&#10;3Ly2ndflQzH7AQAA//8DAFBLAwQUAAYACAAAACEAJmrUaOEAAAAKAQAADwAAAGRycy9kb3ducmV2&#10;LnhtbEyPQU/CQBCF7yb+h82YeIMtIEVqp8RojPGEAgnXpbt2G7uztbvQ4q9nPOntvczLm+/lq8E1&#10;4mS6UHtCmIwTEIZKr2uqEHbbl9E9iBAVadV4MghnE2BVXF/lKtO+pw9z2sRKcAmFTCHYGNtMylBa&#10;41QY+9YQ3z5951Rk21VSd6rnctfIaZKk0qma+INVrXmypvzaHB3C2j5/z/b9+a1N3u3PPvrl/HWt&#10;EW9vhscHENEM8S8Mv/iMDgUzHfyRdBANQjq94y0RYbSYg+DAcpKyOCDMFixkkcv/E4oLAAAA//8D&#10;AFBLAQItABQABgAIAAAAIQC2gziS/gAAAOEBAAATAAAAAAAAAAAAAAAAAAAAAABbQ29udGVudF9U&#10;eXBlc10ueG1sUEsBAi0AFAAGAAgAAAAhADj9If/WAAAAlAEAAAsAAAAAAAAAAAAAAAAALwEAAF9y&#10;ZWxzLy5yZWxzUEsBAi0AFAAGAAgAAAAhAEtTrLYOAwAAcAYAAA4AAAAAAAAAAAAAAAAALgIAAGRy&#10;cy9lMm9Eb2MueG1sUEsBAi0AFAAGAAgAAAAhACZq1GjhAAAACgEAAA8AAAAAAAAAAAAAAAAAaAUA&#10;AGRycy9kb3ducmV2LnhtbFBLBQYAAAAABAAEAPMAAAB2BgAAAAA=&#10;" o:allowincell="f" fillcolor="#8b1007" stroked="f" strokecolor="#f2f2f2" strokeweight="3pt">
                <v:shadow color="#622423" opacity=".5" offset="1pt"/>
                <v:textbox inset="21.6pt,21.6pt,21.6pt,21.6pt">
                  <w:txbxContent>
                    <w:p w:rsidR="0045734E" w:rsidRDefault="0045734E" w:rsidP="00AB16AB">
                      <w:pPr>
                        <w:rPr>
                          <w:b/>
                          <w:color w:val="FFFFFF"/>
                          <w:sz w:val="8"/>
                          <w:szCs w:val="8"/>
                        </w:rPr>
                      </w:pPr>
                    </w:p>
                    <w:p w:rsidR="0045734E" w:rsidRDefault="0045734E" w:rsidP="00AB16AB">
                      <w:pPr>
                        <w:rPr>
                          <w:b/>
                          <w:color w:val="FFFFFF"/>
                          <w:sz w:val="4"/>
                          <w:szCs w:val="4"/>
                        </w:rPr>
                      </w:pPr>
                    </w:p>
                    <w:p w:rsidR="0045734E" w:rsidRPr="009230A0" w:rsidRDefault="0045734E" w:rsidP="00AB16AB">
                      <w:pPr>
                        <w:rPr>
                          <w:b/>
                          <w:color w:val="FFFFFF"/>
                          <w:sz w:val="30"/>
                          <w:szCs w:val="30"/>
                        </w:rPr>
                      </w:pPr>
                      <w:r w:rsidRPr="009230A0">
                        <w:rPr>
                          <w:b/>
                          <w:color w:val="FFFFFF"/>
                          <w:sz w:val="30"/>
                          <w:szCs w:val="30"/>
                        </w:rPr>
                        <w:t>Committee on Standards in Public Life</w:t>
                      </w:r>
                    </w:p>
                    <w:p w:rsidR="0045734E" w:rsidRPr="009230A0" w:rsidRDefault="0045734E" w:rsidP="00AB16AB">
                      <w:pPr>
                        <w:rPr>
                          <w:rFonts w:ascii="Calibri" w:hAnsi="Calibri"/>
                          <w:b/>
                          <w:color w:val="FFFFFF"/>
                        </w:rPr>
                      </w:pPr>
                    </w:p>
                    <w:p w:rsidR="0045734E" w:rsidRPr="009230A0" w:rsidRDefault="0045734E" w:rsidP="00AB16AB">
                      <w:pPr>
                        <w:rPr>
                          <w:rFonts w:ascii="Calibri" w:hAnsi="Calibri"/>
                          <w:b/>
                          <w:color w:val="3B4DD1"/>
                        </w:rPr>
                      </w:pPr>
                    </w:p>
                  </w:txbxContent>
                </v:textbox>
                <w10:wrap type="square" anchorx="margin" anchory="page"/>
              </v:rect>
            </w:pict>
          </mc:Fallback>
        </mc:AlternateContent>
      </w:r>
      <w:r w:rsidRPr="00655622">
        <w:rPr>
          <w:rFonts w:eastAsia="Times New Roman" w:cs="Arial"/>
          <w:b/>
          <w:noProof/>
          <w:color w:val="FF0000"/>
          <w:sz w:val="24"/>
          <w:szCs w:val="24"/>
          <w:lang w:eastAsia="en-GB"/>
        </w:rPr>
        <mc:AlternateContent>
          <mc:Choice Requires="wps">
            <w:drawing>
              <wp:anchor distT="91440" distB="91440" distL="114300" distR="114300" simplePos="0" relativeHeight="251659264" behindDoc="0" locked="0" layoutInCell="0" allowOverlap="1" wp14:anchorId="47D906A5" wp14:editId="6BE0B87D">
                <wp:simplePos x="0" y="0"/>
                <wp:positionH relativeFrom="margin">
                  <wp:posOffset>3962400</wp:posOffset>
                </wp:positionH>
                <wp:positionV relativeFrom="page">
                  <wp:posOffset>-47625</wp:posOffset>
                </wp:positionV>
                <wp:extent cx="1752600" cy="243840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rFonts w:ascii="Calibri" w:hAnsi="Calibri"/>
                                <w:b/>
                                <w:color w:val="FFFFFF"/>
                                <w:sz w:val="36"/>
                                <w:szCs w:val="36"/>
                              </w:rPr>
                            </w:pPr>
                          </w:p>
                          <w:p w:rsidR="0045734E" w:rsidRPr="00596099" w:rsidRDefault="0045734E" w:rsidP="00AB16AB">
                            <w:pPr>
                              <w:rPr>
                                <w:rFonts w:ascii="Calibri" w:hAnsi="Calibri"/>
                                <w:b/>
                                <w:color w:val="943634"/>
                                <w:sz w:val="16"/>
                                <w:szCs w:val="16"/>
                              </w:rPr>
                            </w:pPr>
                          </w:p>
                          <w:p w:rsidR="0045734E" w:rsidRDefault="0045734E" w:rsidP="00AB16AB">
                            <w:pPr>
                              <w:rPr>
                                <w:rFonts w:ascii="Calibri" w:hAnsi="Calibri"/>
                                <w:b/>
                                <w:color w:val="FFFFFF"/>
                                <w:sz w:val="4"/>
                                <w:szCs w:val="4"/>
                              </w:rPr>
                            </w:pPr>
                          </w:p>
                          <w:p w:rsidR="0045734E" w:rsidRDefault="0045734E" w:rsidP="00AB16AB">
                            <w:pPr>
                              <w:rPr>
                                <w:rFonts w:ascii="Calibri" w:hAnsi="Calibri"/>
                                <w:b/>
                                <w:color w:val="FFFFFF"/>
                                <w:sz w:val="8"/>
                                <w:szCs w:val="8"/>
                              </w:rPr>
                            </w:pPr>
                          </w:p>
                          <w:p w:rsidR="0045734E" w:rsidRPr="005C5DD7" w:rsidRDefault="0045734E" w:rsidP="00AB16AB">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rsidR="0045734E" w:rsidRDefault="0045734E" w:rsidP="00AB16AB">
                            <w:pPr>
                              <w:rPr>
                                <w:rFonts w:ascii="Calibri" w:hAnsi="Calibri"/>
                                <w:b/>
                                <w:color w:val="FFFFFF"/>
                                <w:sz w:val="16"/>
                                <w:szCs w:val="16"/>
                              </w:rPr>
                            </w:pPr>
                          </w:p>
                          <w:p w:rsidR="0045734E" w:rsidRPr="001D5BD1" w:rsidRDefault="0045734E" w:rsidP="00AB16AB">
                            <w:pPr>
                              <w:rPr>
                                <w:rFonts w:ascii="Calibri" w:hAnsi="Calibri"/>
                                <w:b/>
                                <w:color w:val="3B4DD1"/>
                                <w:sz w:val="16"/>
                                <w:szCs w:val="16"/>
                              </w:rPr>
                            </w:pPr>
                            <w:r>
                              <w:rPr>
                                <w:rFonts w:ascii="Calibri" w:hAnsi="Calibri"/>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312pt;margin-top:-3.75pt;width:138pt;height:19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M0EgMAAHcGAAAOAAAAZHJzL2Uyb0RvYy54bWysVVFv0zAQfkfiP1h+z+KkaZJGy9DatYA0&#10;YGIgnt3EaSwcO9ju0oH475ydtmuBBwS0UuRzzp/vvrvvcvli1wn0wLThSpY4uiAYMVmpmstNiT9+&#10;WAU5RsZSWVOhJCvxIzP4xdXzZ5dDX7BYtUrUTCMAkaYY+hK31vZFGJqqZR01F6pnEl42SnfUgqk3&#10;Ya3pAOidCGNC0nBQuu61qpgxsHszvsRXHr9pWGXfNY1hFokSQ2zWP7V/rt0zvLqkxUbTvuXVPgz6&#10;F1F0lEu49Ah1Qy1FW81/gep4pZVRjb2oVBeqpuEV8zlANhH5KZv7lvbM5wLkmP5Ik/l/sNXbhzuN&#10;eF3iBCNJOyjReyCNyo1gKHH0DL0pwOu+v9MuQdPfquqzQVItWvBi11qroWW0hqAi5x+eHXCGgaNo&#10;PbxRNaDTrVWeqV2jO9QI3r9yBx00sIF2vjSPx9KwnUUVbEbZNE4JVLCCd3EyyRMw3G20cEDueK+N&#10;fclUh9yixBrS8LD04dbY0fXg4hNRgtcrLoQ39Ga9EBo9UOiTjJAlSffo5tRNSOcslTs2Io47zHfa&#10;eA0tIGZYOk8Xve+Cb7MoTsg8ngWrNM+CZJVMg1lG8oBEs/ksJcksuVl9d+FGSdHyumbylkt26Mgo&#10;+bOK77Ux9pLvSTSUeJJHQJZP8zQZc5rzKnb/3+XccQsKFbwrcU7czznRwpV8KWu/tpSLcR2ex+/r&#10;AyScc3G9mpIMShhk2XQSJJMlCeb5ahFcL6I0zZbzxXwZnXOx9Pyaf6fDB3IoljPUFrK7b+sB1dx1&#10;TZxPZjCyag4zYpKTlMwyjKjYwHCrrMZIK/uJ29Yr0zWpwzgjMo3jJJ6MjSf6lo4tNT0QB/26d/fc&#10;HK8fmXqK7ITIffJPXALGocW82Jy+Rp3a3XrnxeyV6LS3VvUjqA/C9sKCSQ2LVumvGA0w9Upsvmyp&#10;ZhiJ1xIUHENdYjcnzyx9Zq3PLCorgCuxBZr8cmHH8brtNd+0cNsobqmuQfkN90p8igyycgZMN5/f&#10;fhK78Xlqe6+n78XVDwAAAP//AwBQSwMEFAAGAAgAAAAhAAAPhe3gAAAACgEAAA8AAABkcnMvZG93&#10;bnJldi54bWxMj81OwzAQhO9IvIO1SNxam0JTCNlUVaWKnxsFVeK2ibdxRGxHsduEt8ec4Dg7o9lv&#10;ivVkO3HmIbTeIdzMFQh2tdetaxA+3nezexAhktPUeccI3xxgXV5eFJRrP7o3Pu9jI1KJCzkhmBj7&#10;XMpQG7YU5r5nl7yjHyzFJIdG6oHGVG47uVAqk5Zalz4Y6nlruP7anyzCE78czXP1ebDtzo4H6l83&#10;254Qr6+mzSOIyFP8C8MvfkKHMjFV/uR0EB1CtrhLWyLCbLUEkQIPSqVDhXC7ypYgy0L+n1D+AAAA&#10;//8DAFBLAQItABQABgAIAAAAIQC2gziS/gAAAOEBAAATAAAAAAAAAAAAAAAAAAAAAABbQ29udGVu&#10;dF9UeXBlc10ueG1sUEsBAi0AFAAGAAgAAAAhADj9If/WAAAAlAEAAAsAAAAAAAAAAAAAAAAALwEA&#10;AF9yZWxzLy5yZWxzUEsBAi0AFAAGAAgAAAAhAB2wIzQSAwAAdwYAAA4AAAAAAAAAAAAAAAAALgIA&#10;AGRycy9lMm9Eb2MueG1sUEsBAi0AFAAGAAgAAAAhAAAPhe3gAAAACgEAAA8AAAAAAAAAAAAAAAAA&#10;bAUAAGRycy9kb3ducmV2LnhtbFBLBQYAAAAABAAEAPMAAAB5BgAAAAA=&#10;" o:allowincell="f" fillcolor="#700e06" stroked="f" strokecolor="#f2f2f2" strokeweight="3pt">
                <v:shadow color="#622423" opacity=".5" offset="1pt"/>
                <v:textbox inset="21.6pt,21.6pt,21.6pt,21.6pt">
                  <w:txbxContent>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rFonts w:ascii="Calibri" w:hAnsi="Calibri"/>
                          <w:b/>
                          <w:color w:val="FFFFFF"/>
                          <w:sz w:val="36"/>
                          <w:szCs w:val="36"/>
                        </w:rPr>
                      </w:pPr>
                    </w:p>
                    <w:p w:rsidR="0045734E" w:rsidRPr="00596099" w:rsidRDefault="0045734E" w:rsidP="00AB16AB">
                      <w:pPr>
                        <w:rPr>
                          <w:rFonts w:ascii="Calibri" w:hAnsi="Calibri"/>
                          <w:b/>
                          <w:color w:val="943634"/>
                          <w:sz w:val="16"/>
                          <w:szCs w:val="16"/>
                        </w:rPr>
                      </w:pPr>
                    </w:p>
                    <w:p w:rsidR="0045734E" w:rsidRDefault="0045734E" w:rsidP="00AB16AB">
                      <w:pPr>
                        <w:rPr>
                          <w:rFonts w:ascii="Calibri" w:hAnsi="Calibri"/>
                          <w:b/>
                          <w:color w:val="FFFFFF"/>
                          <w:sz w:val="4"/>
                          <w:szCs w:val="4"/>
                        </w:rPr>
                      </w:pPr>
                    </w:p>
                    <w:p w:rsidR="0045734E" w:rsidRDefault="0045734E" w:rsidP="00AB16AB">
                      <w:pPr>
                        <w:rPr>
                          <w:rFonts w:ascii="Calibri" w:hAnsi="Calibri"/>
                          <w:b/>
                          <w:color w:val="FFFFFF"/>
                          <w:sz w:val="8"/>
                          <w:szCs w:val="8"/>
                        </w:rPr>
                      </w:pPr>
                    </w:p>
                    <w:p w:rsidR="0045734E" w:rsidRPr="005C5DD7" w:rsidRDefault="0045734E" w:rsidP="00AB16AB">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rsidR="0045734E" w:rsidRDefault="0045734E" w:rsidP="00AB16AB">
                      <w:pPr>
                        <w:rPr>
                          <w:rFonts w:ascii="Calibri" w:hAnsi="Calibri"/>
                          <w:b/>
                          <w:color w:val="FFFFFF"/>
                          <w:sz w:val="16"/>
                          <w:szCs w:val="16"/>
                        </w:rPr>
                      </w:pPr>
                    </w:p>
                    <w:p w:rsidR="0045734E" w:rsidRPr="001D5BD1" w:rsidRDefault="0045734E" w:rsidP="00AB16AB">
                      <w:pPr>
                        <w:rPr>
                          <w:rFonts w:ascii="Calibri" w:hAnsi="Calibri"/>
                          <w:b/>
                          <w:color w:val="3B4DD1"/>
                          <w:sz w:val="16"/>
                          <w:szCs w:val="16"/>
                        </w:rPr>
                      </w:pPr>
                      <w:r>
                        <w:rPr>
                          <w:rFonts w:ascii="Calibri" w:hAnsi="Calibri"/>
                          <w:b/>
                          <w:color w:val="FFFFFF"/>
                          <w:sz w:val="16"/>
                          <w:szCs w:val="16"/>
                        </w:rPr>
                        <w:t>Chair:</w:t>
                      </w:r>
                    </w:p>
                  </w:txbxContent>
                </v:textbox>
                <w10:wrap type="square" anchorx="margin" anchory="page"/>
              </v:rect>
            </w:pict>
          </mc:Fallback>
        </mc:AlternateContent>
      </w:r>
      <w:r w:rsidR="00121C30" w:rsidRPr="00655622">
        <w:rPr>
          <w:rFonts w:eastAsia="Times New Roman" w:cs="Arial"/>
          <w:b/>
          <w:sz w:val="24"/>
          <w:szCs w:val="24"/>
          <w:lang w:eastAsia="en-GB"/>
        </w:rPr>
        <w:t>PRESS NOTICE</w:t>
      </w:r>
    </w:p>
    <w:p w:rsidR="00363F28" w:rsidRDefault="00363F28" w:rsidP="00363F28">
      <w:pPr>
        <w:rPr>
          <w:rFonts w:cstheme="minorHAnsi"/>
          <w:b/>
        </w:rPr>
      </w:pPr>
      <w:r>
        <w:rPr>
          <w:rFonts w:cstheme="minorHAnsi"/>
          <w:b/>
        </w:rPr>
        <w:t>3 November 2016</w:t>
      </w:r>
    </w:p>
    <w:p w:rsidR="00363F28" w:rsidRDefault="00363F28" w:rsidP="00363F28">
      <w:pPr>
        <w:rPr>
          <w:rFonts w:cstheme="minorHAnsi"/>
          <w:b/>
        </w:rPr>
      </w:pPr>
    </w:p>
    <w:p w:rsidR="00363F28" w:rsidRDefault="00363F28" w:rsidP="00363F28">
      <w:pPr>
        <w:rPr>
          <w:rFonts w:cstheme="minorHAnsi"/>
          <w:b/>
        </w:rPr>
      </w:pPr>
    </w:p>
    <w:p w:rsidR="00363F28" w:rsidRDefault="00363F28" w:rsidP="00363F28">
      <w:pPr>
        <w:rPr>
          <w:rFonts w:cstheme="minorHAnsi"/>
          <w:b/>
        </w:rPr>
      </w:pPr>
    </w:p>
    <w:p w:rsidR="00363F28" w:rsidRDefault="00363F28" w:rsidP="00363F28">
      <w:pPr>
        <w:rPr>
          <w:rFonts w:cstheme="minorHAnsi"/>
          <w:b/>
        </w:rPr>
      </w:pPr>
    </w:p>
    <w:p w:rsidR="00363F28" w:rsidRPr="00363F28" w:rsidRDefault="00363F28" w:rsidP="00363F28">
      <w:pPr>
        <w:rPr>
          <w:rFonts w:cstheme="minorHAnsi"/>
          <w:b/>
        </w:rPr>
      </w:pPr>
      <w:r w:rsidRPr="00363F28">
        <w:rPr>
          <w:rFonts w:cstheme="minorHAnsi"/>
          <w:b/>
        </w:rPr>
        <w:t>NEW RESEARCH – COMMITTEE ON STANDARDS IN PUBLIC LIFE</w:t>
      </w:r>
      <w:r>
        <w:rPr>
          <w:rFonts w:cstheme="minorHAnsi"/>
          <w:b/>
        </w:rPr>
        <w:t xml:space="preserve"> - </w:t>
      </w:r>
      <w:r w:rsidRPr="00363F28">
        <w:rPr>
          <w:rFonts w:cstheme="minorHAnsi"/>
          <w:b/>
        </w:rPr>
        <w:t>PARTY FUNDING GROWN IN IMPORTANCE TO THE PUBLIC SINCE 2011</w:t>
      </w:r>
    </w:p>
    <w:p w:rsidR="00363F28" w:rsidRPr="00363F28" w:rsidRDefault="00363F28" w:rsidP="00363F28">
      <w:pPr>
        <w:rPr>
          <w:rFonts w:cstheme="minorHAnsi"/>
        </w:rPr>
      </w:pPr>
      <w:hyperlink r:id="rId8" w:history="1">
        <w:r w:rsidRPr="00363F28">
          <w:rPr>
            <w:rStyle w:val="Hyperlink"/>
            <w:rFonts w:cstheme="minorHAnsi"/>
          </w:rPr>
          <w:t>New research</w:t>
        </w:r>
      </w:hyperlink>
      <w:r>
        <w:rPr>
          <w:rFonts w:cstheme="minorHAnsi"/>
        </w:rPr>
        <w:t xml:space="preserve"> </w:t>
      </w:r>
      <w:r w:rsidRPr="00363F28">
        <w:rPr>
          <w:rFonts w:cstheme="minorHAnsi"/>
        </w:rPr>
        <w:t xml:space="preserve">published today by the </w:t>
      </w:r>
      <w:hyperlink r:id="rId9" w:history="1">
        <w:r w:rsidRPr="00363F28">
          <w:rPr>
            <w:rStyle w:val="Hyperlink"/>
            <w:rFonts w:cstheme="minorHAnsi"/>
          </w:rPr>
          <w:t>Committee on Standards in Public Life</w:t>
        </w:r>
      </w:hyperlink>
      <w:r w:rsidRPr="00363F28">
        <w:rPr>
          <w:rFonts w:cstheme="minorHAnsi"/>
        </w:rPr>
        <w:t xml:space="preserve"> shows the issue of party funding has grown in importance to the public since 2011.  The evidence drawn from Wave Seven of the </w:t>
      </w:r>
      <w:hyperlink r:id="rId10" w:history="1">
        <w:r w:rsidRPr="00363F28">
          <w:rPr>
            <w:rStyle w:val="Hyperlink"/>
            <w:rFonts w:cstheme="minorHAnsi"/>
          </w:rPr>
          <w:t>British Election Study</w:t>
        </w:r>
      </w:hyperlink>
      <w:r w:rsidRPr="00363F28">
        <w:rPr>
          <w:rFonts w:cstheme="minorHAnsi"/>
        </w:rPr>
        <w:t xml:space="preserve"> survey shows that the </w:t>
      </w:r>
      <w:proofErr w:type="gramStart"/>
      <w:r w:rsidRPr="00363F28">
        <w:rPr>
          <w:rFonts w:cstheme="minorHAnsi"/>
        </w:rPr>
        <w:t xml:space="preserve">public </w:t>
      </w:r>
      <w:r>
        <w:rPr>
          <w:rFonts w:cstheme="minorHAnsi"/>
        </w:rPr>
        <w:t xml:space="preserve"> </w:t>
      </w:r>
      <w:r w:rsidRPr="00363F28">
        <w:rPr>
          <w:rFonts w:cstheme="minorHAnsi"/>
        </w:rPr>
        <w:t>perceive</w:t>
      </w:r>
      <w:r>
        <w:rPr>
          <w:rFonts w:cstheme="minorHAnsi"/>
        </w:rPr>
        <w:t>s</w:t>
      </w:r>
      <w:proofErr w:type="gramEnd"/>
      <w:r w:rsidRPr="00363F28">
        <w:rPr>
          <w:rFonts w:cstheme="minorHAnsi"/>
        </w:rPr>
        <w:t xml:space="preserve"> resolving the issues surrounding political party funding in </w:t>
      </w:r>
      <w:r>
        <w:rPr>
          <w:rFonts w:cstheme="minorHAnsi"/>
        </w:rPr>
        <w:t xml:space="preserve">Britain </w:t>
      </w:r>
      <w:r w:rsidRPr="00363F28">
        <w:rPr>
          <w:rFonts w:cstheme="minorHAnsi"/>
        </w:rPr>
        <w:t>to be an important and complex issue.</w:t>
      </w:r>
    </w:p>
    <w:p w:rsidR="00363F28" w:rsidRPr="00363F28" w:rsidRDefault="00363F28" w:rsidP="00363F28">
      <w:pPr>
        <w:rPr>
          <w:rFonts w:cstheme="minorHAnsi"/>
        </w:rPr>
      </w:pPr>
      <w:r w:rsidRPr="00363F28">
        <w:rPr>
          <w:rFonts w:cstheme="minorHAnsi"/>
        </w:rPr>
        <w:t>The</w:t>
      </w:r>
      <w:hyperlink r:id="rId11" w:history="1">
        <w:r w:rsidRPr="00363F28">
          <w:rPr>
            <w:rStyle w:val="Hyperlink"/>
            <w:rFonts w:cstheme="minorHAnsi"/>
          </w:rPr>
          <w:t xml:space="preserve"> research</w:t>
        </w:r>
      </w:hyperlink>
      <w:r w:rsidRPr="00363F28">
        <w:rPr>
          <w:rFonts w:cstheme="minorHAnsi"/>
        </w:rPr>
        <w:t xml:space="preserve"> shows:</w:t>
      </w:r>
    </w:p>
    <w:p w:rsidR="00363F28" w:rsidRPr="00363F28" w:rsidRDefault="00363F28" w:rsidP="00363F28">
      <w:pPr>
        <w:pStyle w:val="ListParagraph"/>
        <w:numPr>
          <w:ilvl w:val="0"/>
          <w:numId w:val="16"/>
        </w:numPr>
        <w:rPr>
          <w:rFonts w:cstheme="minorHAnsi"/>
        </w:rPr>
      </w:pPr>
      <w:r w:rsidRPr="00363F28">
        <w:rPr>
          <w:rFonts w:cstheme="minorHAnsi"/>
        </w:rPr>
        <w:t xml:space="preserve">Respondents find the issue of party funding ‘important’, and are more likely to answer that the issue is ‘of great importance’ than in 2011. </w:t>
      </w:r>
    </w:p>
    <w:p w:rsidR="00363F28" w:rsidRPr="00363F28" w:rsidRDefault="00363F28" w:rsidP="00363F28">
      <w:pPr>
        <w:pStyle w:val="ListParagraph"/>
        <w:rPr>
          <w:rFonts w:cstheme="minorHAnsi"/>
        </w:rPr>
      </w:pPr>
    </w:p>
    <w:p w:rsidR="00363F28" w:rsidRPr="00363F28" w:rsidRDefault="00363F28" w:rsidP="00363F28">
      <w:pPr>
        <w:pStyle w:val="ListParagraph"/>
        <w:numPr>
          <w:ilvl w:val="0"/>
          <w:numId w:val="14"/>
        </w:numPr>
        <w:rPr>
          <w:rFonts w:cstheme="minorHAnsi"/>
        </w:rPr>
      </w:pPr>
      <w:r w:rsidRPr="00363F28">
        <w:rPr>
          <w:rFonts w:cstheme="minorHAnsi"/>
        </w:rPr>
        <w:t>A substantial majority (93%) of respondents believe that large party donations are motivated by hopes for access and influence or special favours from the political party. 79% of those asked identified these as the most common motivations for donors.</w:t>
      </w:r>
    </w:p>
    <w:p w:rsidR="00363F28" w:rsidRPr="00363F28" w:rsidRDefault="00363F28" w:rsidP="00363F28">
      <w:pPr>
        <w:pStyle w:val="ListParagraph"/>
        <w:rPr>
          <w:rFonts w:cstheme="minorHAnsi"/>
        </w:rPr>
      </w:pPr>
    </w:p>
    <w:p w:rsidR="00363F28" w:rsidRPr="00363F28" w:rsidRDefault="00363F28" w:rsidP="00363F28">
      <w:pPr>
        <w:pStyle w:val="ListParagraph"/>
        <w:numPr>
          <w:ilvl w:val="0"/>
          <w:numId w:val="14"/>
        </w:numPr>
        <w:rPr>
          <w:rFonts w:cstheme="minorHAnsi"/>
        </w:rPr>
      </w:pPr>
      <w:r w:rsidRPr="00363F28">
        <w:rPr>
          <w:rFonts w:cstheme="minorHAnsi"/>
        </w:rPr>
        <w:t xml:space="preserve">90% of respondents believe that MPs ‘very often’ or ‘sometimes’ decide what to do based on what their donors want, rather than on what they really believe. Even more responded that politicians ‘very often’ or ‘sometimes’ do special favours for their donors.  </w:t>
      </w:r>
    </w:p>
    <w:p w:rsidR="00363F28" w:rsidRPr="00363F28" w:rsidRDefault="00363F28" w:rsidP="00363F28">
      <w:pPr>
        <w:pStyle w:val="ListParagraph"/>
        <w:rPr>
          <w:rFonts w:cstheme="minorHAnsi"/>
        </w:rPr>
      </w:pPr>
    </w:p>
    <w:p w:rsidR="00363F28" w:rsidRPr="00363F28" w:rsidRDefault="00363F28" w:rsidP="00363F28">
      <w:pPr>
        <w:pStyle w:val="ListParagraph"/>
        <w:numPr>
          <w:ilvl w:val="0"/>
          <w:numId w:val="14"/>
        </w:numPr>
        <w:tabs>
          <w:tab w:val="left" w:pos="1776"/>
        </w:tabs>
        <w:spacing w:before="120" w:after="120"/>
        <w:jc w:val="both"/>
        <w:rPr>
          <w:rFonts w:eastAsia="Times New Roman" w:cstheme="minorHAnsi"/>
        </w:rPr>
      </w:pPr>
      <w:r w:rsidRPr="00363F28">
        <w:rPr>
          <w:rFonts w:cstheme="minorHAnsi"/>
        </w:rPr>
        <w:t xml:space="preserve">Even 48% of those who register high trust in MPs believe that they ‘sometimes’ prioritise their donors’ interests. </w:t>
      </w:r>
    </w:p>
    <w:p w:rsidR="00363F28" w:rsidRPr="00363F28" w:rsidRDefault="00363F28" w:rsidP="00363F28">
      <w:pPr>
        <w:pStyle w:val="ListParagraph"/>
        <w:tabs>
          <w:tab w:val="left" w:pos="1776"/>
        </w:tabs>
        <w:spacing w:before="120" w:after="120"/>
        <w:jc w:val="both"/>
        <w:rPr>
          <w:rFonts w:eastAsia="Times New Roman" w:cstheme="minorHAnsi"/>
        </w:rPr>
      </w:pPr>
    </w:p>
    <w:p w:rsidR="00363F28" w:rsidRPr="00363F28" w:rsidRDefault="00363F28" w:rsidP="00363F28">
      <w:pPr>
        <w:pStyle w:val="ListParagraph"/>
        <w:numPr>
          <w:ilvl w:val="0"/>
          <w:numId w:val="14"/>
        </w:numPr>
        <w:tabs>
          <w:tab w:val="left" w:pos="1776"/>
        </w:tabs>
        <w:spacing w:before="120" w:after="120"/>
        <w:jc w:val="both"/>
        <w:rPr>
          <w:rFonts w:eastAsia="Times New Roman" w:cstheme="minorHAnsi"/>
        </w:rPr>
      </w:pPr>
      <w:r w:rsidRPr="00363F28">
        <w:rPr>
          <w:rFonts w:cstheme="minorHAnsi"/>
        </w:rPr>
        <w:t xml:space="preserve">The public are also clear in their belief that this behaviour is unacceptable, with 88% responding that it is ‘never’ or ‘very rarely’ acceptable for </w:t>
      </w:r>
      <w:r w:rsidRPr="00363F28">
        <w:rPr>
          <w:rFonts w:eastAsia="Times New Roman" w:cstheme="minorHAnsi"/>
        </w:rPr>
        <w:t>politicians to do special favours for contributors.</w:t>
      </w:r>
    </w:p>
    <w:p w:rsidR="00363F28" w:rsidRPr="00363F28" w:rsidRDefault="00363F28" w:rsidP="00363F28">
      <w:pPr>
        <w:tabs>
          <w:tab w:val="left" w:pos="1776"/>
        </w:tabs>
        <w:spacing w:before="120" w:after="120"/>
        <w:jc w:val="both"/>
        <w:rPr>
          <w:rFonts w:cstheme="minorHAnsi"/>
        </w:rPr>
      </w:pPr>
      <w:r w:rsidRPr="00363F28">
        <w:rPr>
          <w:rFonts w:cstheme="minorHAnsi"/>
        </w:rPr>
        <w:t xml:space="preserve">This evidence suggests that the public think that the issue of party funding is important, and are concerned about the impact of large donations to British politics, but they are much less clear about what should be done about this. </w:t>
      </w:r>
    </w:p>
    <w:p w:rsidR="00363F28" w:rsidRPr="00363F28" w:rsidRDefault="00363F28" w:rsidP="00363F28">
      <w:pPr>
        <w:tabs>
          <w:tab w:val="left" w:pos="1776"/>
        </w:tabs>
        <w:spacing w:before="120" w:after="120"/>
        <w:jc w:val="both"/>
        <w:rPr>
          <w:rFonts w:cstheme="minorHAnsi"/>
        </w:rPr>
      </w:pPr>
    </w:p>
    <w:p w:rsidR="00363F28" w:rsidRPr="00363F28" w:rsidRDefault="00363F28" w:rsidP="00363F28">
      <w:pPr>
        <w:pStyle w:val="ListParagraph"/>
        <w:numPr>
          <w:ilvl w:val="0"/>
          <w:numId w:val="15"/>
        </w:numPr>
        <w:tabs>
          <w:tab w:val="left" w:pos="1776"/>
        </w:tabs>
        <w:spacing w:before="120" w:after="120"/>
        <w:jc w:val="both"/>
        <w:rPr>
          <w:rFonts w:cstheme="minorHAnsi"/>
        </w:rPr>
      </w:pPr>
      <w:r w:rsidRPr="00363F28">
        <w:rPr>
          <w:rFonts w:cstheme="minorHAnsi"/>
        </w:rPr>
        <w:t xml:space="preserve">42% of those asked said they did not know whether there should be a cap on donations to political parties or at what level it should be set. </w:t>
      </w:r>
    </w:p>
    <w:p w:rsidR="00363F28" w:rsidRPr="00363F28" w:rsidRDefault="00363F28" w:rsidP="00363F28">
      <w:pPr>
        <w:pStyle w:val="ListParagraph"/>
        <w:tabs>
          <w:tab w:val="left" w:pos="1776"/>
        </w:tabs>
        <w:spacing w:before="120" w:after="120"/>
        <w:jc w:val="both"/>
        <w:rPr>
          <w:rFonts w:cstheme="minorHAnsi"/>
        </w:rPr>
      </w:pPr>
    </w:p>
    <w:p w:rsidR="00363F28" w:rsidRPr="00363F28" w:rsidRDefault="00363F28" w:rsidP="00363F28">
      <w:pPr>
        <w:pStyle w:val="ListParagraph"/>
        <w:numPr>
          <w:ilvl w:val="0"/>
          <w:numId w:val="15"/>
        </w:numPr>
        <w:tabs>
          <w:tab w:val="left" w:pos="1776"/>
        </w:tabs>
        <w:spacing w:before="120" w:after="120"/>
        <w:jc w:val="both"/>
        <w:rPr>
          <w:rFonts w:cstheme="minorHAnsi"/>
        </w:rPr>
      </w:pPr>
      <w:r w:rsidRPr="00363F28">
        <w:rPr>
          <w:rFonts w:cstheme="minorHAnsi"/>
        </w:rPr>
        <w:t>There are some partisan differences in support for introducing a legislative donation cap with Conservative supporters twice as likely as Labour supporters to say there should be ‘no limit at all’ on donations.</w:t>
      </w:r>
    </w:p>
    <w:p w:rsidR="00363F28" w:rsidRPr="00363F28" w:rsidRDefault="00363F28" w:rsidP="00363F28">
      <w:pPr>
        <w:rPr>
          <w:rFonts w:cstheme="minorHAnsi"/>
        </w:rPr>
      </w:pPr>
    </w:p>
    <w:p w:rsidR="00363F28" w:rsidRPr="00363F28" w:rsidRDefault="00363F28" w:rsidP="00363F28">
      <w:pPr>
        <w:rPr>
          <w:rFonts w:cstheme="minorHAnsi"/>
        </w:rPr>
      </w:pPr>
      <w:r w:rsidRPr="00363F28">
        <w:rPr>
          <w:rFonts w:cstheme="minorHAnsi"/>
        </w:rPr>
        <w:t xml:space="preserve">Publishing the research, Lord Bew, Chair of the </w:t>
      </w:r>
      <w:hyperlink r:id="rId12" w:history="1">
        <w:r w:rsidRPr="00363F28">
          <w:rPr>
            <w:rStyle w:val="Hyperlink"/>
            <w:rFonts w:cstheme="minorHAnsi"/>
          </w:rPr>
          <w:t>Committee on Standards in Public Life</w:t>
        </w:r>
      </w:hyperlink>
      <w:r w:rsidRPr="00363F28">
        <w:rPr>
          <w:rFonts w:cstheme="minorHAnsi"/>
        </w:rPr>
        <w:t>, the independent body which advises the Prime Minister on ethical standards</w:t>
      </w:r>
      <w:r>
        <w:rPr>
          <w:rFonts w:cstheme="minorHAnsi"/>
        </w:rPr>
        <w:t xml:space="preserve"> </w:t>
      </w:r>
      <w:r w:rsidRPr="00363F28">
        <w:rPr>
          <w:rFonts w:cstheme="minorHAnsi"/>
        </w:rPr>
        <w:t>said:</w:t>
      </w:r>
    </w:p>
    <w:p w:rsidR="00363F28" w:rsidRPr="00363F28" w:rsidRDefault="00363F28" w:rsidP="00363F28">
      <w:pPr>
        <w:ind w:firstLine="720"/>
        <w:rPr>
          <w:rFonts w:cstheme="minorHAnsi"/>
        </w:rPr>
      </w:pPr>
      <w:r w:rsidRPr="00363F28">
        <w:rPr>
          <w:rFonts w:cstheme="minorHAnsi"/>
        </w:rPr>
        <w:t>“While the public understand that these are not simple issues, they are very clear that party funding currently fails the public confidence test and requires attention. It is in all the parties’ interests to continue to work towards a system which commands greater public support and creates less ground for scepticism and suspicion.</w:t>
      </w:r>
    </w:p>
    <w:p w:rsidR="00363F28" w:rsidRPr="00363F28" w:rsidRDefault="00363F28" w:rsidP="00363F28">
      <w:pPr>
        <w:ind w:firstLine="720"/>
        <w:rPr>
          <w:rFonts w:cstheme="minorHAnsi"/>
        </w:rPr>
      </w:pPr>
      <w:r w:rsidRPr="00363F28">
        <w:rPr>
          <w:rFonts w:cstheme="minorHAnsi"/>
        </w:rPr>
        <w:t xml:space="preserve">“ In publishing this research and our recent research on </w:t>
      </w:r>
      <w:hyperlink r:id="rId13" w:history="1">
        <w:r w:rsidRPr="00363F28">
          <w:rPr>
            <w:rStyle w:val="Hyperlink"/>
            <w:rFonts w:cstheme="minorHAnsi"/>
          </w:rPr>
          <w:t>party finance and expenditure 2010-2015</w:t>
        </w:r>
      </w:hyperlink>
      <w:r w:rsidRPr="00363F28">
        <w:rPr>
          <w:rFonts w:cstheme="minorHAnsi"/>
        </w:rPr>
        <w:t xml:space="preserve">, my Committee has met its commitment to provide an updated picture of this issue since our </w:t>
      </w:r>
      <w:hyperlink r:id="rId14" w:history="1">
        <w:r w:rsidRPr="00363F28">
          <w:rPr>
            <w:rStyle w:val="Hyperlink"/>
            <w:rFonts w:cstheme="minorHAnsi"/>
          </w:rPr>
          <w:t>full inquiry</w:t>
        </w:r>
      </w:hyperlink>
      <w:r w:rsidRPr="00363F28">
        <w:rPr>
          <w:rFonts w:cstheme="minorHAnsi"/>
        </w:rPr>
        <w:t xml:space="preserve"> and </w:t>
      </w:r>
      <w:hyperlink r:id="rId15" w:history="1">
        <w:r w:rsidRPr="00363F28">
          <w:rPr>
            <w:rStyle w:val="Hyperlink"/>
            <w:rFonts w:cstheme="minorHAnsi"/>
          </w:rPr>
          <w:t>report</w:t>
        </w:r>
      </w:hyperlink>
      <w:r>
        <w:rPr>
          <w:rFonts w:cstheme="minorHAnsi"/>
        </w:rPr>
        <w:t xml:space="preserve"> </w:t>
      </w:r>
      <w:r w:rsidRPr="00363F28">
        <w:rPr>
          <w:rFonts w:cstheme="minorHAnsi"/>
        </w:rPr>
        <w:t>into party funding in 2011.  I hope that the political parties will now look again at areas for cross-party reform.”</w:t>
      </w:r>
    </w:p>
    <w:p w:rsidR="00363F28" w:rsidRPr="00363F28" w:rsidRDefault="00363F28" w:rsidP="00363F28">
      <w:pPr>
        <w:ind w:firstLine="720"/>
        <w:rPr>
          <w:rFonts w:cstheme="minorHAnsi"/>
        </w:rPr>
      </w:pPr>
    </w:p>
    <w:p w:rsidR="00363F28" w:rsidRPr="00363F28" w:rsidRDefault="00363F28" w:rsidP="00363F28">
      <w:pPr>
        <w:rPr>
          <w:rFonts w:cstheme="minorHAnsi"/>
        </w:rPr>
      </w:pPr>
      <w:r w:rsidRPr="00363F28">
        <w:rPr>
          <w:rFonts w:cstheme="minorHAnsi"/>
        </w:rPr>
        <w:t>Ends</w:t>
      </w:r>
    </w:p>
    <w:p w:rsidR="00363F28" w:rsidRPr="00363F28" w:rsidRDefault="00363F28" w:rsidP="00363F28">
      <w:pPr>
        <w:shd w:val="clear" w:color="auto" w:fill="FFFFFF"/>
        <w:spacing w:before="100" w:beforeAutospacing="1" w:after="100" w:afterAutospacing="1"/>
        <w:rPr>
          <w:rFonts w:eastAsia="Calibri" w:cstheme="minorHAnsi"/>
          <w:b/>
        </w:rPr>
      </w:pPr>
      <w:r w:rsidRPr="00363F28">
        <w:rPr>
          <w:rFonts w:eastAsia="Calibri" w:cstheme="minorHAnsi"/>
          <w:b/>
        </w:rPr>
        <w:t xml:space="preserve"> Notes to Editors</w:t>
      </w:r>
    </w:p>
    <w:p w:rsidR="00363F28" w:rsidRPr="00363F28" w:rsidRDefault="00363F28" w:rsidP="00363F28">
      <w:pPr>
        <w:pStyle w:val="ListParagraph"/>
        <w:numPr>
          <w:ilvl w:val="0"/>
          <w:numId w:val="13"/>
        </w:numPr>
        <w:shd w:val="clear" w:color="auto" w:fill="FFFFFF"/>
        <w:spacing w:before="100" w:beforeAutospacing="1" w:after="100" w:afterAutospacing="1"/>
        <w:rPr>
          <w:rFonts w:eastAsia="Calibri" w:cstheme="minorHAnsi"/>
          <w:b/>
        </w:rPr>
      </w:pPr>
      <w:r w:rsidRPr="00363F28">
        <w:rPr>
          <w:rFonts w:eastAsia="Calibri" w:cstheme="minorHAnsi"/>
          <w:b/>
        </w:rPr>
        <w:t>Interview requests and media enquiries should go to Maggie O’Boyle on 07880 740627.</w:t>
      </w:r>
    </w:p>
    <w:p w:rsidR="00363F28" w:rsidRPr="00363F28" w:rsidRDefault="00363F28" w:rsidP="00363F28">
      <w:pPr>
        <w:numPr>
          <w:ilvl w:val="0"/>
          <w:numId w:val="13"/>
        </w:numPr>
        <w:spacing w:after="0" w:line="240" w:lineRule="auto"/>
        <w:contextualSpacing/>
        <w:rPr>
          <w:rFonts w:eastAsia="Calibri" w:cstheme="minorHAnsi"/>
          <w:b/>
        </w:rPr>
      </w:pPr>
      <w:r w:rsidRPr="00363F28">
        <w:rPr>
          <w:rFonts w:eastAsia="Calibri" w:cstheme="minorHAnsi"/>
        </w:rPr>
        <w:t xml:space="preserve">More information about the work of the Committee is available on its website: </w:t>
      </w:r>
      <w:hyperlink r:id="rId16" w:history="1">
        <w:r w:rsidRPr="00363F28">
          <w:rPr>
            <w:rFonts w:eastAsia="Calibri" w:cstheme="minorHAnsi"/>
            <w:b/>
            <w:u w:val="single"/>
          </w:rPr>
          <w:t>https://www.gov.uk/government/organisations/the-committee-on-standards-in-public-life</w:t>
        </w:r>
      </w:hyperlink>
    </w:p>
    <w:p w:rsidR="00363F28" w:rsidRPr="00363F28" w:rsidRDefault="00363F28" w:rsidP="00363F28">
      <w:pPr>
        <w:numPr>
          <w:ilvl w:val="0"/>
          <w:numId w:val="13"/>
        </w:numPr>
        <w:spacing w:after="0" w:line="240" w:lineRule="auto"/>
        <w:contextualSpacing/>
        <w:rPr>
          <w:rFonts w:eastAsia="Calibri" w:cstheme="minorHAnsi"/>
          <w:shd w:val="clear" w:color="auto" w:fill="FFFFFF"/>
        </w:rPr>
      </w:pPr>
      <w:r w:rsidRPr="00363F28">
        <w:rPr>
          <w:rFonts w:eastAsia="Calibri" w:cstheme="minorHAnsi"/>
          <w:shd w:val="clear" w:color="auto" w:fill="FFFFFF"/>
        </w:rPr>
        <w:t>The Committee on Standards in Public Life advises the Prime Minister on ethical standards across the whole of public life in the UK. It monitors and reports on issues relating to the standards of conduct of all public office holders.</w:t>
      </w:r>
    </w:p>
    <w:p w:rsidR="00363F28" w:rsidRPr="00363F28" w:rsidRDefault="00363F28" w:rsidP="00363F28">
      <w:pPr>
        <w:numPr>
          <w:ilvl w:val="0"/>
          <w:numId w:val="13"/>
        </w:numPr>
        <w:shd w:val="clear" w:color="auto" w:fill="FFFFFF"/>
        <w:spacing w:before="120" w:beforeAutospacing="1" w:after="120" w:afterAutospacing="1" w:line="240" w:lineRule="auto"/>
        <w:contextualSpacing/>
        <w:jc w:val="both"/>
        <w:rPr>
          <w:rFonts w:cstheme="minorHAnsi"/>
        </w:rPr>
      </w:pPr>
      <w:r w:rsidRPr="00363F28">
        <w:rPr>
          <w:rFonts w:eastAsia="Times New Roman" w:cstheme="minorHAnsi"/>
          <w:kern w:val="28"/>
          <w:lang w:eastAsia="en-GB"/>
        </w:rPr>
        <w:t xml:space="preserve">The current members of the Committee are: Lord (Paul) Bew, Chairman, </w:t>
      </w:r>
      <w:proofErr w:type="spellStart"/>
      <w:r w:rsidRPr="00363F28">
        <w:rPr>
          <w:rFonts w:eastAsia="Times New Roman" w:cstheme="minorHAnsi"/>
          <w:kern w:val="28"/>
          <w:lang w:eastAsia="en-GB"/>
        </w:rPr>
        <w:t>Rt</w:t>
      </w:r>
      <w:proofErr w:type="spellEnd"/>
      <w:r w:rsidRPr="00363F28">
        <w:rPr>
          <w:rFonts w:eastAsia="Times New Roman" w:cstheme="minorHAnsi"/>
          <w:kern w:val="28"/>
          <w:lang w:eastAsia="en-GB"/>
        </w:rPr>
        <w:t xml:space="preserve"> Hon Dame Margaret Beckett DBE MP, Sheila Drew Smith OBE, Jane Ramsey, </w:t>
      </w:r>
      <w:proofErr w:type="spellStart"/>
      <w:r w:rsidRPr="00363F28">
        <w:rPr>
          <w:rFonts w:eastAsia="Times New Roman" w:cstheme="minorHAnsi"/>
          <w:kern w:val="28"/>
          <w:lang w:eastAsia="en-GB"/>
        </w:rPr>
        <w:t>Monisha</w:t>
      </w:r>
      <w:proofErr w:type="spellEnd"/>
      <w:r w:rsidRPr="00363F28">
        <w:rPr>
          <w:rFonts w:eastAsia="Times New Roman" w:cstheme="minorHAnsi"/>
          <w:kern w:val="28"/>
          <w:lang w:eastAsia="en-GB"/>
        </w:rPr>
        <w:t xml:space="preserve"> Shah, Richard Thomas CBE and Dame Angela Watkinson DBE MP. </w:t>
      </w:r>
    </w:p>
    <w:p w:rsidR="00363F28" w:rsidRPr="00363F28" w:rsidRDefault="00363F28" w:rsidP="00363F28">
      <w:pPr>
        <w:numPr>
          <w:ilvl w:val="0"/>
          <w:numId w:val="13"/>
        </w:numPr>
        <w:shd w:val="clear" w:color="auto" w:fill="FFFFFF"/>
        <w:spacing w:before="100" w:beforeAutospacing="1" w:after="100" w:afterAutospacing="1" w:line="240" w:lineRule="auto"/>
        <w:contextualSpacing/>
        <w:jc w:val="both"/>
        <w:rPr>
          <w:rFonts w:cstheme="minorHAnsi"/>
        </w:rPr>
      </w:pPr>
      <w:r w:rsidRPr="00363F28">
        <w:rPr>
          <w:rFonts w:cstheme="minorHAnsi"/>
        </w:rPr>
        <w:t xml:space="preserve">This research </w:t>
      </w:r>
      <w:r w:rsidRPr="00363F28">
        <w:rPr>
          <w:rFonts w:eastAsia="Times New Roman" w:cstheme="minorHAnsi"/>
          <w:kern w:val="28"/>
          <w:lang w:eastAsia="en-GB"/>
        </w:rPr>
        <w:t>r</w:t>
      </w:r>
      <w:r w:rsidRPr="00363F28">
        <w:rPr>
          <w:rFonts w:cstheme="minorHAnsi"/>
        </w:rPr>
        <w:t>eport draws on a series of questions asked in Wave 7 of the British Election Stu</w:t>
      </w:r>
      <w:r w:rsidR="0002677C">
        <w:rPr>
          <w:rFonts w:cstheme="minorHAnsi"/>
        </w:rPr>
        <w:t>dy Internet Panel</w:t>
      </w:r>
      <w:r w:rsidRPr="00363F28">
        <w:rPr>
          <w:rFonts w:cstheme="minorHAnsi"/>
        </w:rPr>
        <w:t xml:space="preserve">. These questions were asked on behalf of the Committee on Standards in Public Life, and address public perceptions of the issues surrounding donations to political parties. The data was collected by </w:t>
      </w:r>
      <w:proofErr w:type="spellStart"/>
      <w:r w:rsidRPr="00363F28">
        <w:rPr>
          <w:rFonts w:cstheme="minorHAnsi"/>
        </w:rPr>
        <w:t>YouGov</w:t>
      </w:r>
      <w:proofErr w:type="spellEnd"/>
      <w:r w:rsidRPr="00363F28">
        <w:rPr>
          <w:rFonts w:cstheme="minorHAnsi"/>
        </w:rPr>
        <w:t>, and is an online survey of members. This survey was undertaken between 14</w:t>
      </w:r>
      <w:r w:rsidRPr="00363F28">
        <w:rPr>
          <w:rFonts w:cstheme="minorHAnsi"/>
          <w:vertAlign w:val="superscript"/>
        </w:rPr>
        <w:t>th</w:t>
      </w:r>
      <w:r w:rsidRPr="00363F28">
        <w:rPr>
          <w:rFonts w:cstheme="minorHAnsi"/>
        </w:rPr>
        <w:t> April 2016 and 4</w:t>
      </w:r>
      <w:r w:rsidRPr="00363F28">
        <w:rPr>
          <w:rFonts w:cstheme="minorHAnsi"/>
          <w:vertAlign w:val="superscript"/>
        </w:rPr>
        <w:t>th</w:t>
      </w:r>
      <w:r w:rsidRPr="00363F28">
        <w:rPr>
          <w:rFonts w:cstheme="minorHAnsi"/>
        </w:rPr>
        <w:t xml:space="preserve"> May 2016, immediately prior to the 2016 local elections. </w:t>
      </w:r>
      <w:proofErr w:type="gramStart"/>
      <w:r w:rsidRPr="00363F28">
        <w:rPr>
          <w:rFonts w:cstheme="minorHAnsi"/>
        </w:rPr>
        <w:t>A</w:t>
      </w:r>
      <w:r w:rsidRPr="00363F28">
        <w:rPr>
          <w:rFonts w:eastAsia="Times New Roman" w:cstheme="minorHAnsi"/>
        </w:rPr>
        <w:t xml:space="preserve"> representative sample of 7,761 respondents from the BES full panel were</w:t>
      </w:r>
      <w:proofErr w:type="gramEnd"/>
      <w:r w:rsidRPr="00363F28">
        <w:rPr>
          <w:rFonts w:eastAsia="Times New Roman" w:cstheme="minorHAnsi"/>
        </w:rPr>
        <w:t xml:space="preserve"> posed the Committee's questions</w:t>
      </w:r>
      <w:r w:rsidRPr="00363F28">
        <w:rPr>
          <w:rFonts w:cstheme="minorHAnsi"/>
        </w:rPr>
        <w:t xml:space="preserve">. As the survey over-represents Scottish and Welsh voters, data summaries are calculated using importance weightings which help to make the analysis more representative of Britain as whole. Unless specifically addressed, ‘don’t know’ responses are omitted. This report builds upon the </w:t>
      </w:r>
      <w:hyperlink r:id="rId17" w:history="1">
        <w:r w:rsidRPr="00645245">
          <w:rPr>
            <w:rStyle w:val="Hyperlink"/>
            <w:rFonts w:cstheme="minorHAnsi"/>
          </w:rPr>
          <w:t>2011 report by Jonathan Rose</w:t>
        </w:r>
      </w:hyperlink>
      <w:r w:rsidRPr="00363F28">
        <w:rPr>
          <w:rFonts w:cstheme="minorHAnsi"/>
        </w:rPr>
        <w:t xml:space="preserve"> and the </w:t>
      </w:r>
      <w:r w:rsidR="00645245">
        <w:rPr>
          <w:rFonts w:cstheme="minorHAnsi"/>
        </w:rPr>
        <w:t xml:space="preserve">Committee’s </w:t>
      </w:r>
      <w:hyperlink r:id="rId18" w:history="1">
        <w:r w:rsidRPr="00645245">
          <w:rPr>
            <w:rStyle w:val="Hyperlink"/>
            <w:rFonts w:cstheme="minorHAnsi"/>
          </w:rPr>
          <w:t>Research Advisory Board</w:t>
        </w:r>
      </w:hyperlink>
      <w:r w:rsidR="00645245">
        <w:rPr>
          <w:rFonts w:cstheme="minorHAnsi"/>
        </w:rPr>
        <w:t>,</w:t>
      </w:r>
      <w:r w:rsidRPr="00363F28">
        <w:rPr>
          <w:rFonts w:cstheme="minorHAnsi"/>
        </w:rPr>
        <w:t xml:space="preserve"> which discusses the results of  several surveys undertaken by the Committee on the issue of the funding of political parties.</w:t>
      </w:r>
    </w:p>
    <w:p w:rsidR="00363F28" w:rsidRPr="00363F28" w:rsidRDefault="00363F28" w:rsidP="00363F28">
      <w:pPr>
        <w:numPr>
          <w:ilvl w:val="0"/>
          <w:numId w:val="13"/>
        </w:numPr>
        <w:shd w:val="clear" w:color="auto" w:fill="FFFFFF"/>
        <w:spacing w:before="100" w:beforeAutospacing="1" w:after="100" w:afterAutospacing="1" w:line="240" w:lineRule="auto"/>
        <w:contextualSpacing/>
        <w:jc w:val="both"/>
        <w:rPr>
          <w:rStyle w:val="Hyperlink"/>
          <w:rFonts w:cstheme="minorHAnsi"/>
          <w:color w:val="auto"/>
        </w:rPr>
      </w:pPr>
      <w:r w:rsidRPr="00363F28">
        <w:rPr>
          <w:rFonts w:cstheme="minorHAnsi"/>
        </w:rPr>
        <w:t xml:space="preserve">This report was </w:t>
      </w:r>
      <w:proofErr w:type="spellStart"/>
      <w:r w:rsidRPr="00363F28">
        <w:rPr>
          <w:rFonts w:cstheme="minorHAnsi"/>
        </w:rPr>
        <w:t>complied</w:t>
      </w:r>
      <w:proofErr w:type="spellEnd"/>
      <w:r w:rsidRPr="00363F28">
        <w:rPr>
          <w:rFonts w:cstheme="minorHAnsi"/>
        </w:rPr>
        <w:t xml:space="preserve"> for the Committee by </w:t>
      </w:r>
      <w:r w:rsidRPr="00363F28">
        <w:rPr>
          <w:rFonts w:eastAsia="Times New Roman" w:cstheme="minorHAnsi"/>
        </w:rPr>
        <w:t xml:space="preserve">Dee Goddard, School of Politics and International Relations, University of Kent. </w:t>
      </w:r>
      <w:r w:rsidRPr="00363F28">
        <w:rPr>
          <w:rFonts w:cstheme="minorHAnsi"/>
        </w:rPr>
        <w:t xml:space="preserve">Data available to download here: </w:t>
      </w:r>
      <w:hyperlink r:id="rId19" w:history="1">
        <w:r w:rsidRPr="00363F28">
          <w:rPr>
            <w:rStyle w:val="Hyperlink"/>
            <w:rFonts w:cstheme="minorHAnsi"/>
            <w:color w:val="auto"/>
          </w:rPr>
          <w:t>http://www.britishelectionstudy.com/data-objects/panel-study-data/</w:t>
        </w:r>
      </w:hyperlink>
    </w:p>
    <w:p w:rsidR="00363F28" w:rsidRPr="00363F28" w:rsidRDefault="00363F28" w:rsidP="00363F28">
      <w:pPr>
        <w:shd w:val="clear" w:color="auto" w:fill="FFFFFF"/>
        <w:spacing w:before="100" w:beforeAutospacing="1" w:after="100" w:afterAutospacing="1" w:line="240" w:lineRule="auto"/>
        <w:ind w:left="720"/>
        <w:contextualSpacing/>
        <w:jc w:val="both"/>
        <w:rPr>
          <w:rFonts w:cstheme="minorHAnsi"/>
        </w:rPr>
      </w:pPr>
    </w:p>
    <w:p w:rsidR="00363F28" w:rsidRPr="009E5048" w:rsidRDefault="00363F28" w:rsidP="00363F28">
      <w:pPr>
        <w:shd w:val="clear" w:color="auto" w:fill="FFFFFF"/>
        <w:spacing w:before="100" w:beforeAutospacing="1" w:after="100" w:afterAutospacing="1" w:line="240" w:lineRule="auto"/>
        <w:ind w:left="720"/>
        <w:contextualSpacing/>
        <w:rPr>
          <w:rFonts w:eastAsia="Calibri" w:cstheme="minorHAnsi"/>
        </w:rPr>
      </w:pPr>
    </w:p>
    <w:p w:rsidR="00363F28" w:rsidRPr="00AE0D0F" w:rsidRDefault="00363F28" w:rsidP="00363F28">
      <w:pPr>
        <w:rPr>
          <w:rFonts w:cstheme="minorHAnsi"/>
        </w:rPr>
      </w:pPr>
    </w:p>
    <w:p w:rsidR="00363F28" w:rsidRDefault="00363F28" w:rsidP="00363F28"/>
    <w:p w:rsidR="00AB16AB" w:rsidRPr="00655622" w:rsidRDefault="00AB16AB" w:rsidP="00363F28">
      <w:pPr>
        <w:tabs>
          <w:tab w:val="center" w:pos="4513"/>
          <w:tab w:val="right" w:pos="9026"/>
        </w:tabs>
        <w:spacing w:after="0" w:line="240" w:lineRule="auto"/>
        <w:rPr>
          <w:rFonts w:eastAsia="Times New Roman" w:cs="Arial"/>
          <w:b/>
          <w:sz w:val="24"/>
          <w:szCs w:val="24"/>
          <w:lang w:eastAsia="en-GB"/>
        </w:rPr>
      </w:pPr>
    </w:p>
    <w:sectPr w:rsidR="00AB16AB" w:rsidRPr="0065562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70" w:rsidRDefault="00BB5C70" w:rsidP="00A10506">
      <w:pPr>
        <w:spacing w:after="0" w:line="240" w:lineRule="auto"/>
      </w:pPr>
      <w:r>
        <w:separator/>
      </w:r>
    </w:p>
  </w:endnote>
  <w:endnote w:type="continuationSeparator" w:id="0">
    <w:p w:rsidR="00BB5C70" w:rsidRDefault="00BB5C70" w:rsidP="00A1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70" w:rsidRDefault="00BB5C70" w:rsidP="00A10506">
      <w:pPr>
        <w:spacing w:after="0" w:line="240" w:lineRule="auto"/>
      </w:pPr>
      <w:r>
        <w:separator/>
      </w:r>
    </w:p>
  </w:footnote>
  <w:footnote w:type="continuationSeparator" w:id="0">
    <w:p w:rsidR="00BB5C70" w:rsidRDefault="00BB5C70" w:rsidP="00A10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03"/>
    <w:multiLevelType w:val="multilevel"/>
    <w:tmpl w:val="1B2E2592"/>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60D5C83"/>
    <w:multiLevelType w:val="hybridMultilevel"/>
    <w:tmpl w:val="CBC24DD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nsid w:val="1E2C2DDA"/>
    <w:multiLevelType w:val="hybridMultilevel"/>
    <w:tmpl w:val="825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E7097"/>
    <w:multiLevelType w:val="hybridMultilevel"/>
    <w:tmpl w:val="6E9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63921"/>
    <w:multiLevelType w:val="multilevel"/>
    <w:tmpl w:val="FE90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466F4"/>
    <w:multiLevelType w:val="multilevel"/>
    <w:tmpl w:val="C6148032"/>
    <w:lvl w:ilvl="0">
      <w:start w:val="1"/>
      <w:numFmt w:val="bullet"/>
      <w:lvlText w:val="o"/>
      <w:lvlJc w:val="left"/>
      <w:pPr>
        <w:tabs>
          <w:tab w:val="num" w:pos="1494"/>
        </w:tabs>
        <w:ind w:left="1494" w:hanging="360"/>
      </w:pPr>
      <w:rPr>
        <w:rFonts w:ascii="Courier New" w:hAnsi="Courier New" w:cs="Courier New" w:hint="default"/>
        <w:sz w:val="20"/>
      </w:rPr>
    </w:lvl>
    <w:lvl w:ilvl="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6">
    <w:nsid w:val="45A6308F"/>
    <w:multiLevelType w:val="multilevel"/>
    <w:tmpl w:val="FE90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E2293"/>
    <w:multiLevelType w:val="hybridMultilevel"/>
    <w:tmpl w:val="4B7A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8025C"/>
    <w:multiLevelType w:val="hybridMultilevel"/>
    <w:tmpl w:val="8496E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60E20"/>
    <w:multiLevelType w:val="hybridMultilevel"/>
    <w:tmpl w:val="2D685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6D04D4"/>
    <w:multiLevelType w:val="hybridMultilevel"/>
    <w:tmpl w:val="5F7C75FC"/>
    <w:lvl w:ilvl="0" w:tplc="B8A87D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2FB469D"/>
    <w:multiLevelType w:val="hybridMultilevel"/>
    <w:tmpl w:val="88E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C76534"/>
    <w:multiLevelType w:val="hybridMultilevel"/>
    <w:tmpl w:val="8F567494"/>
    <w:lvl w:ilvl="0" w:tplc="844CE73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303298"/>
    <w:multiLevelType w:val="hybridMultilevel"/>
    <w:tmpl w:val="64F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21630"/>
    <w:multiLevelType w:val="hybridMultilevel"/>
    <w:tmpl w:val="BA0E398A"/>
    <w:lvl w:ilvl="0" w:tplc="E3EC7FF2">
      <w:start w:val="1"/>
      <w:numFmt w:val="decimal"/>
      <w:lvlText w:val="%1."/>
      <w:lvlJc w:val="left"/>
      <w:pPr>
        <w:ind w:left="360" w:hanging="360"/>
      </w:pPr>
      <w:rPr>
        <w:rFonts w:cs="Times New Roman"/>
        <w:b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4"/>
  </w:num>
  <w:num w:numId="5">
    <w:abstractNumId w:val="5"/>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9"/>
  </w:num>
  <w:num w:numId="12">
    <w:abstractNumId w:val="2"/>
  </w:num>
  <w:num w:numId="13">
    <w:abstractNumId w:val="10"/>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AB"/>
    <w:rsid w:val="0002677C"/>
    <w:rsid w:val="00031A8B"/>
    <w:rsid w:val="0006360A"/>
    <w:rsid w:val="000742F9"/>
    <w:rsid w:val="00121C30"/>
    <w:rsid w:val="00193687"/>
    <w:rsid w:val="002270FB"/>
    <w:rsid w:val="002704A1"/>
    <w:rsid w:val="002709EE"/>
    <w:rsid w:val="002B680A"/>
    <w:rsid w:val="00303C28"/>
    <w:rsid w:val="00323ECC"/>
    <w:rsid w:val="00346931"/>
    <w:rsid w:val="003568E0"/>
    <w:rsid w:val="003637C3"/>
    <w:rsid w:val="00363F28"/>
    <w:rsid w:val="004018AC"/>
    <w:rsid w:val="00427D38"/>
    <w:rsid w:val="00444669"/>
    <w:rsid w:val="0045734E"/>
    <w:rsid w:val="00471B2E"/>
    <w:rsid w:val="00477C71"/>
    <w:rsid w:val="00490517"/>
    <w:rsid w:val="004B7BE9"/>
    <w:rsid w:val="004C00F2"/>
    <w:rsid w:val="004D6927"/>
    <w:rsid w:val="00576925"/>
    <w:rsid w:val="005A2417"/>
    <w:rsid w:val="00632650"/>
    <w:rsid w:val="00632E9C"/>
    <w:rsid w:val="00645245"/>
    <w:rsid w:val="00655622"/>
    <w:rsid w:val="00682777"/>
    <w:rsid w:val="00715BDD"/>
    <w:rsid w:val="00735D2B"/>
    <w:rsid w:val="0074750F"/>
    <w:rsid w:val="00784139"/>
    <w:rsid w:val="007A2C52"/>
    <w:rsid w:val="007E4C29"/>
    <w:rsid w:val="00836B39"/>
    <w:rsid w:val="0085181E"/>
    <w:rsid w:val="008A06CA"/>
    <w:rsid w:val="009215FA"/>
    <w:rsid w:val="00946689"/>
    <w:rsid w:val="009B0CB7"/>
    <w:rsid w:val="009E17B7"/>
    <w:rsid w:val="00A026C0"/>
    <w:rsid w:val="00A10506"/>
    <w:rsid w:val="00A53499"/>
    <w:rsid w:val="00A94F67"/>
    <w:rsid w:val="00AB16AB"/>
    <w:rsid w:val="00AD34FD"/>
    <w:rsid w:val="00BB4148"/>
    <w:rsid w:val="00BB5C70"/>
    <w:rsid w:val="00C27206"/>
    <w:rsid w:val="00C3660A"/>
    <w:rsid w:val="00D633B6"/>
    <w:rsid w:val="00D91DF8"/>
    <w:rsid w:val="00E646F1"/>
    <w:rsid w:val="00EF4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16AB"/>
    <w:rPr>
      <w:b/>
      <w:bCs/>
    </w:rPr>
  </w:style>
  <w:style w:type="character" w:customStyle="1" w:styleId="apple-converted-space">
    <w:name w:val="apple-converted-space"/>
    <w:basedOn w:val="DefaultParagraphFont"/>
    <w:rsid w:val="00AB16AB"/>
  </w:style>
  <w:style w:type="character" w:styleId="Hyperlink">
    <w:name w:val="Hyperlink"/>
    <w:basedOn w:val="DefaultParagraphFont"/>
    <w:uiPriority w:val="99"/>
    <w:unhideWhenUsed/>
    <w:rsid w:val="00AB16AB"/>
    <w:rPr>
      <w:color w:val="0000FF"/>
      <w:u w:val="single"/>
    </w:rPr>
  </w:style>
  <w:style w:type="paragraph" w:styleId="FootnoteText">
    <w:name w:val="footnote text"/>
    <w:basedOn w:val="Normal"/>
    <w:link w:val="FootnoteTextChar"/>
    <w:uiPriority w:val="99"/>
    <w:unhideWhenUsed/>
    <w:rsid w:val="00A10506"/>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A10506"/>
    <w:rPr>
      <w:rFonts w:ascii="Calibri" w:eastAsiaTheme="minorEastAsia" w:hAnsi="Calibri"/>
      <w:sz w:val="24"/>
      <w:szCs w:val="24"/>
    </w:rPr>
  </w:style>
  <w:style w:type="character" w:styleId="FootnoteReference">
    <w:name w:val="footnote reference"/>
    <w:basedOn w:val="DefaultParagraphFont"/>
    <w:uiPriority w:val="99"/>
    <w:unhideWhenUsed/>
    <w:rsid w:val="00A10506"/>
    <w:rPr>
      <w:vertAlign w:val="superscript"/>
    </w:rPr>
  </w:style>
  <w:style w:type="paragraph" w:customStyle="1" w:styleId="Default">
    <w:name w:val="Default"/>
    <w:rsid w:val="00A105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4148"/>
    <w:pPr>
      <w:ind w:left="720"/>
      <w:contextualSpacing/>
    </w:pPr>
  </w:style>
  <w:style w:type="character" w:styleId="FollowedHyperlink">
    <w:name w:val="FollowedHyperlink"/>
    <w:basedOn w:val="DefaultParagraphFont"/>
    <w:uiPriority w:val="99"/>
    <w:semiHidden/>
    <w:unhideWhenUsed/>
    <w:rsid w:val="002270FB"/>
    <w:rPr>
      <w:color w:val="800080" w:themeColor="followedHyperlink"/>
      <w:u w:val="single"/>
    </w:rPr>
  </w:style>
  <w:style w:type="paragraph" w:styleId="PlainText">
    <w:name w:val="Plain Text"/>
    <w:basedOn w:val="Normal"/>
    <w:link w:val="PlainTextChar"/>
    <w:uiPriority w:val="99"/>
    <w:semiHidden/>
    <w:unhideWhenUsed/>
    <w:rsid w:val="009B0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0CB7"/>
    <w:rPr>
      <w:rFonts w:ascii="Calibri" w:hAnsi="Calibri"/>
      <w:szCs w:val="21"/>
    </w:rPr>
  </w:style>
  <w:style w:type="paragraph" w:styleId="Header">
    <w:name w:val="header"/>
    <w:basedOn w:val="Normal"/>
    <w:link w:val="HeaderChar"/>
    <w:uiPriority w:val="99"/>
    <w:unhideWhenUsed/>
    <w:rsid w:val="0034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31"/>
  </w:style>
  <w:style w:type="paragraph" w:styleId="Footer">
    <w:name w:val="footer"/>
    <w:basedOn w:val="Normal"/>
    <w:link w:val="FooterChar"/>
    <w:uiPriority w:val="99"/>
    <w:unhideWhenUsed/>
    <w:rsid w:val="0034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16AB"/>
    <w:rPr>
      <w:b/>
      <w:bCs/>
    </w:rPr>
  </w:style>
  <w:style w:type="character" w:customStyle="1" w:styleId="apple-converted-space">
    <w:name w:val="apple-converted-space"/>
    <w:basedOn w:val="DefaultParagraphFont"/>
    <w:rsid w:val="00AB16AB"/>
  </w:style>
  <w:style w:type="character" w:styleId="Hyperlink">
    <w:name w:val="Hyperlink"/>
    <w:basedOn w:val="DefaultParagraphFont"/>
    <w:uiPriority w:val="99"/>
    <w:unhideWhenUsed/>
    <w:rsid w:val="00AB16AB"/>
    <w:rPr>
      <w:color w:val="0000FF"/>
      <w:u w:val="single"/>
    </w:rPr>
  </w:style>
  <w:style w:type="paragraph" w:styleId="FootnoteText">
    <w:name w:val="footnote text"/>
    <w:basedOn w:val="Normal"/>
    <w:link w:val="FootnoteTextChar"/>
    <w:uiPriority w:val="99"/>
    <w:unhideWhenUsed/>
    <w:rsid w:val="00A10506"/>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A10506"/>
    <w:rPr>
      <w:rFonts w:ascii="Calibri" w:eastAsiaTheme="minorEastAsia" w:hAnsi="Calibri"/>
      <w:sz w:val="24"/>
      <w:szCs w:val="24"/>
    </w:rPr>
  </w:style>
  <w:style w:type="character" w:styleId="FootnoteReference">
    <w:name w:val="footnote reference"/>
    <w:basedOn w:val="DefaultParagraphFont"/>
    <w:uiPriority w:val="99"/>
    <w:unhideWhenUsed/>
    <w:rsid w:val="00A10506"/>
    <w:rPr>
      <w:vertAlign w:val="superscript"/>
    </w:rPr>
  </w:style>
  <w:style w:type="paragraph" w:customStyle="1" w:styleId="Default">
    <w:name w:val="Default"/>
    <w:rsid w:val="00A105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4148"/>
    <w:pPr>
      <w:ind w:left="720"/>
      <w:contextualSpacing/>
    </w:pPr>
  </w:style>
  <w:style w:type="character" w:styleId="FollowedHyperlink">
    <w:name w:val="FollowedHyperlink"/>
    <w:basedOn w:val="DefaultParagraphFont"/>
    <w:uiPriority w:val="99"/>
    <w:semiHidden/>
    <w:unhideWhenUsed/>
    <w:rsid w:val="002270FB"/>
    <w:rPr>
      <w:color w:val="800080" w:themeColor="followedHyperlink"/>
      <w:u w:val="single"/>
    </w:rPr>
  </w:style>
  <w:style w:type="paragraph" w:styleId="PlainText">
    <w:name w:val="Plain Text"/>
    <w:basedOn w:val="Normal"/>
    <w:link w:val="PlainTextChar"/>
    <w:uiPriority w:val="99"/>
    <w:semiHidden/>
    <w:unhideWhenUsed/>
    <w:rsid w:val="009B0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0CB7"/>
    <w:rPr>
      <w:rFonts w:ascii="Calibri" w:hAnsi="Calibri"/>
      <w:szCs w:val="21"/>
    </w:rPr>
  </w:style>
  <w:style w:type="paragraph" w:styleId="Header">
    <w:name w:val="header"/>
    <w:basedOn w:val="Normal"/>
    <w:link w:val="HeaderChar"/>
    <w:uiPriority w:val="99"/>
    <w:unhideWhenUsed/>
    <w:rsid w:val="0034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31"/>
  </w:style>
  <w:style w:type="paragraph" w:styleId="Footer">
    <w:name w:val="footer"/>
    <w:basedOn w:val="Normal"/>
    <w:link w:val="FooterChar"/>
    <w:uiPriority w:val="99"/>
    <w:unhideWhenUsed/>
    <w:rsid w:val="0034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66">
      <w:bodyDiv w:val="1"/>
      <w:marLeft w:val="0"/>
      <w:marRight w:val="0"/>
      <w:marTop w:val="0"/>
      <w:marBottom w:val="0"/>
      <w:divBdr>
        <w:top w:val="none" w:sz="0" w:space="0" w:color="auto"/>
        <w:left w:val="none" w:sz="0" w:space="0" w:color="auto"/>
        <w:bottom w:val="none" w:sz="0" w:space="0" w:color="auto"/>
        <w:right w:val="none" w:sz="0" w:space="0" w:color="auto"/>
      </w:divBdr>
    </w:div>
    <w:div w:id="96172774">
      <w:bodyDiv w:val="1"/>
      <w:marLeft w:val="0"/>
      <w:marRight w:val="0"/>
      <w:marTop w:val="0"/>
      <w:marBottom w:val="0"/>
      <w:divBdr>
        <w:top w:val="none" w:sz="0" w:space="0" w:color="auto"/>
        <w:left w:val="none" w:sz="0" w:space="0" w:color="auto"/>
        <w:bottom w:val="none" w:sz="0" w:space="0" w:color="auto"/>
        <w:right w:val="none" w:sz="0" w:space="0" w:color="auto"/>
      </w:divBdr>
    </w:div>
    <w:div w:id="736632901">
      <w:bodyDiv w:val="1"/>
      <w:marLeft w:val="0"/>
      <w:marRight w:val="0"/>
      <w:marTop w:val="0"/>
      <w:marBottom w:val="0"/>
      <w:divBdr>
        <w:top w:val="none" w:sz="0" w:space="0" w:color="auto"/>
        <w:left w:val="none" w:sz="0" w:space="0" w:color="auto"/>
        <w:bottom w:val="none" w:sz="0" w:space="0" w:color="auto"/>
        <w:right w:val="none" w:sz="0" w:space="0" w:color="auto"/>
      </w:divBdr>
    </w:div>
    <w:div w:id="1738892759">
      <w:bodyDiv w:val="1"/>
      <w:marLeft w:val="0"/>
      <w:marRight w:val="0"/>
      <w:marTop w:val="0"/>
      <w:marBottom w:val="0"/>
      <w:divBdr>
        <w:top w:val="none" w:sz="0" w:space="0" w:color="auto"/>
        <w:left w:val="none" w:sz="0" w:space="0" w:color="auto"/>
        <w:bottom w:val="none" w:sz="0" w:space="0" w:color="auto"/>
        <w:right w:val="none" w:sz="0" w:space="0" w:color="auto"/>
      </w:divBdr>
    </w:div>
    <w:div w:id="1885829538">
      <w:bodyDiv w:val="1"/>
      <w:marLeft w:val="0"/>
      <w:marRight w:val="0"/>
      <w:marTop w:val="0"/>
      <w:marBottom w:val="0"/>
      <w:divBdr>
        <w:top w:val="none" w:sz="0" w:space="0" w:color="auto"/>
        <w:left w:val="none" w:sz="0" w:space="0" w:color="auto"/>
        <w:bottom w:val="none" w:sz="0" w:space="0" w:color="auto"/>
        <w:right w:val="none" w:sz="0" w:space="0" w:color="auto"/>
      </w:divBdr>
    </w:div>
    <w:div w:id="1935819539">
      <w:bodyDiv w:val="1"/>
      <w:marLeft w:val="0"/>
      <w:marRight w:val="0"/>
      <w:marTop w:val="0"/>
      <w:marBottom w:val="0"/>
      <w:divBdr>
        <w:top w:val="none" w:sz="0" w:space="0" w:color="auto"/>
        <w:left w:val="none" w:sz="0" w:space="0" w:color="auto"/>
        <w:bottom w:val="none" w:sz="0" w:space="0" w:color="auto"/>
        <w:right w:val="none" w:sz="0" w:space="0" w:color="auto"/>
      </w:divBdr>
    </w:div>
    <w:div w:id="20649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blic-attitudes-to-party-funding-in-britain" TargetMode="External"/><Relationship Id="rId13" Type="http://schemas.openxmlformats.org/officeDocument/2006/relationships/hyperlink" Target="https://www.gov.uk/government/publications/research-into-party-expenditures-and-funding-2010-2015" TargetMode="External"/><Relationship Id="rId18" Type="http://schemas.openxmlformats.org/officeDocument/2006/relationships/hyperlink" Target="https://www.gov.uk/government/organisations/the-committee-on-standards-in-public-life/about/membershi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organisations/the-committee-on-standards-in-public-life" TargetMode="External"/><Relationship Id="rId17" Type="http://schemas.openxmlformats.org/officeDocument/2006/relationships/hyperlink" Target="http://webarchive.nationalarchives.gov.uk/20131002005939/http:/www.public-standards.gov.uk/wp-content/uploads/2012/11/Jonathan_Rose_Party_Funding_Report_final.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organisations/the-committee-on-standards-in-public-lif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public-attitudes-to-party-funding-in-brita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olitical-party-finance-ending-the-big-donor-culture" TargetMode="External"/><Relationship Id="rId23" Type="http://schemas.openxmlformats.org/officeDocument/2006/relationships/footer" Target="footer2.xml"/><Relationship Id="rId10" Type="http://schemas.openxmlformats.org/officeDocument/2006/relationships/hyperlink" Target="http://www.britishelectionstudy.com/" TargetMode="External"/><Relationship Id="rId19" Type="http://schemas.openxmlformats.org/officeDocument/2006/relationships/hyperlink" Target="http://www.britishelectionstudy.com/data-objects/panel-study-data/" TargetMode="External"/><Relationship Id="rId4" Type="http://schemas.openxmlformats.org/officeDocument/2006/relationships/settings" Target="settings.xml"/><Relationship Id="rId9" Type="http://schemas.openxmlformats.org/officeDocument/2006/relationships/hyperlink" Target="https://www.gov.uk/government/organisations/the-committee-on-standards-in-public-life" TargetMode="External"/><Relationship Id="rId14" Type="http://schemas.openxmlformats.org/officeDocument/2006/relationships/hyperlink" Target="http://webarchive.nationalarchives.gov.uk/20131002005939/http:/www.public-standards.gov.uk/our-work/inquiries/political-party-financ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O'Boyle</dc:creator>
  <cp:lastModifiedBy>Maggie O'Boyle</cp:lastModifiedBy>
  <cp:revision>2</cp:revision>
  <cp:lastPrinted>2016-11-03T11:15:00Z</cp:lastPrinted>
  <dcterms:created xsi:type="dcterms:W3CDTF">2016-11-03T11:11:00Z</dcterms:created>
  <dcterms:modified xsi:type="dcterms:W3CDTF">2016-11-03T11:15:00Z</dcterms:modified>
</cp:coreProperties>
</file>