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DD" w:rsidRPr="00771F33" w:rsidRDefault="00BF1253">
      <w:pPr>
        <w:pStyle w:val="Heading1"/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noProof/>
          <w:sz w:val="56"/>
        </w:rPr>
        <w:pict>
          <v:rect id="_x0000_s1026" style="position:absolute;left:0;text-align:left;margin-left:-41.4pt;margin-top:-8.25pt;width:7in;height:721.05pt;z-index:-251658240" o:allowincell="f" strokeweight="2.5pt">
            <v:shadow offset="6pt,-6pt"/>
          </v:rect>
        </w:pict>
      </w:r>
      <w:r w:rsidR="004F1547">
        <w:rPr>
          <w:rFonts w:ascii="Arial" w:hAnsi="Arial" w:cs="Arial"/>
          <w:b w:val="0"/>
          <w:bCs w:val="0"/>
          <w:noProof/>
          <w:sz w:val="56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285750</wp:posOffset>
            </wp:positionV>
            <wp:extent cx="2066925" cy="1790700"/>
            <wp:effectExtent l="19050" t="0" r="9525" b="0"/>
            <wp:wrapTopAndBottom/>
            <wp:docPr id="3" name="Picture 2" descr="FCO_UK_PS_BK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O_UK_PS_BK tes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11DD" w:rsidRPr="00771F33" w:rsidRDefault="006011DD" w:rsidP="00F533D0">
      <w:pPr>
        <w:pStyle w:val="Heading1"/>
        <w:rPr>
          <w:rFonts w:ascii="Arial" w:hAnsi="Arial" w:cs="Arial"/>
          <w:sz w:val="56"/>
        </w:rPr>
      </w:pPr>
    </w:p>
    <w:p w:rsidR="00BF2A38" w:rsidRDefault="00BF2A38" w:rsidP="00F533D0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Magna Carta Fund </w:t>
      </w:r>
    </w:p>
    <w:p w:rsidR="00F533D0" w:rsidRPr="00771F33" w:rsidRDefault="00BF2A38" w:rsidP="00F533D0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For </w:t>
      </w:r>
      <w:r w:rsidR="00F533D0" w:rsidRPr="00771F33">
        <w:rPr>
          <w:rFonts w:ascii="Arial" w:hAnsi="Arial" w:cs="Arial"/>
          <w:sz w:val="44"/>
        </w:rPr>
        <w:t xml:space="preserve">Human Rights and Democracy </w:t>
      </w:r>
    </w:p>
    <w:p w:rsidR="00761CE0" w:rsidRDefault="00761CE0" w:rsidP="00F533D0">
      <w:pPr>
        <w:jc w:val="center"/>
        <w:rPr>
          <w:rFonts w:ascii="Arial" w:hAnsi="Arial" w:cs="Arial"/>
          <w:sz w:val="44"/>
        </w:rPr>
      </w:pPr>
    </w:p>
    <w:p w:rsidR="005A6514" w:rsidRDefault="005A6514" w:rsidP="00F533D0">
      <w:pPr>
        <w:jc w:val="center"/>
        <w:rPr>
          <w:rFonts w:ascii="Arial" w:hAnsi="Arial" w:cs="Arial"/>
          <w:sz w:val="44"/>
        </w:rPr>
      </w:pPr>
    </w:p>
    <w:p w:rsidR="005A6514" w:rsidRDefault="005A6514" w:rsidP="00F533D0">
      <w:pPr>
        <w:jc w:val="center"/>
        <w:rPr>
          <w:rFonts w:ascii="Arial" w:hAnsi="Arial" w:cs="Arial"/>
          <w:sz w:val="44"/>
        </w:rPr>
      </w:pPr>
    </w:p>
    <w:p w:rsidR="00F533D0" w:rsidRPr="00771F33" w:rsidRDefault="00E31F13" w:rsidP="00F533D0">
      <w:pPr>
        <w:jc w:val="center"/>
        <w:rPr>
          <w:rFonts w:ascii="Arial" w:hAnsi="Arial" w:cs="Arial"/>
          <w:sz w:val="44"/>
        </w:rPr>
      </w:pPr>
      <w:r w:rsidRPr="00771F33">
        <w:rPr>
          <w:rFonts w:ascii="Arial" w:hAnsi="Arial" w:cs="Arial"/>
          <w:sz w:val="44"/>
        </w:rPr>
        <w:t>STRATEGY</w:t>
      </w:r>
    </w:p>
    <w:p w:rsidR="006011DD" w:rsidRPr="00771F33" w:rsidRDefault="006011DD">
      <w:pPr>
        <w:pStyle w:val="Heading1"/>
        <w:jc w:val="center"/>
        <w:rPr>
          <w:rFonts w:ascii="Arial" w:hAnsi="Arial" w:cs="Arial"/>
          <w:sz w:val="44"/>
        </w:rPr>
      </w:pPr>
    </w:p>
    <w:p w:rsidR="006011DD" w:rsidRPr="00771F33" w:rsidRDefault="006011DD">
      <w:pPr>
        <w:pStyle w:val="Heading1"/>
        <w:jc w:val="center"/>
        <w:rPr>
          <w:rFonts w:ascii="Arial" w:hAnsi="Arial" w:cs="Arial"/>
          <w:sz w:val="32"/>
        </w:rPr>
      </w:pPr>
    </w:p>
    <w:p w:rsidR="006011DD" w:rsidRPr="00771F33" w:rsidRDefault="006011DD">
      <w:pPr>
        <w:pStyle w:val="Heading1"/>
        <w:jc w:val="center"/>
        <w:rPr>
          <w:rFonts w:ascii="Arial" w:hAnsi="Arial" w:cs="Arial"/>
          <w:sz w:val="32"/>
        </w:rPr>
      </w:pPr>
    </w:p>
    <w:p w:rsidR="006011DD" w:rsidRPr="00771F33" w:rsidRDefault="006011DD">
      <w:pPr>
        <w:pStyle w:val="Heading1"/>
        <w:jc w:val="center"/>
        <w:rPr>
          <w:rFonts w:ascii="Arial" w:hAnsi="Arial" w:cs="Arial"/>
          <w:sz w:val="32"/>
        </w:rPr>
      </w:pPr>
    </w:p>
    <w:p w:rsidR="006011DD" w:rsidRPr="00771F33" w:rsidRDefault="006011DD" w:rsidP="0002662B">
      <w:pPr>
        <w:pStyle w:val="Heading1"/>
        <w:rPr>
          <w:rFonts w:ascii="Arial" w:hAnsi="Arial" w:cs="Arial"/>
          <w:sz w:val="32"/>
        </w:rPr>
      </w:pPr>
    </w:p>
    <w:p w:rsidR="006011DD" w:rsidRDefault="006011DD">
      <w:pPr>
        <w:pStyle w:val="Heading1"/>
        <w:jc w:val="center"/>
        <w:rPr>
          <w:rFonts w:ascii="Arial" w:hAnsi="Arial" w:cs="Arial"/>
          <w:color w:val="FF0000"/>
          <w:sz w:val="32"/>
        </w:rPr>
      </w:pPr>
    </w:p>
    <w:p w:rsidR="003A55AB" w:rsidRPr="003A55AB" w:rsidRDefault="003A55AB" w:rsidP="003A55AB"/>
    <w:p w:rsidR="006011DD" w:rsidRPr="00771F33" w:rsidRDefault="006011DD">
      <w:pPr>
        <w:pStyle w:val="Heading1"/>
        <w:jc w:val="center"/>
        <w:rPr>
          <w:rFonts w:ascii="Arial" w:hAnsi="Arial" w:cs="Arial"/>
          <w:sz w:val="32"/>
        </w:rPr>
      </w:pPr>
    </w:p>
    <w:p w:rsidR="006011DD" w:rsidRPr="00771F33" w:rsidRDefault="006011DD">
      <w:pPr>
        <w:pStyle w:val="Heading1"/>
        <w:jc w:val="center"/>
        <w:rPr>
          <w:rFonts w:ascii="Arial" w:hAnsi="Arial" w:cs="Arial"/>
          <w:sz w:val="32"/>
        </w:rPr>
      </w:pPr>
    </w:p>
    <w:p w:rsidR="006011DD" w:rsidRPr="00771F33" w:rsidRDefault="006011DD">
      <w:pPr>
        <w:pStyle w:val="Heading1"/>
        <w:jc w:val="center"/>
        <w:rPr>
          <w:rFonts w:ascii="Arial" w:hAnsi="Arial" w:cs="Arial"/>
          <w:sz w:val="32"/>
        </w:rPr>
      </w:pPr>
    </w:p>
    <w:p w:rsidR="006011DD" w:rsidRPr="00771F33" w:rsidRDefault="006011DD">
      <w:pPr>
        <w:pStyle w:val="Heading1"/>
        <w:jc w:val="center"/>
        <w:rPr>
          <w:rFonts w:ascii="Arial" w:hAnsi="Arial" w:cs="Arial"/>
          <w:sz w:val="32"/>
        </w:rPr>
      </w:pPr>
    </w:p>
    <w:p w:rsidR="006011DD" w:rsidRDefault="006011DD">
      <w:pPr>
        <w:pStyle w:val="Heading1"/>
        <w:jc w:val="center"/>
        <w:rPr>
          <w:rFonts w:ascii="Arial" w:hAnsi="Arial" w:cs="Arial"/>
          <w:sz w:val="32"/>
        </w:rPr>
      </w:pPr>
    </w:p>
    <w:p w:rsidR="00E31F13" w:rsidRPr="00E31F13" w:rsidRDefault="00E31F13" w:rsidP="00E31F13"/>
    <w:p w:rsidR="00F533D0" w:rsidRPr="00771F33" w:rsidRDefault="00F533D0" w:rsidP="00F533D0">
      <w:pPr>
        <w:jc w:val="center"/>
        <w:rPr>
          <w:rFonts w:ascii="Arial" w:hAnsi="Arial" w:cs="Arial"/>
          <w:sz w:val="32"/>
        </w:rPr>
      </w:pPr>
      <w:r w:rsidRPr="00771F33">
        <w:rPr>
          <w:rFonts w:ascii="Arial" w:hAnsi="Arial" w:cs="Arial"/>
          <w:sz w:val="32"/>
        </w:rPr>
        <w:t>F</w:t>
      </w:r>
      <w:r w:rsidR="004F1547">
        <w:rPr>
          <w:rFonts w:ascii="Arial" w:hAnsi="Arial" w:cs="Arial"/>
          <w:sz w:val="32"/>
        </w:rPr>
        <w:t xml:space="preserve">inancial </w:t>
      </w:r>
      <w:r w:rsidRPr="00771F33">
        <w:rPr>
          <w:rFonts w:ascii="Arial" w:hAnsi="Arial" w:cs="Arial"/>
          <w:sz w:val="32"/>
        </w:rPr>
        <w:t>Y</w:t>
      </w:r>
      <w:r w:rsidR="004F1547">
        <w:rPr>
          <w:rFonts w:ascii="Arial" w:hAnsi="Arial" w:cs="Arial"/>
          <w:sz w:val="32"/>
        </w:rPr>
        <w:t>ear</w:t>
      </w:r>
      <w:r w:rsidR="0021334A">
        <w:rPr>
          <w:rFonts w:ascii="Arial" w:hAnsi="Arial" w:cs="Arial"/>
          <w:sz w:val="32"/>
        </w:rPr>
        <w:t xml:space="preserve"> 2016</w:t>
      </w:r>
      <w:r w:rsidR="004F1547">
        <w:rPr>
          <w:rFonts w:ascii="Arial" w:hAnsi="Arial" w:cs="Arial"/>
          <w:sz w:val="32"/>
        </w:rPr>
        <w:t>-</w:t>
      </w:r>
      <w:r w:rsidR="0021334A">
        <w:rPr>
          <w:rFonts w:ascii="Arial" w:hAnsi="Arial" w:cs="Arial"/>
          <w:sz w:val="32"/>
        </w:rPr>
        <w:t>17</w:t>
      </w:r>
    </w:p>
    <w:p w:rsidR="00F533D0" w:rsidRPr="00771F33" w:rsidRDefault="00F533D0" w:rsidP="00F533D0">
      <w:pPr>
        <w:jc w:val="center"/>
        <w:rPr>
          <w:rFonts w:ascii="Arial" w:hAnsi="Arial" w:cs="Arial"/>
          <w:sz w:val="32"/>
        </w:rPr>
      </w:pPr>
      <w:r w:rsidRPr="00771F33">
        <w:rPr>
          <w:rFonts w:ascii="Arial" w:hAnsi="Arial" w:cs="Arial"/>
          <w:sz w:val="32"/>
        </w:rPr>
        <w:t>Human Rights and Democracy Department</w:t>
      </w:r>
    </w:p>
    <w:p w:rsidR="006011DD" w:rsidRPr="00771F33" w:rsidRDefault="006011DD">
      <w:pPr>
        <w:jc w:val="center"/>
        <w:rPr>
          <w:rFonts w:ascii="Arial" w:hAnsi="Arial" w:cs="Arial"/>
          <w:b/>
          <w:sz w:val="32"/>
        </w:rPr>
      </w:pPr>
    </w:p>
    <w:p w:rsidR="00BF2A38" w:rsidRDefault="006011DD" w:rsidP="005A6514">
      <w:pPr>
        <w:pStyle w:val="Heading1"/>
        <w:spacing w:after="120"/>
        <w:ind w:left="-567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br w:type="page"/>
      </w:r>
    </w:p>
    <w:p w:rsidR="00BF2A38" w:rsidRDefault="00BF2A38" w:rsidP="005A6514">
      <w:pPr>
        <w:pStyle w:val="Heading1"/>
        <w:spacing w:after="120"/>
        <w:ind w:left="-567"/>
        <w:rPr>
          <w:rFonts w:ascii="Times New Roman" w:hAnsi="Times New Roman"/>
          <w:sz w:val="28"/>
          <w:u w:val="single"/>
        </w:rPr>
      </w:pPr>
    </w:p>
    <w:p w:rsidR="00ED3C9D" w:rsidRPr="005A6514" w:rsidRDefault="006011DD" w:rsidP="005A6514">
      <w:pPr>
        <w:pStyle w:val="Heading1"/>
        <w:spacing w:after="120"/>
        <w:ind w:left="-567"/>
        <w:rPr>
          <w:rFonts w:ascii="Arial" w:hAnsi="Arial" w:cs="Arial"/>
          <w:sz w:val="28"/>
          <w:u w:val="single"/>
        </w:rPr>
      </w:pPr>
      <w:r w:rsidRPr="004D0BE7">
        <w:rPr>
          <w:rFonts w:ascii="Arial" w:hAnsi="Arial" w:cs="Arial"/>
          <w:sz w:val="28"/>
          <w:u w:val="single"/>
        </w:rPr>
        <w:t xml:space="preserve">STRATEGY </w:t>
      </w:r>
    </w:p>
    <w:p w:rsidR="005A6514" w:rsidRDefault="005A6514" w:rsidP="005A6514">
      <w:pPr>
        <w:pStyle w:val="Heading1"/>
        <w:spacing w:after="120"/>
        <w:rPr>
          <w:rFonts w:ascii="Arial" w:hAnsi="Arial" w:cs="Arial"/>
          <w:szCs w:val="22"/>
        </w:rPr>
      </w:pPr>
    </w:p>
    <w:p w:rsidR="00ED3C9D" w:rsidRPr="003B655A" w:rsidRDefault="006011DD" w:rsidP="00D502C5">
      <w:pPr>
        <w:pStyle w:val="Heading1"/>
        <w:numPr>
          <w:ilvl w:val="0"/>
          <w:numId w:val="3"/>
        </w:numPr>
        <w:spacing w:after="120"/>
        <w:rPr>
          <w:rFonts w:ascii="Arial" w:hAnsi="Arial" w:cs="Arial"/>
          <w:szCs w:val="22"/>
        </w:rPr>
      </w:pPr>
      <w:r w:rsidRPr="003B655A">
        <w:rPr>
          <w:rFonts w:ascii="Arial" w:hAnsi="Arial" w:cs="Arial"/>
          <w:szCs w:val="22"/>
        </w:rPr>
        <w:t xml:space="preserve">EXECUTIVE SUMMARY </w:t>
      </w:r>
    </w:p>
    <w:p w:rsidR="003B655A" w:rsidRPr="003B655A" w:rsidRDefault="003B655A" w:rsidP="00BF2A38">
      <w:pPr>
        <w:spacing w:after="120"/>
        <w:ind w:left="-567"/>
        <w:rPr>
          <w:rFonts w:ascii="Arial" w:hAnsi="Arial" w:cs="Arial"/>
          <w:szCs w:val="22"/>
        </w:rPr>
      </w:pPr>
      <w:r w:rsidRPr="003B655A">
        <w:rPr>
          <w:rFonts w:ascii="Arial" w:hAnsi="Arial" w:cs="Arial"/>
          <w:szCs w:val="22"/>
        </w:rPr>
        <w:t xml:space="preserve">The </w:t>
      </w:r>
      <w:r w:rsidR="00BF2A38" w:rsidRPr="00BF2A38">
        <w:rPr>
          <w:rFonts w:ascii="Arial" w:hAnsi="Arial" w:cs="Arial"/>
          <w:szCs w:val="22"/>
        </w:rPr>
        <w:t xml:space="preserve">Magna Carta Fund for Human Rights and Democracy </w:t>
      </w:r>
      <w:r w:rsidRPr="003B655A">
        <w:rPr>
          <w:rFonts w:ascii="Arial" w:hAnsi="Arial" w:cs="Arial"/>
          <w:szCs w:val="22"/>
        </w:rPr>
        <w:t>(</w:t>
      </w:r>
      <w:r w:rsidR="00C414C7">
        <w:rPr>
          <w:rFonts w:ascii="Arial" w:hAnsi="Arial" w:cs="Arial"/>
          <w:szCs w:val="22"/>
        </w:rPr>
        <w:t>MCFHRD</w:t>
      </w:r>
      <w:r w:rsidRPr="003B655A">
        <w:rPr>
          <w:rFonts w:ascii="Arial" w:hAnsi="Arial" w:cs="Arial"/>
          <w:szCs w:val="22"/>
        </w:rPr>
        <w:t xml:space="preserve">) is the FCO’s dedicated strategic fund supporting our global human rights and democracy work. Through targeted projects, it aims to further British interests overseas </w:t>
      </w:r>
      <w:r w:rsidR="008473D0">
        <w:rPr>
          <w:rFonts w:ascii="Arial" w:hAnsi="Arial" w:cs="Arial"/>
          <w:szCs w:val="22"/>
        </w:rPr>
        <w:t>by</w:t>
      </w:r>
      <w:r w:rsidR="00AB4160">
        <w:rPr>
          <w:rFonts w:ascii="Arial" w:hAnsi="Arial" w:cs="Arial"/>
          <w:szCs w:val="22"/>
        </w:rPr>
        <w:t xml:space="preserve"> </w:t>
      </w:r>
      <w:r w:rsidR="00AB4160" w:rsidRPr="00AB4160">
        <w:rPr>
          <w:rFonts w:ascii="Arial" w:hAnsi="Arial" w:cs="Arial"/>
          <w:szCs w:val="22"/>
        </w:rPr>
        <w:t>tackling the root causes of h</w:t>
      </w:r>
      <w:r w:rsidR="00AB4160">
        <w:rPr>
          <w:rFonts w:ascii="Arial" w:hAnsi="Arial" w:cs="Arial"/>
          <w:szCs w:val="22"/>
        </w:rPr>
        <w:t xml:space="preserve">uman </w:t>
      </w:r>
      <w:r w:rsidR="00AB4160" w:rsidRPr="00AB4160">
        <w:rPr>
          <w:rFonts w:ascii="Arial" w:hAnsi="Arial" w:cs="Arial"/>
          <w:szCs w:val="22"/>
        </w:rPr>
        <w:t>r</w:t>
      </w:r>
      <w:r w:rsidR="00AB4160">
        <w:rPr>
          <w:rFonts w:ascii="Arial" w:hAnsi="Arial" w:cs="Arial"/>
          <w:szCs w:val="22"/>
        </w:rPr>
        <w:t>ights</w:t>
      </w:r>
      <w:r w:rsidR="00AB4160" w:rsidRPr="00AB4160">
        <w:rPr>
          <w:rFonts w:ascii="Arial" w:hAnsi="Arial" w:cs="Arial"/>
          <w:szCs w:val="22"/>
        </w:rPr>
        <w:t xml:space="preserve"> violations</w:t>
      </w:r>
      <w:r w:rsidR="00235CE9">
        <w:rPr>
          <w:rFonts w:ascii="Arial" w:hAnsi="Arial" w:cs="Arial"/>
          <w:szCs w:val="22"/>
        </w:rPr>
        <w:t>, strengthening institutions and governance</w:t>
      </w:r>
      <w:r w:rsidR="00AB4160">
        <w:rPr>
          <w:rFonts w:ascii="Arial" w:hAnsi="Arial" w:cs="Arial"/>
          <w:szCs w:val="22"/>
        </w:rPr>
        <w:t xml:space="preserve">, </w:t>
      </w:r>
      <w:r w:rsidRPr="003B655A">
        <w:rPr>
          <w:rFonts w:ascii="Arial" w:hAnsi="Arial" w:cs="Arial"/>
          <w:szCs w:val="22"/>
        </w:rPr>
        <w:t>promoti</w:t>
      </w:r>
      <w:r w:rsidR="00287011">
        <w:rPr>
          <w:rFonts w:ascii="Arial" w:hAnsi="Arial" w:cs="Arial"/>
          <w:szCs w:val="22"/>
        </w:rPr>
        <w:t>ng</w:t>
      </w:r>
      <w:r w:rsidRPr="003B655A">
        <w:rPr>
          <w:rFonts w:ascii="Arial" w:hAnsi="Arial" w:cs="Arial"/>
          <w:szCs w:val="22"/>
        </w:rPr>
        <w:t xml:space="preserve"> and protecti</w:t>
      </w:r>
      <w:r w:rsidR="00287011">
        <w:rPr>
          <w:rFonts w:ascii="Arial" w:hAnsi="Arial" w:cs="Arial"/>
          <w:szCs w:val="22"/>
        </w:rPr>
        <w:t>ng</w:t>
      </w:r>
      <w:r w:rsidRPr="003B655A">
        <w:rPr>
          <w:rFonts w:ascii="Arial" w:hAnsi="Arial" w:cs="Arial"/>
          <w:szCs w:val="22"/>
        </w:rPr>
        <w:t xml:space="preserve"> human rights, </w:t>
      </w:r>
      <w:r w:rsidR="009F4173">
        <w:rPr>
          <w:rFonts w:ascii="Arial" w:hAnsi="Arial" w:cs="Arial"/>
          <w:szCs w:val="22"/>
        </w:rPr>
        <w:t xml:space="preserve">and </w:t>
      </w:r>
      <w:r w:rsidR="00D024FC">
        <w:rPr>
          <w:rFonts w:ascii="Arial" w:hAnsi="Arial" w:cs="Arial"/>
          <w:szCs w:val="22"/>
        </w:rPr>
        <w:t>supporting democracy</w:t>
      </w:r>
      <w:r w:rsidRPr="003B655A">
        <w:rPr>
          <w:rFonts w:ascii="Arial" w:hAnsi="Arial" w:cs="Arial"/>
          <w:szCs w:val="22"/>
        </w:rPr>
        <w:t xml:space="preserve"> and the rule of law.  </w:t>
      </w:r>
    </w:p>
    <w:p w:rsidR="005538C8" w:rsidRPr="003B655A" w:rsidRDefault="005538C8" w:rsidP="005538C8">
      <w:pPr>
        <w:spacing w:after="120"/>
        <w:ind w:left="-567"/>
        <w:rPr>
          <w:rFonts w:ascii="Arial" w:hAnsi="Arial" w:cs="Arial"/>
          <w:szCs w:val="22"/>
        </w:rPr>
      </w:pPr>
      <w:r w:rsidRPr="003B655A">
        <w:rPr>
          <w:rFonts w:ascii="Arial" w:hAnsi="Arial" w:cs="Arial"/>
          <w:szCs w:val="22"/>
        </w:rPr>
        <w:t xml:space="preserve">The </w:t>
      </w:r>
      <w:r w:rsidR="00C414C7">
        <w:rPr>
          <w:rFonts w:ascii="Arial" w:hAnsi="Arial" w:cs="Arial"/>
          <w:szCs w:val="22"/>
        </w:rPr>
        <w:t>MCFHRD</w:t>
      </w:r>
      <w:r w:rsidRPr="003B655A">
        <w:rPr>
          <w:rFonts w:ascii="Arial" w:hAnsi="Arial" w:cs="Arial"/>
          <w:szCs w:val="22"/>
        </w:rPr>
        <w:t xml:space="preserve"> is a strategic programme; we therefore assess every bid we receive carefully for impact and fit with both the </w:t>
      </w:r>
      <w:r w:rsidR="003E3537" w:rsidRPr="003B655A">
        <w:rPr>
          <w:rFonts w:ascii="Arial" w:hAnsi="Arial" w:cs="Arial"/>
          <w:szCs w:val="22"/>
        </w:rPr>
        <w:t xml:space="preserve">overarching </w:t>
      </w:r>
      <w:r w:rsidR="00C414C7">
        <w:rPr>
          <w:rFonts w:ascii="Arial" w:hAnsi="Arial" w:cs="Arial"/>
          <w:szCs w:val="22"/>
        </w:rPr>
        <w:t>MCFHRD</w:t>
      </w:r>
      <w:r w:rsidRPr="003B655A">
        <w:rPr>
          <w:rFonts w:ascii="Arial" w:hAnsi="Arial" w:cs="Arial"/>
          <w:szCs w:val="22"/>
        </w:rPr>
        <w:t xml:space="preserve"> strategy</w:t>
      </w:r>
      <w:r w:rsidR="003E3537" w:rsidRPr="003B655A">
        <w:rPr>
          <w:rFonts w:ascii="Arial" w:hAnsi="Arial" w:cs="Arial"/>
          <w:szCs w:val="22"/>
        </w:rPr>
        <w:t>,</w:t>
      </w:r>
      <w:r w:rsidRPr="003B655A">
        <w:rPr>
          <w:rFonts w:ascii="Arial" w:hAnsi="Arial" w:cs="Arial"/>
          <w:szCs w:val="22"/>
        </w:rPr>
        <w:t xml:space="preserve"> and </w:t>
      </w:r>
      <w:r w:rsidR="0080063F">
        <w:rPr>
          <w:rFonts w:ascii="Arial" w:hAnsi="Arial" w:cs="Arial"/>
          <w:szCs w:val="22"/>
        </w:rPr>
        <w:t>the UK objectives for that country.</w:t>
      </w:r>
    </w:p>
    <w:p w:rsidR="00F67BD3" w:rsidRPr="003B655A" w:rsidRDefault="00F67BD3" w:rsidP="005538C8">
      <w:pPr>
        <w:spacing w:after="120"/>
        <w:ind w:left="-567"/>
        <w:rPr>
          <w:rFonts w:ascii="Arial" w:hAnsi="Arial" w:cs="Arial"/>
          <w:szCs w:val="22"/>
        </w:rPr>
      </w:pPr>
    </w:p>
    <w:p w:rsidR="006011DD" w:rsidRPr="003B655A" w:rsidRDefault="0021334A" w:rsidP="00005B1D">
      <w:pPr>
        <w:pStyle w:val="Heading1"/>
        <w:numPr>
          <w:ilvl w:val="0"/>
          <w:numId w:val="3"/>
        </w:numPr>
        <w:spacing w:after="120"/>
        <w:rPr>
          <w:rFonts w:ascii="Arial" w:hAnsi="Arial" w:cs="Arial"/>
          <w:szCs w:val="22"/>
        </w:rPr>
      </w:pPr>
      <w:r w:rsidRPr="003B655A">
        <w:rPr>
          <w:rFonts w:ascii="Arial" w:hAnsi="Arial" w:cs="Arial"/>
          <w:szCs w:val="22"/>
        </w:rPr>
        <w:t>THEMES</w:t>
      </w:r>
      <w:r w:rsidR="006011DD" w:rsidRPr="003B655A">
        <w:rPr>
          <w:rFonts w:ascii="Arial" w:hAnsi="Arial" w:cs="Arial"/>
          <w:szCs w:val="22"/>
        </w:rPr>
        <w:t xml:space="preserve"> </w:t>
      </w:r>
    </w:p>
    <w:p w:rsidR="00BF2A38" w:rsidRDefault="00005B1D" w:rsidP="00F7227D">
      <w:pPr>
        <w:spacing w:after="120"/>
        <w:ind w:left="-567"/>
        <w:rPr>
          <w:rFonts w:ascii="Arial" w:hAnsi="Arial" w:cs="Arial"/>
          <w:szCs w:val="22"/>
        </w:rPr>
      </w:pPr>
      <w:r w:rsidRPr="003B655A">
        <w:rPr>
          <w:rFonts w:ascii="Arial" w:hAnsi="Arial" w:cs="Arial"/>
          <w:szCs w:val="22"/>
        </w:rPr>
        <w:t>For 2016, Ministers have agreed a new approach to the FCO’s human rights and democracy work in line with manifesto commitments. The previous approach of eight “thematic priorities”</w:t>
      </w:r>
      <w:r w:rsidR="00335B0B">
        <w:rPr>
          <w:rFonts w:ascii="Arial" w:hAnsi="Arial" w:cs="Arial"/>
          <w:szCs w:val="22"/>
        </w:rPr>
        <w:t>,</w:t>
      </w:r>
      <w:r w:rsidRPr="003B655A">
        <w:rPr>
          <w:rFonts w:ascii="Arial" w:hAnsi="Arial" w:cs="Arial"/>
          <w:szCs w:val="22"/>
        </w:rPr>
        <w:t xml:space="preserve"> </w:t>
      </w:r>
      <w:r w:rsidR="00BF2A38">
        <w:rPr>
          <w:rFonts w:ascii="Arial" w:hAnsi="Arial" w:cs="Arial"/>
          <w:szCs w:val="22"/>
        </w:rPr>
        <w:t xml:space="preserve">under the </w:t>
      </w:r>
      <w:r w:rsidR="00BF2A38" w:rsidRPr="00BF2A38">
        <w:rPr>
          <w:rFonts w:ascii="Arial" w:hAnsi="Arial" w:cs="Arial"/>
          <w:i/>
          <w:szCs w:val="22"/>
        </w:rPr>
        <w:t>Human Rights and Democracy Programme</w:t>
      </w:r>
      <w:r w:rsidR="00BF2A38">
        <w:rPr>
          <w:rFonts w:ascii="Arial" w:hAnsi="Arial" w:cs="Arial"/>
          <w:i/>
          <w:szCs w:val="22"/>
        </w:rPr>
        <w:t>,</w:t>
      </w:r>
      <w:r w:rsidR="00BF2A38">
        <w:rPr>
          <w:rFonts w:ascii="Arial" w:hAnsi="Arial" w:cs="Arial"/>
          <w:szCs w:val="22"/>
        </w:rPr>
        <w:t xml:space="preserve"> </w:t>
      </w:r>
      <w:r w:rsidRPr="003B655A">
        <w:rPr>
          <w:rFonts w:ascii="Arial" w:hAnsi="Arial" w:cs="Arial"/>
          <w:szCs w:val="22"/>
        </w:rPr>
        <w:t xml:space="preserve">risked implying a hierarchy of rights, and reduced our flexibility to respond to developments and to capture all the human rights work carried out by our overseas network. </w:t>
      </w:r>
    </w:p>
    <w:p w:rsidR="00F7227D" w:rsidRPr="003B655A" w:rsidRDefault="00005B1D" w:rsidP="00F7227D">
      <w:pPr>
        <w:spacing w:after="120"/>
        <w:ind w:left="-567"/>
        <w:rPr>
          <w:rFonts w:ascii="Arial" w:hAnsi="Arial" w:cs="Arial"/>
          <w:szCs w:val="22"/>
        </w:rPr>
      </w:pPr>
      <w:r w:rsidRPr="003B655A">
        <w:rPr>
          <w:rFonts w:ascii="Arial" w:hAnsi="Arial" w:cs="Arial"/>
          <w:szCs w:val="22"/>
        </w:rPr>
        <w:t xml:space="preserve">The FCO has therefore reconfigured its human rights </w:t>
      </w:r>
      <w:r w:rsidR="00235CE9">
        <w:rPr>
          <w:rFonts w:ascii="Arial" w:hAnsi="Arial" w:cs="Arial"/>
          <w:szCs w:val="22"/>
        </w:rPr>
        <w:t xml:space="preserve">and democracy </w:t>
      </w:r>
      <w:r w:rsidRPr="003B655A">
        <w:rPr>
          <w:rFonts w:ascii="Arial" w:hAnsi="Arial" w:cs="Arial"/>
          <w:szCs w:val="22"/>
        </w:rPr>
        <w:t xml:space="preserve">work around </w:t>
      </w:r>
      <w:r w:rsidRPr="003B655A">
        <w:rPr>
          <w:rFonts w:ascii="Arial" w:hAnsi="Arial" w:cs="Arial"/>
          <w:szCs w:val="22"/>
          <w:u w:val="single"/>
        </w:rPr>
        <w:t>three interconnected themes</w:t>
      </w:r>
      <w:r w:rsidRPr="003B655A">
        <w:rPr>
          <w:rFonts w:ascii="Arial" w:hAnsi="Arial" w:cs="Arial"/>
          <w:szCs w:val="22"/>
        </w:rPr>
        <w:t>, which will also provide the basis for our funding strategy</w:t>
      </w:r>
      <w:r w:rsidR="00BF2A38">
        <w:rPr>
          <w:rFonts w:ascii="Arial" w:hAnsi="Arial" w:cs="Arial"/>
          <w:szCs w:val="22"/>
        </w:rPr>
        <w:t xml:space="preserve"> under the Magna Carta Fund for Human Rights and </w:t>
      </w:r>
      <w:r w:rsidR="00D024FC">
        <w:rPr>
          <w:rFonts w:ascii="Arial" w:hAnsi="Arial" w:cs="Arial"/>
          <w:szCs w:val="22"/>
        </w:rPr>
        <w:t>Democracy</w:t>
      </w:r>
      <w:r w:rsidRPr="003B655A">
        <w:rPr>
          <w:rFonts w:ascii="Arial" w:hAnsi="Arial" w:cs="Arial"/>
          <w:szCs w:val="22"/>
        </w:rPr>
        <w:t>:</w:t>
      </w:r>
      <w:r w:rsidR="00BC62CD" w:rsidRPr="003B655A">
        <w:rPr>
          <w:rFonts w:ascii="Arial" w:hAnsi="Arial" w:cs="Arial"/>
          <w:szCs w:val="22"/>
        </w:rPr>
        <w:t xml:space="preserve"> </w:t>
      </w:r>
    </w:p>
    <w:p w:rsidR="00BC62CD" w:rsidRPr="003B655A" w:rsidRDefault="00BC62CD" w:rsidP="00BB390C">
      <w:pPr>
        <w:pStyle w:val="ListParagraph"/>
        <w:numPr>
          <w:ilvl w:val="0"/>
          <w:numId w:val="34"/>
        </w:numPr>
        <w:ind w:left="0" w:hanging="284"/>
        <w:rPr>
          <w:rFonts w:ascii="Arial" w:hAnsi="Arial" w:cs="Arial"/>
          <w:szCs w:val="22"/>
        </w:rPr>
      </w:pPr>
      <w:r w:rsidRPr="003B655A">
        <w:rPr>
          <w:rFonts w:ascii="Arial" w:hAnsi="Arial" w:cs="Arial"/>
          <w:b/>
          <w:szCs w:val="22"/>
        </w:rPr>
        <w:t>D</w:t>
      </w:r>
      <w:r w:rsidR="00005B1D" w:rsidRPr="003B655A">
        <w:rPr>
          <w:rFonts w:ascii="Arial" w:hAnsi="Arial" w:cs="Arial"/>
          <w:b/>
          <w:szCs w:val="22"/>
        </w:rPr>
        <w:t>emocratic values and the rule of law</w:t>
      </w:r>
      <w:r w:rsidR="00F7227D" w:rsidRPr="003B655A">
        <w:rPr>
          <w:rFonts w:ascii="Arial" w:hAnsi="Arial" w:cs="Arial"/>
          <w:b/>
          <w:szCs w:val="22"/>
        </w:rPr>
        <w:t xml:space="preserve"> </w:t>
      </w:r>
      <w:r w:rsidR="00F7227D" w:rsidRPr="003B655A">
        <w:rPr>
          <w:rFonts w:ascii="Arial" w:hAnsi="Arial" w:cs="Arial"/>
          <w:szCs w:val="22"/>
        </w:rPr>
        <w:t xml:space="preserve">- </w:t>
      </w:r>
      <w:r w:rsidR="00BB390C" w:rsidRPr="003B655A">
        <w:rPr>
          <w:rFonts w:ascii="Arial" w:hAnsi="Arial" w:cs="Arial"/>
          <w:szCs w:val="22"/>
        </w:rPr>
        <w:t>Uphold universal rights, democracy and the rule of law as key building blocks for more secure and prosperous societies</w:t>
      </w:r>
    </w:p>
    <w:p w:rsidR="00BB390C" w:rsidRPr="003B655A" w:rsidRDefault="00BB390C" w:rsidP="00BB390C">
      <w:pPr>
        <w:pStyle w:val="ListParagraph"/>
        <w:ind w:left="0"/>
        <w:rPr>
          <w:rFonts w:ascii="Arial" w:hAnsi="Arial" w:cs="Arial"/>
          <w:szCs w:val="22"/>
        </w:rPr>
      </w:pPr>
    </w:p>
    <w:p w:rsidR="00BC62CD" w:rsidRPr="003B655A" w:rsidRDefault="00BC62CD" w:rsidP="00BB390C">
      <w:pPr>
        <w:pStyle w:val="ListParagraph"/>
        <w:numPr>
          <w:ilvl w:val="0"/>
          <w:numId w:val="34"/>
        </w:numPr>
        <w:ind w:left="0" w:hanging="284"/>
        <w:rPr>
          <w:rFonts w:ascii="Arial" w:hAnsi="Arial" w:cs="Arial"/>
          <w:snapToGrid w:val="0"/>
          <w:szCs w:val="22"/>
        </w:rPr>
      </w:pPr>
      <w:r w:rsidRPr="003B655A">
        <w:rPr>
          <w:rFonts w:ascii="Arial" w:hAnsi="Arial" w:cs="Arial"/>
          <w:b/>
          <w:szCs w:val="22"/>
        </w:rPr>
        <w:t>T</w:t>
      </w:r>
      <w:r w:rsidR="00005B1D" w:rsidRPr="003B655A">
        <w:rPr>
          <w:rFonts w:ascii="Arial" w:hAnsi="Arial" w:cs="Arial"/>
          <w:b/>
          <w:szCs w:val="22"/>
        </w:rPr>
        <w:t xml:space="preserve">he rules-based international </w:t>
      </w:r>
      <w:r w:rsidRPr="003B655A">
        <w:rPr>
          <w:rFonts w:ascii="Arial" w:hAnsi="Arial" w:cs="Arial"/>
          <w:b/>
          <w:szCs w:val="22"/>
        </w:rPr>
        <w:t>order</w:t>
      </w:r>
      <w:r w:rsidRPr="003B655A">
        <w:rPr>
          <w:rFonts w:ascii="Arial" w:hAnsi="Arial" w:cs="Arial"/>
          <w:szCs w:val="22"/>
        </w:rPr>
        <w:t xml:space="preserve"> </w:t>
      </w:r>
      <w:r w:rsidR="00F7227D" w:rsidRPr="003B655A">
        <w:rPr>
          <w:rFonts w:ascii="Arial" w:hAnsi="Arial" w:cs="Arial"/>
          <w:szCs w:val="22"/>
        </w:rPr>
        <w:t xml:space="preserve">- </w:t>
      </w:r>
      <w:r w:rsidR="00BB390C" w:rsidRPr="003B655A">
        <w:rPr>
          <w:rFonts w:ascii="Arial" w:hAnsi="Arial" w:cs="Arial"/>
          <w:szCs w:val="22"/>
        </w:rPr>
        <w:t xml:space="preserve">Support an effective rules-based international </w:t>
      </w:r>
      <w:r w:rsidR="008473D0">
        <w:rPr>
          <w:rFonts w:ascii="Arial" w:hAnsi="Arial" w:cs="Arial"/>
          <w:szCs w:val="22"/>
        </w:rPr>
        <w:t>order</w:t>
      </w:r>
      <w:r w:rsidR="00BB390C" w:rsidRPr="003B655A">
        <w:rPr>
          <w:rFonts w:ascii="Arial" w:hAnsi="Arial" w:cs="Arial"/>
          <w:szCs w:val="22"/>
        </w:rPr>
        <w:t xml:space="preserve"> that stands up for universal rights</w:t>
      </w:r>
    </w:p>
    <w:p w:rsidR="00BB390C" w:rsidRPr="003B655A" w:rsidRDefault="00BB390C" w:rsidP="00BB390C">
      <w:pPr>
        <w:pStyle w:val="ListParagraph"/>
        <w:ind w:left="0"/>
        <w:rPr>
          <w:rFonts w:ascii="Arial" w:hAnsi="Arial" w:cs="Arial"/>
          <w:snapToGrid w:val="0"/>
          <w:szCs w:val="22"/>
        </w:rPr>
      </w:pPr>
    </w:p>
    <w:p w:rsidR="001B49A9" w:rsidRPr="001B49A9" w:rsidRDefault="00BC62CD" w:rsidP="001B49A9">
      <w:pPr>
        <w:pStyle w:val="ListParagraph"/>
        <w:numPr>
          <w:ilvl w:val="0"/>
          <w:numId w:val="34"/>
        </w:numPr>
        <w:spacing w:after="120"/>
        <w:ind w:left="0" w:hanging="284"/>
        <w:rPr>
          <w:rFonts w:ascii="Arial" w:hAnsi="Arial" w:cs="Arial"/>
          <w:b/>
          <w:szCs w:val="22"/>
        </w:rPr>
      </w:pPr>
      <w:r w:rsidRPr="003B655A">
        <w:rPr>
          <w:rFonts w:ascii="Arial" w:hAnsi="Arial" w:cs="Arial"/>
          <w:b/>
          <w:szCs w:val="22"/>
        </w:rPr>
        <w:t>H</w:t>
      </w:r>
      <w:r w:rsidR="00005B1D" w:rsidRPr="003B655A">
        <w:rPr>
          <w:rFonts w:ascii="Arial" w:hAnsi="Arial" w:cs="Arial"/>
          <w:b/>
          <w:szCs w:val="22"/>
        </w:rPr>
        <w:t>uman rights for a stable world</w:t>
      </w:r>
      <w:r w:rsidR="00F7227D" w:rsidRPr="003B655A">
        <w:rPr>
          <w:rFonts w:ascii="Arial" w:hAnsi="Arial" w:cs="Arial"/>
          <w:b/>
          <w:szCs w:val="22"/>
        </w:rPr>
        <w:t xml:space="preserve"> </w:t>
      </w:r>
      <w:r w:rsidR="00F7227D" w:rsidRPr="003B655A">
        <w:rPr>
          <w:rFonts w:ascii="Arial" w:hAnsi="Arial" w:cs="Arial"/>
          <w:szCs w:val="22"/>
        </w:rPr>
        <w:t xml:space="preserve">- </w:t>
      </w:r>
      <w:r w:rsidR="00BB390C" w:rsidRPr="003B655A">
        <w:rPr>
          <w:rFonts w:ascii="Arial" w:hAnsi="Arial" w:cs="Arial"/>
          <w:szCs w:val="22"/>
        </w:rPr>
        <w:t>Promote a more stable world by upholding universal rights in tackling conflict and extremism</w:t>
      </w:r>
    </w:p>
    <w:p w:rsidR="00CA3F7A" w:rsidRDefault="001B49A9" w:rsidP="001B49A9">
      <w:pPr>
        <w:spacing w:after="120"/>
        <w:ind w:left="-567"/>
        <w:rPr>
          <w:rFonts w:ascii="Arial" w:hAnsi="Arial" w:cs="Arial"/>
          <w:szCs w:val="22"/>
        </w:rPr>
      </w:pPr>
      <w:r w:rsidRPr="001B49A9">
        <w:rPr>
          <w:rFonts w:ascii="Arial" w:hAnsi="Arial" w:cs="Arial"/>
          <w:szCs w:val="22"/>
        </w:rPr>
        <w:t>Projects that aim to achieve systemic change, strengthen institutions and improve governance</w:t>
      </w:r>
      <w:r>
        <w:rPr>
          <w:rFonts w:ascii="Arial" w:hAnsi="Arial" w:cs="Arial"/>
          <w:szCs w:val="22"/>
        </w:rPr>
        <w:t xml:space="preserve"> based on human rights and the rule of law</w:t>
      </w:r>
      <w:r w:rsidRPr="001B49A9">
        <w:rPr>
          <w:rFonts w:ascii="Arial" w:hAnsi="Arial" w:cs="Arial"/>
          <w:szCs w:val="22"/>
        </w:rPr>
        <w:t>, are strongly encouraged.  The fundamental aim of the strategy is to treat</w:t>
      </w:r>
      <w:r>
        <w:rPr>
          <w:rFonts w:ascii="Arial" w:hAnsi="Arial" w:cs="Arial"/>
          <w:szCs w:val="22"/>
        </w:rPr>
        <w:t xml:space="preserve"> both causes and </w:t>
      </w:r>
      <w:r w:rsidRPr="001B49A9">
        <w:rPr>
          <w:rFonts w:ascii="Arial" w:hAnsi="Arial" w:cs="Arial"/>
          <w:szCs w:val="22"/>
        </w:rPr>
        <w:t>symptoms.</w:t>
      </w:r>
    </w:p>
    <w:p w:rsidR="001B49A9" w:rsidRPr="003B655A" w:rsidRDefault="001B49A9" w:rsidP="001B49A9">
      <w:pPr>
        <w:spacing w:after="120"/>
        <w:ind w:left="-567"/>
        <w:rPr>
          <w:rFonts w:ascii="Arial" w:hAnsi="Arial" w:cs="Arial"/>
          <w:szCs w:val="22"/>
        </w:rPr>
      </w:pPr>
    </w:p>
    <w:p w:rsidR="00F76ED2" w:rsidRPr="003B655A" w:rsidRDefault="00F76ED2" w:rsidP="00F76ED2">
      <w:pPr>
        <w:pStyle w:val="Heading1"/>
        <w:numPr>
          <w:ilvl w:val="0"/>
          <w:numId w:val="3"/>
        </w:numPr>
        <w:spacing w:after="120"/>
        <w:rPr>
          <w:rFonts w:ascii="Arial" w:hAnsi="Arial" w:cs="Arial"/>
          <w:szCs w:val="22"/>
        </w:rPr>
      </w:pPr>
      <w:r w:rsidRPr="003B655A">
        <w:rPr>
          <w:rFonts w:ascii="Arial" w:hAnsi="Arial" w:cs="Arial"/>
          <w:szCs w:val="22"/>
        </w:rPr>
        <w:t xml:space="preserve">WHERE WE WORK </w:t>
      </w:r>
    </w:p>
    <w:p w:rsidR="00504FC3" w:rsidRPr="007C7F6C" w:rsidRDefault="00C414C7" w:rsidP="0080063F">
      <w:pPr>
        <w:spacing w:after="120"/>
        <w:ind w:left="-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MCFHRD</w:t>
      </w:r>
      <w:r w:rsidR="00504FC3" w:rsidRPr="003B655A">
        <w:rPr>
          <w:rFonts w:ascii="Arial" w:hAnsi="Arial" w:cs="Arial"/>
          <w:szCs w:val="22"/>
        </w:rPr>
        <w:t xml:space="preserve"> projects </w:t>
      </w:r>
      <w:r w:rsidR="00BF2A38">
        <w:rPr>
          <w:rFonts w:ascii="Arial" w:hAnsi="Arial" w:cs="Arial"/>
          <w:szCs w:val="22"/>
        </w:rPr>
        <w:t xml:space="preserve">will </w:t>
      </w:r>
      <w:r w:rsidR="00504FC3" w:rsidRPr="003B655A">
        <w:rPr>
          <w:rFonts w:ascii="Arial" w:hAnsi="Arial" w:cs="Arial"/>
          <w:szCs w:val="22"/>
        </w:rPr>
        <w:t xml:space="preserve">complement the human rights work of individual British Embassies or High Commissions across the </w:t>
      </w:r>
      <w:r w:rsidR="00504FC3" w:rsidRPr="007C7F6C">
        <w:rPr>
          <w:rFonts w:ascii="Arial" w:hAnsi="Arial" w:cs="Arial"/>
          <w:szCs w:val="22"/>
        </w:rPr>
        <w:t>globe, so proposals for all countries are eligible.</w:t>
      </w:r>
      <w:r w:rsidR="006D1439" w:rsidRPr="006D1439">
        <w:rPr>
          <w:rFonts w:ascii="Arial" w:hAnsi="Arial" w:cs="Arial"/>
          <w:szCs w:val="22"/>
        </w:rPr>
        <w:t xml:space="preserve"> </w:t>
      </w:r>
      <w:r w:rsidR="0080063F">
        <w:rPr>
          <w:rFonts w:ascii="Arial" w:hAnsi="Arial" w:cs="Arial"/>
          <w:szCs w:val="22"/>
        </w:rPr>
        <w:t xml:space="preserve">However, please note that </w:t>
      </w:r>
      <w:r w:rsidR="006D1439" w:rsidRPr="003B655A">
        <w:rPr>
          <w:rFonts w:ascii="Arial" w:hAnsi="Arial" w:cs="Arial"/>
          <w:szCs w:val="22"/>
        </w:rPr>
        <w:t xml:space="preserve">97% of our funding must be allocated to projects in </w:t>
      </w:r>
      <w:hyperlink r:id="rId12" w:history="1">
        <w:r w:rsidR="006D1439" w:rsidRPr="008473D0">
          <w:rPr>
            <w:rStyle w:val="Hyperlink"/>
            <w:rFonts w:ascii="Arial" w:hAnsi="Arial" w:cs="Arial"/>
            <w:szCs w:val="22"/>
          </w:rPr>
          <w:t>ODA countries</w:t>
        </w:r>
      </w:hyperlink>
      <w:r w:rsidR="006D1439" w:rsidRPr="003B655A">
        <w:rPr>
          <w:rFonts w:ascii="Arial" w:hAnsi="Arial" w:cs="Arial"/>
          <w:szCs w:val="22"/>
        </w:rPr>
        <w:t xml:space="preserve">. </w:t>
      </w:r>
    </w:p>
    <w:p w:rsidR="00504FC3" w:rsidRPr="003B655A" w:rsidRDefault="00504FC3" w:rsidP="00504FC3">
      <w:pPr>
        <w:spacing w:after="120"/>
        <w:ind w:left="-567"/>
        <w:rPr>
          <w:rFonts w:ascii="Arial" w:hAnsi="Arial" w:cs="Arial"/>
          <w:szCs w:val="22"/>
        </w:rPr>
      </w:pPr>
      <w:r w:rsidRPr="007C7F6C">
        <w:rPr>
          <w:rFonts w:ascii="Arial" w:hAnsi="Arial" w:cs="Arial"/>
          <w:szCs w:val="22"/>
        </w:rPr>
        <w:t xml:space="preserve">Our designated </w:t>
      </w:r>
      <w:r w:rsidR="00C414C7">
        <w:rPr>
          <w:rFonts w:ascii="Arial" w:hAnsi="Arial" w:cs="Arial"/>
          <w:szCs w:val="22"/>
        </w:rPr>
        <w:t>MCFHRD</w:t>
      </w:r>
      <w:r w:rsidRPr="007C7F6C">
        <w:rPr>
          <w:rFonts w:ascii="Arial" w:hAnsi="Arial" w:cs="Arial"/>
          <w:szCs w:val="22"/>
        </w:rPr>
        <w:t xml:space="preserve"> priority countries are those where we </w:t>
      </w:r>
      <w:r w:rsidR="00235CE9">
        <w:rPr>
          <w:rFonts w:ascii="Arial" w:hAnsi="Arial" w:cs="Arial"/>
          <w:szCs w:val="22"/>
        </w:rPr>
        <w:t>will focus most of our project work</w:t>
      </w:r>
      <w:r w:rsidRPr="007C7F6C">
        <w:rPr>
          <w:rFonts w:ascii="Arial" w:hAnsi="Arial" w:cs="Arial"/>
          <w:szCs w:val="22"/>
        </w:rPr>
        <w:t xml:space="preserve">; </w:t>
      </w:r>
      <w:r w:rsidR="007A4659">
        <w:rPr>
          <w:rFonts w:ascii="Arial" w:hAnsi="Arial" w:cs="Arial"/>
          <w:szCs w:val="22"/>
        </w:rPr>
        <w:t xml:space="preserve">we aim to dedicate </w:t>
      </w:r>
      <w:r w:rsidRPr="007C7F6C">
        <w:rPr>
          <w:rFonts w:ascii="Arial" w:hAnsi="Arial" w:cs="Arial"/>
          <w:szCs w:val="22"/>
        </w:rPr>
        <w:t xml:space="preserve">approximately </w:t>
      </w:r>
      <w:r w:rsidR="00E274A0" w:rsidRPr="007C7F6C">
        <w:rPr>
          <w:rFonts w:ascii="Arial" w:hAnsi="Arial" w:cs="Arial"/>
          <w:szCs w:val="22"/>
        </w:rPr>
        <w:t>65</w:t>
      </w:r>
      <w:r w:rsidRPr="007C7F6C">
        <w:rPr>
          <w:rFonts w:ascii="Arial" w:hAnsi="Arial" w:cs="Arial"/>
          <w:szCs w:val="22"/>
        </w:rPr>
        <w:t>% of</w:t>
      </w:r>
      <w:r w:rsidRPr="003B655A">
        <w:rPr>
          <w:rFonts w:ascii="Arial" w:hAnsi="Arial" w:cs="Arial"/>
          <w:szCs w:val="22"/>
        </w:rPr>
        <w:t xml:space="preserve"> funding </w:t>
      </w:r>
      <w:r w:rsidR="007A4659">
        <w:rPr>
          <w:rFonts w:ascii="Arial" w:hAnsi="Arial" w:cs="Arial"/>
          <w:szCs w:val="22"/>
        </w:rPr>
        <w:t xml:space="preserve">to </w:t>
      </w:r>
      <w:r w:rsidRPr="003B655A">
        <w:rPr>
          <w:rFonts w:ascii="Arial" w:hAnsi="Arial" w:cs="Arial"/>
          <w:szCs w:val="22"/>
        </w:rPr>
        <w:t xml:space="preserve">those countries.  The 2016-17 </w:t>
      </w:r>
      <w:r w:rsidR="00C414C7">
        <w:rPr>
          <w:rFonts w:ascii="Arial" w:hAnsi="Arial" w:cs="Arial"/>
          <w:szCs w:val="22"/>
        </w:rPr>
        <w:t>MCFHRD</w:t>
      </w:r>
      <w:r w:rsidRPr="003B655A">
        <w:rPr>
          <w:rFonts w:ascii="Arial" w:hAnsi="Arial" w:cs="Arial"/>
          <w:szCs w:val="22"/>
        </w:rPr>
        <w:t xml:space="preserve"> priority countries are listed in </w:t>
      </w:r>
      <w:r w:rsidRPr="005C3A16">
        <w:rPr>
          <w:rFonts w:ascii="Arial" w:hAnsi="Arial" w:cs="Arial"/>
          <w:szCs w:val="22"/>
        </w:rPr>
        <w:t>Annex A</w:t>
      </w:r>
      <w:r w:rsidRPr="003B655A">
        <w:rPr>
          <w:rFonts w:ascii="Arial" w:hAnsi="Arial" w:cs="Arial"/>
          <w:szCs w:val="22"/>
        </w:rPr>
        <w:t xml:space="preserve">. These are countries that feature </w:t>
      </w:r>
      <w:r w:rsidRPr="003B655A">
        <w:rPr>
          <w:rFonts w:ascii="Arial" w:hAnsi="Arial" w:cs="Arial"/>
          <w:snapToGrid w:val="0"/>
          <w:szCs w:val="22"/>
        </w:rPr>
        <w:t>a</w:t>
      </w:r>
      <w:r w:rsidR="002D6530">
        <w:rPr>
          <w:rFonts w:ascii="Arial" w:hAnsi="Arial" w:cs="Arial"/>
          <w:snapToGrid w:val="0"/>
          <w:szCs w:val="22"/>
        </w:rPr>
        <w:t>s</w:t>
      </w:r>
      <w:r w:rsidRPr="003B655A">
        <w:rPr>
          <w:rFonts w:ascii="Arial" w:hAnsi="Arial" w:cs="Arial"/>
          <w:snapToGrid w:val="0"/>
          <w:szCs w:val="22"/>
        </w:rPr>
        <w:t xml:space="preserve"> one of the FCO’s human rights priorities (formerly “countries of concern”)</w:t>
      </w:r>
      <w:r w:rsidR="00381099">
        <w:rPr>
          <w:rFonts w:ascii="Arial" w:hAnsi="Arial" w:cs="Arial"/>
          <w:snapToGrid w:val="0"/>
          <w:szCs w:val="22"/>
        </w:rPr>
        <w:t xml:space="preserve">, </w:t>
      </w:r>
      <w:r w:rsidRPr="003B655A">
        <w:rPr>
          <w:rFonts w:ascii="Arial" w:hAnsi="Arial" w:cs="Arial"/>
          <w:snapToGrid w:val="0"/>
          <w:szCs w:val="22"/>
        </w:rPr>
        <w:t xml:space="preserve">country case studies, </w:t>
      </w:r>
      <w:r w:rsidR="00381099">
        <w:rPr>
          <w:rFonts w:ascii="Arial" w:hAnsi="Arial" w:cs="Arial"/>
          <w:snapToGrid w:val="0"/>
          <w:szCs w:val="22"/>
        </w:rPr>
        <w:t xml:space="preserve">or thematic case studies </w:t>
      </w:r>
      <w:r w:rsidRPr="003B655A">
        <w:rPr>
          <w:rFonts w:ascii="Arial" w:hAnsi="Arial" w:cs="Arial"/>
          <w:snapToGrid w:val="0"/>
          <w:szCs w:val="22"/>
        </w:rPr>
        <w:t xml:space="preserve">as set out in the 2014 </w:t>
      </w:r>
      <w:hyperlink r:id="rId13" w:history="1">
        <w:r w:rsidRPr="003B655A">
          <w:rPr>
            <w:rStyle w:val="Hyperlink"/>
            <w:rFonts w:ascii="Arial" w:hAnsi="Arial" w:cs="Arial"/>
            <w:szCs w:val="22"/>
          </w:rPr>
          <w:t>Annual Human Rights and Democracy Report</w:t>
        </w:r>
      </w:hyperlink>
      <w:r w:rsidRPr="003B655A">
        <w:rPr>
          <w:rFonts w:ascii="Arial" w:hAnsi="Arial" w:cs="Arial"/>
          <w:snapToGrid w:val="0"/>
          <w:szCs w:val="22"/>
        </w:rPr>
        <w:t>, published in March 2015.</w:t>
      </w:r>
    </w:p>
    <w:p w:rsidR="008473D0" w:rsidRDefault="000F65B5" w:rsidP="00BF2A38">
      <w:pPr>
        <w:spacing w:after="120"/>
        <w:ind w:left="-56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Proposals from non-priority countries are also strongly encouraged, but please note there is less funding available.</w:t>
      </w:r>
      <w:r w:rsidR="0080063F" w:rsidRPr="003B655A" w:rsidDel="0080063F">
        <w:rPr>
          <w:rFonts w:ascii="Arial" w:hAnsi="Arial" w:cs="Arial"/>
          <w:szCs w:val="22"/>
        </w:rPr>
        <w:t xml:space="preserve"> </w:t>
      </w:r>
    </w:p>
    <w:p w:rsidR="00BF2A38" w:rsidRDefault="00BF2A38" w:rsidP="00BF2A38">
      <w:pPr>
        <w:spacing w:after="120"/>
        <w:ind w:left="-567"/>
        <w:rPr>
          <w:rFonts w:ascii="Arial" w:hAnsi="Arial" w:cs="Arial"/>
          <w:szCs w:val="22"/>
        </w:rPr>
      </w:pPr>
    </w:p>
    <w:p w:rsidR="0077035D" w:rsidRPr="003B655A" w:rsidRDefault="0077035D" w:rsidP="004F1ECA">
      <w:pPr>
        <w:pStyle w:val="Heading1"/>
        <w:numPr>
          <w:ilvl w:val="0"/>
          <w:numId w:val="3"/>
        </w:numPr>
        <w:spacing w:after="120"/>
        <w:rPr>
          <w:rFonts w:ascii="Arial" w:hAnsi="Arial" w:cs="Arial"/>
          <w:szCs w:val="22"/>
        </w:rPr>
      </w:pPr>
      <w:r w:rsidRPr="003B655A">
        <w:rPr>
          <w:rFonts w:ascii="Arial" w:hAnsi="Arial" w:cs="Arial"/>
          <w:szCs w:val="22"/>
        </w:rPr>
        <w:lastRenderedPageBreak/>
        <w:t xml:space="preserve">ELIGIBILITY </w:t>
      </w:r>
    </w:p>
    <w:p w:rsidR="0097069E" w:rsidRPr="003B655A" w:rsidRDefault="0077035D" w:rsidP="0097069E">
      <w:pPr>
        <w:pStyle w:val="Heading1"/>
        <w:spacing w:after="120"/>
        <w:ind w:left="-567"/>
        <w:rPr>
          <w:rFonts w:ascii="Arial" w:hAnsi="Arial" w:cs="Arial"/>
          <w:b w:val="0"/>
          <w:bCs w:val="0"/>
          <w:szCs w:val="22"/>
        </w:rPr>
      </w:pPr>
      <w:r w:rsidRPr="003B655A">
        <w:rPr>
          <w:rFonts w:ascii="Arial" w:hAnsi="Arial" w:cs="Arial"/>
          <w:b w:val="0"/>
          <w:bCs w:val="0"/>
          <w:szCs w:val="22"/>
        </w:rPr>
        <w:t xml:space="preserve">The </w:t>
      </w:r>
      <w:r w:rsidR="00C414C7">
        <w:rPr>
          <w:rFonts w:ascii="Arial" w:hAnsi="Arial" w:cs="Arial"/>
          <w:b w:val="0"/>
          <w:bCs w:val="0"/>
          <w:szCs w:val="22"/>
        </w:rPr>
        <w:t>MCFHRD</w:t>
      </w:r>
      <w:r w:rsidRPr="003B655A">
        <w:rPr>
          <w:rFonts w:ascii="Arial" w:hAnsi="Arial" w:cs="Arial"/>
          <w:b w:val="0"/>
          <w:bCs w:val="0"/>
          <w:szCs w:val="22"/>
        </w:rPr>
        <w:t xml:space="preserve"> accepts project bids from civil society, </w:t>
      </w:r>
      <w:r w:rsidR="006D1439">
        <w:rPr>
          <w:rFonts w:ascii="Arial" w:hAnsi="Arial" w:cs="Arial"/>
          <w:b w:val="0"/>
          <w:bCs w:val="0"/>
          <w:szCs w:val="22"/>
        </w:rPr>
        <w:t xml:space="preserve">commercial organisations, </w:t>
      </w:r>
      <w:r w:rsidRPr="003B655A">
        <w:rPr>
          <w:rFonts w:ascii="Arial" w:hAnsi="Arial" w:cs="Arial"/>
          <w:b w:val="0"/>
          <w:bCs w:val="0"/>
          <w:szCs w:val="22"/>
        </w:rPr>
        <w:t xml:space="preserve">governments, </w:t>
      </w:r>
      <w:r w:rsidR="005A6514" w:rsidRPr="003B655A">
        <w:rPr>
          <w:rFonts w:ascii="Arial" w:hAnsi="Arial" w:cs="Arial"/>
          <w:b w:val="0"/>
          <w:bCs w:val="0"/>
          <w:szCs w:val="22"/>
        </w:rPr>
        <w:t>think tanks</w:t>
      </w:r>
      <w:r w:rsidRPr="003B655A">
        <w:rPr>
          <w:rFonts w:ascii="Arial" w:hAnsi="Arial" w:cs="Arial"/>
          <w:b w:val="0"/>
          <w:bCs w:val="0"/>
          <w:szCs w:val="22"/>
        </w:rPr>
        <w:t xml:space="preserve">, other UK government departments and </w:t>
      </w:r>
      <w:r w:rsidR="003A6D7B" w:rsidRPr="003B655A">
        <w:rPr>
          <w:rFonts w:ascii="Arial" w:hAnsi="Arial" w:cs="Arial"/>
          <w:b w:val="0"/>
          <w:bCs w:val="0"/>
          <w:szCs w:val="22"/>
        </w:rPr>
        <w:t>international organisations</w:t>
      </w:r>
      <w:r w:rsidRPr="003B655A">
        <w:rPr>
          <w:rFonts w:ascii="Arial" w:hAnsi="Arial" w:cs="Arial"/>
          <w:b w:val="0"/>
          <w:bCs w:val="0"/>
          <w:szCs w:val="22"/>
        </w:rPr>
        <w:t xml:space="preserve">. </w:t>
      </w:r>
    </w:p>
    <w:p w:rsidR="00F23560" w:rsidRPr="003B655A" w:rsidRDefault="00F23560" w:rsidP="0097069E">
      <w:pPr>
        <w:pStyle w:val="Heading1"/>
        <w:spacing w:after="120"/>
        <w:ind w:left="-567"/>
        <w:rPr>
          <w:rFonts w:ascii="Arial" w:hAnsi="Arial" w:cs="Arial"/>
          <w:b w:val="0"/>
          <w:bCs w:val="0"/>
          <w:szCs w:val="22"/>
        </w:rPr>
      </w:pPr>
      <w:r w:rsidRPr="003B655A">
        <w:rPr>
          <w:rFonts w:ascii="Arial" w:hAnsi="Arial" w:cs="Arial"/>
          <w:b w:val="0"/>
          <w:bCs w:val="0"/>
          <w:szCs w:val="22"/>
        </w:rPr>
        <w:t xml:space="preserve">We encourage our Embassies and High Commissions to work closely with both local and international implementers, in order to identify potential projects that are of the greatest relevance to </w:t>
      </w:r>
      <w:r w:rsidR="00CE2690" w:rsidRPr="003B655A">
        <w:rPr>
          <w:rFonts w:ascii="Arial" w:hAnsi="Arial" w:cs="Arial"/>
          <w:b w:val="0"/>
          <w:bCs w:val="0"/>
          <w:szCs w:val="22"/>
        </w:rPr>
        <w:t xml:space="preserve">the UK’s human rights </w:t>
      </w:r>
      <w:r w:rsidR="007A4659">
        <w:rPr>
          <w:rFonts w:ascii="Arial" w:hAnsi="Arial" w:cs="Arial"/>
          <w:b w:val="0"/>
          <w:bCs w:val="0"/>
          <w:szCs w:val="22"/>
        </w:rPr>
        <w:t xml:space="preserve">focus </w:t>
      </w:r>
      <w:r w:rsidR="00CE2690" w:rsidRPr="003B655A">
        <w:rPr>
          <w:rFonts w:ascii="Arial" w:hAnsi="Arial" w:cs="Arial"/>
          <w:b w:val="0"/>
          <w:bCs w:val="0"/>
          <w:szCs w:val="22"/>
        </w:rPr>
        <w:t>for that country</w:t>
      </w:r>
      <w:r w:rsidRPr="003B655A">
        <w:rPr>
          <w:rFonts w:ascii="Arial" w:hAnsi="Arial" w:cs="Arial"/>
          <w:b w:val="0"/>
          <w:bCs w:val="0"/>
          <w:szCs w:val="22"/>
        </w:rPr>
        <w:t>.</w:t>
      </w:r>
      <w:r w:rsidR="00235CE9">
        <w:rPr>
          <w:rFonts w:ascii="Arial" w:hAnsi="Arial" w:cs="Arial"/>
          <w:b w:val="0"/>
          <w:bCs w:val="0"/>
          <w:szCs w:val="22"/>
        </w:rPr>
        <w:t xml:space="preserve">  </w:t>
      </w:r>
    </w:p>
    <w:p w:rsidR="00383FA9" w:rsidRPr="003B655A" w:rsidRDefault="00383FA9" w:rsidP="00383FA9">
      <w:pPr>
        <w:rPr>
          <w:rFonts w:ascii="Arial" w:hAnsi="Arial" w:cs="Arial"/>
          <w:szCs w:val="22"/>
        </w:rPr>
      </w:pPr>
    </w:p>
    <w:p w:rsidR="001A4164" w:rsidRPr="003B655A" w:rsidRDefault="001A4164" w:rsidP="004F1ECA">
      <w:pPr>
        <w:pStyle w:val="Heading1"/>
        <w:numPr>
          <w:ilvl w:val="0"/>
          <w:numId w:val="3"/>
        </w:numPr>
        <w:spacing w:after="120"/>
        <w:rPr>
          <w:rFonts w:ascii="Arial" w:hAnsi="Arial" w:cs="Arial"/>
          <w:szCs w:val="22"/>
        </w:rPr>
      </w:pPr>
      <w:r w:rsidRPr="003B655A">
        <w:rPr>
          <w:rFonts w:ascii="Arial" w:hAnsi="Arial" w:cs="Arial"/>
          <w:szCs w:val="22"/>
        </w:rPr>
        <w:t xml:space="preserve">MONITORING &amp; EVALUATION </w:t>
      </w:r>
    </w:p>
    <w:p w:rsidR="000F65B5" w:rsidRDefault="005538C8" w:rsidP="00F7227D">
      <w:pPr>
        <w:ind w:left="-567"/>
        <w:rPr>
          <w:rFonts w:ascii="Arial" w:hAnsi="Arial" w:cs="Arial"/>
          <w:szCs w:val="22"/>
        </w:rPr>
      </w:pPr>
      <w:r w:rsidRPr="003B655A">
        <w:rPr>
          <w:rFonts w:ascii="Arial" w:hAnsi="Arial" w:cs="Arial"/>
          <w:szCs w:val="22"/>
        </w:rPr>
        <w:t xml:space="preserve">Robust monitoring and evaluation (M&amp;E) is an integral part of the </w:t>
      </w:r>
      <w:r w:rsidR="00C414C7">
        <w:rPr>
          <w:rFonts w:ascii="Arial" w:hAnsi="Arial" w:cs="Arial"/>
          <w:szCs w:val="22"/>
        </w:rPr>
        <w:t>MCFHRD</w:t>
      </w:r>
      <w:r w:rsidRPr="003B655A">
        <w:rPr>
          <w:rFonts w:ascii="Arial" w:hAnsi="Arial" w:cs="Arial"/>
          <w:szCs w:val="22"/>
        </w:rPr>
        <w:t xml:space="preserve">.  </w:t>
      </w:r>
      <w:r w:rsidR="00235CE9">
        <w:rPr>
          <w:rFonts w:ascii="Arial" w:hAnsi="Arial" w:cs="Arial"/>
          <w:szCs w:val="22"/>
        </w:rPr>
        <w:t>R</w:t>
      </w:r>
      <w:r w:rsidRPr="003B655A">
        <w:rPr>
          <w:rFonts w:ascii="Arial" w:hAnsi="Arial" w:cs="Arial"/>
          <w:szCs w:val="22"/>
        </w:rPr>
        <w:t>igorous M&amp;E</w:t>
      </w:r>
      <w:r w:rsidR="00235CE9">
        <w:rPr>
          <w:rFonts w:ascii="Arial" w:hAnsi="Arial" w:cs="Arial"/>
          <w:szCs w:val="22"/>
        </w:rPr>
        <w:t xml:space="preserve"> is required </w:t>
      </w:r>
      <w:r w:rsidRPr="003B655A">
        <w:rPr>
          <w:rFonts w:ascii="Arial" w:hAnsi="Arial" w:cs="Arial"/>
          <w:szCs w:val="22"/>
        </w:rPr>
        <w:t xml:space="preserve">so that impact can be measured and </w:t>
      </w:r>
      <w:r w:rsidR="007A4659">
        <w:rPr>
          <w:rFonts w:ascii="Arial" w:hAnsi="Arial" w:cs="Arial"/>
          <w:szCs w:val="22"/>
        </w:rPr>
        <w:t>problems</w:t>
      </w:r>
      <w:r w:rsidR="005746E2">
        <w:rPr>
          <w:rFonts w:ascii="Arial" w:hAnsi="Arial" w:cs="Arial"/>
          <w:szCs w:val="22"/>
        </w:rPr>
        <w:t xml:space="preserve"> during implementation</w:t>
      </w:r>
      <w:r w:rsidR="007A4659">
        <w:rPr>
          <w:rFonts w:ascii="Arial" w:hAnsi="Arial" w:cs="Arial"/>
          <w:szCs w:val="22"/>
        </w:rPr>
        <w:t xml:space="preserve"> </w:t>
      </w:r>
      <w:r w:rsidR="004F1547" w:rsidRPr="003B655A">
        <w:rPr>
          <w:rFonts w:ascii="Arial" w:hAnsi="Arial" w:cs="Arial"/>
          <w:szCs w:val="22"/>
        </w:rPr>
        <w:t>can be</w:t>
      </w:r>
      <w:r w:rsidRPr="003B655A">
        <w:rPr>
          <w:rFonts w:ascii="Arial" w:hAnsi="Arial" w:cs="Arial"/>
          <w:szCs w:val="22"/>
        </w:rPr>
        <w:t xml:space="preserve"> addressed</w:t>
      </w:r>
      <w:r w:rsidR="004F1547" w:rsidRPr="003B655A">
        <w:rPr>
          <w:rFonts w:ascii="Arial" w:hAnsi="Arial" w:cs="Arial"/>
          <w:szCs w:val="22"/>
        </w:rPr>
        <w:t>.</w:t>
      </w:r>
      <w:r w:rsidR="007A4659">
        <w:rPr>
          <w:rFonts w:ascii="Arial" w:hAnsi="Arial" w:cs="Arial"/>
          <w:szCs w:val="22"/>
        </w:rPr>
        <w:t xml:space="preserve"> </w:t>
      </w:r>
    </w:p>
    <w:p w:rsidR="00F7227D" w:rsidRPr="003B655A" w:rsidRDefault="00F7227D" w:rsidP="000F65B5">
      <w:pPr>
        <w:rPr>
          <w:rFonts w:ascii="Arial" w:hAnsi="Arial" w:cs="Arial"/>
          <w:szCs w:val="22"/>
        </w:rPr>
      </w:pPr>
    </w:p>
    <w:p w:rsidR="00F7227D" w:rsidRPr="003B655A" w:rsidRDefault="00ED3C9D" w:rsidP="00F7227D">
      <w:pPr>
        <w:ind w:left="-567"/>
        <w:rPr>
          <w:rFonts w:ascii="Arial" w:hAnsi="Arial" w:cs="Arial"/>
          <w:szCs w:val="22"/>
        </w:rPr>
      </w:pPr>
      <w:r w:rsidRPr="003B655A">
        <w:rPr>
          <w:rFonts w:ascii="Arial" w:hAnsi="Arial" w:cs="Arial"/>
          <w:szCs w:val="22"/>
          <w:u w:val="single"/>
        </w:rPr>
        <w:t>Quarterly Reports</w:t>
      </w:r>
      <w:r w:rsidRPr="003B655A">
        <w:rPr>
          <w:rFonts w:ascii="Arial" w:hAnsi="Arial" w:cs="Arial"/>
          <w:b/>
          <w:szCs w:val="22"/>
        </w:rPr>
        <w:t xml:space="preserve"> </w:t>
      </w:r>
    </w:p>
    <w:p w:rsidR="00F7227D" w:rsidRPr="003B655A" w:rsidRDefault="00ED3C9D" w:rsidP="00F7227D">
      <w:pPr>
        <w:ind w:left="-567"/>
        <w:rPr>
          <w:rFonts w:ascii="Arial" w:hAnsi="Arial" w:cs="Arial"/>
          <w:szCs w:val="22"/>
        </w:rPr>
      </w:pPr>
      <w:r w:rsidRPr="003B655A">
        <w:rPr>
          <w:rFonts w:ascii="Arial" w:hAnsi="Arial" w:cs="Arial"/>
          <w:szCs w:val="22"/>
        </w:rPr>
        <w:t>Project implementers are required by grant contract to submit</w:t>
      </w:r>
      <w:r w:rsidR="0097069E" w:rsidRPr="003B655A">
        <w:rPr>
          <w:rFonts w:ascii="Arial" w:hAnsi="Arial" w:cs="Arial"/>
          <w:szCs w:val="22"/>
        </w:rPr>
        <w:t xml:space="preserve"> quarterly progress reports, and quarterly financial reports</w:t>
      </w:r>
      <w:r w:rsidRPr="003B655A">
        <w:rPr>
          <w:rFonts w:ascii="Arial" w:hAnsi="Arial" w:cs="Arial"/>
          <w:szCs w:val="22"/>
        </w:rPr>
        <w:t xml:space="preserve"> to </w:t>
      </w:r>
      <w:r w:rsidR="004F1547" w:rsidRPr="003B655A">
        <w:rPr>
          <w:rFonts w:ascii="Arial" w:hAnsi="Arial" w:cs="Arial"/>
          <w:szCs w:val="22"/>
        </w:rPr>
        <w:t xml:space="preserve">the local Embassy or </w:t>
      </w:r>
      <w:r w:rsidR="005538C8" w:rsidRPr="003B655A">
        <w:rPr>
          <w:rFonts w:ascii="Arial" w:hAnsi="Arial" w:cs="Arial"/>
          <w:szCs w:val="22"/>
        </w:rPr>
        <w:t>High Commission</w:t>
      </w:r>
      <w:r w:rsidR="004F1547" w:rsidRPr="003B655A">
        <w:rPr>
          <w:rFonts w:ascii="Arial" w:hAnsi="Arial" w:cs="Arial"/>
          <w:szCs w:val="22"/>
        </w:rPr>
        <w:t>,</w:t>
      </w:r>
      <w:r w:rsidRPr="003B655A">
        <w:rPr>
          <w:rFonts w:ascii="Arial" w:hAnsi="Arial" w:cs="Arial"/>
          <w:szCs w:val="22"/>
        </w:rPr>
        <w:t xml:space="preserve"> or to the relevant Project Manager </w:t>
      </w:r>
      <w:r w:rsidR="004F1547" w:rsidRPr="003B655A">
        <w:rPr>
          <w:rFonts w:ascii="Arial" w:hAnsi="Arial" w:cs="Arial"/>
          <w:szCs w:val="22"/>
        </w:rPr>
        <w:t>(</w:t>
      </w:r>
      <w:r w:rsidRPr="003B655A">
        <w:rPr>
          <w:rFonts w:ascii="Arial" w:hAnsi="Arial" w:cs="Arial"/>
          <w:szCs w:val="22"/>
        </w:rPr>
        <w:t xml:space="preserve">for </w:t>
      </w:r>
      <w:r w:rsidR="008473D0">
        <w:rPr>
          <w:rFonts w:ascii="Arial" w:hAnsi="Arial" w:cs="Arial"/>
          <w:szCs w:val="22"/>
        </w:rPr>
        <w:t xml:space="preserve">some </w:t>
      </w:r>
      <w:r w:rsidRPr="003B655A">
        <w:rPr>
          <w:rFonts w:ascii="Arial" w:hAnsi="Arial" w:cs="Arial"/>
          <w:szCs w:val="22"/>
        </w:rPr>
        <w:t>multi-country projects)</w:t>
      </w:r>
      <w:r w:rsidR="0097069E" w:rsidRPr="003B655A">
        <w:rPr>
          <w:rFonts w:ascii="Arial" w:hAnsi="Arial" w:cs="Arial"/>
          <w:szCs w:val="22"/>
        </w:rPr>
        <w:t>.</w:t>
      </w:r>
      <w:r w:rsidR="00B9257A" w:rsidRPr="003B655A">
        <w:rPr>
          <w:rFonts w:ascii="Arial" w:hAnsi="Arial" w:cs="Arial"/>
          <w:szCs w:val="22"/>
        </w:rPr>
        <w:t xml:space="preserve">  Project </w:t>
      </w:r>
      <w:r w:rsidR="004825BA">
        <w:rPr>
          <w:rFonts w:ascii="Arial" w:hAnsi="Arial" w:cs="Arial"/>
          <w:szCs w:val="22"/>
        </w:rPr>
        <w:t>implementers</w:t>
      </w:r>
      <w:r w:rsidR="00B9257A" w:rsidRPr="003B655A">
        <w:rPr>
          <w:rFonts w:ascii="Arial" w:hAnsi="Arial" w:cs="Arial"/>
          <w:szCs w:val="22"/>
        </w:rPr>
        <w:t xml:space="preserve"> are required to produce Project Completion Reports.</w:t>
      </w:r>
      <w:r w:rsidR="00F7227D" w:rsidRPr="003B655A">
        <w:rPr>
          <w:rFonts w:ascii="Arial" w:hAnsi="Arial" w:cs="Arial"/>
          <w:szCs w:val="22"/>
        </w:rPr>
        <w:t xml:space="preserve"> </w:t>
      </w:r>
    </w:p>
    <w:p w:rsidR="00F7227D" w:rsidRPr="003B655A" w:rsidRDefault="00F7227D" w:rsidP="00F7227D">
      <w:pPr>
        <w:ind w:left="-567"/>
        <w:rPr>
          <w:rFonts w:ascii="Arial" w:hAnsi="Arial" w:cs="Arial"/>
          <w:szCs w:val="22"/>
        </w:rPr>
      </w:pPr>
    </w:p>
    <w:p w:rsidR="00F7227D" w:rsidRPr="003B655A" w:rsidRDefault="00F7227D" w:rsidP="00F7227D">
      <w:pPr>
        <w:ind w:left="-567"/>
        <w:rPr>
          <w:rFonts w:ascii="Arial" w:hAnsi="Arial" w:cs="Arial"/>
          <w:szCs w:val="22"/>
        </w:rPr>
      </w:pPr>
      <w:r w:rsidRPr="003B655A">
        <w:rPr>
          <w:rFonts w:ascii="Arial" w:hAnsi="Arial" w:cs="Arial"/>
          <w:szCs w:val="22"/>
        </w:rPr>
        <w:t xml:space="preserve">Quarterly reports inform the </w:t>
      </w:r>
      <w:r w:rsidR="00BF2A38">
        <w:rPr>
          <w:rFonts w:ascii="Arial" w:hAnsi="Arial" w:cs="Arial"/>
          <w:szCs w:val="22"/>
        </w:rPr>
        <w:t xml:space="preserve">fund-wide </w:t>
      </w:r>
      <w:r w:rsidRPr="003B655A">
        <w:rPr>
          <w:rFonts w:ascii="Arial" w:hAnsi="Arial" w:cs="Arial"/>
          <w:szCs w:val="22"/>
        </w:rPr>
        <w:t xml:space="preserve">quarterly review to the </w:t>
      </w:r>
      <w:r w:rsidR="00C414C7">
        <w:rPr>
          <w:rFonts w:ascii="Arial" w:hAnsi="Arial" w:cs="Arial"/>
          <w:szCs w:val="22"/>
        </w:rPr>
        <w:t>MCFHRD</w:t>
      </w:r>
      <w:r w:rsidR="007A4659">
        <w:rPr>
          <w:rFonts w:ascii="Arial" w:hAnsi="Arial" w:cs="Arial"/>
          <w:szCs w:val="22"/>
        </w:rPr>
        <w:t xml:space="preserve"> </w:t>
      </w:r>
      <w:r w:rsidRPr="003B655A">
        <w:rPr>
          <w:rFonts w:ascii="Arial" w:hAnsi="Arial" w:cs="Arial"/>
          <w:szCs w:val="22"/>
        </w:rPr>
        <w:t xml:space="preserve">Senior Responsible Owner (SRO).  The review is intended to provide an overview of the </w:t>
      </w:r>
      <w:r w:rsidR="00BF2A38">
        <w:rPr>
          <w:rFonts w:ascii="Arial" w:hAnsi="Arial" w:cs="Arial"/>
          <w:szCs w:val="22"/>
        </w:rPr>
        <w:t>fund</w:t>
      </w:r>
      <w:r w:rsidRPr="003B655A">
        <w:rPr>
          <w:rFonts w:ascii="Arial" w:hAnsi="Arial" w:cs="Arial"/>
          <w:szCs w:val="22"/>
        </w:rPr>
        <w:t xml:space="preserve"> and assess potential risks to its delivery.  </w:t>
      </w:r>
    </w:p>
    <w:p w:rsidR="00F7227D" w:rsidRPr="003B655A" w:rsidRDefault="00F7227D" w:rsidP="00F7227D">
      <w:pPr>
        <w:ind w:left="-567"/>
        <w:rPr>
          <w:rFonts w:ascii="Arial" w:hAnsi="Arial" w:cs="Arial"/>
          <w:szCs w:val="22"/>
        </w:rPr>
      </w:pPr>
    </w:p>
    <w:p w:rsidR="00F7227D" w:rsidRPr="003B655A" w:rsidRDefault="00B9257A" w:rsidP="00F7227D">
      <w:pPr>
        <w:ind w:left="-567"/>
        <w:rPr>
          <w:rFonts w:ascii="Arial" w:hAnsi="Arial" w:cs="Arial"/>
          <w:szCs w:val="22"/>
        </w:rPr>
      </w:pPr>
      <w:r w:rsidRPr="003B655A">
        <w:rPr>
          <w:rFonts w:ascii="Arial" w:hAnsi="Arial" w:cs="Arial"/>
          <w:szCs w:val="22"/>
          <w:u w:val="single"/>
        </w:rPr>
        <w:t xml:space="preserve">In-Depth </w:t>
      </w:r>
      <w:r w:rsidR="00D502C5" w:rsidRPr="003B655A">
        <w:rPr>
          <w:rFonts w:ascii="Arial" w:hAnsi="Arial" w:cs="Arial"/>
          <w:szCs w:val="22"/>
          <w:u w:val="single"/>
        </w:rPr>
        <w:t>Project Evaluations</w:t>
      </w:r>
    </w:p>
    <w:p w:rsidR="00F7227D" w:rsidRPr="003B655A" w:rsidRDefault="00B9257A" w:rsidP="00F7227D">
      <w:pPr>
        <w:ind w:left="-567"/>
        <w:rPr>
          <w:rFonts w:ascii="Arial" w:hAnsi="Arial" w:cs="Arial"/>
          <w:szCs w:val="22"/>
        </w:rPr>
      </w:pPr>
      <w:r w:rsidRPr="003B655A">
        <w:rPr>
          <w:rFonts w:ascii="Arial" w:hAnsi="Arial" w:cs="Arial"/>
          <w:szCs w:val="22"/>
        </w:rPr>
        <w:t>London-based members of t</w:t>
      </w:r>
      <w:r w:rsidR="005538C8" w:rsidRPr="003B655A">
        <w:rPr>
          <w:rFonts w:ascii="Arial" w:hAnsi="Arial" w:cs="Arial"/>
          <w:szCs w:val="22"/>
        </w:rPr>
        <w:t xml:space="preserve">he </w:t>
      </w:r>
      <w:r w:rsidR="00C414C7">
        <w:rPr>
          <w:rFonts w:ascii="Arial" w:hAnsi="Arial" w:cs="Arial"/>
          <w:szCs w:val="22"/>
        </w:rPr>
        <w:t>MCFHRD</w:t>
      </w:r>
      <w:r w:rsidR="00BF2A38">
        <w:rPr>
          <w:rFonts w:ascii="Arial" w:hAnsi="Arial" w:cs="Arial"/>
          <w:szCs w:val="22"/>
        </w:rPr>
        <w:t xml:space="preserve"> </w:t>
      </w:r>
      <w:r w:rsidRPr="003B655A">
        <w:rPr>
          <w:rFonts w:ascii="Arial" w:hAnsi="Arial" w:cs="Arial"/>
          <w:szCs w:val="22"/>
        </w:rPr>
        <w:t xml:space="preserve">team </w:t>
      </w:r>
      <w:r w:rsidR="00BF2A38">
        <w:rPr>
          <w:rFonts w:ascii="Arial" w:hAnsi="Arial" w:cs="Arial"/>
          <w:szCs w:val="22"/>
        </w:rPr>
        <w:t xml:space="preserve">will </w:t>
      </w:r>
      <w:r w:rsidR="005538C8" w:rsidRPr="003B655A">
        <w:rPr>
          <w:rFonts w:ascii="Arial" w:hAnsi="Arial" w:cs="Arial"/>
          <w:szCs w:val="22"/>
        </w:rPr>
        <w:t>evaluate approximately 10% of projects</w:t>
      </w:r>
      <w:r w:rsidR="00D024FC">
        <w:rPr>
          <w:rFonts w:ascii="Arial" w:hAnsi="Arial" w:cs="Arial"/>
          <w:szCs w:val="22"/>
        </w:rPr>
        <w:t xml:space="preserve"> annually</w:t>
      </w:r>
      <w:r w:rsidR="005538C8" w:rsidRPr="003B655A">
        <w:rPr>
          <w:rFonts w:ascii="Arial" w:hAnsi="Arial" w:cs="Arial"/>
          <w:szCs w:val="22"/>
        </w:rPr>
        <w:t xml:space="preserve">. This is to ensure that project impact and value for money </w:t>
      </w:r>
      <w:r w:rsidR="007A4659">
        <w:rPr>
          <w:rFonts w:ascii="Arial" w:hAnsi="Arial" w:cs="Arial"/>
          <w:szCs w:val="22"/>
        </w:rPr>
        <w:t>are</w:t>
      </w:r>
      <w:r w:rsidR="005538C8" w:rsidRPr="003B655A">
        <w:rPr>
          <w:rFonts w:ascii="Arial" w:hAnsi="Arial" w:cs="Arial"/>
          <w:szCs w:val="22"/>
        </w:rPr>
        <w:t xml:space="preserve"> assessed, and to gather lessons learned</w:t>
      </w:r>
      <w:r w:rsidR="00235CE9">
        <w:rPr>
          <w:rFonts w:ascii="Arial" w:hAnsi="Arial" w:cs="Arial"/>
          <w:szCs w:val="22"/>
        </w:rPr>
        <w:t>.</w:t>
      </w:r>
      <w:r w:rsidR="005538C8" w:rsidRPr="003B655A">
        <w:rPr>
          <w:rFonts w:ascii="Arial" w:hAnsi="Arial" w:cs="Arial"/>
          <w:szCs w:val="22"/>
        </w:rPr>
        <w:t xml:space="preserve"> </w:t>
      </w:r>
      <w:r w:rsidR="007A4659">
        <w:rPr>
          <w:rFonts w:ascii="Arial" w:hAnsi="Arial" w:cs="Arial"/>
          <w:szCs w:val="22"/>
        </w:rPr>
        <w:t>Previous</w:t>
      </w:r>
      <w:r w:rsidR="00F7227D" w:rsidRPr="003B655A">
        <w:rPr>
          <w:rFonts w:ascii="Arial" w:hAnsi="Arial" w:cs="Arial"/>
          <w:szCs w:val="22"/>
        </w:rPr>
        <w:t xml:space="preserve"> evaluations of non-sensitive projects </w:t>
      </w:r>
      <w:r w:rsidR="00BF2A38">
        <w:rPr>
          <w:rFonts w:ascii="Arial" w:hAnsi="Arial" w:cs="Arial"/>
          <w:szCs w:val="22"/>
        </w:rPr>
        <w:t xml:space="preserve">under the </w:t>
      </w:r>
      <w:r w:rsidR="00BF2A38" w:rsidRPr="00BF2A38">
        <w:rPr>
          <w:rFonts w:ascii="Arial" w:hAnsi="Arial" w:cs="Arial"/>
          <w:i/>
          <w:szCs w:val="22"/>
        </w:rPr>
        <w:t>Human Rights and Democracy Programme</w:t>
      </w:r>
      <w:r w:rsidR="00BF2A38">
        <w:rPr>
          <w:rFonts w:ascii="Arial" w:hAnsi="Arial" w:cs="Arial"/>
          <w:szCs w:val="22"/>
        </w:rPr>
        <w:t xml:space="preserve"> </w:t>
      </w:r>
      <w:r w:rsidR="00F7227D" w:rsidRPr="003B655A">
        <w:rPr>
          <w:rFonts w:ascii="Arial" w:hAnsi="Arial" w:cs="Arial"/>
          <w:szCs w:val="22"/>
        </w:rPr>
        <w:t xml:space="preserve">are available </w:t>
      </w:r>
      <w:hyperlink r:id="rId14" w:history="1">
        <w:r w:rsidR="00F7227D" w:rsidRPr="003B655A">
          <w:rPr>
            <w:rStyle w:val="Hyperlink"/>
            <w:rFonts w:ascii="Arial" w:hAnsi="Arial" w:cs="Arial"/>
            <w:szCs w:val="22"/>
          </w:rPr>
          <w:t>here</w:t>
        </w:r>
      </w:hyperlink>
      <w:r w:rsidR="00F7227D" w:rsidRPr="003B655A">
        <w:rPr>
          <w:rFonts w:ascii="Arial" w:hAnsi="Arial" w:cs="Arial"/>
          <w:szCs w:val="22"/>
        </w:rPr>
        <w:t>.</w:t>
      </w:r>
    </w:p>
    <w:p w:rsidR="00F7227D" w:rsidRPr="003B655A" w:rsidRDefault="00F7227D" w:rsidP="00F7227D">
      <w:pPr>
        <w:ind w:left="-567"/>
        <w:rPr>
          <w:rFonts w:ascii="Arial" w:hAnsi="Arial" w:cs="Arial"/>
          <w:szCs w:val="22"/>
        </w:rPr>
      </w:pPr>
    </w:p>
    <w:p w:rsidR="00F7227D" w:rsidRPr="003B655A" w:rsidRDefault="005538C8" w:rsidP="00F7227D">
      <w:pPr>
        <w:ind w:left="-567"/>
        <w:rPr>
          <w:rFonts w:ascii="Arial" w:hAnsi="Arial" w:cs="Arial"/>
          <w:szCs w:val="22"/>
        </w:rPr>
      </w:pPr>
      <w:r w:rsidRPr="003B655A">
        <w:rPr>
          <w:rFonts w:ascii="Arial" w:hAnsi="Arial" w:cs="Arial"/>
          <w:szCs w:val="22"/>
        </w:rPr>
        <w:t xml:space="preserve">The </w:t>
      </w:r>
      <w:r w:rsidR="00C414C7">
        <w:rPr>
          <w:rFonts w:ascii="Arial" w:hAnsi="Arial" w:cs="Arial"/>
          <w:szCs w:val="22"/>
        </w:rPr>
        <w:t>MCFHRD</w:t>
      </w:r>
      <w:r w:rsidR="007A4659">
        <w:rPr>
          <w:rFonts w:ascii="Arial" w:hAnsi="Arial" w:cs="Arial"/>
          <w:szCs w:val="22"/>
        </w:rPr>
        <w:t xml:space="preserve"> </w:t>
      </w:r>
      <w:r w:rsidR="005746E2">
        <w:rPr>
          <w:rFonts w:ascii="Arial" w:hAnsi="Arial" w:cs="Arial"/>
          <w:szCs w:val="22"/>
        </w:rPr>
        <w:t xml:space="preserve">team </w:t>
      </w:r>
      <w:r w:rsidR="005746E2" w:rsidRPr="003B655A">
        <w:rPr>
          <w:rFonts w:ascii="Arial" w:hAnsi="Arial" w:cs="Arial"/>
          <w:szCs w:val="22"/>
        </w:rPr>
        <w:t>will</w:t>
      </w:r>
      <w:r w:rsidRPr="003B655A">
        <w:rPr>
          <w:rFonts w:ascii="Arial" w:hAnsi="Arial" w:cs="Arial"/>
          <w:szCs w:val="22"/>
        </w:rPr>
        <w:t xml:space="preserve"> also consider </w:t>
      </w:r>
      <w:r w:rsidR="004F1547" w:rsidRPr="003B655A">
        <w:rPr>
          <w:rFonts w:ascii="Arial" w:hAnsi="Arial" w:cs="Arial"/>
          <w:szCs w:val="22"/>
        </w:rPr>
        <w:t xml:space="preserve">evaluating </w:t>
      </w:r>
      <w:r w:rsidRPr="003B655A">
        <w:rPr>
          <w:rFonts w:ascii="Arial" w:hAnsi="Arial" w:cs="Arial"/>
          <w:szCs w:val="22"/>
        </w:rPr>
        <w:t>any project valued £150,000 or over. Other considerations taken into account when choosing projects to evaluate are:</w:t>
      </w:r>
    </w:p>
    <w:p w:rsidR="00F7227D" w:rsidRPr="003B655A" w:rsidRDefault="00F7227D" w:rsidP="00F7227D">
      <w:pPr>
        <w:ind w:left="-567"/>
        <w:rPr>
          <w:rFonts w:ascii="Arial" w:hAnsi="Arial" w:cs="Arial"/>
          <w:szCs w:val="22"/>
        </w:rPr>
      </w:pPr>
    </w:p>
    <w:p w:rsidR="005538C8" w:rsidRPr="003B655A" w:rsidRDefault="005538C8" w:rsidP="00F7227D">
      <w:pPr>
        <w:numPr>
          <w:ilvl w:val="0"/>
          <w:numId w:val="15"/>
        </w:numPr>
        <w:ind w:left="73" w:hanging="357"/>
        <w:rPr>
          <w:rFonts w:ascii="Arial" w:hAnsi="Arial" w:cs="Arial"/>
          <w:szCs w:val="22"/>
        </w:rPr>
      </w:pPr>
      <w:r w:rsidRPr="003B655A">
        <w:rPr>
          <w:rFonts w:ascii="Arial" w:hAnsi="Arial" w:cs="Arial"/>
          <w:szCs w:val="22"/>
        </w:rPr>
        <w:t>projects which</w:t>
      </w:r>
      <w:r w:rsidR="00BF2A38">
        <w:rPr>
          <w:rFonts w:ascii="Arial" w:hAnsi="Arial" w:cs="Arial"/>
          <w:szCs w:val="22"/>
        </w:rPr>
        <w:t xml:space="preserve"> the</w:t>
      </w:r>
      <w:r w:rsidRPr="003B655A">
        <w:rPr>
          <w:rFonts w:ascii="Arial" w:hAnsi="Arial" w:cs="Arial"/>
          <w:szCs w:val="22"/>
        </w:rPr>
        <w:t xml:space="preserve"> </w:t>
      </w:r>
      <w:r w:rsidR="00C414C7">
        <w:rPr>
          <w:rFonts w:ascii="Arial" w:hAnsi="Arial" w:cs="Arial"/>
          <w:szCs w:val="22"/>
        </w:rPr>
        <w:t>MCFHRD</w:t>
      </w:r>
      <w:r w:rsidRPr="003B655A">
        <w:rPr>
          <w:rFonts w:ascii="Arial" w:hAnsi="Arial" w:cs="Arial"/>
          <w:szCs w:val="22"/>
        </w:rPr>
        <w:t xml:space="preserve"> </w:t>
      </w:r>
      <w:r w:rsidR="00235CE9">
        <w:rPr>
          <w:rFonts w:ascii="Arial" w:hAnsi="Arial" w:cs="Arial"/>
          <w:szCs w:val="22"/>
        </w:rPr>
        <w:t xml:space="preserve">team is </w:t>
      </w:r>
      <w:r w:rsidRPr="003B655A">
        <w:rPr>
          <w:rFonts w:ascii="Arial" w:hAnsi="Arial" w:cs="Arial"/>
          <w:szCs w:val="22"/>
        </w:rPr>
        <w:t>keen to replicate elsewhere</w:t>
      </w:r>
    </w:p>
    <w:p w:rsidR="005538C8" w:rsidRPr="003B655A" w:rsidRDefault="005538C8" w:rsidP="00F7227D">
      <w:pPr>
        <w:numPr>
          <w:ilvl w:val="0"/>
          <w:numId w:val="15"/>
        </w:numPr>
        <w:ind w:left="73" w:hanging="357"/>
        <w:rPr>
          <w:rFonts w:ascii="Arial" w:hAnsi="Arial" w:cs="Arial"/>
          <w:szCs w:val="22"/>
        </w:rPr>
      </w:pPr>
      <w:r w:rsidRPr="003B655A">
        <w:rPr>
          <w:rFonts w:ascii="Arial" w:hAnsi="Arial" w:cs="Arial"/>
          <w:szCs w:val="22"/>
        </w:rPr>
        <w:t>projects on</w:t>
      </w:r>
      <w:r w:rsidR="004825BA">
        <w:rPr>
          <w:rFonts w:ascii="Arial" w:hAnsi="Arial" w:cs="Arial"/>
          <w:szCs w:val="22"/>
        </w:rPr>
        <w:t xml:space="preserve"> a</w:t>
      </w:r>
      <w:r w:rsidRPr="003B655A">
        <w:rPr>
          <w:rFonts w:ascii="Arial" w:hAnsi="Arial" w:cs="Arial"/>
          <w:szCs w:val="22"/>
        </w:rPr>
        <w:t xml:space="preserve"> theme or </w:t>
      </w:r>
      <w:r w:rsidR="00235CE9">
        <w:rPr>
          <w:rFonts w:ascii="Arial" w:hAnsi="Arial" w:cs="Arial"/>
          <w:szCs w:val="22"/>
        </w:rPr>
        <w:t xml:space="preserve">in </w:t>
      </w:r>
      <w:r w:rsidR="004825BA">
        <w:rPr>
          <w:rFonts w:ascii="Arial" w:hAnsi="Arial" w:cs="Arial"/>
          <w:szCs w:val="22"/>
        </w:rPr>
        <w:t xml:space="preserve">an </w:t>
      </w:r>
      <w:r w:rsidRPr="003B655A">
        <w:rPr>
          <w:rFonts w:ascii="Arial" w:hAnsi="Arial" w:cs="Arial"/>
          <w:szCs w:val="22"/>
        </w:rPr>
        <w:t xml:space="preserve">area of </w:t>
      </w:r>
      <w:r w:rsidR="00235CE9">
        <w:rPr>
          <w:rFonts w:ascii="Arial" w:hAnsi="Arial" w:cs="Arial"/>
          <w:szCs w:val="22"/>
        </w:rPr>
        <w:t xml:space="preserve">particular </w:t>
      </w:r>
      <w:r w:rsidRPr="003B655A">
        <w:rPr>
          <w:rFonts w:ascii="Arial" w:hAnsi="Arial" w:cs="Arial"/>
          <w:szCs w:val="22"/>
        </w:rPr>
        <w:t>FCO interest</w:t>
      </w:r>
    </w:p>
    <w:p w:rsidR="00F7227D" w:rsidRPr="003B655A" w:rsidRDefault="005538C8" w:rsidP="00F7227D">
      <w:pPr>
        <w:numPr>
          <w:ilvl w:val="0"/>
          <w:numId w:val="15"/>
        </w:numPr>
        <w:ind w:left="74" w:hanging="357"/>
        <w:rPr>
          <w:rFonts w:ascii="Arial" w:hAnsi="Arial" w:cs="Arial"/>
          <w:szCs w:val="22"/>
        </w:rPr>
      </w:pPr>
      <w:r w:rsidRPr="003B655A">
        <w:rPr>
          <w:rFonts w:ascii="Arial" w:hAnsi="Arial" w:cs="Arial"/>
          <w:szCs w:val="22"/>
        </w:rPr>
        <w:t>projects which had implementation difficulties</w:t>
      </w:r>
    </w:p>
    <w:p w:rsidR="00F7227D" w:rsidRDefault="00F7227D" w:rsidP="00F7227D">
      <w:pPr>
        <w:spacing w:after="120"/>
        <w:rPr>
          <w:rFonts w:ascii="Arial" w:hAnsi="Arial" w:cs="Arial"/>
          <w:szCs w:val="22"/>
        </w:rPr>
      </w:pPr>
    </w:p>
    <w:p w:rsidR="00F7227D" w:rsidRPr="00F7227D" w:rsidRDefault="00F7227D" w:rsidP="00F7227D">
      <w:pPr>
        <w:spacing w:after="120"/>
        <w:rPr>
          <w:rFonts w:ascii="Arial" w:hAnsi="Arial" w:cs="Arial"/>
          <w:szCs w:val="22"/>
        </w:rPr>
        <w:sectPr w:rsidR="00F7227D" w:rsidRPr="00F7227D" w:rsidSect="00BF2A3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993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2134EC" w:rsidRPr="002134EC" w:rsidRDefault="009A0902" w:rsidP="002134EC">
      <w:pPr>
        <w:pStyle w:val="Heading1"/>
        <w:numPr>
          <w:ilvl w:val="0"/>
          <w:numId w:val="3"/>
        </w:numPr>
        <w:rPr>
          <w:rFonts w:ascii="Arial" w:hAnsi="Arial" w:cs="Arial"/>
          <w:sz w:val="24"/>
        </w:rPr>
      </w:pPr>
      <w:r w:rsidRPr="009A0902">
        <w:rPr>
          <w:rFonts w:ascii="Arial" w:hAnsi="Arial" w:cs="Arial"/>
          <w:sz w:val="24"/>
        </w:rPr>
        <w:lastRenderedPageBreak/>
        <w:t>OBJECTIVES</w:t>
      </w:r>
      <w:r w:rsidR="008A68E2">
        <w:rPr>
          <w:rFonts w:ascii="Arial" w:hAnsi="Arial" w:cs="Arial"/>
          <w:sz w:val="24"/>
        </w:rPr>
        <w:t xml:space="preserve"> AND INDICATORS</w:t>
      </w:r>
    </w:p>
    <w:p w:rsidR="009A0902" w:rsidRPr="002134EC" w:rsidRDefault="009A0902">
      <w:pPr>
        <w:rPr>
          <w:rFonts w:ascii="Arial" w:hAnsi="Arial" w:cs="Arial"/>
          <w:sz w:val="1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2977"/>
        <w:gridCol w:w="3827"/>
        <w:gridCol w:w="7371"/>
      </w:tblGrid>
      <w:tr w:rsidR="00771F33" w:rsidRPr="0082371A" w:rsidTr="00B54205">
        <w:trPr>
          <w:cantSplit/>
          <w:tblHeader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1F33" w:rsidRPr="0082371A" w:rsidRDefault="00071493" w:rsidP="0007149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2371A">
              <w:rPr>
                <w:rFonts w:ascii="Arial" w:hAnsi="Arial" w:cs="Arial"/>
                <w:b/>
                <w:szCs w:val="22"/>
              </w:rPr>
              <w:t>OBJECTIVE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71F33" w:rsidRPr="0082371A" w:rsidRDefault="00071493" w:rsidP="0007149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2371A">
              <w:rPr>
                <w:rFonts w:ascii="Arial" w:hAnsi="Arial" w:cs="Arial"/>
                <w:b/>
                <w:szCs w:val="22"/>
              </w:rPr>
              <w:t>INDICATOR</w:t>
            </w:r>
          </w:p>
        </w:tc>
        <w:tc>
          <w:tcPr>
            <w:tcW w:w="7371" w:type="dxa"/>
            <w:shd w:val="clear" w:color="auto" w:fill="BFBFBF" w:themeFill="background1" w:themeFillShade="BF"/>
          </w:tcPr>
          <w:p w:rsidR="00771F33" w:rsidRPr="0082371A" w:rsidRDefault="00071493" w:rsidP="0007149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2371A">
              <w:rPr>
                <w:rFonts w:ascii="Arial" w:hAnsi="Arial" w:cs="Arial"/>
                <w:b/>
                <w:szCs w:val="22"/>
              </w:rPr>
              <w:t>INDICATIVE TYPES OF ACTIVITY</w:t>
            </w:r>
          </w:p>
        </w:tc>
      </w:tr>
      <w:tr w:rsidR="00336BE0" w:rsidRPr="0082371A" w:rsidTr="00B54205">
        <w:trPr>
          <w:cantSplit/>
          <w:trHeight w:val="154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24D" w:rsidRPr="0082371A" w:rsidRDefault="008A3782" w:rsidP="003B5318">
            <w:pPr>
              <w:numPr>
                <w:ilvl w:val="0"/>
                <w:numId w:val="2"/>
              </w:numPr>
              <w:ind w:left="318"/>
              <w:rPr>
                <w:rFonts w:ascii="Arial" w:hAnsi="Arial" w:cs="Arial"/>
                <w:b/>
                <w:sz w:val="24"/>
                <w:szCs w:val="22"/>
              </w:rPr>
            </w:pPr>
            <w:r w:rsidRPr="0082371A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2"/>
              </w:rPr>
              <w:t xml:space="preserve">Uphold </w:t>
            </w:r>
            <w:r w:rsidR="00336BE0" w:rsidRPr="0082371A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2"/>
              </w:rPr>
              <w:t>universal rights</w:t>
            </w:r>
            <w:r w:rsidR="00D036E4" w:rsidRPr="0082371A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2"/>
              </w:rPr>
              <w:t>, democracy</w:t>
            </w:r>
            <w:r w:rsidR="007A4659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2"/>
              </w:rPr>
              <w:t>,</w:t>
            </w:r>
            <w:r w:rsidR="00D036E4" w:rsidRPr="0082371A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2"/>
              </w:rPr>
              <w:t xml:space="preserve"> and the rule of law</w:t>
            </w:r>
            <w:r w:rsidRPr="0082371A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2"/>
              </w:rPr>
              <w:t xml:space="preserve"> </w:t>
            </w:r>
            <w:r w:rsidR="007A4ABF" w:rsidRPr="0082371A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2"/>
              </w:rPr>
              <w:t>as key building blocks for more secure</w:t>
            </w:r>
            <w:r w:rsidRPr="0082371A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2"/>
              </w:rPr>
              <w:t xml:space="preserve"> and prosperous societies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A59" w:rsidRPr="0082371A" w:rsidRDefault="00F472D2" w:rsidP="002134E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napToGrid w:val="0"/>
                <w:szCs w:val="22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Cs w:val="22"/>
                <w:u w:val="single"/>
              </w:rPr>
              <w:t xml:space="preserve">Widen </w:t>
            </w:r>
            <w:r w:rsidR="00E85A59" w:rsidRPr="0082371A">
              <w:rPr>
                <w:rFonts w:ascii="Arial" w:hAnsi="Arial" w:cs="Arial"/>
                <w:color w:val="000000" w:themeColor="text1"/>
                <w:szCs w:val="22"/>
                <w:u w:val="single"/>
              </w:rPr>
              <w:t xml:space="preserve">Democratic Space </w:t>
            </w:r>
          </w:p>
          <w:p w:rsidR="00336BE0" w:rsidRPr="0082371A" w:rsidRDefault="00F472D2" w:rsidP="003E1F5F">
            <w:pPr>
              <w:pStyle w:val="ListParagraph"/>
              <w:ind w:left="360"/>
              <w:rPr>
                <w:rFonts w:ascii="Arial" w:hAnsi="Arial" w:cs="Arial"/>
                <w:snapToGrid w:val="0"/>
                <w:szCs w:val="22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Increased </w:t>
            </w:r>
            <w:r w:rsidR="00E85A59" w:rsidRPr="0082371A">
              <w:rPr>
                <w:rFonts w:ascii="Arial" w:hAnsi="Arial" w:cs="Arial"/>
                <w:color w:val="000000" w:themeColor="text1"/>
                <w:szCs w:val="22"/>
              </w:rPr>
              <w:t xml:space="preserve">democratic </w:t>
            </w:r>
            <w:r w:rsidR="003E1F5F">
              <w:rPr>
                <w:rFonts w:ascii="Arial" w:hAnsi="Arial" w:cs="Arial"/>
                <w:color w:val="000000" w:themeColor="text1"/>
                <w:szCs w:val="22"/>
              </w:rPr>
              <w:t xml:space="preserve">space </w:t>
            </w:r>
            <w:r w:rsidR="00914BA3" w:rsidRPr="0082371A">
              <w:rPr>
                <w:rFonts w:ascii="Arial" w:hAnsi="Arial" w:cs="Arial"/>
                <w:color w:val="000000" w:themeColor="text1"/>
                <w:szCs w:val="22"/>
              </w:rPr>
              <w:t xml:space="preserve">and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better </w:t>
            </w:r>
            <w:r w:rsidR="00914BA3" w:rsidRPr="0082371A">
              <w:rPr>
                <w:rFonts w:ascii="Arial" w:hAnsi="Arial" w:cs="Arial"/>
                <w:color w:val="000000" w:themeColor="text1"/>
                <w:szCs w:val="22"/>
              </w:rPr>
              <w:t>protecti</w:t>
            </w:r>
            <w:r w:rsidR="00B9257A">
              <w:rPr>
                <w:rFonts w:ascii="Arial" w:hAnsi="Arial" w:cs="Arial"/>
                <w:color w:val="000000" w:themeColor="text1"/>
                <w:szCs w:val="22"/>
              </w:rPr>
              <w:t xml:space="preserve">on of </w:t>
            </w:r>
            <w:r w:rsidR="003E1F5F">
              <w:rPr>
                <w:rFonts w:ascii="Arial" w:hAnsi="Arial" w:cs="Arial"/>
                <w:color w:val="000000" w:themeColor="text1"/>
                <w:szCs w:val="22"/>
              </w:rPr>
              <w:t>journalists and</w:t>
            </w:r>
            <w:r w:rsidR="00914BA3" w:rsidRPr="0082371A">
              <w:rPr>
                <w:rFonts w:ascii="Arial" w:hAnsi="Arial" w:cs="Arial"/>
                <w:color w:val="000000" w:themeColor="text1"/>
                <w:szCs w:val="22"/>
              </w:rPr>
              <w:t xml:space="preserve"> civil society space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E908C8" w:rsidRPr="00E908C8" w:rsidRDefault="005B7E39" w:rsidP="00E908C8">
            <w:pPr>
              <w:pStyle w:val="ListParagraph"/>
              <w:numPr>
                <w:ilvl w:val="0"/>
                <w:numId w:val="26"/>
              </w:numPr>
              <w:spacing w:after="120"/>
              <w:ind w:left="357" w:hanging="357"/>
              <w:rPr>
                <w:rFonts w:ascii="Arial" w:hAnsi="Arial" w:cs="Arial"/>
                <w:szCs w:val="22"/>
              </w:rPr>
            </w:pPr>
            <w:r w:rsidRPr="00E908C8">
              <w:rPr>
                <w:rFonts w:ascii="Arial" w:hAnsi="Arial" w:cs="Arial"/>
                <w:szCs w:val="22"/>
              </w:rPr>
              <w:t>C</w:t>
            </w:r>
            <w:r w:rsidR="003F29CD" w:rsidRPr="00E908C8">
              <w:rPr>
                <w:rFonts w:ascii="Arial" w:hAnsi="Arial" w:cs="Arial"/>
                <w:szCs w:val="22"/>
              </w:rPr>
              <w:t>hanging laws</w:t>
            </w:r>
            <w:r w:rsidRPr="00E908C8">
              <w:rPr>
                <w:rFonts w:ascii="Arial" w:hAnsi="Arial" w:cs="Arial"/>
                <w:szCs w:val="22"/>
              </w:rPr>
              <w:t>,</w:t>
            </w:r>
            <w:r w:rsidR="003F29CD" w:rsidRPr="00E908C8">
              <w:rPr>
                <w:rFonts w:ascii="Arial" w:hAnsi="Arial" w:cs="Arial"/>
                <w:szCs w:val="22"/>
              </w:rPr>
              <w:t xml:space="preserve"> policies</w:t>
            </w:r>
            <w:r w:rsidR="007A4659">
              <w:rPr>
                <w:rFonts w:ascii="Arial" w:hAnsi="Arial" w:cs="Arial"/>
                <w:szCs w:val="22"/>
              </w:rPr>
              <w:t>,</w:t>
            </w:r>
            <w:r w:rsidR="003F29CD" w:rsidRPr="00E908C8">
              <w:rPr>
                <w:rFonts w:ascii="Arial" w:hAnsi="Arial" w:cs="Arial"/>
                <w:szCs w:val="22"/>
              </w:rPr>
              <w:t xml:space="preserve"> </w:t>
            </w:r>
            <w:r w:rsidRPr="00E908C8">
              <w:rPr>
                <w:rFonts w:ascii="Arial" w:hAnsi="Arial" w:cs="Arial"/>
                <w:szCs w:val="22"/>
              </w:rPr>
              <w:t xml:space="preserve">or practices </w:t>
            </w:r>
            <w:r w:rsidR="003F29CD" w:rsidRPr="00E908C8">
              <w:rPr>
                <w:rFonts w:ascii="Arial" w:hAnsi="Arial" w:cs="Arial"/>
                <w:szCs w:val="22"/>
              </w:rPr>
              <w:t>which limit civil society space</w:t>
            </w:r>
            <w:r w:rsidR="004A3275" w:rsidRPr="00E908C8">
              <w:rPr>
                <w:rFonts w:ascii="Arial" w:hAnsi="Arial" w:cs="Arial"/>
                <w:szCs w:val="22"/>
              </w:rPr>
              <w:t xml:space="preserve">, </w:t>
            </w:r>
            <w:r w:rsidR="003E1F5F">
              <w:rPr>
                <w:rFonts w:ascii="Arial" w:hAnsi="Arial" w:cs="Arial"/>
                <w:szCs w:val="22"/>
              </w:rPr>
              <w:t>freedom of expression or assembly</w:t>
            </w:r>
          </w:p>
          <w:p w:rsidR="003F29CD" w:rsidRPr="0082371A" w:rsidRDefault="003E1F5F" w:rsidP="0082371A">
            <w:pPr>
              <w:pStyle w:val="ListParagraph"/>
              <w:numPr>
                <w:ilvl w:val="0"/>
                <w:numId w:val="26"/>
              </w:numPr>
              <w:spacing w:after="120"/>
              <w:ind w:left="357" w:hanging="35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Promoti</w:t>
            </w:r>
            <w:r w:rsidR="007A4659">
              <w:rPr>
                <w:rFonts w:ascii="Arial" w:hAnsi="Arial" w:cs="Arial"/>
                <w:szCs w:val="22"/>
              </w:rPr>
              <w:t>ng</w:t>
            </w:r>
            <w:r>
              <w:rPr>
                <w:rFonts w:ascii="Arial" w:hAnsi="Arial" w:cs="Arial"/>
                <w:szCs w:val="22"/>
              </w:rPr>
              <w:t xml:space="preserve"> and protecti</w:t>
            </w:r>
            <w:r w:rsidR="007A4659">
              <w:rPr>
                <w:rFonts w:ascii="Arial" w:hAnsi="Arial" w:cs="Arial"/>
                <w:szCs w:val="22"/>
              </w:rPr>
              <w:t>ng</w:t>
            </w:r>
            <w:r>
              <w:rPr>
                <w:rFonts w:ascii="Arial" w:hAnsi="Arial" w:cs="Arial"/>
                <w:szCs w:val="22"/>
              </w:rPr>
              <w:t xml:space="preserve">  media freedoms, including the safety of journalists and </w:t>
            </w:r>
            <w:r w:rsidR="004A3275">
              <w:rPr>
                <w:rFonts w:ascii="Arial" w:hAnsi="Arial" w:cs="Arial"/>
                <w:szCs w:val="22"/>
              </w:rPr>
              <w:t>freedom of expression</w:t>
            </w:r>
            <w:r w:rsidR="003F29CD" w:rsidRPr="0082371A">
              <w:rPr>
                <w:rFonts w:ascii="Arial" w:hAnsi="Arial" w:cs="Arial"/>
                <w:szCs w:val="22"/>
              </w:rPr>
              <w:t xml:space="preserve"> </w:t>
            </w:r>
          </w:p>
          <w:p w:rsidR="0052731B" w:rsidRDefault="005B7E39">
            <w:pPr>
              <w:pStyle w:val="ListParagraph"/>
              <w:numPr>
                <w:ilvl w:val="0"/>
                <w:numId w:val="26"/>
              </w:numPr>
              <w:spacing w:after="120"/>
              <w:ind w:left="357" w:hanging="357"/>
              <w:rPr>
                <w:rFonts w:ascii="Arial" w:hAnsi="Arial" w:cs="Arial"/>
                <w:snapToGrid w:val="0"/>
                <w:szCs w:val="22"/>
                <w:u w:val="single"/>
              </w:rPr>
            </w:pPr>
            <w:r w:rsidRPr="0082371A">
              <w:rPr>
                <w:rFonts w:ascii="Arial" w:hAnsi="Arial" w:cs="Arial"/>
                <w:szCs w:val="22"/>
              </w:rPr>
              <w:t>Support</w:t>
            </w:r>
            <w:r w:rsidR="007A4659">
              <w:rPr>
                <w:rFonts w:ascii="Arial" w:hAnsi="Arial" w:cs="Arial"/>
                <w:szCs w:val="22"/>
              </w:rPr>
              <w:t>ing the</w:t>
            </w:r>
            <w:r w:rsidR="003B5318" w:rsidRPr="0082371A">
              <w:rPr>
                <w:rFonts w:ascii="Arial" w:hAnsi="Arial" w:cs="Arial"/>
                <w:szCs w:val="22"/>
              </w:rPr>
              <w:t xml:space="preserve"> </w:t>
            </w:r>
            <w:r w:rsidR="003E1F5F">
              <w:rPr>
                <w:rFonts w:ascii="Arial" w:hAnsi="Arial" w:cs="Arial"/>
                <w:szCs w:val="22"/>
              </w:rPr>
              <w:t xml:space="preserve">protection of </w:t>
            </w:r>
            <w:r w:rsidR="003F29CD" w:rsidRPr="0082371A">
              <w:rPr>
                <w:rFonts w:ascii="Arial" w:hAnsi="Arial" w:cs="Arial"/>
                <w:szCs w:val="22"/>
              </w:rPr>
              <w:t>human rights defenders</w:t>
            </w:r>
          </w:p>
        </w:tc>
      </w:tr>
      <w:tr w:rsidR="00336BE0" w:rsidRPr="0082371A" w:rsidTr="00B54205">
        <w:trPr>
          <w:cantSplit/>
          <w:trHeight w:val="253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E0" w:rsidRPr="0082371A" w:rsidRDefault="00336BE0" w:rsidP="004F1ECA">
            <w:pPr>
              <w:numPr>
                <w:ilvl w:val="0"/>
                <w:numId w:val="2"/>
              </w:numPr>
              <w:ind w:left="318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E0" w:rsidRPr="0082371A" w:rsidRDefault="00F472D2" w:rsidP="002134E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  <w:u w:val="single"/>
              </w:rPr>
              <w:t>Strengthen Democratic Governance and the Rule of L</w:t>
            </w:r>
            <w:r w:rsidR="005B7E39" w:rsidRPr="0082371A">
              <w:rPr>
                <w:rFonts w:ascii="Arial" w:hAnsi="Arial" w:cs="Arial"/>
                <w:szCs w:val="22"/>
                <w:u w:val="single"/>
              </w:rPr>
              <w:t xml:space="preserve">aw </w:t>
            </w:r>
          </w:p>
          <w:p w:rsidR="00D03F93" w:rsidRDefault="00F472D2" w:rsidP="0066234E">
            <w:pPr>
              <w:autoSpaceDE w:val="0"/>
              <w:autoSpaceDN w:val="0"/>
              <w:adjustRightInd w:val="0"/>
              <w:spacing w:after="120"/>
              <w:ind w:left="35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napToGrid w:val="0"/>
                <w:szCs w:val="22"/>
              </w:rPr>
              <w:t>Increased</w:t>
            </w:r>
            <w:r w:rsidR="0084711C">
              <w:rPr>
                <w:rFonts w:ascii="Arial" w:hAnsi="Arial" w:cs="Arial"/>
                <w:snapToGrid w:val="0"/>
                <w:szCs w:val="22"/>
              </w:rPr>
              <w:t xml:space="preserve"> awareness and</w:t>
            </w:r>
            <w:r w:rsidR="00914BA3" w:rsidRPr="0082371A">
              <w:rPr>
                <w:rFonts w:ascii="Arial" w:hAnsi="Arial" w:cs="Arial"/>
                <w:snapToGrid w:val="0"/>
                <w:szCs w:val="22"/>
              </w:rPr>
              <w:t xml:space="preserve"> capability of parliaments,</w:t>
            </w:r>
            <w:r w:rsidR="00C44761">
              <w:rPr>
                <w:rFonts w:ascii="Arial" w:hAnsi="Arial" w:cs="Arial"/>
                <w:snapToGrid w:val="0"/>
                <w:szCs w:val="22"/>
              </w:rPr>
              <w:t xml:space="preserve"> courts,</w:t>
            </w:r>
            <w:r w:rsidR="00914BA3" w:rsidRPr="0082371A">
              <w:rPr>
                <w:rFonts w:ascii="Arial" w:hAnsi="Arial" w:cs="Arial"/>
                <w:snapToGrid w:val="0"/>
                <w:szCs w:val="22"/>
              </w:rPr>
              <w:t xml:space="preserve"> </w:t>
            </w:r>
            <w:r w:rsidR="0084711C">
              <w:rPr>
                <w:rFonts w:ascii="Arial" w:hAnsi="Arial" w:cs="Arial"/>
                <w:snapToGrid w:val="0"/>
                <w:szCs w:val="22"/>
              </w:rPr>
              <w:t>the criminal justice system</w:t>
            </w:r>
            <w:r w:rsidR="007A4659">
              <w:rPr>
                <w:rFonts w:ascii="Arial" w:hAnsi="Arial" w:cs="Arial"/>
                <w:snapToGrid w:val="0"/>
                <w:szCs w:val="22"/>
              </w:rPr>
              <w:t>,</w:t>
            </w:r>
            <w:r w:rsidR="0084711C" w:rsidRPr="0082371A">
              <w:rPr>
                <w:rFonts w:ascii="Arial" w:hAnsi="Arial" w:cs="Arial"/>
                <w:snapToGrid w:val="0"/>
                <w:szCs w:val="22"/>
              </w:rPr>
              <w:t xml:space="preserve"> </w:t>
            </w:r>
            <w:r w:rsidR="00914BA3" w:rsidRPr="0082371A">
              <w:rPr>
                <w:rFonts w:ascii="Arial" w:hAnsi="Arial" w:cs="Arial"/>
                <w:snapToGrid w:val="0"/>
                <w:szCs w:val="22"/>
              </w:rPr>
              <w:t>and the executive to up</w:t>
            </w:r>
            <w:r w:rsidR="003B5318" w:rsidRPr="0082371A">
              <w:rPr>
                <w:rFonts w:ascii="Arial" w:hAnsi="Arial" w:cs="Arial"/>
                <w:snapToGrid w:val="0"/>
                <w:szCs w:val="22"/>
              </w:rPr>
              <w:t>h</w:t>
            </w:r>
            <w:r>
              <w:rPr>
                <w:rFonts w:ascii="Arial" w:hAnsi="Arial" w:cs="Arial"/>
                <w:snapToGrid w:val="0"/>
                <w:szCs w:val="22"/>
              </w:rPr>
              <w:t>old universal rights</w:t>
            </w:r>
          </w:p>
          <w:p w:rsidR="00E85A59" w:rsidRPr="0066234E" w:rsidRDefault="0066234E" w:rsidP="005A6514">
            <w:pPr>
              <w:autoSpaceDE w:val="0"/>
              <w:autoSpaceDN w:val="0"/>
              <w:adjustRightInd w:val="0"/>
              <w:spacing w:after="120"/>
              <w:ind w:left="357"/>
              <w:rPr>
                <w:rFonts w:ascii="Arial" w:hAnsi="Arial" w:cs="Arial"/>
                <w:i/>
                <w:szCs w:val="22"/>
              </w:rPr>
            </w:pPr>
            <w:r w:rsidRPr="0066234E">
              <w:rPr>
                <w:rFonts w:ascii="Arial" w:hAnsi="Arial" w:cs="Arial"/>
                <w:i/>
                <w:sz w:val="18"/>
                <w:szCs w:val="22"/>
              </w:rPr>
              <w:t xml:space="preserve">Work under this indicator will also be supported by </w:t>
            </w:r>
            <w:r w:rsidR="00D03F93" w:rsidRPr="0066234E">
              <w:rPr>
                <w:rFonts w:ascii="Arial" w:hAnsi="Arial" w:cs="Arial"/>
                <w:i/>
                <w:sz w:val="18"/>
                <w:szCs w:val="22"/>
              </w:rPr>
              <w:t>the</w:t>
            </w:r>
            <w:r w:rsidRPr="0066234E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hyperlink r:id="rId21" w:history="1">
              <w:r w:rsidR="00D03F93" w:rsidRPr="00BB6CDF">
                <w:rPr>
                  <w:rStyle w:val="Hyperlink"/>
                  <w:rFonts w:ascii="Arial" w:hAnsi="Arial" w:cs="Arial"/>
                  <w:b/>
                  <w:i/>
                  <w:sz w:val="18"/>
                  <w:szCs w:val="22"/>
                </w:rPr>
                <w:t>Magna Carta Partnerships</w:t>
              </w:r>
            </w:hyperlink>
            <w:r w:rsidR="00D03F93" w:rsidRPr="0066234E">
              <w:rPr>
                <w:rFonts w:ascii="Arial" w:hAnsi="Arial" w:cs="Arial"/>
                <w:b/>
                <w:i/>
                <w:sz w:val="18"/>
                <w:szCs w:val="22"/>
              </w:rPr>
              <w:t xml:space="preserve"> </w:t>
            </w:r>
            <w:r w:rsidR="00D03F93" w:rsidRPr="0066234E">
              <w:rPr>
                <w:rFonts w:ascii="Arial" w:hAnsi="Arial" w:cs="Arial"/>
                <w:i/>
                <w:sz w:val="18"/>
                <w:szCs w:val="22"/>
              </w:rPr>
              <w:t>fund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E908C8" w:rsidRPr="0082371A" w:rsidRDefault="00E908C8" w:rsidP="00E908C8">
            <w:pPr>
              <w:pStyle w:val="ListParagraph"/>
              <w:numPr>
                <w:ilvl w:val="0"/>
                <w:numId w:val="26"/>
              </w:numPr>
              <w:spacing w:after="120"/>
              <w:ind w:left="357" w:hanging="357"/>
              <w:rPr>
                <w:rFonts w:ascii="Arial" w:hAnsi="Arial" w:cs="Arial"/>
                <w:szCs w:val="22"/>
              </w:rPr>
            </w:pPr>
            <w:r w:rsidRPr="0082371A">
              <w:rPr>
                <w:rFonts w:ascii="Arial" w:hAnsi="Arial" w:cs="Arial"/>
                <w:szCs w:val="22"/>
              </w:rPr>
              <w:t>Strengthening democratic processes in line with international standards, including support for free and fair elections</w:t>
            </w:r>
          </w:p>
          <w:p w:rsidR="00D03F93" w:rsidRPr="00D03F93" w:rsidRDefault="00D03F93" w:rsidP="00D03F93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Develop</w:t>
            </w:r>
            <w:r w:rsidR="007A4659">
              <w:rPr>
                <w:rFonts w:ascii="Arial" w:hAnsi="Arial" w:cs="Arial"/>
                <w:szCs w:val="22"/>
              </w:rPr>
              <w:t>ing</w:t>
            </w:r>
            <w:r>
              <w:rPr>
                <w:rFonts w:ascii="Arial" w:hAnsi="Arial" w:cs="Arial"/>
                <w:szCs w:val="22"/>
              </w:rPr>
              <w:t xml:space="preserve"> transparent and accountable democratic institutions </w:t>
            </w:r>
            <w:r w:rsidRPr="00D03F93">
              <w:rPr>
                <w:rFonts w:ascii="Arial" w:hAnsi="Arial" w:cs="Arial"/>
              </w:rPr>
              <w:t>based on the rule of</w:t>
            </w:r>
            <w:r>
              <w:rPr>
                <w:rFonts w:ascii="Arial" w:hAnsi="Arial" w:cs="Arial"/>
              </w:rPr>
              <w:t xml:space="preserve"> law</w:t>
            </w:r>
            <w:r w:rsidR="00E76502">
              <w:rPr>
                <w:rFonts w:ascii="Arial" w:hAnsi="Arial" w:cs="Arial"/>
              </w:rPr>
              <w:t>, and reducing corruption</w:t>
            </w:r>
          </w:p>
          <w:p w:rsidR="0052731B" w:rsidRDefault="00D03F93" w:rsidP="001B49A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Reforming</w:t>
            </w:r>
            <w:r w:rsidR="00572132">
              <w:rPr>
                <w:rFonts w:ascii="Arial" w:hAnsi="Arial" w:cs="Arial"/>
              </w:rPr>
              <w:t xml:space="preserve"> criminal justice </w:t>
            </w:r>
            <w:r>
              <w:rPr>
                <w:rFonts w:ascii="Arial" w:hAnsi="Arial" w:cs="Arial"/>
              </w:rPr>
              <w:t>systems</w:t>
            </w:r>
            <w:r w:rsidR="007A4659">
              <w:rPr>
                <w:rFonts w:ascii="Arial" w:hAnsi="Arial" w:cs="Arial"/>
              </w:rPr>
              <w:t xml:space="preserve">, tackling impunity, and improving citizens’ </w:t>
            </w:r>
            <w:r w:rsidR="00381099">
              <w:rPr>
                <w:rFonts w:ascii="Arial" w:hAnsi="Arial" w:cs="Arial"/>
              </w:rPr>
              <w:t xml:space="preserve">access to justice, </w:t>
            </w:r>
            <w:r>
              <w:rPr>
                <w:rFonts w:ascii="Arial" w:hAnsi="Arial" w:cs="Arial"/>
              </w:rPr>
              <w:t xml:space="preserve">including </w:t>
            </w:r>
            <w:r w:rsidR="00F71CAF">
              <w:rPr>
                <w:rFonts w:ascii="Arial" w:hAnsi="Arial" w:cs="Arial"/>
              </w:rPr>
              <w:t xml:space="preserve">capacity building and reform </w:t>
            </w:r>
            <w:r w:rsidR="00381099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>police</w:t>
            </w:r>
            <w:r w:rsidR="00F71CAF">
              <w:rPr>
                <w:rFonts w:ascii="Arial" w:hAnsi="Arial" w:cs="Arial"/>
              </w:rPr>
              <w:t>,</w:t>
            </w:r>
            <w:r w:rsidR="00381099">
              <w:rPr>
                <w:rFonts w:ascii="Arial" w:hAnsi="Arial" w:cs="Arial"/>
              </w:rPr>
              <w:t xml:space="preserve"> the judicial system</w:t>
            </w:r>
            <w:r w:rsidR="00F71CAF">
              <w:rPr>
                <w:rFonts w:ascii="Arial" w:hAnsi="Arial" w:cs="Arial"/>
              </w:rPr>
              <w:t xml:space="preserve">, </w:t>
            </w:r>
            <w:r w:rsidR="00381099">
              <w:rPr>
                <w:rFonts w:ascii="Arial" w:hAnsi="Arial" w:cs="Arial"/>
              </w:rPr>
              <w:t xml:space="preserve">and </w:t>
            </w:r>
            <w:r w:rsidR="00F71CAF">
              <w:rPr>
                <w:rFonts w:ascii="Arial" w:hAnsi="Arial" w:cs="Arial"/>
              </w:rPr>
              <w:t>p</w:t>
            </w:r>
            <w:r w:rsidR="00381099">
              <w:rPr>
                <w:rFonts w:ascii="Arial" w:hAnsi="Arial" w:cs="Arial"/>
              </w:rPr>
              <w:t xml:space="preserve">risons; </w:t>
            </w:r>
            <w:r w:rsidR="003E1F5F">
              <w:rPr>
                <w:rFonts w:ascii="Arial" w:hAnsi="Arial" w:cs="Arial"/>
              </w:rPr>
              <w:t xml:space="preserve">and </w:t>
            </w:r>
            <w:r w:rsidR="003E1F5F">
              <w:rPr>
                <w:rFonts w:ascii="Arial" w:hAnsi="Arial" w:cs="Arial"/>
                <w:szCs w:val="22"/>
              </w:rPr>
              <w:t>m</w:t>
            </w:r>
            <w:r w:rsidR="00437861" w:rsidRPr="003E1F5F">
              <w:rPr>
                <w:rFonts w:ascii="Arial" w:hAnsi="Arial" w:cs="Arial"/>
                <w:szCs w:val="22"/>
              </w:rPr>
              <w:t>easures to secure abolition of the death penalty</w:t>
            </w:r>
            <w:r w:rsidR="007A4659">
              <w:rPr>
                <w:rFonts w:ascii="Arial" w:hAnsi="Arial" w:cs="Arial"/>
                <w:szCs w:val="22"/>
              </w:rPr>
              <w:t>, prevent</w:t>
            </w:r>
            <w:r w:rsidR="00E048ED">
              <w:rPr>
                <w:rFonts w:ascii="Arial" w:hAnsi="Arial" w:cs="Arial"/>
                <w:szCs w:val="22"/>
              </w:rPr>
              <w:t xml:space="preserve"> torture</w:t>
            </w:r>
            <w:r w:rsidR="00D024FC">
              <w:rPr>
                <w:rFonts w:ascii="Arial" w:hAnsi="Arial" w:cs="Arial"/>
                <w:szCs w:val="22"/>
              </w:rPr>
              <w:t xml:space="preserve">, </w:t>
            </w:r>
            <w:r w:rsidR="007A4659">
              <w:rPr>
                <w:rFonts w:ascii="Arial" w:hAnsi="Arial" w:cs="Arial"/>
                <w:szCs w:val="22"/>
              </w:rPr>
              <w:t>and era</w:t>
            </w:r>
            <w:r w:rsidR="00D024FC">
              <w:rPr>
                <w:rFonts w:ascii="Arial" w:hAnsi="Arial" w:cs="Arial"/>
                <w:szCs w:val="22"/>
              </w:rPr>
              <w:t>dic</w:t>
            </w:r>
            <w:r w:rsidR="002C1FEB">
              <w:rPr>
                <w:rFonts w:ascii="Arial" w:hAnsi="Arial" w:cs="Arial"/>
                <w:szCs w:val="22"/>
              </w:rPr>
              <w:t>ate extra</w:t>
            </w:r>
            <w:r w:rsidR="00D024FC">
              <w:rPr>
                <w:rFonts w:ascii="Arial" w:hAnsi="Arial" w:cs="Arial"/>
                <w:szCs w:val="22"/>
              </w:rPr>
              <w:t>judicial killings</w:t>
            </w:r>
            <w:r w:rsidR="007A4659">
              <w:rPr>
                <w:rFonts w:ascii="Arial" w:hAnsi="Arial" w:cs="Arial"/>
                <w:szCs w:val="22"/>
              </w:rPr>
              <w:t xml:space="preserve"> by law enforcement actors</w:t>
            </w:r>
          </w:p>
        </w:tc>
      </w:tr>
      <w:tr w:rsidR="00336BE0" w:rsidRPr="0082371A" w:rsidTr="00B54205">
        <w:trPr>
          <w:cantSplit/>
          <w:trHeight w:val="179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E0" w:rsidRPr="0082371A" w:rsidRDefault="00336BE0" w:rsidP="004F1ECA">
            <w:pPr>
              <w:numPr>
                <w:ilvl w:val="0"/>
                <w:numId w:val="2"/>
              </w:numPr>
              <w:ind w:left="318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BE0" w:rsidRPr="00BB390C" w:rsidRDefault="001A0E83" w:rsidP="00BB390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color w:val="000000" w:themeColor="text1"/>
                <w:szCs w:val="22"/>
                <w:u w:val="single"/>
              </w:rPr>
            </w:pPr>
            <w:r w:rsidRPr="00BB390C">
              <w:rPr>
                <w:rFonts w:ascii="Arial" w:hAnsi="Arial" w:cs="Arial"/>
                <w:color w:val="000000" w:themeColor="text1"/>
                <w:szCs w:val="22"/>
                <w:u w:val="single"/>
              </w:rPr>
              <w:t xml:space="preserve">Increase </w:t>
            </w:r>
            <w:r w:rsidR="008A3782" w:rsidRPr="00BB390C">
              <w:rPr>
                <w:rFonts w:ascii="Arial" w:hAnsi="Arial" w:cs="Arial"/>
                <w:color w:val="000000" w:themeColor="text1"/>
                <w:szCs w:val="22"/>
                <w:u w:val="single"/>
              </w:rPr>
              <w:t xml:space="preserve">Equality </w:t>
            </w:r>
            <w:r w:rsidR="000626D6" w:rsidRPr="00BB390C">
              <w:rPr>
                <w:rFonts w:ascii="Arial" w:hAnsi="Arial" w:cs="Arial"/>
                <w:color w:val="000000" w:themeColor="text1"/>
                <w:szCs w:val="22"/>
                <w:u w:val="single"/>
              </w:rPr>
              <w:t>and Non-D</w:t>
            </w:r>
            <w:r w:rsidR="00F62E95" w:rsidRPr="00BB390C">
              <w:rPr>
                <w:rFonts w:ascii="Arial" w:hAnsi="Arial" w:cs="Arial"/>
                <w:color w:val="000000" w:themeColor="text1"/>
                <w:szCs w:val="22"/>
                <w:u w:val="single"/>
              </w:rPr>
              <w:t>iscrimination</w:t>
            </w:r>
            <w:r w:rsidR="00111F4B" w:rsidRPr="00BB390C">
              <w:rPr>
                <w:rFonts w:ascii="Arial" w:hAnsi="Arial" w:cs="Arial"/>
                <w:color w:val="000000"/>
                <w:u w:val="single"/>
              </w:rPr>
              <w:t xml:space="preserve"> </w:t>
            </w:r>
          </w:p>
          <w:p w:rsidR="00E85A59" w:rsidRPr="0082371A" w:rsidRDefault="00F472D2" w:rsidP="00111F4B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Increased respect for</w:t>
            </w:r>
            <w:r w:rsidR="00C9668D" w:rsidRPr="0082371A">
              <w:rPr>
                <w:rFonts w:ascii="Arial" w:hAnsi="Arial" w:cs="Arial"/>
                <w:color w:val="000000" w:themeColor="text1"/>
                <w:szCs w:val="22"/>
              </w:rPr>
              <w:t xml:space="preserve"> equality </w:t>
            </w:r>
            <w:r w:rsidR="00111F4B">
              <w:rPr>
                <w:rFonts w:ascii="Arial" w:hAnsi="Arial" w:cs="Arial"/>
                <w:color w:val="000000" w:themeColor="text1"/>
                <w:szCs w:val="22"/>
              </w:rPr>
              <w:t>and non-d</w:t>
            </w:r>
            <w:r w:rsidR="00111F4B" w:rsidRPr="00111F4B">
              <w:rPr>
                <w:rFonts w:ascii="Arial" w:hAnsi="Arial" w:cs="Arial"/>
                <w:color w:val="000000" w:themeColor="text1"/>
                <w:szCs w:val="22"/>
              </w:rPr>
              <w:t>iscrimination for all members of society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111F4B" w:rsidRPr="00111F4B" w:rsidRDefault="00235CE9" w:rsidP="00111F4B">
            <w:pPr>
              <w:pStyle w:val="ListParagraph"/>
              <w:numPr>
                <w:ilvl w:val="0"/>
                <w:numId w:val="32"/>
              </w:numPr>
              <w:spacing w:after="120"/>
              <w:ind w:left="357" w:hanging="357"/>
              <w:rPr>
                <w:rFonts w:ascii="Arial" w:eastAsiaTheme="minorHAnsi" w:hAnsi="Arial" w:cs="Arial"/>
                <w:szCs w:val="22"/>
              </w:rPr>
            </w:pPr>
            <w:r>
              <w:rPr>
                <w:rFonts w:ascii="Arial" w:hAnsi="Arial" w:cs="Arial"/>
                <w:snapToGrid w:val="0"/>
              </w:rPr>
              <w:t>Improv</w:t>
            </w:r>
            <w:r w:rsidR="00024248">
              <w:rPr>
                <w:rFonts w:ascii="Arial" w:hAnsi="Arial" w:cs="Arial"/>
                <w:snapToGrid w:val="0"/>
              </w:rPr>
              <w:t>ing</w:t>
            </w:r>
            <w:r>
              <w:rPr>
                <w:rFonts w:ascii="Arial" w:hAnsi="Arial" w:cs="Arial"/>
                <w:snapToGrid w:val="0"/>
              </w:rPr>
              <w:t xml:space="preserve"> institutional </w:t>
            </w:r>
            <w:r w:rsidR="001B49A9">
              <w:rPr>
                <w:rFonts w:ascii="Arial" w:hAnsi="Arial" w:cs="Arial"/>
                <w:snapToGrid w:val="0"/>
              </w:rPr>
              <w:t xml:space="preserve">protection against discrimination, </w:t>
            </w:r>
            <w:r w:rsidR="00024248">
              <w:rPr>
                <w:rFonts w:ascii="Arial" w:hAnsi="Arial" w:cs="Arial"/>
                <w:snapToGrid w:val="0"/>
              </w:rPr>
              <w:t>r</w:t>
            </w:r>
            <w:r w:rsidR="00111F4B" w:rsidRPr="00111F4B">
              <w:rPr>
                <w:rFonts w:ascii="Arial" w:hAnsi="Arial" w:cs="Arial"/>
                <w:snapToGrid w:val="0"/>
              </w:rPr>
              <w:t>emov</w:t>
            </w:r>
            <w:r w:rsidR="007A4659">
              <w:rPr>
                <w:rFonts w:ascii="Arial" w:hAnsi="Arial" w:cs="Arial"/>
                <w:snapToGrid w:val="0"/>
              </w:rPr>
              <w:t>ing</w:t>
            </w:r>
            <w:r w:rsidR="00111F4B" w:rsidRPr="00111F4B">
              <w:rPr>
                <w:rFonts w:ascii="Arial" w:hAnsi="Arial" w:cs="Arial"/>
                <w:snapToGrid w:val="0"/>
              </w:rPr>
              <w:t xml:space="preserve"> or amend</w:t>
            </w:r>
            <w:r w:rsidR="007A4659">
              <w:rPr>
                <w:rFonts w:ascii="Arial" w:hAnsi="Arial" w:cs="Arial"/>
                <w:snapToGrid w:val="0"/>
              </w:rPr>
              <w:t>ing</w:t>
            </w:r>
            <w:r w:rsidR="00111F4B" w:rsidRPr="00111F4B">
              <w:rPr>
                <w:rFonts w:ascii="Arial" w:hAnsi="Arial" w:cs="Arial"/>
                <w:snapToGrid w:val="0"/>
              </w:rPr>
              <w:t xml:space="preserve">  discriminatory laws, policies and practices which target particular members of society (</w:t>
            </w:r>
            <w:r w:rsidR="005A6514" w:rsidRPr="00111F4B">
              <w:rPr>
                <w:rFonts w:ascii="Arial" w:hAnsi="Arial" w:cs="Arial"/>
                <w:snapToGrid w:val="0"/>
              </w:rPr>
              <w:t>e.g. women</w:t>
            </w:r>
            <w:r w:rsidR="00111F4B" w:rsidRPr="00111F4B">
              <w:rPr>
                <w:rFonts w:ascii="Arial" w:hAnsi="Arial" w:cs="Arial"/>
                <w:snapToGrid w:val="0"/>
              </w:rPr>
              <w:t>, LGBT, religious minorities)</w:t>
            </w:r>
            <w:r w:rsidR="0080063F">
              <w:rPr>
                <w:rFonts w:ascii="Arial" w:hAnsi="Arial" w:cs="Arial"/>
                <w:snapToGrid w:val="0"/>
              </w:rPr>
              <w:t xml:space="preserve">, </w:t>
            </w:r>
            <w:r w:rsidR="005746E2">
              <w:rPr>
                <w:rFonts w:ascii="Arial" w:hAnsi="Arial" w:cs="Arial"/>
                <w:snapToGrid w:val="0"/>
              </w:rPr>
              <w:t>and</w:t>
            </w:r>
            <w:r w:rsidR="00B55039">
              <w:rPr>
                <w:rFonts w:ascii="Arial" w:hAnsi="Arial" w:cs="Arial"/>
                <w:snapToGrid w:val="0"/>
              </w:rPr>
              <w:t xml:space="preserve"> providing legal identity for all including </w:t>
            </w:r>
            <w:r w:rsidR="005746E2">
              <w:rPr>
                <w:rFonts w:ascii="Arial" w:hAnsi="Arial" w:cs="Arial"/>
                <w:snapToGrid w:val="0"/>
              </w:rPr>
              <w:t xml:space="preserve">protecting the right to </w:t>
            </w:r>
            <w:r w:rsidR="00B55039">
              <w:rPr>
                <w:rFonts w:ascii="Arial" w:hAnsi="Arial" w:cs="Arial"/>
                <w:snapToGrid w:val="0"/>
              </w:rPr>
              <w:t xml:space="preserve">a nationality and </w:t>
            </w:r>
            <w:r w:rsidR="005746E2">
              <w:rPr>
                <w:rFonts w:ascii="Arial" w:hAnsi="Arial" w:cs="Arial"/>
                <w:snapToGrid w:val="0"/>
              </w:rPr>
              <w:t>birth registration</w:t>
            </w:r>
          </w:p>
          <w:p w:rsidR="00111F4B" w:rsidRPr="00111F4B" w:rsidRDefault="00111F4B" w:rsidP="00111F4B">
            <w:pPr>
              <w:pStyle w:val="ListParagraph"/>
              <w:numPr>
                <w:ilvl w:val="0"/>
                <w:numId w:val="32"/>
              </w:numPr>
              <w:spacing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111F4B">
              <w:rPr>
                <w:rFonts w:ascii="Arial" w:hAnsi="Arial" w:cs="Arial"/>
                <w:snapToGrid w:val="0"/>
              </w:rPr>
              <w:t>Reduc</w:t>
            </w:r>
            <w:r w:rsidR="007A4659">
              <w:rPr>
                <w:rFonts w:ascii="Arial" w:hAnsi="Arial" w:cs="Arial"/>
                <w:snapToGrid w:val="0"/>
              </w:rPr>
              <w:t>ing</w:t>
            </w:r>
            <w:r w:rsidRPr="00111F4B">
              <w:rPr>
                <w:rFonts w:ascii="Arial" w:hAnsi="Arial" w:cs="Arial"/>
                <w:snapToGrid w:val="0"/>
              </w:rPr>
              <w:t xml:space="preserve"> hate speech, violence or harassment based on discrimination</w:t>
            </w:r>
          </w:p>
          <w:p w:rsidR="00111F4B" w:rsidRPr="0082371A" w:rsidRDefault="00111F4B" w:rsidP="00111F4B">
            <w:pPr>
              <w:pStyle w:val="ListParagraph"/>
              <w:numPr>
                <w:ilvl w:val="0"/>
                <w:numId w:val="23"/>
              </w:numPr>
              <w:spacing w:after="120"/>
              <w:ind w:left="357" w:hanging="357"/>
              <w:rPr>
                <w:rFonts w:ascii="Arial" w:hAnsi="Arial" w:cs="Arial"/>
                <w:color w:val="000000" w:themeColor="text1"/>
                <w:szCs w:val="22"/>
              </w:rPr>
            </w:pPr>
            <w:r w:rsidRPr="00111F4B">
              <w:rPr>
                <w:rFonts w:ascii="Arial" w:hAnsi="Arial" w:cs="Arial"/>
              </w:rPr>
              <w:t>Increas</w:t>
            </w:r>
            <w:r w:rsidR="007A4659">
              <w:rPr>
                <w:rFonts w:ascii="Arial" w:hAnsi="Arial" w:cs="Arial"/>
              </w:rPr>
              <w:t>ing</w:t>
            </w:r>
            <w:r w:rsidRPr="00111F4B">
              <w:rPr>
                <w:rFonts w:ascii="Arial" w:hAnsi="Arial" w:cs="Arial"/>
              </w:rPr>
              <w:t xml:space="preserve"> </w:t>
            </w:r>
            <w:r w:rsidR="007A4659">
              <w:rPr>
                <w:rFonts w:ascii="Arial" w:hAnsi="Arial" w:cs="Arial"/>
              </w:rPr>
              <w:t xml:space="preserve">the </w:t>
            </w:r>
            <w:r w:rsidRPr="00111F4B">
              <w:rPr>
                <w:rFonts w:ascii="Arial" w:hAnsi="Arial" w:cs="Arial"/>
              </w:rPr>
              <w:t>participation of women or members of marginalised groups in political and public life, including in positions of leadership and influence</w:t>
            </w:r>
          </w:p>
        </w:tc>
      </w:tr>
      <w:tr w:rsidR="003B5318" w:rsidRPr="0082371A" w:rsidTr="00B54205">
        <w:trPr>
          <w:cantSplit/>
          <w:trHeight w:val="1161"/>
        </w:trPr>
        <w:tc>
          <w:tcPr>
            <w:tcW w:w="2977" w:type="dxa"/>
            <w:vMerge w:val="restart"/>
            <w:vAlign w:val="center"/>
          </w:tcPr>
          <w:p w:rsidR="003B5318" w:rsidRPr="0082371A" w:rsidRDefault="003B5318" w:rsidP="008473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2"/>
              </w:rPr>
            </w:pPr>
            <w:r w:rsidRPr="0082371A">
              <w:rPr>
                <w:rFonts w:ascii="Arial" w:hAnsi="Arial" w:cs="Arial"/>
                <w:b/>
                <w:color w:val="000000" w:themeColor="text1"/>
                <w:sz w:val="24"/>
                <w:szCs w:val="22"/>
              </w:rPr>
              <w:lastRenderedPageBreak/>
              <w:t xml:space="preserve">Support an effective rules-based international </w:t>
            </w:r>
            <w:r w:rsidR="008473D0">
              <w:rPr>
                <w:rFonts w:ascii="Arial" w:hAnsi="Arial" w:cs="Arial"/>
                <w:b/>
                <w:color w:val="000000" w:themeColor="text1"/>
                <w:sz w:val="24"/>
                <w:szCs w:val="22"/>
              </w:rPr>
              <w:t>order</w:t>
            </w:r>
            <w:r w:rsidRPr="0082371A">
              <w:rPr>
                <w:rFonts w:ascii="Arial" w:hAnsi="Arial" w:cs="Arial"/>
                <w:b/>
                <w:color w:val="000000" w:themeColor="text1"/>
                <w:sz w:val="24"/>
                <w:szCs w:val="22"/>
              </w:rPr>
              <w:t xml:space="preserve"> that stands up for universal rights</w:t>
            </w:r>
          </w:p>
        </w:tc>
        <w:tc>
          <w:tcPr>
            <w:tcW w:w="3827" w:type="dxa"/>
            <w:vAlign w:val="center"/>
          </w:tcPr>
          <w:p w:rsidR="003B5318" w:rsidRPr="0082371A" w:rsidRDefault="00F472D2" w:rsidP="00B71E53">
            <w:pPr>
              <w:numPr>
                <w:ilvl w:val="0"/>
                <w:numId w:val="7"/>
              </w:numPr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  <w:u w:val="single"/>
              </w:rPr>
              <w:t>Implement I</w:t>
            </w:r>
            <w:r w:rsidR="003B5318" w:rsidRPr="0082371A">
              <w:rPr>
                <w:rFonts w:ascii="Arial" w:hAnsi="Arial" w:cs="Arial"/>
                <w:szCs w:val="22"/>
                <w:u w:val="single"/>
              </w:rPr>
              <w:t>nternational Standards and Principles</w:t>
            </w:r>
          </w:p>
          <w:p w:rsidR="003B5318" w:rsidRPr="0082371A" w:rsidRDefault="00F472D2" w:rsidP="00071493">
            <w:pPr>
              <w:ind w:left="3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Better</w:t>
            </w:r>
            <w:r w:rsidR="003B5318" w:rsidRPr="0082371A">
              <w:rPr>
                <w:rFonts w:ascii="Arial" w:hAnsi="Arial" w:cs="Arial"/>
                <w:szCs w:val="22"/>
              </w:rPr>
              <w:t xml:space="preserve"> understanding and implementation of  international human rights standards </w:t>
            </w:r>
          </w:p>
        </w:tc>
        <w:tc>
          <w:tcPr>
            <w:tcW w:w="7371" w:type="dxa"/>
            <w:vAlign w:val="center"/>
          </w:tcPr>
          <w:p w:rsidR="003B5318" w:rsidRPr="0082371A" w:rsidRDefault="003B5318" w:rsidP="0082371A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Arial" w:hAnsi="Arial" w:cs="Arial"/>
                <w:szCs w:val="22"/>
              </w:rPr>
            </w:pPr>
            <w:r w:rsidRPr="0082371A">
              <w:rPr>
                <w:rFonts w:ascii="Arial" w:hAnsi="Arial" w:cs="Arial"/>
                <w:szCs w:val="22"/>
              </w:rPr>
              <w:t>Implement</w:t>
            </w:r>
            <w:r w:rsidR="007A4659">
              <w:rPr>
                <w:rFonts w:ascii="Arial" w:hAnsi="Arial" w:cs="Arial"/>
                <w:szCs w:val="22"/>
              </w:rPr>
              <w:t>ing</w:t>
            </w:r>
            <w:r w:rsidRPr="0082371A">
              <w:rPr>
                <w:rFonts w:ascii="Arial" w:hAnsi="Arial" w:cs="Arial"/>
                <w:szCs w:val="22"/>
              </w:rPr>
              <w:t xml:space="preserve"> the outcomes of UN human rights mechanisms (e.g.</w:t>
            </w:r>
            <w:r w:rsidR="007A4659">
              <w:rPr>
                <w:rFonts w:ascii="Arial" w:hAnsi="Arial" w:cs="Arial"/>
                <w:szCs w:val="22"/>
              </w:rPr>
              <w:t xml:space="preserve"> </w:t>
            </w:r>
            <w:r w:rsidR="007A4659" w:rsidRPr="0082371A">
              <w:rPr>
                <w:rFonts w:ascii="Arial" w:hAnsi="Arial" w:cs="Arial"/>
                <w:szCs w:val="22"/>
              </w:rPr>
              <w:t>U</w:t>
            </w:r>
            <w:r w:rsidR="007A4659">
              <w:rPr>
                <w:rFonts w:ascii="Arial" w:hAnsi="Arial" w:cs="Arial"/>
                <w:szCs w:val="22"/>
              </w:rPr>
              <w:t xml:space="preserve">niversal </w:t>
            </w:r>
            <w:r w:rsidR="007A4659" w:rsidRPr="0082371A">
              <w:rPr>
                <w:rFonts w:ascii="Arial" w:hAnsi="Arial" w:cs="Arial"/>
                <w:szCs w:val="22"/>
              </w:rPr>
              <w:t>P</w:t>
            </w:r>
            <w:r w:rsidR="007A4659">
              <w:rPr>
                <w:rFonts w:ascii="Arial" w:hAnsi="Arial" w:cs="Arial"/>
                <w:szCs w:val="22"/>
              </w:rPr>
              <w:t xml:space="preserve">eriodic </w:t>
            </w:r>
            <w:r w:rsidR="007A4659" w:rsidRPr="0082371A">
              <w:rPr>
                <w:rFonts w:ascii="Arial" w:hAnsi="Arial" w:cs="Arial"/>
                <w:szCs w:val="22"/>
              </w:rPr>
              <w:t>R</w:t>
            </w:r>
            <w:r w:rsidR="007A4659">
              <w:rPr>
                <w:rFonts w:ascii="Arial" w:hAnsi="Arial" w:cs="Arial"/>
                <w:szCs w:val="22"/>
              </w:rPr>
              <w:t>eview (</w:t>
            </w:r>
            <w:r w:rsidRPr="0082371A">
              <w:rPr>
                <w:rFonts w:ascii="Arial" w:hAnsi="Arial" w:cs="Arial"/>
                <w:szCs w:val="22"/>
              </w:rPr>
              <w:t>UPR</w:t>
            </w:r>
            <w:r w:rsidR="007A4659">
              <w:rPr>
                <w:rFonts w:ascii="Arial" w:hAnsi="Arial" w:cs="Arial"/>
                <w:szCs w:val="22"/>
              </w:rPr>
              <w:t>)</w:t>
            </w:r>
            <w:r w:rsidRPr="0082371A">
              <w:rPr>
                <w:rFonts w:ascii="Arial" w:hAnsi="Arial" w:cs="Arial"/>
                <w:szCs w:val="22"/>
              </w:rPr>
              <w:t>, Treaty Bodies, Special Rapporteurs) and international instruments, (e.g. ICCPR, OPCAT,</w:t>
            </w:r>
            <w:r w:rsidR="004A3275">
              <w:rPr>
                <w:rFonts w:ascii="Arial" w:hAnsi="Arial" w:cs="Arial"/>
                <w:szCs w:val="22"/>
              </w:rPr>
              <w:t xml:space="preserve"> </w:t>
            </w:r>
            <w:r w:rsidRPr="0082371A">
              <w:rPr>
                <w:rFonts w:ascii="Arial" w:hAnsi="Arial" w:cs="Arial"/>
                <w:szCs w:val="22"/>
              </w:rPr>
              <w:t xml:space="preserve">UN Guiding Principles on </w:t>
            </w:r>
            <w:r w:rsidR="004A3275">
              <w:rPr>
                <w:rFonts w:ascii="Arial" w:hAnsi="Arial" w:cs="Arial"/>
                <w:szCs w:val="22"/>
              </w:rPr>
              <w:t xml:space="preserve">Business and </w:t>
            </w:r>
            <w:r w:rsidRPr="0082371A">
              <w:rPr>
                <w:rFonts w:ascii="Arial" w:hAnsi="Arial" w:cs="Arial"/>
                <w:szCs w:val="22"/>
              </w:rPr>
              <w:t>Human Rights</w:t>
            </w:r>
            <w:r w:rsidR="007A4659">
              <w:rPr>
                <w:rFonts w:ascii="Arial" w:hAnsi="Arial" w:cs="Arial"/>
                <w:szCs w:val="22"/>
              </w:rPr>
              <w:t>)</w:t>
            </w:r>
            <w:r w:rsidR="001B49A9">
              <w:rPr>
                <w:rFonts w:ascii="Arial" w:hAnsi="Arial" w:cs="Arial"/>
                <w:szCs w:val="22"/>
              </w:rPr>
              <w:t xml:space="preserve">, </w:t>
            </w:r>
            <w:r w:rsidR="002C1FEB">
              <w:rPr>
                <w:rFonts w:ascii="Arial" w:hAnsi="Arial" w:cs="Arial"/>
                <w:szCs w:val="22"/>
              </w:rPr>
              <w:t xml:space="preserve">especially </w:t>
            </w:r>
            <w:r w:rsidR="001B49A9">
              <w:rPr>
                <w:rFonts w:ascii="Arial" w:hAnsi="Arial" w:cs="Arial"/>
                <w:szCs w:val="22"/>
              </w:rPr>
              <w:t>support</w:t>
            </w:r>
            <w:r w:rsidR="002C1FEB">
              <w:rPr>
                <w:rFonts w:ascii="Arial" w:hAnsi="Arial" w:cs="Arial"/>
                <w:szCs w:val="22"/>
              </w:rPr>
              <w:t>ing relevant institutions to implement</w:t>
            </w:r>
            <w:r w:rsidR="001B49A9">
              <w:rPr>
                <w:rFonts w:ascii="Arial" w:hAnsi="Arial" w:cs="Arial"/>
                <w:szCs w:val="22"/>
              </w:rPr>
              <w:t xml:space="preserve"> </w:t>
            </w:r>
            <w:r w:rsidR="002C1FEB">
              <w:rPr>
                <w:rFonts w:ascii="Arial" w:hAnsi="Arial" w:cs="Arial"/>
                <w:szCs w:val="22"/>
              </w:rPr>
              <w:t>UN recommendations</w:t>
            </w:r>
          </w:p>
          <w:p w:rsidR="003B5318" w:rsidRPr="0082371A" w:rsidRDefault="003B5318" w:rsidP="0082371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szCs w:val="22"/>
                <w:u w:val="single"/>
              </w:rPr>
            </w:pPr>
            <w:r w:rsidRPr="0082371A">
              <w:rPr>
                <w:rFonts w:ascii="Arial" w:hAnsi="Arial" w:cs="Arial"/>
                <w:szCs w:val="22"/>
              </w:rPr>
              <w:t>Support</w:t>
            </w:r>
            <w:r w:rsidR="007A4659">
              <w:rPr>
                <w:rFonts w:ascii="Arial" w:hAnsi="Arial" w:cs="Arial"/>
                <w:szCs w:val="22"/>
              </w:rPr>
              <w:t>ing</w:t>
            </w:r>
            <w:r w:rsidRPr="0082371A">
              <w:rPr>
                <w:rFonts w:ascii="Arial" w:hAnsi="Arial" w:cs="Arial"/>
                <w:szCs w:val="22"/>
              </w:rPr>
              <w:t xml:space="preserve"> UN </w:t>
            </w:r>
            <w:r w:rsidR="0084711C">
              <w:rPr>
                <w:rFonts w:ascii="Arial" w:hAnsi="Arial" w:cs="Arial"/>
                <w:szCs w:val="22"/>
              </w:rPr>
              <w:t xml:space="preserve">human rights </w:t>
            </w:r>
            <w:r w:rsidRPr="0082371A">
              <w:rPr>
                <w:rFonts w:ascii="Arial" w:hAnsi="Arial" w:cs="Arial"/>
                <w:szCs w:val="22"/>
              </w:rPr>
              <w:t>field presences</w:t>
            </w:r>
          </w:p>
        </w:tc>
      </w:tr>
      <w:tr w:rsidR="00336BE0" w:rsidRPr="0082371A" w:rsidTr="00B54205">
        <w:trPr>
          <w:cantSplit/>
          <w:trHeight w:val="1655"/>
        </w:trPr>
        <w:tc>
          <w:tcPr>
            <w:tcW w:w="2977" w:type="dxa"/>
            <w:vMerge/>
            <w:vAlign w:val="center"/>
          </w:tcPr>
          <w:p w:rsidR="00336BE0" w:rsidRPr="0082371A" w:rsidRDefault="00336BE0" w:rsidP="004F1ECA">
            <w:pPr>
              <w:numPr>
                <w:ilvl w:val="0"/>
                <w:numId w:val="2"/>
              </w:numPr>
              <w:ind w:left="318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F8643B" w:rsidRPr="0082371A" w:rsidRDefault="00EC33F2" w:rsidP="00F8643B">
            <w:pPr>
              <w:numPr>
                <w:ilvl w:val="0"/>
                <w:numId w:val="7"/>
              </w:numPr>
              <w:rPr>
                <w:rFonts w:ascii="Arial" w:hAnsi="Arial" w:cs="Arial"/>
                <w:szCs w:val="22"/>
                <w:u w:val="single"/>
              </w:rPr>
            </w:pPr>
            <w:r w:rsidRPr="0082371A">
              <w:rPr>
                <w:rFonts w:ascii="Arial" w:hAnsi="Arial" w:cs="Arial"/>
                <w:szCs w:val="22"/>
                <w:u w:val="single"/>
              </w:rPr>
              <w:t>Strengthen</w:t>
            </w:r>
            <w:r w:rsidR="006C4187" w:rsidRPr="0082371A">
              <w:rPr>
                <w:rFonts w:ascii="Arial" w:hAnsi="Arial" w:cs="Arial"/>
                <w:szCs w:val="22"/>
                <w:u w:val="single"/>
              </w:rPr>
              <w:t xml:space="preserve"> Human Rights </w:t>
            </w:r>
            <w:r w:rsidR="00B9257A" w:rsidRPr="0082371A">
              <w:rPr>
                <w:rFonts w:ascii="Arial" w:hAnsi="Arial" w:cs="Arial"/>
                <w:szCs w:val="22"/>
                <w:u w:val="single"/>
              </w:rPr>
              <w:t>Institutions</w:t>
            </w:r>
            <w:r w:rsidR="001A0E83" w:rsidRPr="0082371A">
              <w:rPr>
                <w:rFonts w:ascii="Arial" w:hAnsi="Arial" w:cs="Arial"/>
                <w:szCs w:val="22"/>
                <w:u w:val="single"/>
              </w:rPr>
              <w:t xml:space="preserve"> and </w:t>
            </w:r>
            <w:r w:rsidR="00F8643B" w:rsidRPr="0082371A">
              <w:rPr>
                <w:rFonts w:ascii="Arial" w:hAnsi="Arial" w:cs="Arial"/>
                <w:szCs w:val="22"/>
                <w:u w:val="single"/>
              </w:rPr>
              <w:t>Mechanisms</w:t>
            </w:r>
          </w:p>
          <w:p w:rsidR="00336BE0" w:rsidRPr="0082371A" w:rsidRDefault="00F472D2" w:rsidP="00F8643B">
            <w:pPr>
              <w:ind w:left="3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More effective</w:t>
            </w:r>
            <w:r w:rsidR="002375CC" w:rsidRPr="0082371A">
              <w:rPr>
                <w:rFonts w:ascii="Arial" w:hAnsi="Arial" w:cs="Arial"/>
                <w:szCs w:val="22"/>
              </w:rPr>
              <w:t xml:space="preserve"> international,</w:t>
            </w:r>
            <w:r w:rsidR="005F04F5">
              <w:rPr>
                <w:rFonts w:ascii="Arial" w:hAnsi="Arial" w:cs="Arial"/>
                <w:szCs w:val="22"/>
              </w:rPr>
              <w:t xml:space="preserve"> </w:t>
            </w:r>
            <w:r w:rsidR="002375CC" w:rsidRPr="0082371A">
              <w:rPr>
                <w:rFonts w:ascii="Arial" w:hAnsi="Arial" w:cs="Arial"/>
                <w:szCs w:val="22"/>
              </w:rPr>
              <w:t>regional and national human rights mechanisms</w:t>
            </w:r>
          </w:p>
        </w:tc>
        <w:tc>
          <w:tcPr>
            <w:tcW w:w="7371" w:type="dxa"/>
            <w:vAlign w:val="center"/>
          </w:tcPr>
          <w:p w:rsidR="007921E2" w:rsidRPr="0082371A" w:rsidRDefault="001B49A9" w:rsidP="007921E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Actionable </w:t>
            </w:r>
            <w:r w:rsidR="007921E2" w:rsidRPr="0082371A">
              <w:rPr>
                <w:rFonts w:ascii="Arial" w:hAnsi="Arial" w:cs="Arial"/>
                <w:szCs w:val="22"/>
              </w:rPr>
              <w:t xml:space="preserve">studies or initiatives to </w:t>
            </w:r>
            <w:r w:rsidR="007921E2" w:rsidRPr="00BB390C">
              <w:rPr>
                <w:rFonts w:ascii="Arial" w:hAnsi="Arial" w:cs="Arial"/>
                <w:szCs w:val="22"/>
              </w:rPr>
              <w:t xml:space="preserve">strengthen </w:t>
            </w:r>
            <w:r w:rsidR="00AD16E6" w:rsidRPr="00BB390C">
              <w:rPr>
                <w:rFonts w:ascii="Arial" w:hAnsi="Arial" w:cs="Arial"/>
              </w:rPr>
              <w:t xml:space="preserve">and implement </w:t>
            </w:r>
            <w:r w:rsidR="007921E2" w:rsidRPr="00BB390C">
              <w:rPr>
                <w:rFonts w:ascii="Arial" w:hAnsi="Arial" w:cs="Arial"/>
                <w:szCs w:val="22"/>
              </w:rPr>
              <w:t>the</w:t>
            </w:r>
            <w:r w:rsidR="007921E2" w:rsidRPr="00AD16E6">
              <w:rPr>
                <w:rFonts w:ascii="Arial" w:hAnsi="Arial" w:cs="Arial"/>
                <w:szCs w:val="22"/>
              </w:rPr>
              <w:t xml:space="preserve"> UN </w:t>
            </w:r>
            <w:r w:rsidR="00401189" w:rsidRPr="00AD16E6">
              <w:rPr>
                <w:rFonts w:ascii="Arial" w:hAnsi="Arial" w:cs="Arial"/>
                <w:szCs w:val="22"/>
              </w:rPr>
              <w:t xml:space="preserve">human rights </w:t>
            </w:r>
            <w:r w:rsidR="007921E2" w:rsidRPr="00AD16E6">
              <w:rPr>
                <w:rFonts w:ascii="Arial" w:hAnsi="Arial" w:cs="Arial"/>
                <w:szCs w:val="22"/>
              </w:rPr>
              <w:t>system</w:t>
            </w:r>
            <w:r w:rsidR="007921E2" w:rsidRPr="0082371A">
              <w:rPr>
                <w:rFonts w:ascii="Arial" w:hAnsi="Arial" w:cs="Arial"/>
                <w:szCs w:val="22"/>
              </w:rPr>
              <w:t xml:space="preserve"> </w:t>
            </w:r>
          </w:p>
          <w:p w:rsidR="00572132" w:rsidRPr="00D03F93" w:rsidRDefault="001A0E83" w:rsidP="00D03F9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szCs w:val="22"/>
              </w:rPr>
            </w:pPr>
            <w:r w:rsidRPr="0082371A">
              <w:rPr>
                <w:rFonts w:ascii="Arial" w:hAnsi="Arial" w:cs="Arial"/>
                <w:szCs w:val="22"/>
              </w:rPr>
              <w:t xml:space="preserve">Supporting engagement </w:t>
            </w:r>
            <w:r w:rsidR="00401189" w:rsidRPr="0082371A">
              <w:rPr>
                <w:rFonts w:ascii="Arial" w:hAnsi="Arial" w:cs="Arial"/>
                <w:szCs w:val="22"/>
              </w:rPr>
              <w:t xml:space="preserve">of human rights defenders </w:t>
            </w:r>
            <w:r w:rsidRPr="0082371A">
              <w:rPr>
                <w:rFonts w:ascii="Arial" w:hAnsi="Arial" w:cs="Arial"/>
                <w:szCs w:val="22"/>
              </w:rPr>
              <w:t>with UN human rights mechanisms, including the Human Rights Council and UPR.</w:t>
            </w:r>
            <w:r w:rsidR="00024248">
              <w:rPr>
                <w:rFonts w:ascii="Arial" w:hAnsi="Arial" w:cs="Arial"/>
                <w:szCs w:val="22"/>
              </w:rPr>
              <w:t xml:space="preserve"> Improving states’ capacity to implement UPR recommendations.</w:t>
            </w:r>
          </w:p>
          <w:p w:rsidR="00511D60" w:rsidRPr="0082371A" w:rsidRDefault="00B9257A" w:rsidP="0084711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szCs w:val="22"/>
              </w:rPr>
            </w:pPr>
            <w:r w:rsidRPr="0082371A">
              <w:rPr>
                <w:rFonts w:ascii="Arial" w:hAnsi="Arial" w:cs="Arial"/>
                <w:szCs w:val="22"/>
              </w:rPr>
              <w:t>Establish</w:t>
            </w:r>
            <w:r w:rsidR="007A4659">
              <w:rPr>
                <w:rFonts w:ascii="Arial" w:hAnsi="Arial" w:cs="Arial"/>
                <w:szCs w:val="22"/>
              </w:rPr>
              <w:t>ing</w:t>
            </w:r>
            <w:r w:rsidR="006C4187" w:rsidRPr="0082371A">
              <w:rPr>
                <w:rFonts w:ascii="Arial" w:hAnsi="Arial" w:cs="Arial"/>
                <w:szCs w:val="22"/>
              </w:rPr>
              <w:t xml:space="preserve"> </w:t>
            </w:r>
            <w:r w:rsidR="0084711C">
              <w:rPr>
                <w:rFonts w:ascii="Arial" w:hAnsi="Arial" w:cs="Arial"/>
                <w:szCs w:val="22"/>
              </w:rPr>
              <w:t xml:space="preserve">and strengthening </w:t>
            </w:r>
            <w:r w:rsidR="006C4187" w:rsidRPr="0082371A">
              <w:rPr>
                <w:rFonts w:ascii="Arial" w:hAnsi="Arial" w:cs="Arial"/>
                <w:szCs w:val="22"/>
              </w:rPr>
              <w:t xml:space="preserve">of independent </w:t>
            </w:r>
            <w:r w:rsidR="00401189" w:rsidRPr="0082371A">
              <w:rPr>
                <w:rFonts w:ascii="Arial" w:hAnsi="Arial" w:cs="Arial"/>
                <w:szCs w:val="22"/>
              </w:rPr>
              <w:t xml:space="preserve">national </w:t>
            </w:r>
            <w:r w:rsidR="006C4187" w:rsidRPr="0082371A">
              <w:rPr>
                <w:rFonts w:ascii="Arial" w:hAnsi="Arial" w:cs="Arial"/>
                <w:szCs w:val="22"/>
              </w:rPr>
              <w:t>human rights protection mechanisms</w:t>
            </w:r>
            <w:r w:rsidR="00401189" w:rsidRPr="0082371A">
              <w:rPr>
                <w:rFonts w:ascii="Arial" w:hAnsi="Arial" w:cs="Arial"/>
                <w:szCs w:val="22"/>
              </w:rPr>
              <w:t>,</w:t>
            </w:r>
            <w:r w:rsidR="006C4187" w:rsidRPr="0082371A">
              <w:rPr>
                <w:rFonts w:ascii="Arial" w:hAnsi="Arial" w:cs="Arial"/>
                <w:szCs w:val="22"/>
              </w:rPr>
              <w:t xml:space="preserve"> </w:t>
            </w:r>
            <w:r w:rsidR="00EC33F2" w:rsidRPr="0082371A">
              <w:rPr>
                <w:rFonts w:ascii="Arial" w:hAnsi="Arial" w:cs="Arial"/>
                <w:szCs w:val="22"/>
              </w:rPr>
              <w:t>such</w:t>
            </w:r>
            <w:r w:rsidR="006C4187" w:rsidRPr="0082371A">
              <w:rPr>
                <w:rFonts w:ascii="Arial" w:hAnsi="Arial" w:cs="Arial"/>
                <w:szCs w:val="22"/>
              </w:rPr>
              <w:t xml:space="preserve"> as Ombudsmen and National Human Rights </w:t>
            </w:r>
            <w:r w:rsidR="00401189" w:rsidRPr="0082371A">
              <w:rPr>
                <w:rFonts w:ascii="Arial" w:hAnsi="Arial" w:cs="Arial"/>
                <w:szCs w:val="22"/>
              </w:rPr>
              <w:t>Institutions</w:t>
            </w:r>
            <w:r w:rsidR="006C4187" w:rsidRPr="0082371A">
              <w:rPr>
                <w:rFonts w:ascii="Arial" w:hAnsi="Arial" w:cs="Arial"/>
                <w:szCs w:val="22"/>
              </w:rPr>
              <w:t xml:space="preserve"> that promote </w:t>
            </w:r>
            <w:r w:rsidR="00401189" w:rsidRPr="0082371A">
              <w:rPr>
                <w:rFonts w:ascii="Arial" w:hAnsi="Arial" w:cs="Arial"/>
                <w:szCs w:val="22"/>
              </w:rPr>
              <w:t xml:space="preserve">human rights </w:t>
            </w:r>
            <w:r w:rsidR="006C4187" w:rsidRPr="0082371A">
              <w:rPr>
                <w:rFonts w:ascii="Arial" w:hAnsi="Arial" w:cs="Arial"/>
                <w:szCs w:val="22"/>
              </w:rPr>
              <w:t>and protect human rights defenders</w:t>
            </w:r>
          </w:p>
        </w:tc>
      </w:tr>
      <w:tr w:rsidR="00F8643B" w:rsidRPr="0082371A" w:rsidTr="00B54205">
        <w:trPr>
          <w:cantSplit/>
          <w:trHeight w:val="30"/>
        </w:trPr>
        <w:tc>
          <w:tcPr>
            <w:tcW w:w="14175" w:type="dxa"/>
            <w:gridSpan w:val="3"/>
            <w:shd w:val="clear" w:color="auto" w:fill="BFBFBF" w:themeFill="background1" w:themeFillShade="BF"/>
          </w:tcPr>
          <w:p w:rsidR="00F8643B" w:rsidRPr="005F04F5" w:rsidRDefault="00F8643B" w:rsidP="00F8643B">
            <w:pPr>
              <w:rPr>
                <w:rFonts w:ascii="Arial" w:hAnsi="Arial" w:cs="Arial"/>
                <w:b/>
                <w:sz w:val="6"/>
                <w:szCs w:val="22"/>
              </w:rPr>
            </w:pPr>
          </w:p>
        </w:tc>
      </w:tr>
      <w:tr w:rsidR="00336BE0" w:rsidRPr="0082371A" w:rsidTr="00B54205">
        <w:trPr>
          <w:cantSplit/>
          <w:trHeight w:val="2556"/>
        </w:trPr>
        <w:tc>
          <w:tcPr>
            <w:tcW w:w="2977" w:type="dxa"/>
            <w:vMerge w:val="restart"/>
            <w:vAlign w:val="center"/>
          </w:tcPr>
          <w:p w:rsidR="00336BE0" w:rsidRPr="0082371A" w:rsidRDefault="008A3782" w:rsidP="0084711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2"/>
              </w:rPr>
            </w:pPr>
            <w:r w:rsidRPr="0082371A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2"/>
              </w:rPr>
              <w:t>Promote</w:t>
            </w:r>
            <w:r w:rsidR="00C9668D" w:rsidRPr="0082371A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2"/>
              </w:rPr>
              <w:t xml:space="preserve"> </w:t>
            </w:r>
            <w:r w:rsidRPr="0082371A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2"/>
              </w:rPr>
              <w:t>a more stable world by uphold</w:t>
            </w:r>
            <w:r w:rsidR="0084711C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2"/>
              </w:rPr>
              <w:t>ing</w:t>
            </w:r>
            <w:r w:rsidRPr="0082371A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2"/>
              </w:rPr>
              <w:t xml:space="preserve"> </w:t>
            </w:r>
            <w:r w:rsidR="00D036E4" w:rsidRPr="0082371A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2"/>
              </w:rPr>
              <w:t xml:space="preserve">universal rights in </w:t>
            </w:r>
            <w:r w:rsidR="00B9257A" w:rsidRPr="0082371A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2"/>
              </w:rPr>
              <w:t>tackling conflict</w:t>
            </w:r>
            <w:r w:rsidR="00D036E4" w:rsidRPr="0082371A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2"/>
              </w:rPr>
              <w:t xml:space="preserve"> and extremism</w:t>
            </w:r>
          </w:p>
        </w:tc>
        <w:tc>
          <w:tcPr>
            <w:tcW w:w="3827" w:type="dxa"/>
            <w:vAlign w:val="center"/>
          </w:tcPr>
          <w:p w:rsidR="00F8643B" w:rsidRPr="0082371A" w:rsidRDefault="006902FB" w:rsidP="00C9668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Cs w:val="22"/>
                <w:u w:val="single"/>
              </w:rPr>
            </w:pPr>
            <w:r w:rsidRPr="0082371A">
              <w:rPr>
                <w:rFonts w:ascii="Arial" w:hAnsi="Arial" w:cs="Arial"/>
                <w:color w:val="000000" w:themeColor="text1"/>
                <w:szCs w:val="22"/>
                <w:u w:val="single"/>
              </w:rPr>
              <w:t xml:space="preserve">Promote Tolerance and </w:t>
            </w:r>
            <w:r w:rsidR="00071493" w:rsidRPr="0082371A">
              <w:rPr>
                <w:rFonts w:ascii="Arial" w:hAnsi="Arial" w:cs="Arial"/>
                <w:color w:val="000000" w:themeColor="text1"/>
                <w:szCs w:val="22"/>
                <w:u w:val="single"/>
              </w:rPr>
              <w:t xml:space="preserve">Counter </w:t>
            </w:r>
            <w:r w:rsidR="002412D9" w:rsidRPr="0082371A">
              <w:rPr>
                <w:rFonts w:ascii="Arial" w:hAnsi="Arial" w:cs="Arial"/>
                <w:color w:val="000000" w:themeColor="text1"/>
                <w:szCs w:val="22"/>
                <w:u w:val="single"/>
              </w:rPr>
              <w:t xml:space="preserve">Violent </w:t>
            </w:r>
            <w:r w:rsidR="00071493" w:rsidRPr="0082371A">
              <w:rPr>
                <w:rFonts w:ascii="Arial" w:hAnsi="Arial" w:cs="Arial"/>
                <w:color w:val="000000" w:themeColor="text1"/>
                <w:szCs w:val="22"/>
                <w:u w:val="single"/>
              </w:rPr>
              <w:t>E</w:t>
            </w:r>
            <w:r w:rsidR="00505E5F" w:rsidRPr="0082371A">
              <w:rPr>
                <w:rFonts w:ascii="Arial" w:hAnsi="Arial" w:cs="Arial"/>
                <w:color w:val="000000" w:themeColor="text1"/>
                <w:szCs w:val="22"/>
                <w:u w:val="single"/>
              </w:rPr>
              <w:t>xtremism</w:t>
            </w:r>
          </w:p>
          <w:p w:rsidR="00336BE0" w:rsidRPr="0082371A" w:rsidRDefault="00F472D2" w:rsidP="00F472D2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T</w:t>
            </w:r>
            <w:r w:rsidR="008A3782" w:rsidRPr="0082371A">
              <w:rPr>
                <w:rFonts w:ascii="Arial" w:hAnsi="Arial" w:cs="Arial"/>
                <w:color w:val="000000" w:themeColor="text1"/>
                <w:szCs w:val="22"/>
              </w:rPr>
              <w:t xml:space="preserve">he roots of </w:t>
            </w:r>
            <w:r w:rsidR="002412D9" w:rsidRPr="0082371A">
              <w:rPr>
                <w:rFonts w:ascii="Arial" w:hAnsi="Arial" w:cs="Arial"/>
                <w:color w:val="000000" w:themeColor="text1"/>
                <w:szCs w:val="22"/>
              </w:rPr>
              <w:t xml:space="preserve">violent </w:t>
            </w:r>
            <w:r w:rsidR="008A3782" w:rsidRPr="0082371A">
              <w:rPr>
                <w:rFonts w:ascii="Arial" w:hAnsi="Arial" w:cs="Arial"/>
                <w:color w:val="000000" w:themeColor="text1"/>
                <w:szCs w:val="22"/>
              </w:rPr>
              <w:t xml:space="preserve">extremism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are addressed by</w:t>
            </w:r>
            <w:r w:rsidR="008A3782" w:rsidRPr="0082371A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84711C">
              <w:rPr>
                <w:rFonts w:ascii="Arial" w:hAnsi="Arial" w:cs="Arial"/>
                <w:color w:val="000000" w:themeColor="text1"/>
                <w:szCs w:val="22"/>
              </w:rPr>
              <w:t xml:space="preserve">tackling hate speech and </w:t>
            </w:r>
            <w:r w:rsidR="008A3782" w:rsidRPr="0082371A"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C9668D" w:rsidRPr="0082371A">
              <w:rPr>
                <w:rFonts w:ascii="Arial" w:hAnsi="Arial" w:cs="Arial"/>
                <w:color w:val="000000" w:themeColor="text1"/>
                <w:szCs w:val="22"/>
              </w:rPr>
              <w:t>romot</w:t>
            </w:r>
            <w:r w:rsidR="008A3782" w:rsidRPr="0082371A">
              <w:rPr>
                <w:rFonts w:ascii="Arial" w:hAnsi="Arial" w:cs="Arial"/>
                <w:color w:val="000000" w:themeColor="text1"/>
                <w:szCs w:val="22"/>
              </w:rPr>
              <w:t xml:space="preserve">ing equality and non-discrimination, </w:t>
            </w:r>
            <w:r w:rsidR="002412D9" w:rsidRPr="0082371A">
              <w:rPr>
                <w:rFonts w:ascii="Arial" w:hAnsi="Arial" w:cs="Arial"/>
                <w:color w:val="000000" w:themeColor="text1"/>
                <w:szCs w:val="22"/>
              </w:rPr>
              <w:t>including</w:t>
            </w:r>
            <w:r w:rsidR="00C9668D" w:rsidRPr="0082371A">
              <w:rPr>
                <w:rFonts w:ascii="Arial" w:hAnsi="Arial" w:cs="Arial"/>
                <w:color w:val="000000" w:themeColor="text1"/>
                <w:szCs w:val="22"/>
              </w:rPr>
              <w:t xml:space="preserve"> freedom of religion or belief</w:t>
            </w:r>
          </w:p>
        </w:tc>
        <w:tc>
          <w:tcPr>
            <w:tcW w:w="7371" w:type="dxa"/>
            <w:vAlign w:val="center"/>
          </w:tcPr>
          <w:p w:rsidR="00071493" w:rsidRPr="0082371A" w:rsidRDefault="00505E5F" w:rsidP="0007149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color w:val="000000" w:themeColor="text1"/>
                <w:szCs w:val="22"/>
              </w:rPr>
            </w:pPr>
            <w:r w:rsidRPr="0082371A">
              <w:rPr>
                <w:rFonts w:ascii="Arial" w:hAnsi="Arial" w:cs="Arial"/>
                <w:szCs w:val="22"/>
              </w:rPr>
              <w:t>Support</w:t>
            </w:r>
            <w:r w:rsidR="007A4659">
              <w:rPr>
                <w:rFonts w:ascii="Arial" w:hAnsi="Arial" w:cs="Arial"/>
                <w:szCs w:val="22"/>
              </w:rPr>
              <w:t>ing</w:t>
            </w:r>
            <w:r w:rsidRPr="0082371A">
              <w:rPr>
                <w:rFonts w:ascii="Arial" w:hAnsi="Arial" w:cs="Arial"/>
                <w:szCs w:val="22"/>
              </w:rPr>
              <w:t xml:space="preserve"> effective multilateral </w:t>
            </w:r>
            <w:r w:rsidR="00071493" w:rsidRPr="0082371A">
              <w:rPr>
                <w:rFonts w:ascii="Arial" w:hAnsi="Arial" w:cs="Arial"/>
                <w:szCs w:val="22"/>
              </w:rPr>
              <w:t xml:space="preserve">human rights </w:t>
            </w:r>
            <w:r w:rsidRPr="0082371A">
              <w:rPr>
                <w:rFonts w:ascii="Arial" w:hAnsi="Arial" w:cs="Arial"/>
                <w:szCs w:val="22"/>
              </w:rPr>
              <w:t xml:space="preserve">processes to combat extremism </w:t>
            </w:r>
          </w:p>
          <w:p w:rsidR="004A3275" w:rsidRDefault="00024248" w:rsidP="0007149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Increasing states</w:t>
            </w:r>
            <w:r w:rsidR="009F4173">
              <w:rPr>
                <w:rFonts w:ascii="Arial" w:hAnsi="Arial" w:cs="Arial"/>
                <w:color w:val="000000" w:themeColor="text1"/>
                <w:szCs w:val="22"/>
              </w:rPr>
              <w:t>’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political will and institutional capacity to</w:t>
            </w:r>
            <w:r w:rsidR="00D024FC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071493" w:rsidRPr="0082371A">
              <w:rPr>
                <w:rFonts w:ascii="Arial" w:hAnsi="Arial" w:cs="Arial"/>
                <w:color w:val="000000" w:themeColor="text1"/>
                <w:szCs w:val="22"/>
              </w:rPr>
              <w:t>respect human rights, including freedom of religion or belief</w:t>
            </w:r>
            <w:r w:rsidR="006902FB" w:rsidRPr="0082371A">
              <w:rPr>
                <w:rFonts w:ascii="Arial" w:hAnsi="Arial" w:cs="Arial"/>
                <w:color w:val="000000" w:themeColor="text1"/>
                <w:szCs w:val="22"/>
              </w:rPr>
              <w:t xml:space="preserve"> and tackling hate speech</w:t>
            </w:r>
            <w:r w:rsidR="004A3275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  <w:p w:rsidR="008A3782" w:rsidRPr="0082371A" w:rsidRDefault="008A3782" w:rsidP="0007149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color w:val="000000" w:themeColor="text1"/>
                <w:szCs w:val="22"/>
              </w:rPr>
            </w:pPr>
            <w:r w:rsidRPr="0082371A">
              <w:rPr>
                <w:rFonts w:ascii="Arial" w:hAnsi="Arial" w:cs="Arial"/>
                <w:color w:val="000000" w:themeColor="text1"/>
                <w:szCs w:val="22"/>
              </w:rPr>
              <w:t>Support</w:t>
            </w:r>
            <w:r w:rsidR="007A4659">
              <w:rPr>
                <w:rFonts w:ascii="Arial" w:hAnsi="Arial" w:cs="Arial"/>
                <w:color w:val="000000" w:themeColor="text1"/>
                <w:szCs w:val="22"/>
              </w:rPr>
              <w:t>ing</w:t>
            </w:r>
            <w:r w:rsidRPr="0082371A">
              <w:rPr>
                <w:rFonts w:ascii="Arial" w:hAnsi="Arial" w:cs="Arial"/>
                <w:color w:val="000000" w:themeColor="text1"/>
                <w:szCs w:val="22"/>
              </w:rPr>
              <w:t xml:space="preserve"> increased understanding of universal rights</w:t>
            </w:r>
            <w:r w:rsidR="002412D9" w:rsidRPr="0082371A">
              <w:rPr>
                <w:rFonts w:ascii="Arial" w:hAnsi="Arial" w:cs="Arial"/>
                <w:color w:val="000000" w:themeColor="text1"/>
                <w:szCs w:val="22"/>
              </w:rPr>
              <w:t>, tolerance and the nature of prejudice,</w:t>
            </w:r>
            <w:r w:rsidR="0001024D" w:rsidRPr="0082371A">
              <w:rPr>
                <w:rFonts w:ascii="Arial" w:hAnsi="Arial" w:cs="Arial"/>
                <w:color w:val="000000" w:themeColor="text1"/>
                <w:szCs w:val="22"/>
              </w:rPr>
              <w:t xml:space="preserve"> in societies where these are under threat.</w:t>
            </w:r>
          </w:p>
          <w:p w:rsidR="008A3782" w:rsidRPr="0082371A" w:rsidRDefault="0001024D" w:rsidP="0007149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color w:val="000000" w:themeColor="text1"/>
                <w:szCs w:val="22"/>
              </w:rPr>
            </w:pPr>
            <w:r w:rsidRPr="0082371A">
              <w:rPr>
                <w:rFonts w:ascii="Arial" w:hAnsi="Arial" w:cs="Arial"/>
                <w:color w:val="000000" w:themeColor="text1"/>
                <w:szCs w:val="22"/>
              </w:rPr>
              <w:t>Ensur</w:t>
            </w:r>
            <w:r w:rsidR="007A4659">
              <w:rPr>
                <w:rFonts w:ascii="Arial" w:hAnsi="Arial" w:cs="Arial"/>
                <w:color w:val="000000" w:themeColor="text1"/>
                <w:szCs w:val="22"/>
              </w:rPr>
              <w:t>ing</w:t>
            </w:r>
            <w:r w:rsidRPr="0082371A">
              <w:rPr>
                <w:rFonts w:ascii="Arial" w:hAnsi="Arial" w:cs="Arial"/>
                <w:color w:val="000000" w:themeColor="text1"/>
                <w:szCs w:val="22"/>
              </w:rPr>
              <w:t xml:space="preserve"> that the lessons of history, including from the Holocaust, are not forgotten</w:t>
            </w:r>
            <w:r w:rsidR="007A4659">
              <w:rPr>
                <w:rFonts w:ascii="Arial" w:hAnsi="Arial" w:cs="Arial"/>
                <w:color w:val="000000" w:themeColor="text1"/>
                <w:szCs w:val="22"/>
              </w:rPr>
              <w:t>,</w:t>
            </w:r>
            <w:r w:rsidRPr="0082371A">
              <w:rPr>
                <w:rFonts w:ascii="Arial" w:hAnsi="Arial" w:cs="Arial"/>
                <w:color w:val="000000" w:themeColor="text1"/>
                <w:szCs w:val="22"/>
              </w:rPr>
              <w:t xml:space="preserve"> but </w:t>
            </w:r>
            <w:r w:rsidR="007A4659">
              <w:rPr>
                <w:rFonts w:ascii="Arial" w:hAnsi="Arial" w:cs="Arial"/>
                <w:color w:val="000000" w:themeColor="text1"/>
                <w:szCs w:val="22"/>
              </w:rPr>
              <w:t xml:space="preserve">rather </w:t>
            </w:r>
            <w:r w:rsidRPr="0082371A">
              <w:rPr>
                <w:rFonts w:ascii="Arial" w:hAnsi="Arial" w:cs="Arial"/>
                <w:color w:val="000000" w:themeColor="text1"/>
                <w:szCs w:val="22"/>
              </w:rPr>
              <w:t>used in preventing ext</w:t>
            </w:r>
            <w:r w:rsidR="008A3782" w:rsidRPr="0082371A">
              <w:rPr>
                <w:rFonts w:ascii="Arial" w:hAnsi="Arial" w:cs="Arial"/>
                <w:color w:val="000000" w:themeColor="text1"/>
                <w:szCs w:val="22"/>
              </w:rPr>
              <w:t xml:space="preserve">remism. </w:t>
            </w:r>
          </w:p>
        </w:tc>
      </w:tr>
      <w:tr w:rsidR="00336BE0" w:rsidRPr="0082371A" w:rsidTr="00B54205">
        <w:trPr>
          <w:cantSplit/>
          <w:trHeight w:val="918"/>
        </w:trPr>
        <w:tc>
          <w:tcPr>
            <w:tcW w:w="2977" w:type="dxa"/>
            <w:vMerge/>
            <w:vAlign w:val="center"/>
          </w:tcPr>
          <w:p w:rsidR="00336BE0" w:rsidRPr="0082371A" w:rsidRDefault="00336BE0" w:rsidP="004F1EC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B2275E" w:rsidRPr="0082371A" w:rsidRDefault="00F472D2" w:rsidP="00B2275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Cs w:val="22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Cs w:val="22"/>
                <w:u w:val="single"/>
              </w:rPr>
              <w:t>Uphold Universal R</w:t>
            </w:r>
            <w:r w:rsidR="0084711C">
              <w:rPr>
                <w:rFonts w:ascii="Arial" w:hAnsi="Arial" w:cs="Arial"/>
                <w:color w:val="000000" w:themeColor="text1"/>
                <w:szCs w:val="22"/>
                <w:u w:val="single"/>
              </w:rPr>
              <w:t>ights</w:t>
            </w:r>
            <w:r w:rsidR="00B2275E" w:rsidRPr="0082371A">
              <w:rPr>
                <w:rFonts w:ascii="Arial" w:hAnsi="Arial" w:cs="Arial"/>
                <w:color w:val="000000" w:themeColor="text1"/>
                <w:szCs w:val="22"/>
                <w:u w:val="single"/>
              </w:rPr>
              <w:t xml:space="preserve"> in Conflict </w:t>
            </w:r>
          </w:p>
          <w:p w:rsidR="00336BE0" w:rsidRPr="0082371A" w:rsidRDefault="00B54205" w:rsidP="007A4659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Cs w:val="22"/>
              </w:rPr>
            </w:pPr>
            <w:r w:rsidRPr="00B54205">
              <w:rPr>
                <w:rFonts w:ascii="Arial" w:hAnsi="Arial" w:cs="Arial"/>
                <w:color w:val="000000" w:themeColor="text1"/>
                <w:szCs w:val="22"/>
              </w:rPr>
              <w:t>Increased prevention and reduction of sexual violence in conflict, and increased participation of women in peace processes and wider peacebuilding</w:t>
            </w:r>
          </w:p>
        </w:tc>
        <w:tc>
          <w:tcPr>
            <w:tcW w:w="7371" w:type="dxa"/>
            <w:vAlign w:val="center"/>
          </w:tcPr>
          <w:p w:rsidR="005A6514" w:rsidRPr="005A6514" w:rsidRDefault="005A6514" w:rsidP="005A651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color w:val="000000" w:themeColor="text1"/>
                <w:szCs w:val="22"/>
              </w:rPr>
            </w:pPr>
            <w:r w:rsidRPr="005A6514">
              <w:rPr>
                <w:rFonts w:ascii="Arial" w:hAnsi="Arial" w:cs="Arial"/>
                <w:color w:val="000000" w:themeColor="text1"/>
                <w:szCs w:val="22"/>
              </w:rPr>
              <w:t>Countering traditional assumptions about sexual violence in conflict, challenging attitudes that make women and girls particularly vulnerable, and working to end stigmatisation (including of men and boys)</w:t>
            </w:r>
          </w:p>
          <w:p w:rsidR="005A6514" w:rsidRPr="005A6514" w:rsidRDefault="005A6514" w:rsidP="005A651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color w:val="000000" w:themeColor="text1"/>
                <w:szCs w:val="22"/>
              </w:rPr>
            </w:pPr>
            <w:r w:rsidRPr="005A6514">
              <w:rPr>
                <w:rFonts w:ascii="Arial" w:hAnsi="Arial" w:cs="Arial"/>
                <w:color w:val="000000" w:themeColor="text1"/>
                <w:szCs w:val="22"/>
              </w:rPr>
              <w:t>Tackling impunity and promoting greater accountab</w:t>
            </w:r>
            <w:r w:rsidR="002C1FEB">
              <w:rPr>
                <w:rFonts w:ascii="Arial" w:hAnsi="Arial" w:cs="Arial"/>
                <w:color w:val="000000" w:themeColor="text1"/>
                <w:szCs w:val="22"/>
              </w:rPr>
              <w:t>ility through domestic judicial/</w:t>
            </w:r>
            <w:r w:rsidRPr="005A6514">
              <w:rPr>
                <w:rFonts w:ascii="Arial" w:hAnsi="Arial" w:cs="Arial"/>
                <w:color w:val="000000" w:themeColor="text1"/>
                <w:szCs w:val="22"/>
              </w:rPr>
              <w:t>legal reform, or awareness raising of their rights</w:t>
            </w:r>
            <w:r w:rsidR="002C1FEB">
              <w:rPr>
                <w:rFonts w:ascii="Arial" w:hAnsi="Arial" w:cs="Arial"/>
                <w:color w:val="000000" w:themeColor="text1"/>
                <w:szCs w:val="22"/>
              </w:rPr>
              <w:t>/</w:t>
            </w:r>
            <w:r w:rsidRPr="005A6514">
              <w:rPr>
                <w:rFonts w:ascii="Arial" w:hAnsi="Arial" w:cs="Arial"/>
                <w:color w:val="000000" w:themeColor="text1"/>
                <w:szCs w:val="22"/>
              </w:rPr>
              <w:t xml:space="preserve">redress   </w:t>
            </w:r>
          </w:p>
          <w:p w:rsidR="005A6514" w:rsidRPr="00B54205" w:rsidRDefault="005A6514" w:rsidP="005A651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szCs w:val="22"/>
              </w:rPr>
            </w:pPr>
            <w:r w:rsidRPr="005A6514">
              <w:rPr>
                <w:rFonts w:ascii="Arial" w:hAnsi="Arial" w:cs="Arial"/>
                <w:color w:val="000000" w:themeColor="text1"/>
                <w:szCs w:val="22"/>
              </w:rPr>
              <w:t xml:space="preserve">Implementing the </w:t>
            </w:r>
            <w:r w:rsidRPr="00B54205">
              <w:rPr>
                <w:rFonts w:ascii="Arial" w:hAnsi="Arial" w:cs="Arial"/>
                <w:szCs w:val="22"/>
              </w:rPr>
              <w:t>International Protocol on the Documentation and Investigation of Sexual Violence to improve the capacity of local actors and first responders. Building the evidence base through documentation</w:t>
            </w:r>
          </w:p>
          <w:p w:rsidR="00B9257A" w:rsidRPr="005F04F5" w:rsidRDefault="005A6514" w:rsidP="005A651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color w:val="000000" w:themeColor="text1"/>
                <w:szCs w:val="22"/>
              </w:rPr>
            </w:pPr>
            <w:r w:rsidRPr="00B54205">
              <w:rPr>
                <w:rFonts w:ascii="Arial" w:hAnsi="Arial" w:cs="Arial"/>
                <w:szCs w:val="22"/>
              </w:rPr>
              <w:t xml:space="preserve">Building the capacity of </w:t>
            </w:r>
            <w:r w:rsidR="00B54205" w:rsidRPr="00B54205">
              <w:rPr>
                <w:rFonts w:ascii="Arial" w:hAnsi="Arial" w:cs="Arial"/>
              </w:rPr>
              <w:t xml:space="preserve">women and </w:t>
            </w:r>
            <w:r w:rsidRPr="00B54205">
              <w:rPr>
                <w:rFonts w:ascii="Arial" w:hAnsi="Arial" w:cs="Arial"/>
                <w:szCs w:val="22"/>
              </w:rPr>
              <w:t>local women’s organisations to contribute to peace/post-conflict processes</w:t>
            </w:r>
          </w:p>
        </w:tc>
      </w:tr>
      <w:tr w:rsidR="00336BE0" w:rsidRPr="0082371A" w:rsidTr="00B54205">
        <w:trPr>
          <w:cantSplit/>
          <w:trHeight w:val="1143"/>
        </w:trPr>
        <w:tc>
          <w:tcPr>
            <w:tcW w:w="2977" w:type="dxa"/>
            <w:vMerge/>
            <w:vAlign w:val="center"/>
          </w:tcPr>
          <w:p w:rsidR="00336BE0" w:rsidRPr="0082371A" w:rsidRDefault="00336BE0" w:rsidP="00A84A4E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B2275E" w:rsidRPr="0082371A" w:rsidRDefault="007A4ABF" w:rsidP="00B2275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000000" w:themeColor="text1"/>
                <w:szCs w:val="22"/>
                <w:u w:val="single"/>
              </w:rPr>
            </w:pPr>
            <w:r w:rsidRPr="0082371A">
              <w:rPr>
                <w:rFonts w:ascii="Arial" w:hAnsi="Arial" w:cs="Arial"/>
                <w:color w:val="000000" w:themeColor="text1"/>
                <w:szCs w:val="22"/>
                <w:u w:val="single"/>
              </w:rPr>
              <w:t xml:space="preserve">Human rights in </w:t>
            </w:r>
            <w:r w:rsidR="00B2275E" w:rsidRPr="0082371A">
              <w:rPr>
                <w:rFonts w:ascii="Arial" w:hAnsi="Arial" w:cs="Arial"/>
                <w:color w:val="000000" w:themeColor="text1"/>
                <w:szCs w:val="22"/>
                <w:u w:val="single"/>
              </w:rPr>
              <w:t>Security and Justice Assistance</w:t>
            </w:r>
          </w:p>
          <w:p w:rsidR="00336BE0" w:rsidRPr="0082371A" w:rsidRDefault="00F472D2" w:rsidP="00B2275E">
            <w:pPr>
              <w:pStyle w:val="ListParagraph"/>
              <w:autoSpaceDE w:val="0"/>
              <w:autoSpaceDN w:val="0"/>
              <w:adjustRightInd w:val="0"/>
              <w:spacing w:after="120"/>
              <w:ind w:left="357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Increased</w:t>
            </w:r>
            <w:r w:rsidR="00B2275E" w:rsidRPr="0082371A">
              <w:rPr>
                <w:rFonts w:ascii="Arial" w:hAnsi="Arial" w:cs="Arial"/>
                <w:color w:val="000000" w:themeColor="text1"/>
                <w:szCs w:val="22"/>
              </w:rPr>
              <w:t xml:space="preserve"> human rights compliance in the security and justice sector</w:t>
            </w:r>
          </w:p>
        </w:tc>
        <w:tc>
          <w:tcPr>
            <w:tcW w:w="7371" w:type="dxa"/>
            <w:vAlign w:val="center"/>
          </w:tcPr>
          <w:p w:rsidR="002134EC" w:rsidRPr="0082371A" w:rsidRDefault="007A4ABF" w:rsidP="002C1FE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color w:val="000000" w:themeColor="text1"/>
                <w:szCs w:val="22"/>
              </w:rPr>
            </w:pPr>
            <w:r w:rsidRPr="0082371A">
              <w:rPr>
                <w:rFonts w:ascii="Arial" w:hAnsi="Arial" w:cs="Arial"/>
                <w:szCs w:val="22"/>
              </w:rPr>
              <w:t>Encourag</w:t>
            </w:r>
            <w:r w:rsidR="007A4659">
              <w:rPr>
                <w:rFonts w:ascii="Arial" w:hAnsi="Arial" w:cs="Arial"/>
                <w:szCs w:val="22"/>
              </w:rPr>
              <w:t>ing</w:t>
            </w:r>
            <w:r w:rsidRPr="0082371A">
              <w:rPr>
                <w:rFonts w:ascii="Arial" w:hAnsi="Arial" w:cs="Arial"/>
                <w:szCs w:val="22"/>
              </w:rPr>
              <w:t xml:space="preserve"> countries</w:t>
            </w:r>
            <w:r w:rsidR="002C1FEB">
              <w:rPr>
                <w:rFonts w:ascii="Arial" w:hAnsi="Arial" w:cs="Arial"/>
                <w:szCs w:val="22"/>
              </w:rPr>
              <w:t xml:space="preserve"> </w:t>
            </w:r>
            <w:r w:rsidRPr="0082371A">
              <w:rPr>
                <w:rFonts w:ascii="Arial" w:hAnsi="Arial" w:cs="Arial"/>
                <w:szCs w:val="22"/>
              </w:rPr>
              <w:t xml:space="preserve">to </w:t>
            </w:r>
            <w:r w:rsidR="00437861">
              <w:rPr>
                <w:rFonts w:ascii="Arial" w:hAnsi="Arial" w:cs="Arial"/>
                <w:szCs w:val="22"/>
              </w:rPr>
              <w:t>embed</w:t>
            </w:r>
            <w:r w:rsidR="00505E5F" w:rsidRPr="0082371A">
              <w:rPr>
                <w:rFonts w:ascii="Arial" w:hAnsi="Arial" w:cs="Arial"/>
                <w:szCs w:val="22"/>
              </w:rPr>
              <w:t xml:space="preserve"> human rights </w:t>
            </w:r>
            <w:r w:rsidR="00437861">
              <w:rPr>
                <w:rFonts w:ascii="Arial" w:hAnsi="Arial" w:cs="Arial"/>
                <w:szCs w:val="22"/>
              </w:rPr>
              <w:t>within their</w:t>
            </w:r>
            <w:r w:rsidR="002C1FEB">
              <w:rPr>
                <w:rFonts w:ascii="Arial" w:hAnsi="Arial" w:cs="Arial"/>
                <w:szCs w:val="22"/>
              </w:rPr>
              <w:t xml:space="preserve"> security, </w:t>
            </w:r>
            <w:r w:rsidRPr="0082371A">
              <w:rPr>
                <w:rFonts w:ascii="Arial" w:hAnsi="Arial" w:cs="Arial"/>
                <w:szCs w:val="22"/>
              </w:rPr>
              <w:t>justice</w:t>
            </w:r>
            <w:r w:rsidR="00437861">
              <w:rPr>
                <w:rFonts w:ascii="Arial" w:hAnsi="Arial" w:cs="Arial"/>
                <w:szCs w:val="22"/>
              </w:rPr>
              <w:t xml:space="preserve"> reforms</w:t>
            </w:r>
            <w:r w:rsidR="002C1FEB">
              <w:rPr>
                <w:rFonts w:ascii="Arial" w:hAnsi="Arial" w:cs="Arial"/>
                <w:szCs w:val="22"/>
              </w:rPr>
              <w:t xml:space="preserve"> and institutions</w:t>
            </w:r>
            <w:r w:rsidRPr="0082371A">
              <w:rPr>
                <w:rFonts w:ascii="Arial" w:hAnsi="Arial" w:cs="Arial"/>
                <w:szCs w:val="22"/>
              </w:rPr>
              <w:t>, including reducing the risk of the use of torture or the death penalty</w:t>
            </w:r>
            <w:r w:rsidR="00024248">
              <w:rPr>
                <w:rFonts w:ascii="Arial" w:hAnsi="Arial" w:cs="Arial"/>
                <w:szCs w:val="22"/>
              </w:rPr>
              <w:t>, and extrajudicial</w:t>
            </w:r>
            <w:r w:rsidR="009F4173">
              <w:rPr>
                <w:rFonts w:ascii="Arial" w:hAnsi="Arial" w:cs="Arial"/>
                <w:szCs w:val="22"/>
              </w:rPr>
              <w:t xml:space="preserve"> killings</w:t>
            </w:r>
            <w:r w:rsidR="00024248">
              <w:rPr>
                <w:rFonts w:ascii="Arial" w:hAnsi="Arial" w:cs="Arial"/>
                <w:szCs w:val="22"/>
              </w:rPr>
              <w:t>.</w:t>
            </w:r>
          </w:p>
        </w:tc>
      </w:tr>
    </w:tbl>
    <w:p w:rsidR="00F7227D" w:rsidRDefault="00F7227D" w:rsidP="005F04F5">
      <w:pPr>
        <w:pStyle w:val="Heading6"/>
        <w:rPr>
          <w:rFonts w:ascii="Arial" w:hAnsi="Arial" w:cs="Arial"/>
          <w:i/>
          <w:u w:val="single"/>
        </w:rPr>
        <w:sectPr w:rsidR="00F7227D" w:rsidSect="002134EC">
          <w:footerReference w:type="default" r:id="rId22"/>
          <w:pgSz w:w="16840" w:h="11907" w:orient="landscape" w:code="9"/>
          <w:pgMar w:top="1276" w:right="709" w:bottom="1440" w:left="993" w:header="567" w:footer="449" w:gutter="0"/>
          <w:cols w:space="708"/>
          <w:docGrid w:linePitch="360"/>
        </w:sectPr>
      </w:pPr>
      <w:bookmarkStart w:id="0" w:name="_ANNEX_A:_15/16"/>
      <w:bookmarkEnd w:id="0"/>
    </w:p>
    <w:p w:rsidR="005E1D18" w:rsidRDefault="005E1D18" w:rsidP="00A76661">
      <w:pPr>
        <w:pStyle w:val="Heading6"/>
        <w:rPr>
          <w:rFonts w:ascii="Arial" w:hAnsi="Arial" w:cs="Arial"/>
        </w:rPr>
      </w:pPr>
    </w:p>
    <w:p w:rsidR="00BF2A38" w:rsidRDefault="005E1D18" w:rsidP="00A76661">
      <w:pPr>
        <w:pStyle w:val="Heading6"/>
        <w:rPr>
          <w:rFonts w:ascii="Arial" w:hAnsi="Arial" w:cs="Arial"/>
          <w:sz w:val="24"/>
        </w:rPr>
      </w:pPr>
      <w:r w:rsidRPr="00BF2A38">
        <w:rPr>
          <w:rFonts w:ascii="Arial" w:hAnsi="Arial" w:cs="Arial"/>
          <w:sz w:val="24"/>
        </w:rPr>
        <w:t xml:space="preserve">Annex A: </w:t>
      </w:r>
    </w:p>
    <w:p w:rsidR="00A76661" w:rsidRPr="00BF2A38" w:rsidRDefault="005E1D18" w:rsidP="00A76661">
      <w:pPr>
        <w:pStyle w:val="Heading6"/>
        <w:rPr>
          <w:rFonts w:ascii="Arial" w:hAnsi="Arial" w:cs="Arial"/>
          <w:sz w:val="24"/>
        </w:rPr>
      </w:pPr>
      <w:r w:rsidRPr="00BF2A38">
        <w:rPr>
          <w:rFonts w:ascii="Arial" w:hAnsi="Arial" w:cs="Arial"/>
          <w:sz w:val="24"/>
        </w:rPr>
        <w:t xml:space="preserve">2016-17 </w:t>
      </w:r>
      <w:r w:rsidR="00BF2A38" w:rsidRPr="00BF2A38">
        <w:rPr>
          <w:rFonts w:ascii="Arial" w:hAnsi="Arial" w:cs="Arial"/>
          <w:sz w:val="24"/>
        </w:rPr>
        <w:t xml:space="preserve">Magna Carta Fund for Human Rights and Democracy </w:t>
      </w:r>
      <w:r w:rsidRPr="00BF2A38">
        <w:rPr>
          <w:rFonts w:ascii="Arial" w:hAnsi="Arial" w:cs="Arial"/>
          <w:sz w:val="24"/>
        </w:rPr>
        <w:t>Priority Countries</w:t>
      </w:r>
    </w:p>
    <w:p w:rsidR="002D328A" w:rsidRPr="00381099" w:rsidRDefault="002D328A" w:rsidP="005F04F5">
      <w:pPr>
        <w:pStyle w:val="Heading6"/>
        <w:rPr>
          <w:rFonts w:ascii="Arial" w:hAnsi="Arial" w:cs="Arial"/>
          <w:b w:val="0"/>
          <w:sz w:val="22"/>
          <w:szCs w:val="22"/>
        </w:rPr>
      </w:pPr>
    </w:p>
    <w:p w:rsidR="00A76661" w:rsidRPr="00381099" w:rsidRDefault="00A76661" w:rsidP="00A76661">
      <w:pPr>
        <w:rPr>
          <w:rFonts w:ascii="Arial" w:hAnsi="Arial" w:cs="Arial"/>
          <w:szCs w:val="22"/>
        </w:rPr>
        <w:sectPr w:rsidR="00A76661" w:rsidRPr="00381099" w:rsidSect="00F7227D">
          <w:pgSz w:w="11907" w:h="16840" w:code="9"/>
          <w:pgMar w:top="709" w:right="1440" w:bottom="993" w:left="1276" w:header="567" w:footer="449" w:gutter="0"/>
          <w:cols w:space="708"/>
          <w:docGrid w:linePitch="360"/>
        </w:sectPr>
      </w:pPr>
    </w:p>
    <w:p w:rsidR="00381099" w:rsidRPr="00381099" w:rsidRDefault="00381099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lastRenderedPageBreak/>
        <w:t xml:space="preserve">These are countries that feature </w:t>
      </w:r>
      <w:r w:rsidR="00E274A0">
        <w:rPr>
          <w:rFonts w:ascii="Arial" w:hAnsi="Arial" w:cs="Arial"/>
          <w:snapToGrid w:val="0"/>
          <w:szCs w:val="22"/>
        </w:rPr>
        <w:t>as</w:t>
      </w:r>
      <w:r w:rsidRPr="00381099">
        <w:rPr>
          <w:rFonts w:ascii="Arial" w:hAnsi="Arial" w:cs="Arial"/>
          <w:snapToGrid w:val="0"/>
          <w:szCs w:val="22"/>
        </w:rPr>
        <w:t xml:space="preserve"> one of t</w:t>
      </w:r>
      <w:r w:rsidR="00E274A0">
        <w:rPr>
          <w:rFonts w:ascii="Arial" w:hAnsi="Arial" w:cs="Arial"/>
          <w:snapToGrid w:val="0"/>
          <w:szCs w:val="22"/>
        </w:rPr>
        <w:t>he FCO’s human rights priority countries</w:t>
      </w:r>
      <w:r w:rsidRPr="00381099">
        <w:rPr>
          <w:rFonts w:ascii="Arial" w:hAnsi="Arial" w:cs="Arial"/>
          <w:snapToGrid w:val="0"/>
          <w:szCs w:val="22"/>
        </w:rPr>
        <w:t xml:space="preserve"> (formerly “countries of concern”), country case studies, or </w:t>
      </w:r>
      <w:r w:rsidR="00E274A0">
        <w:rPr>
          <w:rFonts w:ascii="Arial" w:hAnsi="Arial" w:cs="Arial"/>
          <w:snapToGrid w:val="0"/>
          <w:szCs w:val="22"/>
        </w:rPr>
        <w:t xml:space="preserve">are the focus of </w:t>
      </w:r>
      <w:r w:rsidRPr="00381099">
        <w:rPr>
          <w:rFonts w:ascii="Arial" w:hAnsi="Arial" w:cs="Arial"/>
          <w:snapToGrid w:val="0"/>
          <w:szCs w:val="22"/>
        </w:rPr>
        <w:t>thematic case studies</w:t>
      </w:r>
      <w:r w:rsidR="00E274A0">
        <w:rPr>
          <w:rFonts w:ascii="Arial" w:hAnsi="Arial" w:cs="Arial"/>
          <w:snapToGrid w:val="0"/>
          <w:szCs w:val="22"/>
        </w:rPr>
        <w:t>,</w:t>
      </w:r>
      <w:r w:rsidRPr="00381099">
        <w:rPr>
          <w:rFonts w:ascii="Arial" w:hAnsi="Arial" w:cs="Arial"/>
          <w:snapToGrid w:val="0"/>
          <w:szCs w:val="22"/>
        </w:rPr>
        <w:t xml:space="preserve"> as set out in the 2014 </w:t>
      </w:r>
      <w:hyperlink r:id="rId23" w:history="1">
        <w:r w:rsidRPr="00381099">
          <w:rPr>
            <w:rStyle w:val="Hyperlink"/>
            <w:rFonts w:ascii="Arial" w:hAnsi="Arial" w:cs="Arial"/>
            <w:szCs w:val="22"/>
          </w:rPr>
          <w:t>Annual Human Rights and Democracy Report</w:t>
        </w:r>
      </w:hyperlink>
      <w:r w:rsidRPr="00381099">
        <w:rPr>
          <w:rFonts w:ascii="Arial" w:hAnsi="Arial" w:cs="Arial"/>
          <w:snapToGrid w:val="0"/>
          <w:szCs w:val="22"/>
        </w:rPr>
        <w:t>, published in March 2015.</w:t>
      </w:r>
    </w:p>
    <w:p w:rsidR="00381099" w:rsidRPr="00381099" w:rsidRDefault="00381099" w:rsidP="00A76661">
      <w:pPr>
        <w:rPr>
          <w:rFonts w:ascii="Arial" w:hAnsi="Arial" w:cs="Arial"/>
          <w:szCs w:val="22"/>
        </w:rPr>
      </w:pP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 xml:space="preserve">Afghanistan 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Bahrain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Bangladesh</w:t>
      </w:r>
    </w:p>
    <w:p w:rsidR="00381099" w:rsidRPr="00381099" w:rsidRDefault="00381099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Brazil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Belarus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 xml:space="preserve">Burma   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Burundi</w:t>
      </w:r>
    </w:p>
    <w:p w:rsidR="00381099" w:rsidRPr="00381099" w:rsidRDefault="00381099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 xml:space="preserve">Cambodia 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Central African Republic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 xml:space="preserve">China    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Colombia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 xml:space="preserve">Cuba    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Democratic People’s Republic of Korea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Democratic Republic of Congo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Egypt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Eritrea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Ethiopia</w:t>
      </w:r>
    </w:p>
    <w:p w:rsidR="00381099" w:rsidRPr="00381099" w:rsidRDefault="00381099" w:rsidP="00381099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Fiji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Gambia, The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Honduras</w:t>
      </w:r>
    </w:p>
    <w:p w:rsidR="00381099" w:rsidRPr="00381099" w:rsidRDefault="00381099" w:rsidP="00381099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India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Iran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 xml:space="preserve">Iraq       </w:t>
      </w:r>
    </w:p>
    <w:p w:rsidR="00A76661" w:rsidRPr="00381099" w:rsidRDefault="00A76661" w:rsidP="00A76661">
      <w:pPr>
        <w:ind w:right="-154"/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Israel and Occupied Palestinian Territories</w:t>
      </w:r>
    </w:p>
    <w:p w:rsidR="00381099" w:rsidRPr="00381099" w:rsidRDefault="00381099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Laos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Libya</w:t>
      </w:r>
      <w:r w:rsidRPr="00381099">
        <w:rPr>
          <w:rFonts w:ascii="Arial" w:hAnsi="Arial" w:cs="Arial"/>
          <w:szCs w:val="22"/>
        </w:rPr>
        <w:tab/>
      </w:r>
    </w:p>
    <w:p w:rsidR="00381099" w:rsidRPr="00381099" w:rsidRDefault="00381099" w:rsidP="00381099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 xml:space="preserve">Mexico 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Nigeria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Pakistan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 xml:space="preserve">Russia              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Rwanda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 xml:space="preserve">Saudi Arabia     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 xml:space="preserve">Somalia            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South Sudan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Sri Lanka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 xml:space="preserve">Sudan </w:t>
      </w:r>
    </w:p>
    <w:p w:rsidR="00381099" w:rsidRPr="00381099" w:rsidRDefault="00381099" w:rsidP="00381099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Swaziland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 xml:space="preserve">Syria     </w:t>
      </w:r>
    </w:p>
    <w:p w:rsidR="00381099" w:rsidRPr="00381099" w:rsidRDefault="00381099" w:rsidP="00381099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Thailand</w:t>
      </w:r>
    </w:p>
    <w:p w:rsidR="00381099" w:rsidRPr="00381099" w:rsidRDefault="00381099" w:rsidP="00381099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Tunisia</w:t>
      </w:r>
    </w:p>
    <w:p w:rsidR="00E274A0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Turkmenistan</w:t>
      </w:r>
    </w:p>
    <w:p w:rsidR="00A76661" w:rsidRPr="00381099" w:rsidRDefault="00E274A0" w:rsidP="00A7666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Ukraine</w:t>
      </w:r>
      <w:r w:rsidR="00A76661" w:rsidRPr="00381099">
        <w:rPr>
          <w:rFonts w:ascii="Arial" w:hAnsi="Arial" w:cs="Arial"/>
          <w:szCs w:val="22"/>
        </w:rPr>
        <w:t xml:space="preserve">     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 xml:space="preserve">Uzbekistan        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Vietnam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 xml:space="preserve">Yemen              </w:t>
      </w:r>
    </w:p>
    <w:p w:rsidR="00A76661" w:rsidRPr="00381099" w:rsidRDefault="00A76661" w:rsidP="00A76661">
      <w:pPr>
        <w:rPr>
          <w:rFonts w:ascii="Arial" w:hAnsi="Arial" w:cs="Arial"/>
          <w:szCs w:val="22"/>
        </w:rPr>
      </w:pPr>
      <w:r w:rsidRPr="00381099">
        <w:rPr>
          <w:rFonts w:ascii="Arial" w:hAnsi="Arial" w:cs="Arial"/>
          <w:szCs w:val="22"/>
        </w:rPr>
        <w:t>Zimbabwe</w:t>
      </w:r>
    </w:p>
    <w:p w:rsidR="00A76661" w:rsidRPr="00381099" w:rsidRDefault="00A76661">
      <w:pPr>
        <w:rPr>
          <w:rFonts w:ascii="Arial" w:hAnsi="Arial" w:cs="Arial"/>
          <w:szCs w:val="22"/>
        </w:rPr>
        <w:sectPr w:rsidR="00A76661" w:rsidRPr="00381099" w:rsidSect="00A76661">
          <w:type w:val="continuous"/>
          <w:pgSz w:w="11907" w:h="16840" w:code="9"/>
          <w:pgMar w:top="709" w:right="1440" w:bottom="993" w:left="1276" w:header="567" w:footer="449" w:gutter="0"/>
          <w:cols w:space="119"/>
          <w:docGrid w:linePitch="360"/>
        </w:sectPr>
      </w:pPr>
    </w:p>
    <w:p w:rsidR="00A76661" w:rsidRPr="005E1D18" w:rsidRDefault="00A76661">
      <w:pPr>
        <w:rPr>
          <w:rFonts w:ascii="Arial" w:hAnsi="Arial" w:cs="Arial"/>
          <w:sz w:val="24"/>
        </w:rPr>
      </w:pPr>
    </w:p>
    <w:p w:rsidR="005E1D18" w:rsidRPr="005E1D18" w:rsidRDefault="005E1D18">
      <w:pPr>
        <w:rPr>
          <w:rFonts w:ascii="Arial" w:hAnsi="Arial" w:cs="Arial"/>
          <w:sz w:val="24"/>
          <w:highlight w:val="yellow"/>
        </w:rPr>
      </w:pPr>
    </w:p>
    <w:p w:rsidR="00381099" w:rsidRPr="005E1D18" w:rsidRDefault="00381099">
      <w:pPr>
        <w:rPr>
          <w:rFonts w:ascii="Arial" w:hAnsi="Arial" w:cs="Arial"/>
          <w:sz w:val="24"/>
        </w:rPr>
      </w:pPr>
    </w:p>
    <w:sectPr w:rsidR="00381099" w:rsidRPr="005E1D18" w:rsidSect="00A76661">
      <w:type w:val="continuous"/>
      <w:pgSz w:w="11907" w:h="16840" w:code="9"/>
      <w:pgMar w:top="709" w:right="1440" w:bottom="993" w:left="1276" w:header="567" w:footer="449" w:gutter="0"/>
      <w:cols w:num="2" w:space="11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9A9" w:rsidRDefault="001B49A9">
      <w:r>
        <w:separator/>
      </w:r>
    </w:p>
  </w:endnote>
  <w:endnote w:type="continuationSeparator" w:id="0">
    <w:p w:rsidR="001B49A9" w:rsidRDefault="001B4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NextLT Light">
    <w:altName w:val="FrutigerNextL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NextLT">
    <w:altName w:val="FrutigerNext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A9" w:rsidRDefault="001B49A9">
    <w:pPr>
      <w:pStyle w:val="Footer"/>
    </w:pPr>
  </w:p>
  <w:p w:rsidR="001B49A9" w:rsidRDefault="00BF1253" w:rsidP="008738A1">
    <w:pPr>
      <w:pStyle w:val="Footer"/>
      <w:jc w:val="center"/>
      <w:rPr>
        <w:rFonts w:ascii="Arial" w:hAnsi="Arial" w:cs="Arial"/>
        <w:b/>
        <w:sz w:val="20"/>
      </w:rPr>
    </w:pPr>
    <w:fldSimple w:instr=" DOCPROPERTY CLASSIFICATION \* MERGEFORMAT ">
      <w:r w:rsidR="00323F4A" w:rsidRPr="00323F4A">
        <w:rPr>
          <w:rFonts w:ascii="Arial" w:hAnsi="Arial" w:cs="Arial"/>
          <w:b/>
          <w:sz w:val="20"/>
        </w:rPr>
        <w:t>UNCLASSIFIED</w:t>
      </w:r>
    </w:fldSimple>
    <w:r w:rsidR="001B49A9" w:rsidRPr="008738A1">
      <w:rPr>
        <w:rFonts w:ascii="Arial" w:hAnsi="Arial" w:cs="Arial"/>
        <w:b/>
        <w:sz w:val="20"/>
      </w:rPr>
      <w:t xml:space="preserve"> </w:t>
    </w:r>
  </w:p>
  <w:p w:rsidR="001B49A9" w:rsidRPr="008738A1" w:rsidRDefault="00BF1253" w:rsidP="008738A1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="00323F4A" w:rsidRPr="00323F4A">
        <w:rPr>
          <w:rFonts w:ascii="Arial" w:hAnsi="Arial" w:cs="Arial"/>
          <w:noProof/>
          <w:sz w:val="12"/>
        </w:rPr>
        <w:t xml:space="preserve">http://ubs.sharepoint.fco.gov.uk/sites/mp/HRDD/hrdp/FY201415 Bidding </w:t>
      </w:r>
      <w:r w:rsidR="00323F4A">
        <w:rPr>
          <w:noProof/>
        </w:rPr>
        <w:t>Round/Guidance and Strategy/MCF 1617 PROGRAMME STRATEGY.docx</w:t>
      </w:r>
    </w:fldSimple>
    <w:r>
      <w:fldChar w:fldCharType="begin"/>
    </w:r>
    <w:r w:rsidR="001B49A9">
      <w:instrText xml:space="preserve"> DOCPROPERTY PRIVACY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423"/>
      <w:docPartObj>
        <w:docPartGallery w:val="Page Numbers (Bottom of Page)"/>
        <w:docPartUnique/>
      </w:docPartObj>
    </w:sdtPr>
    <w:sdtContent>
      <w:p w:rsidR="001B49A9" w:rsidRDefault="00BF1253">
        <w:pPr>
          <w:pStyle w:val="Footer"/>
          <w:jc w:val="center"/>
        </w:pPr>
        <w:r w:rsidRPr="00BF2A38">
          <w:rPr>
            <w:rFonts w:ascii="Arial" w:hAnsi="Arial" w:cs="Arial"/>
            <w:sz w:val="20"/>
          </w:rPr>
          <w:fldChar w:fldCharType="begin"/>
        </w:r>
        <w:r w:rsidR="001B49A9" w:rsidRPr="00BF2A38">
          <w:rPr>
            <w:rFonts w:ascii="Arial" w:hAnsi="Arial" w:cs="Arial"/>
            <w:sz w:val="20"/>
          </w:rPr>
          <w:instrText xml:space="preserve"> PAGE   \* MERGEFORMAT </w:instrText>
        </w:r>
        <w:r w:rsidRPr="00BF2A38">
          <w:rPr>
            <w:rFonts w:ascii="Arial" w:hAnsi="Arial" w:cs="Arial"/>
            <w:sz w:val="20"/>
          </w:rPr>
          <w:fldChar w:fldCharType="separate"/>
        </w:r>
        <w:r w:rsidR="00323F4A">
          <w:rPr>
            <w:rFonts w:ascii="Arial" w:hAnsi="Arial" w:cs="Arial"/>
            <w:noProof/>
            <w:sz w:val="20"/>
          </w:rPr>
          <w:t>3</w:t>
        </w:r>
        <w:r w:rsidRPr="00BF2A38">
          <w:rPr>
            <w:rFonts w:ascii="Arial" w:hAnsi="Arial" w:cs="Arial"/>
            <w:sz w:val="20"/>
          </w:rPr>
          <w:fldChar w:fldCharType="end"/>
        </w:r>
      </w:p>
    </w:sdtContent>
  </w:sdt>
  <w:p w:rsidR="001B49A9" w:rsidRPr="008738A1" w:rsidRDefault="001B49A9" w:rsidP="00C40B3B">
    <w:pPr>
      <w:pStyle w:val="Footer"/>
      <w:spacing w:before="120"/>
      <w:rPr>
        <w:rFonts w:ascii="Arial" w:hAnsi="Arial" w:cs="Arial"/>
        <w:sz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A9" w:rsidRDefault="001B49A9">
    <w:pPr>
      <w:pStyle w:val="Footer"/>
    </w:pPr>
  </w:p>
  <w:p w:rsidR="001B49A9" w:rsidRPr="008738A1" w:rsidRDefault="001B49A9" w:rsidP="008738A1">
    <w:pPr>
      <w:pStyle w:val="Footer"/>
      <w:spacing w:before="120"/>
      <w:jc w:val="right"/>
      <w:rPr>
        <w:rFonts w:ascii="Arial" w:hAnsi="Arial" w:cs="Arial"/>
        <w:sz w:val="1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426"/>
      <w:docPartObj>
        <w:docPartGallery w:val="Page Numbers (Bottom of Page)"/>
        <w:docPartUnique/>
      </w:docPartObj>
    </w:sdtPr>
    <w:sdtContent>
      <w:p w:rsidR="001B49A9" w:rsidRDefault="00BF1253" w:rsidP="00BF2A38">
        <w:pPr>
          <w:pStyle w:val="Footer"/>
          <w:jc w:val="center"/>
        </w:pPr>
        <w:r w:rsidRPr="00BF2A38">
          <w:rPr>
            <w:rFonts w:ascii="Arial" w:hAnsi="Arial" w:cs="Arial"/>
            <w:sz w:val="20"/>
          </w:rPr>
          <w:fldChar w:fldCharType="begin"/>
        </w:r>
        <w:r w:rsidR="001B49A9" w:rsidRPr="00BF2A38">
          <w:rPr>
            <w:rFonts w:ascii="Arial" w:hAnsi="Arial" w:cs="Arial"/>
            <w:sz w:val="20"/>
          </w:rPr>
          <w:instrText xml:space="preserve"> PAGE   \* MERGEFORMAT </w:instrText>
        </w:r>
        <w:r w:rsidRPr="00BF2A38">
          <w:rPr>
            <w:rFonts w:ascii="Arial" w:hAnsi="Arial" w:cs="Arial"/>
            <w:sz w:val="20"/>
          </w:rPr>
          <w:fldChar w:fldCharType="separate"/>
        </w:r>
        <w:r w:rsidR="00323F4A">
          <w:rPr>
            <w:rFonts w:ascii="Arial" w:hAnsi="Arial" w:cs="Arial"/>
            <w:noProof/>
            <w:sz w:val="20"/>
          </w:rPr>
          <w:t>7</w:t>
        </w:r>
        <w:r w:rsidRPr="00BF2A38">
          <w:rPr>
            <w:rFonts w:ascii="Arial" w:hAnsi="Arial" w:cs="Arial"/>
            <w:sz w:val="20"/>
          </w:rPr>
          <w:fldChar w:fldCharType="end"/>
        </w:r>
      </w:p>
    </w:sdtContent>
  </w:sdt>
  <w:p w:rsidR="001B49A9" w:rsidRPr="00BF2A38" w:rsidRDefault="001B49A9" w:rsidP="008738A1">
    <w:pPr>
      <w:pStyle w:val="Footer"/>
      <w:spacing w:before="120"/>
      <w:jc w:val="right"/>
      <w:rPr>
        <w:rFonts w:ascii="Arial" w:hAnsi="Arial" w:cs="Arial"/>
        <w:sz w:val="16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9A9" w:rsidRDefault="001B49A9">
      <w:r>
        <w:separator/>
      </w:r>
    </w:p>
  </w:footnote>
  <w:footnote w:type="continuationSeparator" w:id="0">
    <w:p w:rsidR="001B49A9" w:rsidRDefault="001B4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A9" w:rsidRPr="008738A1" w:rsidRDefault="00BF1253" w:rsidP="008738A1">
    <w:pPr>
      <w:pStyle w:val="Header"/>
      <w:jc w:val="center"/>
      <w:rPr>
        <w:rFonts w:ascii="Arial" w:hAnsi="Arial" w:cs="Arial"/>
        <w:b/>
        <w:sz w:val="20"/>
      </w:rPr>
    </w:pPr>
    <w:fldSimple w:instr=" DOCPROPERTY CLASSIFICATION \* MERGEFORMAT ">
      <w:r w:rsidR="00323F4A">
        <w:t>UNCLASSIFIED</w:t>
      </w:r>
    </w:fldSimple>
    <w:r w:rsidR="001B49A9" w:rsidRPr="008738A1">
      <w:rPr>
        <w:rFonts w:ascii="Arial" w:hAnsi="Arial" w:cs="Arial"/>
        <w:b/>
        <w:sz w:val="20"/>
      </w:rPr>
      <w:t xml:space="preserve"> </w:t>
    </w:r>
    <w:r>
      <w:fldChar w:fldCharType="begin"/>
    </w:r>
    <w:r w:rsidR="001B49A9">
      <w:instrText xml:space="preserve"> DOCPROPERTY PRIVACY  \* MERGEFORMAT </w:instrText>
    </w:r>
    <w:r>
      <w:fldChar w:fldCharType="end"/>
    </w:r>
  </w:p>
  <w:p w:rsidR="001B49A9" w:rsidRDefault="001B49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A9" w:rsidRDefault="001B49A9">
    <w:pPr>
      <w:pStyle w:val="Header"/>
      <w:jc w:val="right"/>
      <w:rPr>
        <w:rFonts w:ascii="Times New Roman" w:hAnsi="Times New Roman"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4A" w:rsidRDefault="00323F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340"/>
    <w:multiLevelType w:val="hybridMultilevel"/>
    <w:tmpl w:val="4566E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2E5A1E"/>
    <w:multiLevelType w:val="hybridMultilevel"/>
    <w:tmpl w:val="388491FA"/>
    <w:lvl w:ilvl="0" w:tplc="8D6E3D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B61C7"/>
    <w:multiLevelType w:val="hybridMultilevel"/>
    <w:tmpl w:val="99783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0B5E7F"/>
    <w:multiLevelType w:val="hybridMultilevel"/>
    <w:tmpl w:val="68FC1C8E"/>
    <w:lvl w:ilvl="0" w:tplc="C6A65CFE">
      <w:start w:val="1"/>
      <w:numFmt w:val="upperLetter"/>
      <w:lvlText w:val="%1."/>
      <w:lvlJc w:val="left"/>
      <w:pPr>
        <w:ind w:left="75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C41CCC"/>
    <w:multiLevelType w:val="hybridMultilevel"/>
    <w:tmpl w:val="CBF4E844"/>
    <w:lvl w:ilvl="0" w:tplc="051EB76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806261"/>
    <w:multiLevelType w:val="hybridMultilevel"/>
    <w:tmpl w:val="B6C4353A"/>
    <w:lvl w:ilvl="0" w:tplc="E81886E0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1E0A1C19"/>
    <w:multiLevelType w:val="hybridMultilevel"/>
    <w:tmpl w:val="3CBC4A32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1E172005"/>
    <w:multiLevelType w:val="hybridMultilevel"/>
    <w:tmpl w:val="122435B4"/>
    <w:lvl w:ilvl="0" w:tplc="79DA258C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1F622386"/>
    <w:multiLevelType w:val="hybridMultilevel"/>
    <w:tmpl w:val="0A5E1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52C07"/>
    <w:multiLevelType w:val="hybridMultilevel"/>
    <w:tmpl w:val="25048B88"/>
    <w:lvl w:ilvl="0" w:tplc="8B0260F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3765DD"/>
    <w:multiLevelType w:val="hybridMultilevel"/>
    <w:tmpl w:val="14E2A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831EA"/>
    <w:multiLevelType w:val="hybridMultilevel"/>
    <w:tmpl w:val="C2E07E16"/>
    <w:lvl w:ilvl="0" w:tplc="051EB76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7E421970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21324F"/>
    <w:multiLevelType w:val="hybridMultilevel"/>
    <w:tmpl w:val="5816D92A"/>
    <w:lvl w:ilvl="0" w:tplc="A17234D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752F63"/>
    <w:multiLevelType w:val="hybridMultilevel"/>
    <w:tmpl w:val="E170391C"/>
    <w:lvl w:ilvl="0" w:tplc="57942DB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000000" w:themeColor="tex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64363D"/>
    <w:multiLevelType w:val="hybridMultilevel"/>
    <w:tmpl w:val="83E2D6C4"/>
    <w:lvl w:ilvl="0" w:tplc="C66476A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05300F"/>
    <w:multiLevelType w:val="hybridMultilevel"/>
    <w:tmpl w:val="E3A25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2B563D"/>
    <w:multiLevelType w:val="hybridMultilevel"/>
    <w:tmpl w:val="CFDCE8A6"/>
    <w:lvl w:ilvl="0" w:tplc="18306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830A8D2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74266"/>
    <w:multiLevelType w:val="hybridMultilevel"/>
    <w:tmpl w:val="8C1C9FFE"/>
    <w:lvl w:ilvl="0" w:tplc="5E72D2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B86444"/>
    <w:multiLevelType w:val="hybridMultilevel"/>
    <w:tmpl w:val="E2DE13C0"/>
    <w:lvl w:ilvl="0" w:tplc="09A4320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6E1078"/>
    <w:multiLevelType w:val="hybridMultilevel"/>
    <w:tmpl w:val="3828D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4802F3"/>
    <w:multiLevelType w:val="hybridMultilevel"/>
    <w:tmpl w:val="800A8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182BB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A5698A"/>
    <w:multiLevelType w:val="hybridMultilevel"/>
    <w:tmpl w:val="411C597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58CF4C72"/>
    <w:multiLevelType w:val="hybridMultilevel"/>
    <w:tmpl w:val="7756B8DA"/>
    <w:lvl w:ilvl="0" w:tplc="2BEA314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397BB6"/>
    <w:multiLevelType w:val="hybridMultilevel"/>
    <w:tmpl w:val="6EE26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4D66FE"/>
    <w:multiLevelType w:val="hybridMultilevel"/>
    <w:tmpl w:val="3788E9C4"/>
    <w:lvl w:ilvl="0" w:tplc="8BDE5A82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C622AC"/>
    <w:multiLevelType w:val="hybridMultilevel"/>
    <w:tmpl w:val="9E603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9F0E11"/>
    <w:multiLevelType w:val="hybridMultilevel"/>
    <w:tmpl w:val="91E23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040DE"/>
    <w:multiLevelType w:val="hybridMultilevel"/>
    <w:tmpl w:val="4D124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49189B"/>
    <w:multiLevelType w:val="hybridMultilevel"/>
    <w:tmpl w:val="3712F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43FE4"/>
    <w:multiLevelType w:val="hybridMultilevel"/>
    <w:tmpl w:val="86EEC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512592"/>
    <w:multiLevelType w:val="hybridMultilevel"/>
    <w:tmpl w:val="0F384CDE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3832C5D"/>
    <w:multiLevelType w:val="hybridMultilevel"/>
    <w:tmpl w:val="B93A734C"/>
    <w:lvl w:ilvl="0" w:tplc="FE8E2F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1"/>
  </w:num>
  <w:num w:numId="3">
    <w:abstractNumId w:val="7"/>
  </w:num>
  <w:num w:numId="4">
    <w:abstractNumId w:val="29"/>
  </w:num>
  <w:num w:numId="5">
    <w:abstractNumId w:val="21"/>
  </w:num>
  <w:num w:numId="6">
    <w:abstractNumId w:val="17"/>
  </w:num>
  <w:num w:numId="7">
    <w:abstractNumId w:val="14"/>
  </w:num>
  <w:num w:numId="8">
    <w:abstractNumId w:val="26"/>
  </w:num>
  <w:num w:numId="9">
    <w:abstractNumId w:val="24"/>
  </w:num>
  <w:num w:numId="10">
    <w:abstractNumId w:val="1"/>
  </w:num>
  <w:num w:numId="11">
    <w:abstractNumId w:val="22"/>
  </w:num>
  <w:num w:numId="12">
    <w:abstractNumId w:val="18"/>
  </w:num>
  <w:num w:numId="13">
    <w:abstractNumId w:val="9"/>
  </w:num>
  <w:num w:numId="14">
    <w:abstractNumId w:val="12"/>
  </w:num>
  <w:num w:numId="15">
    <w:abstractNumId w:val="5"/>
  </w:num>
  <w:num w:numId="16">
    <w:abstractNumId w:val="4"/>
  </w:num>
  <w:num w:numId="17">
    <w:abstractNumId w:val="10"/>
  </w:num>
  <w:num w:numId="18">
    <w:abstractNumId w:val="3"/>
  </w:num>
  <w:num w:numId="19">
    <w:abstractNumId w:val="28"/>
  </w:num>
  <w:num w:numId="20">
    <w:abstractNumId w:val="11"/>
  </w:num>
  <w:num w:numId="21">
    <w:abstractNumId w:val="30"/>
  </w:num>
  <w:num w:numId="22">
    <w:abstractNumId w:val="6"/>
  </w:num>
  <w:num w:numId="23">
    <w:abstractNumId w:val="0"/>
  </w:num>
  <w:num w:numId="24">
    <w:abstractNumId w:val="27"/>
  </w:num>
  <w:num w:numId="25">
    <w:abstractNumId w:val="13"/>
  </w:num>
  <w:num w:numId="26">
    <w:abstractNumId w:val="25"/>
  </w:num>
  <w:num w:numId="27">
    <w:abstractNumId w:val="16"/>
  </w:num>
  <w:num w:numId="28">
    <w:abstractNumId w:val="23"/>
  </w:num>
  <w:num w:numId="29">
    <w:abstractNumId w:val="2"/>
  </w:num>
  <w:num w:numId="30">
    <w:abstractNumId w:val="20"/>
  </w:num>
  <w:num w:numId="31">
    <w:abstractNumId w:val="13"/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4F64ED"/>
    <w:rsid w:val="00005B1D"/>
    <w:rsid w:val="0001024D"/>
    <w:rsid w:val="00024248"/>
    <w:rsid w:val="0002662B"/>
    <w:rsid w:val="00044062"/>
    <w:rsid w:val="00055355"/>
    <w:rsid w:val="000563E0"/>
    <w:rsid w:val="000626D6"/>
    <w:rsid w:val="00070564"/>
    <w:rsid w:val="00071493"/>
    <w:rsid w:val="00074947"/>
    <w:rsid w:val="0008491A"/>
    <w:rsid w:val="000A63AB"/>
    <w:rsid w:val="000B2061"/>
    <w:rsid w:val="000B2932"/>
    <w:rsid w:val="000D5CD5"/>
    <w:rsid w:val="000E7E4C"/>
    <w:rsid w:val="000F65B5"/>
    <w:rsid w:val="001107D7"/>
    <w:rsid w:val="00111F4B"/>
    <w:rsid w:val="00117F1E"/>
    <w:rsid w:val="00145904"/>
    <w:rsid w:val="001609BE"/>
    <w:rsid w:val="00185777"/>
    <w:rsid w:val="00192599"/>
    <w:rsid w:val="001A085E"/>
    <w:rsid w:val="001A0E83"/>
    <w:rsid w:val="001A4164"/>
    <w:rsid w:val="001B49A9"/>
    <w:rsid w:val="001B4E3A"/>
    <w:rsid w:val="001B6C91"/>
    <w:rsid w:val="001C3780"/>
    <w:rsid w:val="001D7D83"/>
    <w:rsid w:val="00200047"/>
    <w:rsid w:val="0021334A"/>
    <w:rsid w:val="002134EC"/>
    <w:rsid w:val="00235CE9"/>
    <w:rsid w:val="002375CC"/>
    <w:rsid w:val="00237BDE"/>
    <w:rsid w:val="002412D9"/>
    <w:rsid w:val="002524B6"/>
    <w:rsid w:val="00255D61"/>
    <w:rsid w:val="00270F6E"/>
    <w:rsid w:val="0028087F"/>
    <w:rsid w:val="00285F04"/>
    <w:rsid w:val="00287011"/>
    <w:rsid w:val="00297641"/>
    <w:rsid w:val="002A7096"/>
    <w:rsid w:val="002B0180"/>
    <w:rsid w:val="002C13DA"/>
    <w:rsid w:val="002C1FEB"/>
    <w:rsid w:val="002C4F74"/>
    <w:rsid w:val="002D328A"/>
    <w:rsid w:val="002D6530"/>
    <w:rsid w:val="002D7C5A"/>
    <w:rsid w:val="002F547D"/>
    <w:rsid w:val="00314A3C"/>
    <w:rsid w:val="00323F4A"/>
    <w:rsid w:val="00335B0B"/>
    <w:rsid w:val="00336BE0"/>
    <w:rsid w:val="00336DB1"/>
    <w:rsid w:val="00340C9B"/>
    <w:rsid w:val="00355787"/>
    <w:rsid w:val="00365966"/>
    <w:rsid w:val="00381099"/>
    <w:rsid w:val="00383FA9"/>
    <w:rsid w:val="003857C3"/>
    <w:rsid w:val="00392805"/>
    <w:rsid w:val="003957E0"/>
    <w:rsid w:val="003A55AB"/>
    <w:rsid w:val="003A6D7B"/>
    <w:rsid w:val="003B5318"/>
    <w:rsid w:val="003B655A"/>
    <w:rsid w:val="003D5A4E"/>
    <w:rsid w:val="003E1F5F"/>
    <w:rsid w:val="003E3537"/>
    <w:rsid w:val="003E3B5B"/>
    <w:rsid w:val="003E51CF"/>
    <w:rsid w:val="003E7D91"/>
    <w:rsid w:val="003F29CD"/>
    <w:rsid w:val="00401189"/>
    <w:rsid w:val="00405A81"/>
    <w:rsid w:val="00406F5E"/>
    <w:rsid w:val="00434921"/>
    <w:rsid w:val="00436C71"/>
    <w:rsid w:val="00437861"/>
    <w:rsid w:val="00440023"/>
    <w:rsid w:val="0044546C"/>
    <w:rsid w:val="00465F0D"/>
    <w:rsid w:val="00467BE1"/>
    <w:rsid w:val="00471B3C"/>
    <w:rsid w:val="004758F9"/>
    <w:rsid w:val="004825BA"/>
    <w:rsid w:val="004864EA"/>
    <w:rsid w:val="0049759C"/>
    <w:rsid w:val="004A21C7"/>
    <w:rsid w:val="004A3275"/>
    <w:rsid w:val="004B34DD"/>
    <w:rsid w:val="004B3FF4"/>
    <w:rsid w:val="004D0BE7"/>
    <w:rsid w:val="004D7421"/>
    <w:rsid w:val="004F1547"/>
    <w:rsid w:val="004F1ECA"/>
    <w:rsid w:val="004F64ED"/>
    <w:rsid w:val="00504FC3"/>
    <w:rsid w:val="00505E5F"/>
    <w:rsid w:val="00511526"/>
    <w:rsid w:val="00511D60"/>
    <w:rsid w:val="00524692"/>
    <w:rsid w:val="0052731B"/>
    <w:rsid w:val="00535569"/>
    <w:rsid w:val="00535966"/>
    <w:rsid w:val="00540BEF"/>
    <w:rsid w:val="00542E83"/>
    <w:rsid w:val="005538C8"/>
    <w:rsid w:val="00560DAE"/>
    <w:rsid w:val="00562965"/>
    <w:rsid w:val="00566A88"/>
    <w:rsid w:val="00570344"/>
    <w:rsid w:val="00572132"/>
    <w:rsid w:val="005746E2"/>
    <w:rsid w:val="00584338"/>
    <w:rsid w:val="005A6514"/>
    <w:rsid w:val="005B032B"/>
    <w:rsid w:val="005B2D7F"/>
    <w:rsid w:val="005B3CD8"/>
    <w:rsid w:val="005B7E39"/>
    <w:rsid w:val="005C0FCF"/>
    <w:rsid w:val="005C3A16"/>
    <w:rsid w:val="005D6EC5"/>
    <w:rsid w:val="005E13BF"/>
    <w:rsid w:val="005E1D18"/>
    <w:rsid w:val="005E2D1A"/>
    <w:rsid w:val="005F04F5"/>
    <w:rsid w:val="005F49DB"/>
    <w:rsid w:val="006011DD"/>
    <w:rsid w:val="00603EC3"/>
    <w:rsid w:val="00610D42"/>
    <w:rsid w:val="00622138"/>
    <w:rsid w:val="00627810"/>
    <w:rsid w:val="00643C50"/>
    <w:rsid w:val="00653B9D"/>
    <w:rsid w:val="0066234E"/>
    <w:rsid w:val="00664B7D"/>
    <w:rsid w:val="00670665"/>
    <w:rsid w:val="006712B9"/>
    <w:rsid w:val="006902FB"/>
    <w:rsid w:val="006A4DFA"/>
    <w:rsid w:val="006A6480"/>
    <w:rsid w:val="006C4187"/>
    <w:rsid w:val="006D1439"/>
    <w:rsid w:val="006D2951"/>
    <w:rsid w:val="006E0CEB"/>
    <w:rsid w:val="006F3B7B"/>
    <w:rsid w:val="006F7C64"/>
    <w:rsid w:val="00705041"/>
    <w:rsid w:val="00712B25"/>
    <w:rsid w:val="007146F4"/>
    <w:rsid w:val="007246BD"/>
    <w:rsid w:val="007316B7"/>
    <w:rsid w:val="00733D91"/>
    <w:rsid w:val="007375F2"/>
    <w:rsid w:val="00761CE0"/>
    <w:rsid w:val="0077035D"/>
    <w:rsid w:val="00771F33"/>
    <w:rsid w:val="007752BD"/>
    <w:rsid w:val="00776A1D"/>
    <w:rsid w:val="00790803"/>
    <w:rsid w:val="007921E2"/>
    <w:rsid w:val="00796A7A"/>
    <w:rsid w:val="0079708E"/>
    <w:rsid w:val="007A4659"/>
    <w:rsid w:val="007A4ABF"/>
    <w:rsid w:val="007C3D0F"/>
    <w:rsid w:val="007C7F6C"/>
    <w:rsid w:val="007D4CD1"/>
    <w:rsid w:val="007D4E12"/>
    <w:rsid w:val="007E4A82"/>
    <w:rsid w:val="0080063F"/>
    <w:rsid w:val="00810C5D"/>
    <w:rsid w:val="00812D84"/>
    <w:rsid w:val="00815F85"/>
    <w:rsid w:val="0082371A"/>
    <w:rsid w:val="00832B83"/>
    <w:rsid w:val="00834FD0"/>
    <w:rsid w:val="00840B83"/>
    <w:rsid w:val="0084711C"/>
    <w:rsid w:val="008473D0"/>
    <w:rsid w:val="008738A1"/>
    <w:rsid w:val="00887BA4"/>
    <w:rsid w:val="0089215D"/>
    <w:rsid w:val="0089399C"/>
    <w:rsid w:val="00897895"/>
    <w:rsid w:val="008A3782"/>
    <w:rsid w:val="008A68E2"/>
    <w:rsid w:val="008A78B2"/>
    <w:rsid w:val="008F6CE9"/>
    <w:rsid w:val="00906A7D"/>
    <w:rsid w:val="00907CFA"/>
    <w:rsid w:val="00913D9A"/>
    <w:rsid w:val="00914BA3"/>
    <w:rsid w:val="00915A04"/>
    <w:rsid w:val="009316D0"/>
    <w:rsid w:val="00934A45"/>
    <w:rsid w:val="0097069E"/>
    <w:rsid w:val="00996636"/>
    <w:rsid w:val="009A0902"/>
    <w:rsid w:val="009C3337"/>
    <w:rsid w:val="009E4606"/>
    <w:rsid w:val="009F4173"/>
    <w:rsid w:val="00A0279D"/>
    <w:rsid w:val="00A14942"/>
    <w:rsid w:val="00A25AA0"/>
    <w:rsid w:val="00A25BD2"/>
    <w:rsid w:val="00A44170"/>
    <w:rsid w:val="00A57DC3"/>
    <w:rsid w:val="00A61082"/>
    <w:rsid w:val="00A64305"/>
    <w:rsid w:val="00A73A53"/>
    <w:rsid w:val="00A76661"/>
    <w:rsid w:val="00A84A4E"/>
    <w:rsid w:val="00A94B21"/>
    <w:rsid w:val="00AA0E5F"/>
    <w:rsid w:val="00AA4FFF"/>
    <w:rsid w:val="00AB4160"/>
    <w:rsid w:val="00AB49AF"/>
    <w:rsid w:val="00AC3758"/>
    <w:rsid w:val="00AD16E6"/>
    <w:rsid w:val="00AF273A"/>
    <w:rsid w:val="00AF39D0"/>
    <w:rsid w:val="00AF501F"/>
    <w:rsid w:val="00B00F45"/>
    <w:rsid w:val="00B11515"/>
    <w:rsid w:val="00B135A6"/>
    <w:rsid w:val="00B2275E"/>
    <w:rsid w:val="00B26306"/>
    <w:rsid w:val="00B54205"/>
    <w:rsid w:val="00B55039"/>
    <w:rsid w:val="00B5737E"/>
    <w:rsid w:val="00B71E53"/>
    <w:rsid w:val="00B87DEE"/>
    <w:rsid w:val="00B9257A"/>
    <w:rsid w:val="00BA01EC"/>
    <w:rsid w:val="00BB390C"/>
    <w:rsid w:val="00BB6CDF"/>
    <w:rsid w:val="00BC62CD"/>
    <w:rsid w:val="00BD2238"/>
    <w:rsid w:val="00BD2367"/>
    <w:rsid w:val="00BF1253"/>
    <w:rsid w:val="00BF2A38"/>
    <w:rsid w:val="00BF424F"/>
    <w:rsid w:val="00C000F6"/>
    <w:rsid w:val="00C06678"/>
    <w:rsid w:val="00C12119"/>
    <w:rsid w:val="00C31B18"/>
    <w:rsid w:val="00C40B3B"/>
    <w:rsid w:val="00C414C7"/>
    <w:rsid w:val="00C44761"/>
    <w:rsid w:val="00C50375"/>
    <w:rsid w:val="00C67112"/>
    <w:rsid w:val="00C812C1"/>
    <w:rsid w:val="00C9668D"/>
    <w:rsid w:val="00CA39EF"/>
    <w:rsid w:val="00CA3F7A"/>
    <w:rsid w:val="00CB1FE1"/>
    <w:rsid w:val="00CD7190"/>
    <w:rsid w:val="00CE2690"/>
    <w:rsid w:val="00CE5D06"/>
    <w:rsid w:val="00CF75DC"/>
    <w:rsid w:val="00D024FC"/>
    <w:rsid w:val="00D036E4"/>
    <w:rsid w:val="00D03F93"/>
    <w:rsid w:val="00D36F9B"/>
    <w:rsid w:val="00D502C5"/>
    <w:rsid w:val="00D51B85"/>
    <w:rsid w:val="00D6089C"/>
    <w:rsid w:val="00D6229F"/>
    <w:rsid w:val="00D76161"/>
    <w:rsid w:val="00D86EA8"/>
    <w:rsid w:val="00DB32F6"/>
    <w:rsid w:val="00DB32FF"/>
    <w:rsid w:val="00DE7BF1"/>
    <w:rsid w:val="00DF17C8"/>
    <w:rsid w:val="00DF7676"/>
    <w:rsid w:val="00E01DFB"/>
    <w:rsid w:val="00E048ED"/>
    <w:rsid w:val="00E04FE3"/>
    <w:rsid w:val="00E10BA7"/>
    <w:rsid w:val="00E10EEF"/>
    <w:rsid w:val="00E2342E"/>
    <w:rsid w:val="00E25F8A"/>
    <w:rsid w:val="00E274A0"/>
    <w:rsid w:val="00E31F13"/>
    <w:rsid w:val="00E32EB7"/>
    <w:rsid w:val="00E450BE"/>
    <w:rsid w:val="00E456BA"/>
    <w:rsid w:val="00E54478"/>
    <w:rsid w:val="00E614FD"/>
    <w:rsid w:val="00E7272A"/>
    <w:rsid w:val="00E73157"/>
    <w:rsid w:val="00E76502"/>
    <w:rsid w:val="00E85A59"/>
    <w:rsid w:val="00E908C8"/>
    <w:rsid w:val="00EA6B9D"/>
    <w:rsid w:val="00EB1CDD"/>
    <w:rsid w:val="00EC33C9"/>
    <w:rsid w:val="00EC33F2"/>
    <w:rsid w:val="00ED3C9D"/>
    <w:rsid w:val="00ED3CC8"/>
    <w:rsid w:val="00ED4C6F"/>
    <w:rsid w:val="00F03FA7"/>
    <w:rsid w:val="00F052D1"/>
    <w:rsid w:val="00F067F2"/>
    <w:rsid w:val="00F23560"/>
    <w:rsid w:val="00F2773F"/>
    <w:rsid w:val="00F316B2"/>
    <w:rsid w:val="00F472D2"/>
    <w:rsid w:val="00F533D0"/>
    <w:rsid w:val="00F56ADC"/>
    <w:rsid w:val="00F62E95"/>
    <w:rsid w:val="00F67BD3"/>
    <w:rsid w:val="00F71CAF"/>
    <w:rsid w:val="00F7227D"/>
    <w:rsid w:val="00F76ED2"/>
    <w:rsid w:val="00F8643B"/>
    <w:rsid w:val="00FA5DEE"/>
    <w:rsid w:val="00FB0B41"/>
    <w:rsid w:val="00FB3065"/>
    <w:rsid w:val="00FB58AC"/>
    <w:rsid w:val="00FC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AA0"/>
    <w:rPr>
      <w:rFonts w:ascii="Comic Sans MS" w:hAnsi="Comic Sans MS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25AA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25AA0"/>
    <w:pPr>
      <w:keepNext/>
      <w:jc w:val="right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rsid w:val="00A25AA0"/>
    <w:pPr>
      <w:keepNext/>
      <w:outlineLvl w:val="2"/>
    </w:pPr>
    <w:rPr>
      <w:rFonts w:ascii="Times New Roman" w:hAnsi="Times New Roman"/>
      <w:b/>
      <w:bCs/>
      <w:i/>
      <w:iCs/>
      <w:sz w:val="24"/>
    </w:rPr>
  </w:style>
  <w:style w:type="paragraph" w:styleId="Heading4">
    <w:name w:val="heading 4"/>
    <w:basedOn w:val="Normal"/>
    <w:next w:val="Normal"/>
    <w:qFormat/>
    <w:rsid w:val="00A25AA0"/>
    <w:pPr>
      <w:keepNext/>
      <w:framePr w:hSpace="180" w:wrap="notBeside" w:hAnchor="margin" w:y="732"/>
      <w:outlineLvl w:val="3"/>
    </w:pPr>
    <w:rPr>
      <w:rFonts w:ascii="Times New Roman" w:hAnsi="Times New Roman"/>
      <w:i/>
      <w:iCs/>
    </w:rPr>
  </w:style>
  <w:style w:type="paragraph" w:styleId="Heading5">
    <w:name w:val="heading 5"/>
    <w:basedOn w:val="Normal"/>
    <w:next w:val="Normal"/>
    <w:qFormat/>
    <w:rsid w:val="00A25AA0"/>
    <w:pPr>
      <w:keepNext/>
      <w:outlineLvl w:val="4"/>
    </w:pPr>
    <w:rPr>
      <w:rFonts w:ascii="Times New Roman" w:hAnsi="Times New Roman"/>
      <w:b/>
      <w:bCs/>
      <w:sz w:val="24"/>
    </w:rPr>
  </w:style>
  <w:style w:type="paragraph" w:styleId="Heading6">
    <w:name w:val="heading 6"/>
    <w:basedOn w:val="Normal"/>
    <w:next w:val="Normal"/>
    <w:qFormat/>
    <w:rsid w:val="00A25AA0"/>
    <w:pPr>
      <w:keepNext/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qFormat/>
    <w:rsid w:val="00A25AA0"/>
    <w:pPr>
      <w:keepNext/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5AA0"/>
    <w:rPr>
      <w:b/>
      <w:bCs/>
    </w:rPr>
  </w:style>
  <w:style w:type="paragraph" w:styleId="Caption">
    <w:name w:val="caption"/>
    <w:basedOn w:val="Normal"/>
    <w:next w:val="Normal"/>
    <w:qFormat/>
    <w:rsid w:val="00A25AA0"/>
    <w:rPr>
      <w:b/>
      <w:bCs/>
    </w:rPr>
  </w:style>
  <w:style w:type="paragraph" w:styleId="BodyTextIndent">
    <w:name w:val="Body Text Indent"/>
    <w:basedOn w:val="Normal"/>
    <w:semiHidden/>
    <w:rsid w:val="00A25AA0"/>
    <w:pPr>
      <w:ind w:left="720" w:hanging="720"/>
    </w:pPr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semiHidden/>
    <w:rsid w:val="00A25A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25A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25AA0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A25AA0"/>
    <w:rPr>
      <w:rFonts w:ascii="Times New Roman" w:hAnsi="Times New Roman"/>
      <w:sz w:val="24"/>
    </w:rPr>
  </w:style>
  <w:style w:type="paragraph" w:customStyle="1" w:styleId="Default">
    <w:name w:val="Default"/>
    <w:rsid w:val="007D4E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3">
    <w:name w:val="Body Text 3"/>
    <w:basedOn w:val="Normal"/>
    <w:semiHidden/>
    <w:rsid w:val="00A25AA0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25A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7D7"/>
    <w:rPr>
      <w:color w:val="800080"/>
      <w:u w:val="single"/>
    </w:rPr>
  </w:style>
  <w:style w:type="paragraph" w:customStyle="1" w:styleId="Pa6">
    <w:name w:val="Pa6"/>
    <w:basedOn w:val="Default"/>
    <w:next w:val="Default"/>
    <w:uiPriority w:val="99"/>
    <w:rsid w:val="00117F1E"/>
    <w:pPr>
      <w:spacing w:line="171" w:lineRule="atLeast"/>
    </w:pPr>
    <w:rPr>
      <w:rFonts w:ascii="Frutiger 45 Light" w:hAnsi="Frutiger 45 Light"/>
      <w:color w:val="auto"/>
    </w:rPr>
  </w:style>
  <w:style w:type="paragraph" w:customStyle="1" w:styleId="Pa4">
    <w:name w:val="Pa4"/>
    <w:basedOn w:val="Default"/>
    <w:next w:val="Default"/>
    <w:uiPriority w:val="99"/>
    <w:rsid w:val="0044546C"/>
    <w:pPr>
      <w:spacing w:line="201" w:lineRule="atLeast"/>
    </w:pPr>
    <w:rPr>
      <w:rFonts w:ascii="FrutigerNextLT Light" w:hAnsi="FrutigerNextLT Light"/>
      <w:color w:val="auto"/>
    </w:rPr>
  </w:style>
  <w:style w:type="paragraph" w:customStyle="1" w:styleId="Pa7">
    <w:name w:val="Pa7"/>
    <w:basedOn w:val="Default"/>
    <w:next w:val="Default"/>
    <w:uiPriority w:val="99"/>
    <w:rsid w:val="0044546C"/>
    <w:pPr>
      <w:spacing w:line="241" w:lineRule="atLeast"/>
    </w:pPr>
    <w:rPr>
      <w:rFonts w:ascii="FrutigerNextLT" w:hAnsi="FrutigerNextLT"/>
      <w:color w:val="auto"/>
    </w:rPr>
  </w:style>
  <w:style w:type="table" w:styleId="TableGrid">
    <w:name w:val="Table Grid"/>
    <w:basedOn w:val="TableNormal"/>
    <w:uiPriority w:val="59"/>
    <w:rsid w:val="00771F33"/>
    <w:rPr>
      <w:rFonts w:ascii="Arial Narrow" w:eastAsia="Calibri" w:hAnsi="Arial Narrow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Dot pt,List Paragraph1,Colorful List - Accent 11,No Spacing1,List Paragraph Char Char Char,Indicator Text,Numbered Para 1,Bullet 1,F5 List Paragraph,Bullet Points,List Paragraph2,MAIN CONTENT,Normal numbered,List Paragraph12,OBC Bullet,L"/>
    <w:basedOn w:val="Normal"/>
    <w:link w:val="ListParagraphChar"/>
    <w:uiPriority w:val="34"/>
    <w:qFormat/>
    <w:rsid w:val="00C12119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40B3B"/>
    <w:rPr>
      <w:rFonts w:ascii="Comic Sans MS" w:hAnsi="Comic Sans MS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13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3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34A"/>
    <w:rPr>
      <w:rFonts w:ascii="Comic Sans MS" w:hAnsi="Comic Sans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34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32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28A"/>
    <w:rPr>
      <w:rFonts w:ascii="Comic Sans MS" w:hAnsi="Comic Sans MS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D328A"/>
    <w:rPr>
      <w:vertAlign w:val="superscript"/>
    </w:rPr>
  </w:style>
  <w:style w:type="character" w:customStyle="1" w:styleId="ListParagraphChar">
    <w:name w:val="List Paragraph Char"/>
    <w:aliases w:val="Dot pt Char,List Paragraph1 Char,Colorful List - Accent 11 Char,No Spacing1 Char,List Paragraph Char Char Char Char,Indicator Text Char,Numbered Para 1 Char,Bullet 1 Char,F5 List Paragraph Char,Bullet Points Char,List Paragraph2 Char"/>
    <w:basedOn w:val="DefaultParagraphFont"/>
    <w:link w:val="ListParagraph"/>
    <w:uiPriority w:val="34"/>
    <w:qFormat/>
    <w:locked/>
    <w:rsid w:val="00D6229F"/>
    <w:rPr>
      <w:rFonts w:ascii="Comic Sans MS" w:hAnsi="Comic Sans MS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80063F"/>
    <w:rPr>
      <w:rFonts w:ascii="Comic Sans MS" w:hAnsi="Comic Sans MS"/>
      <w:sz w:val="2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rdreport.fco.gov.uk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overnment/publications/magna-carta-partnership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oecd.org/dac/stats/daclist.htm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://www.hrdreport.fco.gov.u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collections/project-evaluation-documents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CO Content Type" ma:contentTypeID="0x010100E71A2716C18B4E96A9B0461156806FFA00D603A772A505714D8FDABB422B40E0D6001C1214CB5C104E48A0083934020649A5" ma:contentTypeVersion="0" ma:contentTypeDescription="A content type for managing FCO Document Libraries." ma:contentTypeScope="" ma:versionID="42da358c2569e370c15394e8be02149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b3237ae7ecbd86c8342a19157aa77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lternativeTitle" minOccurs="0"/>
                <xsd:element ref="ns1:BusinessUnit" minOccurs="0"/>
                <xsd:element ref="ns1:GeographicalCoverage" minOccurs="0"/>
                <xsd:element ref="ns1:Classification"/>
                <xsd:element ref="ns1:Privac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lternativeTitle" ma:index="8" nillable="true" ma:displayName="Alternative Title" ma:description="An alternative name to assist in the identification and retrieval of the document." ma:internalName="AlternativeTitle">
      <xsd:simpleType>
        <xsd:restriction base="dms:Text"/>
      </xsd:simpleType>
    </xsd:element>
    <xsd:element name="BusinessUnit" ma:index="10" nillable="true" ma:displayName="Business Unit" ma:description="The owning FCO organisational unit within which the document was created." ma:internalName="BusinessUnit">
      <xsd:simpleType>
        <xsd:restriction base="dms:Text"/>
      </xsd:simpleType>
    </xsd:element>
    <xsd:element name="GeographicalCoverage" ma:index="11" nillable="true" ma:displayName="Geographical Coverage" ma:default="&#10;     United Kingdom&#10;    " ma:description="The geographic region the document is related to." ma:internalName="GeographicalCoverage">
      <xsd:simpleType>
        <xsd:restriction base="dms:Choice">
          <xsd:enumeration value="United Kingdom"/>
          <xsd:enumeration value="Abkhasia"/>
          <xsd:enumeration value="Abu Dhabi"/>
          <xsd:enumeration value="Adriatic Sea"/>
          <xsd:enumeration value="Adygeya"/>
          <xsd:enumeration value="Aegean Sea"/>
          <xsd:enumeration value="Afghanistan"/>
          <xsd:enumeration value="Africa"/>
          <xsd:enumeration value="Ajaria"/>
          <xsd:enumeration value="Ajman"/>
          <xsd:enumeration value="Akrotiri"/>
          <xsd:enumeration value="Alabama"/>
          <xsd:enumeration value="Alaska"/>
          <xsd:enumeration value="Albania"/>
          <xsd:enumeration value="Alderney"/>
          <xsd:enumeration value="Algeria"/>
          <xsd:enumeration value="Altay"/>
          <xsd:enumeration value="America"/>
          <xsd:enumeration value="American Samoa"/>
          <xsd:enumeration value="Americas"/>
          <xsd:enumeration value="Andaman and Nicobar Islands"/>
          <xsd:enumeration value="Andorra"/>
          <xsd:enumeration value="Anglesey"/>
          <xsd:enumeration value="Angola"/>
          <xsd:enumeration value="Anguilla"/>
          <xsd:enumeration value="Antarctic"/>
          <xsd:enumeration value="Antarctica"/>
          <xsd:enumeration value="Antigua and Barbuda"/>
          <xsd:enumeration value="Antrim"/>
          <xsd:enumeration value="Arab Republic of Egypt"/>
          <xsd:enumeration value="Arabian Sea"/>
          <xsd:enumeration value="Aral Sea"/>
          <xsd:enumeration value="Arctic Ocean"/>
          <xsd:enumeration value="Argentina"/>
          <xsd:enumeration value="Argentine Republic"/>
          <xsd:enumeration value="Arizona"/>
          <xsd:enumeration value="Arkansas"/>
          <xsd:enumeration value="Armagh"/>
          <xsd:enumeration value="Armenia"/>
          <xsd:enumeration value="Aruba"/>
          <xsd:enumeration value="Ascension"/>
          <xsd:enumeration value="Ashmore and Cartier Islands"/>
          <xsd:enumeration value="Asia"/>
          <xsd:enumeration value="Atafu"/>
          <xsd:enumeration value="Atlantic Ocean"/>
          <xsd:enumeration value="Austral Islands"/>
          <xsd:enumeration value="Australia"/>
          <xsd:enumeration value="Australian Antarctic Territory"/>
          <xsd:enumeration value="Australian external territories"/>
          <xsd:enumeration value="Austria"/>
          <xsd:enumeration value="Azad Jammu and Kashmir"/>
          <xsd:enumeration value="Azad Kashmir plus Northern Areas"/>
          <xsd:enumeration value="Azerbaijan"/>
          <xsd:enumeration value="Azores"/>
          <xsd:enumeration value="Bahamas, The"/>
          <xsd:enumeration value="Bahrain"/>
          <xsd:enumeration value="Baker Island"/>
          <xsd:enumeration value="Balearic Islands"/>
          <xsd:enumeration value="Baltic Sea"/>
          <xsd:enumeration value="Baltic States"/>
          <xsd:enumeration value="Bangladesh"/>
          <xsd:enumeration value="Barbados"/>
          <xsd:enumeration value="Barents Sea"/>
          <xsd:enumeration value="Bashkortostan"/>
          <xsd:enumeration value="Bassa da India"/>
          <xsd:enumeration value="Bay of Bengal"/>
          <xsd:enumeration value="Bay of Biscay"/>
          <xsd:enumeration value="Beaufort Sea"/>
          <xsd:enumeration value="Belarus"/>
          <xsd:enumeration value="Belgium"/>
          <xsd:enumeration value="Belize"/>
          <xsd:enumeration value="Benin"/>
          <xsd:enumeration value="Bering Sea"/>
          <xsd:enumeration value="Bering Strait"/>
          <xsd:enumeration value="Bermuda"/>
          <xsd:enumeration value="Bhutan"/>
          <xsd:enumeration value="Black Sea"/>
          <xsd:enumeration value="Bolivarian Republic of Venezuela"/>
          <xsd:enumeration value="Bolivia"/>
          <xsd:enumeration value="Bonaire"/>
          <xsd:enumeration value="Bosnia and Herzegovina"/>
          <xsd:enumeration value="Botswana"/>
          <xsd:enumeration value="Bouvet Island"/>
          <xsd:enumeration value="Brazil"/>
          <xsd:enumeration value="Brecqhou"/>
          <xsd:enumeration value="British Antarctic Territory"/>
          <xsd:enumeration value="British Indian Ocean Territory"/>
          <xsd:enumeration value="British Virgin Islands"/>
          <xsd:enumeration value="Brunei"/>
          <xsd:enumeration value="Brunei Darussalam"/>
          <xsd:enumeration value="Bulgaria"/>
          <xsd:enumeration value="Burhou"/>
          <xsd:enumeration value="Burkina"/>
          <xsd:enumeration value="Burkina Faso"/>
          <xsd:enumeration value="Burma"/>
          <xsd:enumeration value="Burundi"/>
          <xsd:enumeration value="Buryatiya"/>
          <xsd:enumeration value="Cabinda"/>
          <xsd:enumeration value="Cabrera"/>
          <xsd:enumeration value="California"/>
          <xsd:enumeration value="Cambodia"/>
          <xsd:enumeration value="Cameroon"/>
          <xsd:enumeration value="Canada"/>
          <xsd:enumeration value="Canary Islands"/>
          <xsd:enumeration value="Cape Verde"/>
          <xsd:enumeration value="Caribbean Sea"/>
          <xsd:enumeration value="Carlow"/>
          <xsd:enumeration value="Caroline Islands"/>
          <xsd:enumeration value="Caspian Sea"/>
          <xsd:enumeration value="Caucasus"/>
          <xsd:enumeration value="Cavan"/>
          <xsd:enumeration value="Cayman Islands"/>
          <xsd:enumeration value="Celebes Sea"/>
          <xsd:enumeration value="Central African Republic"/>
          <xsd:enumeration value="Central America"/>
          <xsd:enumeration value="Central America and Caribbean"/>
          <xsd:enumeration value="Central Asia"/>
          <xsd:enumeration value="Ceuta"/>
          <xsd:enumeration value="Ceylon"/>
          <xsd:enumeration value="Chad"/>
          <xsd:enumeration value="Chagos Archipelago"/>
          <xsd:enumeration value="Channel Islands"/>
          <xsd:enumeration value="Chechnya"/>
          <xsd:enumeration value="Chile"/>
          <xsd:enumeration value="China"/>
          <xsd:enumeration value="Christmas Island"/>
          <xsd:enumeration value="Chuckchi Sea"/>
          <xsd:enumeration value="Chuvashiya"/>
          <xsd:enumeration value="Clare"/>
          <xsd:enumeration value="Clipperton Island"/>
          <xsd:enumeration value="Cocos Islands"/>
          <xsd:enumeration value="Colombia"/>
          <xsd:enumeration value="Colorado"/>
          <xsd:enumeration value="Commonwealth of Australia"/>
          <xsd:enumeration value="Commonwealth of Dominica"/>
          <xsd:enumeration value="Commonwealth of The Bahamas"/>
          <xsd:enumeration value="Commonwealth of the Northern Mariana Islands"/>
          <xsd:enumeration value="Comoros"/>
          <xsd:enumeration value="Comoros Islands"/>
          <xsd:enumeration value="Congo"/>
          <xsd:enumeration value="Congo (Democratic Republic)"/>
          <xsd:enumeration value="Congo Brazzaville"/>
          <xsd:enumeration value="Congo Kinshasa"/>
          <xsd:enumeration value="Connacht"/>
          <xsd:enumeration value="Connecticut"/>
          <xsd:enumeration value="Cook Islands"/>
          <xsd:enumeration value="Co-operative Republic of Guyana"/>
          <xsd:enumeration value="Coral Sea"/>
          <xsd:enumeration value="Coral Sea Islands"/>
          <xsd:enumeration value="Cork"/>
          <xsd:enumeration value="Corsica"/>
          <xsd:enumeration value="Costa Rica"/>
          <xsd:enumeration value="Cote d'Ivoire"/>
          <xsd:enumeration value="Croatia"/>
          <xsd:enumeration value="Crown Dependencies"/>
          <xsd:enumeration value="Cuba"/>
          <xsd:enumeration value="Curacao"/>
          <xsd:enumeration value="Cyprus"/>
          <xsd:enumeration value="Cyprus (Island of)"/>
          <xsd:enumeration value="Czech Republic"/>
          <xsd:enumeration value="Dagestan"/>
          <xsd:enumeration value="Delaware"/>
          <xsd:enumeration value="Democratic People's Republic of Korea"/>
          <xsd:enumeration value="Democratic Republic of Sao Tome and Principe"/>
          <xsd:enumeration value="Democratic Republic of the Congo"/>
          <xsd:enumeration value="Democratic Republic of Timor-Leste"/>
          <xsd:enumeration value="Democratic Socialist Republic of Sri Lanka"/>
          <xsd:enumeration value="Denmark"/>
          <xsd:enumeration value="Denmark Sea"/>
          <xsd:enumeration value="Dhekelia"/>
          <xsd:enumeration value="Diego Garcia"/>
          <xsd:enumeration value="District of Columbia"/>
          <xsd:enumeration value="Djibouti"/>
          <xsd:enumeration value="Dominica"/>
          <xsd:enumeration value="Dominican Republic"/>
          <xsd:enumeration value="Donegal"/>
          <xsd:enumeration value="Down"/>
          <xsd:enumeration value="Dubai"/>
          <xsd:enumeration value="Dublin"/>
          <xsd:enumeration value="East"/>
          <xsd:enumeration value="East Africa"/>
          <xsd:enumeration value="East Asia"/>
          <xsd:enumeration value="East China Sea"/>
          <xsd:enumeration value="East Jerusalem"/>
          <xsd:enumeration value="East Sea"/>
          <xsd:enumeration value="East Timor"/>
          <xsd:enumeration value="Easter Island"/>
          <xsd:enumeration value="Eastern Caribbean"/>
          <xsd:enumeration value="Eastern Europe"/>
          <xsd:enumeration value="Ecuador"/>
          <xsd:enumeration value="Egypt"/>
          <xsd:enumeration value="Eire"/>
          <xsd:enumeration value="El Hierro"/>
          <xsd:enumeration value="El Salvador"/>
          <xsd:enumeration value="England"/>
          <xsd:enumeration value="English Channel"/>
          <xsd:enumeration value="Equatorial Guinea"/>
          <xsd:enumeration value="Eritrea"/>
          <xsd:enumeration value="Estonia"/>
          <xsd:enumeration value="Ethiopia"/>
          <xsd:enumeration value="Europa Island"/>
          <xsd:enumeration value="Europe"/>
          <xsd:enumeration value="Faeroe Islands"/>
          <xsd:enumeration value="Fakaofo"/>
          <xsd:enumeration value="Falkland Islands"/>
          <xsd:enumeration value="Far East"/>
          <xsd:enumeration value="Federal Democratic Republic of Ethiopia"/>
          <xsd:enumeration value="Federal Republic of Germany"/>
          <xsd:enumeration value="Federal Republic of Nigeria"/>
          <xsd:enumeration value="Federated States of Micronesia"/>
          <xsd:enumeration value="Federation of Saint Christopher and Nevis"/>
          <xsd:enumeration value="Federative Republic of Brazil"/>
          <xsd:enumeration value="Fermanagh"/>
          <xsd:enumeration value="Fiji"/>
          <xsd:enumeration value="Finland"/>
          <xsd:enumeration value="Florida"/>
          <xsd:enumeration value="Formentera"/>
          <xsd:enumeration value="Former Yugoslav Republic of Macedonia"/>
          <xsd:enumeration value="Former Yugoslavia Republic of Serbia and Montenegro"/>
          <xsd:enumeration value="France"/>
          <xsd:enumeration value="Franz Josef Land"/>
          <xsd:enumeration value="French Guiana"/>
          <xsd:enumeration value="French Overseas Departments"/>
          <xsd:enumeration value="French Overseas Territories"/>
          <xsd:enumeration value="French Polynesia"/>
          <xsd:enumeration value="French Republic"/>
          <xsd:enumeration value="French Southern and Antarctic Lands"/>
          <xsd:enumeration value="Fuerteventura"/>
          <xsd:enumeration value="Fujairah"/>
          <xsd:enumeration value="Gabon"/>
          <xsd:enumeration value="Gabonese Republic"/>
          <xsd:enumeration value="Galapagos"/>
          <xsd:enumeration value="Galapagos Islands"/>
          <xsd:enumeration value="Galway"/>
          <xsd:enumeration value="Gambia, The"/>
          <xsd:enumeration value="Gambier Islands"/>
          <xsd:enumeration value="Gaza Strip"/>
          <xsd:enumeration value="Georgia"/>
          <xsd:enumeration value="Georgia (US State)"/>
          <xsd:enumeration value="Germany"/>
          <xsd:enumeration value="Ghana"/>
          <xsd:enumeration value="Gibraltar"/>
          <xsd:enumeration value="Gilbert Islands"/>
          <xsd:enumeration value="Glorioso Islands"/>
          <xsd:enumeration value="Gough Island"/>
          <xsd:enumeration value="Gozo"/>
          <xsd:enumeration value="Gran Canaria"/>
          <xsd:enumeration value="Grand Duchy of Luxembourg"/>
          <xsd:enumeration value="Great Sark"/>
          <xsd:enumeration value="Great Socialist People's Libyan Arab Jamahiriya"/>
          <xsd:enumeration value="Greece"/>
          <xsd:enumeration value="Greenland"/>
          <xsd:enumeration value="Greenland Sea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lf of Mexico"/>
          <xsd:enumeration value="Gulf of Thailand"/>
          <xsd:enumeration value="Gulf Region"/>
          <xsd:enumeration value="Guyana"/>
          <xsd:enumeration value="Haiti"/>
          <xsd:enumeration value="Hashemite Kingdom of Jordan"/>
          <xsd:enumeration value="Hawaii"/>
          <xsd:enumeration value="Heard Island and McDonald Islands"/>
          <xsd:enumeration value="Hebrides"/>
          <xsd:enumeration value="Hellenic Republic"/>
          <xsd:enumeration value="Herm"/>
          <xsd:enumeration value="Holland"/>
          <xsd:enumeration value="Honduras"/>
          <xsd:enumeration value="Hong Kong"/>
          <xsd:enumeration value="Hong Kong Special Administrative Region"/>
          <xsd:enumeration value="Howland Island"/>
          <xsd:enumeration value="Hungary"/>
          <xsd:enumeration value="Ibiza"/>
          <xsd:enumeration value="Iceland"/>
          <xsd:enumeration value="Idaho"/>
          <xsd:enumeration value="Illinois"/>
          <xsd:enumeration value="Independent State of Papua New Guinea"/>
          <xsd:enumeration value="Independent State of Samoa"/>
          <xsd:enumeration value="India"/>
          <xsd:enumeration value="Indian Ocean"/>
          <xsd:enumeration value="Indiana"/>
          <xsd:enumeration value="Indonesia"/>
          <xsd:enumeration value="Ingushetiya"/>
          <xsd:enumeration value="International Waters"/>
          <xsd:enumeration value="Iowa"/>
          <xsd:enumeration value="Iran"/>
          <xsd:enumeration value="Iraq"/>
          <xsd:enumeration value="Ireland, Republic of"/>
          <xsd:enumeration value="Irish Sea"/>
          <xsd:enumeration value="Islamic Republic of Afghanistan"/>
          <xsd:enumeration value="Islamic Republic of Iran"/>
          <xsd:enumeration value="Islamic Republic of Mauritania"/>
          <xsd:enumeration value="Islamic Republic of Pakistan"/>
          <xsd:enumeration value="Islas Malvinas"/>
          <xsd:enumeration value="Isle of Man"/>
          <xsd:enumeration value="Israel"/>
          <xsd:enumeration value="Italian Republic"/>
          <xsd:enumeration value="Italy"/>
          <xsd:enumeration value="Ivory Coast"/>
          <xsd:enumeration value="Jamaica"/>
          <xsd:enumeration value="Jammu &amp; Kashmir"/>
          <xsd:enumeration value="Jan Mayen"/>
          <xsd:enumeration value="Japan"/>
          <xsd:enumeration value="Jarvis Island"/>
          <xsd:enumeration value="Jersey"/>
          <xsd:enumeration value="Jethou"/>
          <xsd:enumeration value="Johnston Atoll"/>
          <xsd:enumeration value="Jordan"/>
          <xsd:enumeration value="Juan de Nova Island"/>
          <xsd:enumeration value="Kabardino-Balkariya"/>
          <xsd:enumeration value="Kaliningrad"/>
          <xsd:enumeration value="Kalmykiya"/>
          <xsd:enumeration value="Kampuchea"/>
          <xsd:enumeration value="Kansas"/>
          <xsd:enumeration value="Kara Sea"/>
          <xsd:enumeration value="Karachayevo-Cherkesiya"/>
          <xsd:enumeration value="Kareliya"/>
          <xsd:enumeration value="Kazakhstan"/>
          <xsd:enumeration value="Keeling Islands"/>
          <xsd:enumeration value="Kentucky"/>
          <xsd:enumeration value="Kenya"/>
          <xsd:enumeration value="Kerry"/>
          <xsd:enumeration value="Khakasiya"/>
          <xsd:enumeration value="Khmer Republic"/>
          <xsd:enumeration value="Kildare"/>
          <xsd:enumeration value="Kilkenny"/>
          <xsd:enumeration value="Kingdom of Bahrain"/>
          <xsd:enumeration value="Kingdom of Belgium"/>
          <xsd:enumeration value="Kingdom of Bhutan"/>
          <xsd:enumeration value="Kingdom of Cambodia"/>
          <xsd:enumeration value="Kingdom of Denmark"/>
          <xsd:enumeration value="Kingdom of Lesotho"/>
          <xsd:enumeration value="Kingdom of Morocco"/>
          <xsd:enumeration value="Kingdom of Nepal"/>
          <xsd:enumeration value="Kingdom of Norway"/>
          <xsd:enumeration value="Kingdom of Saudi Arabia"/>
          <xsd:enumeration value="Kingdom of Spain"/>
          <xsd:enumeration value="Kingdom of Swaziland"/>
          <xsd:enumeration value="Kingdom of Sweden"/>
          <xsd:enumeration value="Kingdom of Thailand"/>
          <xsd:enumeration value="Kingdom of the Netherlands"/>
          <xsd:enumeration value="Kingdom of Tonga"/>
          <xsd:enumeration value="Kingman Reef"/>
          <xsd:enumeration value="Kiribati"/>
          <xsd:enumeration value="Komi"/>
          <xsd:enumeration value="Korea, North"/>
          <xsd:enumeration value="Korea, South"/>
          <xsd:enumeration value="Kosovo"/>
          <xsd:enumeration value="Kurdish territories"/>
          <xsd:enumeration value="Kuwait"/>
          <xsd:enumeration value="Kyrgyz Republic"/>
          <xsd:enumeration value="Kyrgyzstan"/>
          <xsd:enumeration value="La Gomera"/>
          <xsd:enumeration value="La Graciosa"/>
          <xsd:enumeration value="La Palma"/>
          <xsd:enumeration value="Lampedusa"/>
          <xsd:enumeration value="Lanzarote"/>
          <xsd:enumeration value="Lao People's Democratic Republic"/>
          <xsd:enumeration value="Laoighis"/>
          <xsd:enumeration value="Laos"/>
          <xsd:enumeration value="Latvia"/>
          <xsd:enumeration value="Lebanese Republic"/>
          <xsd:enumeration value="Lebanon"/>
          <xsd:enumeration value="Leinster"/>
          <xsd:enumeration value="Leitrim"/>
          <xsd:enumeration value="Lesotho"/>
          <xsd:enumeration value="Liberia"/>
          <xsd:enumeration value="Libya"/>
          <xsd:enumeration value="Liechtenstein"/>
          <xsd:enumeration value="Lihou"/>
          <xsd:enumeration value="Limerick"/>
          <xsd:enumeration value="Line Islands"/>
          <xsd:enumeration value="Lithuania"/>
          <xsd:enumeration value="Little Sark"/>
          <xsd:enumeration value="London"/>
          <xsd:enumeration value="Londonderry"/>
          <xsd:enumeration value="Longford"/>
          <xsd:enumeration value="Louisiana"/>
          <xsd:enumeration value="Louth"/>
          <xsd:enumeration value="Luxembourg"/>
          <xsd:enumeration value="Macao"/>
          <xsd:enumeration value="Macao Special Administrative Region"/>
          <xsd:enumeration value="Macedonia"/>
          <xsd:enumeration value="Madagascar"/>
          <xsd:enumeration value="Madeira"/>
          <xsd:enumeration value="Maine"/>
          <xsd:enumeration value="Majorca"/>
          <xsd:enumeration value="Malawi"/>
          <xsd:enumeration value="Malaysia"/>
          <xsd:enumeration value="Maldives"/>
          <xsd:enumeration value="Mali"/>
          <xsd:enumeration value="Malta"/>
          <xsd:enumeration value="Mariy El"/>
          <xsd:enumeration value="Marquesas Islands"/>
          <xsd:enumeration value="Marshall Islands"/>
          <xsd:enumeration value="Martinique"/>
          <xsd:enumeration value="Maryland"/>
          <xsd:enumeration value="Massachusetts"/>
          <xsd:enumeration value="Mauritania"/>
          <xsd:enumeration value="Mauritius"/>
          <xsd:enumeration value="Mayo"/>
          <xsd:enumeration value="Mayotte"/>
          <xsd:enumeration value="Meath"/>
          <xsd:enumeration value="Mediterranean Sea"/>
          <xsd:enumeration value="Melilla"/>
          <xsd:enumeration value="Mexico"/>
          <xsd:enumeration value="Michigan"/>
          <xsd:enumeration value="Micronesia"/>
          <xsd:enumeration value="Middle East"/>
          <xsd:enumeration value="Midlands"/>
          <xsd:enumeration value="Midway Islands"/>
          <xsd:enumeration value="Minnesota"/>
          <xsd:enumeration value="Minorca"/>
          <xsd:enumeration value="Mississippi"/>
          <xsd:enumeration value="Missouri"/>
          <xsd:enumeration value="Moldova"/>
          <xsd:enumeration value="Monaco"/>
          <xsd:enumeration value="Monaghan"/>
          <xsd:enumeration value="Mongolia"/>
          <xsd:enumeration value="Montana"/>
          <xsd:enumeration value="Montenegro"/>
          <xsd:enumeration value="Montserrat"/>
          <xsd:enumeration value="Mordoviya"/>
          <xsd:enumeration value="Morocco"/>
          <xsd:enumeration value="Mozambique"/>
          <xsd:enumeration value="Munster"/>
          <xsd:enumeration value="Mururoa"/>
          <xsd:enumeration value="Musandam"/>
          <xsd:enumeration value="Muscat and Oman"/>
          <xsd:enumeration value="Namibia"/>
          <xsd:enumeration value="Nauru"/>
          <xsd:enumeration value="Navassa Island"/>
          <xsd:enumeration value="Near East"/>
          <xsd:enumeration value="Nebraska"/>
          <xsd:enumeration value="Nepal"/>
          <xsd:enumeration value="Netherlands"/>
          <xsd:enumeration value="Netherlands Antilles"/>
          <xsd:enumeration value="Netherlands dependencies"/>
          <xsd:enumeration value="Nevada"/>
          <xsd:enumeration value="New Hampshire"/>
          <xsd:enumeration value="New Hebrides"/>
          <xsd:enumeration value="New Jersey"/>
          <xsd:enumeration value="New Mexico"/>
          <xsd:enumeration value="New York"/>
          <xsd:enumeration value="New Zealand"/>
          <xsd:enumeration value="New Zealand dependent territories"/>
          <xsd:enumeration value="Nicaragua"/>
          <xsd:enumeration value="Niger"/>
          <xsd:enumeration value="Nigeria"/>
          <xsd:enumeration value="Niue"/>
          <xsd:enumeration value="Norfolk Island"/>
          <xsd:enumeration value="North Africa"/>
          <xsd:enumeration value="North America"/>
          <xsd:enumeration value="North Atlantic Ocean"/>
          <xsd:enumeration value="North Carolina"/>
          <xsd:enumeration value="North Dakota"/>
          <xsd:enumeration value="North East"/>
          <xsd:enumeration value="North Korea"/>
          <xsd:enumeration value="North Ossetia"/>
          <xsd:enumeration value="North Pacific Ocean"/>
          <xsd:enumeration value="North Sea"/>
          <xsd:enumeration value="North West"/>
          <xsd:enumeration value="Northern Cyprus"/>
          <xsd:enumeration value="Northern Europe"/>
          <xsd:enumeration value="Northern Ireland"/>
          <xsd:enumeration value="Northern Mariana Islands"/>
          <xsd:enumeration value="Northern Marianas"/>
          <xsd:enumeration value="Norway"/>
          <xsd:enumeration value="Norwegian Sea"/>
          <xsd:enumeration value="Norwegian Territories"/>
          <xsd:enumeration value="Novaya Zemlya"/>
          <xsd:enumeration value="Nukunonu"/>
          <xsd:enumeration value="Occupied Palestinian Territories"/>
          <xsd:enumeration value="Occupied Territories"/>
          <xsd:enumeration value="Oceania"/>
          <xsd:enumeration value="Offaly"/>
          <xsd:enumeration value="Ohio"/>
          <xsd:enumeration value="Oklahoma"/>
          <xsd:enumeration value="Oman"/>
          <xsd:enumeration value="Oregon"/>
          <xsd:enumeration value="Oriental Republic of Uruguay"/>
          <xsd:enumeration value="Orkney Islands"/>
          <xsd:enumeration value="Pacific Ocean"/>
          <xsd:enumeration value="Pakistan"/>
          <xsd:enumeration value="Palau"/>
          <xsd:enumeration value="Palestine"/>
          <xsd:enumeration value="Palestinian Territories"/>
          <xsd:enumeration value="Palmyra Atoll"/>
          <xsd:enumeration value="Panama"/>
          <xsd:enumeration value="Papua New Guinea"/>
          <xsd:enumeration value="Paracel Islands"/>
          <xsd:enumeration value="Paraguay"/>
          <xsd:enumeration value="Pennsylvania"/>
          <xsd:enumeration value="People's Democratic Republic of Algeria"/>
          <xsd:enumeration value="People's Republic of Bangladesh"/>
          <xsd:enumeration value="People's Republic of China"/>
          <xsd:enumeration value="Persian Gulf"/>
          <xsd:enumeration value="Peru"/>
          <xsd:enumeration value="Philippine Sea"/>
          <xsd:enumeration value="Philippines"/>
          <xsd:enumeration value="Phoenix Islands"/>
          <xsd:enumeration value="Pitcairn Islands"/>
          <xsd:enumeration value="Pitcairn, Henderson, Duce and Oeno Islands"/>
          <xsd:enumeration value="Poland"/>
          <xsd:enumeration value="Portugal"/>
          <xsd:enumeration value="Portugal dependent territories"/>
          <xsd:enumeration value="Portuguese Republic"/>
          <xsd:enumeration value="PRC"/>
          <xsd:enumeration value="Principality of Andorra"/>
          <xsd:enumeration value="Principality of Liechtenstein"/>
          <xsd:enumeration value="Principality of Monaco"/>
          <xsd:enumeration value="Puerto Rico"/>
          <xsd:enumeration value="Qatar"/>
          <xsd:enumeration value="Ras al Khaimah"/>
          <xsd:enumeration value="Red Sea"/>
          <xsd:enumeration value="Republic of Albania"/>
          <xsd:enumeration value="Republic of Angola"/>
          <xsd:enumeration value="Republic of Armenia"/>
          <xsd:enumeration value="Republic of Austria"/>
          <xsd:enumeration value="Republic of Azerbaijan"/>
          <xsd:enumeration value="Republic of Belarus"/>
          <xsd:enumeration value="Republic of Benin"/>
          <xsd:enumeration value="Republic of Bolivia"/>
          <xsd:enumeration value="Republic of Botswana"/>
          <xsd:enumeration value="Republic of Burundi"/>
          <xsd:enumeration value="Republic of Cameroon"/>
          <xsd:enumeration value="Republic of Cape Verde"/>
          <xsd:enumeration value="Republic of Chad"/>
          <xsd:enumeration value="Republic of Chile"/>
          <xsd:enumeration value="Republic of China"/>
          <xsd:enumeration value="Republic of Colombia"/>
          <xsd:enumeration value="Republic of Costa Rica"/>
          <xsd:enumeration value="Republic of Cote d'Ivoire"/>
          <xsd:enumeration value="Republic of Croatia"/>
          <xsd:enumeration value="Republic of Cuba"/>
          <xsd:enumeration value="Republic of Djibouti"/>
          <xsd:enumeration value="Republic of Ecuador"/>
          <xsd:enumeration value="Republic of El Salvador"/>
          <xsd:enumeration value="Republic of Equatorial Guinea"/>
          <xsd:enumeration value="Republic of Estonia"/>
          <xsd:enumeration value="Republic of Finland"/>
          <xsd:enumeration value="Republic of Ghana"/>
          <xsd:enumeration value="Republic of Guatemala"/>
          <xsd:enumeration value="Republic of Guinea"/>
          <xsd:enumeration value="Republic of Guinea-Bissau"/>
          <xsd:enumeration value="Republic of Haiti"/>
          <xsd:enumeration value="Republic of Honduras"/>
          <xsd:enumeration value="Republic of Hungary"/>
          <xsd:enumeration value="Republic of Iceland"/>
          <xsd:enumeration value="Republic of India"/>
          <xsd:enumeration value="Republic of Indonesia"/>
          <xsd:enumeration value="Republic of Iraq"/>
          <xsd:enumeration value="Republic of Kazakhstan"/>
          <xsd:enumeration value="Republic of Kenya"/>
          <xsd:enumeration value="Republic of Kiribati"/>
          <xsd:enumeration value="Republic of Korea"/>
          <xsd:enumeration value="Republic of Latvia"/>
          <xsd:enumeration value="Republic of Liberia"/>
          <xsd:enumeration value="Republic of Lithuania"/>
          <xsd:enumeration value="Republic of Macedonia"/>
          <xsd:enumeration value="Republic of Madagascar"/>
          <xsd:enumeration value="Republic of Malawi"/>
          <xsd:enumeration value="Republic of Maldives"/>
          <xsd:enumeration value="Republic of Mali"/>
          <xsd:enumeration value="Republic of Malta"/>
          <xsd:enumeration value="Republic of Mauritius"/>
          <xsd:enumeration value="Republic of Moldova"/>
          <xsd:enumeration value="Republic of Montenegro"/>
          <xsd:enumeration value="Republic of Mozambique"/>
          <xsd:enumeration value="Republic of Namibia"/>
          <xsd:enumeration value="Republic of Nauru"/>
          <xsd:enumeration value="Republic of Nicaragua"/>
          <xsd:enumeration value="Republic of Niger"/>
          <xsd:enumeration value="Republic of Palau"/>
          <xsd:enumeration value="Republic of Panama"/>
          <xsd:enumeration value="Republic of Paraguay"/>
          <xsd:enumeration value="Republic of Peru"/>
          <xsd:enumeration value="Republic of Poland"/>
          <xsd:enumeration value="Republic of San Marino"/>
          <xsd:enumeration value="Republic of Senegal"/>
          <xsd:enumeration value="Republic of Serbia"/>
          <xsd:enumeration value="Republic of Seychelles"/>
          <xsd:enumeration value="Republic of Sierra Leone"/>
          <xsd:enumeration value="Republic of Singapore"/>
          <xsd:enumeration value="Republic of Slovenia"/>
          <xsd:enumeration value="Republic of South Africa"/>
          <xsd:enumeration value="Republic of Surinam"/>
          <xsd:enumeration value="Republic of Suriname"/>
          <xsd:enumeration value="Republic of Tajikistan"/>
          <xsd:enumeration value="Republic of the Congo"/>
          <xsd:enumeration value="Republic of the Fiji Islands"/>
          <xsd:enumeration value="Republic of The Gambia"/>
          <xsd:enumeration value="Republic of the Marshall Islands"/>
          <xsd:enumeration value="Republic of the Philippines"/>
          <xsd:enumeration value="Republic of the Sudan"/>
          <xsd:enumeration value="Republic of Trinidad and Tobago"/>
          <xsd:enumeration value="Republic of Uganda"/>
          <xsd:enumeration value="Republic of Uzbekistan"/>
          <xsd:enumeration value="Republic of Vanuatu"/>
          <xsd:enumeration value="Republic of Yemen"/>
          <xsd:enumeration value="Republic of Zambia"/>
          <xsd:enumeration value="Republic of Zimbabwe"/>
          <xsd:enumeration value="Reunion Island"/>
          <xsd:enumeration value="Rhode Island"/>
          <xsd:enumeration value="ROC"/>
          <xsd:enumeration value="Romania"/>
          <xsd:enumeration value="Roscommon"/>
          <xsd:enumeration value="Russia"/>
          <xsd:enumeration value="Russian Federation"/>
          <xsd:enumeration value="Rwanda"/>
          <xsd:enumeration value="Rwandese Republic"/>
          <xsd:enumeration value="Saba"/>
          <xsd:enumeration value="Saharan Arab Democratic Republic"/>
          <xsd:enumeration value="Saint Barthélemy"/>
          <xsd:enumeration value="Saint Vincent and the Grenadines"/>
          <xsd:enumeration value="Sakha"/>
          <xsd:enumeration value="Samoa"/>
          <xsd:enumeration value="San Marino"/>
          <xsd:enumeration value="Sao Tome and Principe"/>
          <xsd:enumeration value="Sardinia"/>
          <xsd:enumeration value="Sargasso Sea"/>
          <xsd:enumeration value="Sark"/>
          <xsd:enumeration value="Saudi Arabia"/>
          <xsd:enumeration value="Scotland"/>
          <xsd:enumeration value="Sea of Azov"/>
          <xsd:enumeration value="Sea of Japan"/>
          <xsd:enumeration value="Sea of Marmaris"/>
          <xsd:enumeration value="Sea of Okhotsk"/>
          <xsd:enumeration value="Senegal"/>
          <xsd:enumeration value="Serbia"/>
          <xsd:enumeration value="Serbia and Montenegro"/>
          <xsd:enumeration value="Severnaya Osetiya-Alaniya"/>
          <xsd:enumeration value="Seychelles"/>
          <xsd:enumeration value="Sharjah"/>
          <xsd:enumeration value="Shetland Isles"/>
          <xsd:enumeration value="Sicily"/>
          <xsd:enumeration value="Sierra Leone"/>
          <xsd:enumeration value="Singapore"/>
          <xsd:enumeration value="Sligo"/>
          <xsd:enumeration value="Slovak Republic"/>
          <xsd:enumeration value="Slovakia"/>
          <xsd:enumeration value="Slovenia"/>
          <xsd:enumeration value="Socialist Republic of Vietnam"/>
          <xsd:enumeration value="Society Archipelago"/>
          <xsd:enumeration value="Socotra"/>
          <xsd:enumeration value="Solomon Islands"/>
          <xsd:enumeration value="Somali Democratic Republic"/>
          <xsd:enumeration value="Somalia"/>
          <xsd:enumeration value="Soqotra"/>
          <xsd:enumeration value="South Africa"/>
          <xsd:enumeration value="South America"/>
          <xsd:enumeration value="South Asia"/>
          <xsd:enumeration value="South Atlantic Ocean"/>
          <xsd:enumeration value="South Carolina"/>
          <xsd:enumeration value="South China Sea"/>
          <xsd:enumeration value="South Dakota"/>
          <xsd:enumeration value="South East"/>
          <xsd:enumeration value="South Georgia and the South Sandwich Islands"/>
          <xsd:enumeration value="South Korea"/>
          <xsd:enumeration value="South Pacific Ocean"/>
          <xsd:enumeration value="South West"/>
          <xsd:enumeration value="South West Africa"/>
          <xsd:enumeration value="South East Asia"/>
          <xsd:enumeration value="Southern Africa"/>
          <xsd:enumeration value="Southern Europe"/>
          <xsd:enumeration value="Southern Ocean"/>
          <xsd:enumeration value="Spain"/>
          <xsd:enumeration value="Spanish Exclaves"/>
          <xsd:enumeration value="Spratly Islands"/>
          <xsd:enumeration value="Sri Lanka"/>
          <xsd:enumeration value="St Christopher and Nevis"/>
          <xsd:enumeration value="St Eustatius"/>
          <xsd:enumeration value="St Helena"/>
          <xsd:enumeration value="St Kitts and Nevis"/>
          <xsd:enumeration value="St Maarten"/>
          <xsd:enumeration value="St. Martin"/>
          <xsd:enumeration value="St Pierre and Miquelon"/>
          <xsd:enumeration value="St. Lucia"/>
          <xsd:enumeration value="St. Vincent and the Grenadines"/>
          <xsd:enumeration value="State of Eritrea"/>
          <xsd:enumeration value="State of Israel"/>
          <xsd:enumeration value="State of Kuwait"/>
          <xsd:enumeration value="State of Qatar"/>
          <xsd:enumeration value="Sudan"/>
          <xsd:enumeration value="Suez Canal"/>
          <xsd:enumeration value="Sultanate of Oman"/>
          <xsd:enumeration value="Surinam"/>
          <xsd:enumeration value="Suriname"/>
          <xsd:enumeration value="Svalbard"/>
          <xsd:enumeration value="Swaziland"/>
          <xsd:enumeration value="Sweden"/>
          <xsd:enumeration value="Swiss Confederation"/>
          <xsd:enumeration value="Switzerland"/>
          <xsd:enumeration value="Syria"/>
          <xsd:enumeration value="Syrian Arab Republic"/>
          <xsd:enumeration value="Tahiti"/>
          <xsd:enumeration value="Taiwan"/>
          <xsd:enumeration value="Tajikistan"/>
          <xsd:enumeration value="Tanzania"/>
          <xsd:enumeration value="Tasmania"/>
          <xsd:enumeration value="Tatarstan"/>
          <xsd:enumeration value="Tenerife"/>
          <xsd:enumeration value="Tennessee"/>
          <xsd:enumeration value="Texas"/>
          <xsd:enumeration value="Thailand"/>
          <xsd:enumeration value="Tipperary"/>
          <xsd:enumeration value="Togo"/>
          <xsd:enumeration value="Togolese Republic"/>
          <xsd:enumeration value="Tokelau Islands"/>
          <xsd:enumeration value="Tonga"/>
          <xsd:enumeration value="Transdniestra"/>
          <xsd:enumeration value="Trinidad and Tobago"/>
          <xsd:enumeration value="Tristan da Cunha"/>
          <xsd:enumeration value="TRNC"/>
          <xsd:enumeration value="Tromelin Island"/>
          <xsd:enumeration value="Trust Pacific Islands"/>
          <xsd:enumeration value="Tuamotu Archipelago"/>
          <xsd:enumeration value="Tubuai Islands"/>
          <xsd:enumeration value="Tunisia"/>
          <xsd:enumeration value="Tunisian Republic"/>
          <xsd:enumeration value="Turkey"/>
          <xsd:enumeration value="Turkish Republic of Northern Cyprus"/>
          <xsd:enumeration value="Turkmenistan"/>
          <xsd:enumeration value="Turks and Caicos Islands"/>
          <xsd:enumeration value="Tuvalu"/>
          <xsd:enumeration value="Tyrone"/>
          <xsd:enumeration value="Tyrrhenian Sea"/>
          <xsd:enumeration value="Tyva"/>
          <xsd:enumeration value="UAE"/>
          <xsd:enumeration value="Udmurtiya"/>
          <xsd:enumeration value="Uganda"/>
          <xsd:enumeration value="UK"/>
          <xsd:enumeration value="UK &amp; NI"/>
          <xsd:enumeration value="UK Overseas Territories"/>
          <xsd:enumeration value="UK sovereign territories"/>
          <xsd:enumeration value="Ukraine"/>
          <xsd:enumeration value="Ulster (Irish Republic counties)"/>
          <xsd:enumeration value="Ulster (NI counties)"/>
          <xsd:enumeration value="Umm al Qaiwain"/>
          <xsd:enumeration value="Union of Myanmar"/>
          <xsd:enumeration value="Union of the Comoros"/>
          <xsd:enumeration value="United Arab Emirates"/>
          <xsd:enumeration value="United Knigdom of Great Britain and Northern Ireland"/>
          <xsd:enumeration value="United Mexican States"/>
          <xsd:enumeration value="United Republic of Tanzania"/>
          <xsd:enumeration value="United States"/>
          <xsd:enumeration value="United States dependent territories"/>
          <xsd:enumeration value="United States of America"/>
          <xsd:enumeration value="United States Virgin Islands"/>
          <xsd:enumeration value="Uruguay"/>
          <xsd:enumeration value="US"/>
          <xsd:enumeration value="US dependent territories"/>
          <xsd:enumeration value="US Virgin Islands"/>
          <xsd:enumeration value="USA"/>
          <xsd:enumeration value="USA dependent territories"/>
          <xsd:enumeration value="USA Pacific Islands"/>
          <xsd:enumeration value="Utah"/>
          <xsd:enumeration value="Uzbekistan"/>
          <xsd:enumeration value="Vanuatu"/>
          <xsd:enumeration value="Vatican City"/>
          <xsd:enumeration value="Venezuela"/>
          <xsd:enumeration value="Vermont"/>
          <xsd:enumeration value="Vietnam"/>
          <xsd:enumeration value="Virgin Islands (UK)"/>
          <xsd:enumeration value="Virginia"/>
          <xsd:enumeration value="Wake Island"/>
          <xsd:enumeration value="Wales"/>
          <xsd:enumeration value="Wallis and Futuna"/>
          <xsd:enumeration value="Washington"/>
          <xsd:enumeration value="Waterford"/>
          <xsd:enumeration value="West Africa"/>
          <xsd:enumeration value="West Bank"/>
          <xsd:enumeration value="West Virginia"/>
          <xsd:enumeration value="Western Balkans"/>
          <xsd:enumeration value="Western Caribbean"/>
          <xsd:enumeration value="Western Europe"/>
          <xsd:enumeration value="Western Sahara"/>
          <xsd:enumeration value="Western Samoa"/>
          <xsd:enumeration value="Westmeath"/>
          <xsd:enumeration value="Wexford"/>
          <xsd:enumeration value="White Sea"/>
          <xsd:enumeration value="Wicklow"/>
          <xsd:enumeration value="Wisconsin"/>
          <xsd:enumeration value="Wyoming"/>
          <xsd:enumeration value="Yakutiya"/>
          <xsd:enumeration value="Yellow Sea"/>
          <xsd:enumeration value="Yemen"/>
          <xsd:enumeration value="Zaire"/>
          <xsd:enumeration value="Zambia"/>
          <xsd:enumeration value="Zimbabwe"/>
        </xsd:restriction>
      </xsd:simpleType>
    </xsd:element>
    <xsd:element name="Classification" ma:index="12" ma:displayName="Classfication" ma:description="The security classification of the document content." ma:internalName="Classification">
      <xsd:simpleType>
        <xsd:restriction base="dms:Choice">
          <xsd:enumeration value="UNCLASSIFIED"/>
          <xsd:enumeration value="UNCLASSIFIED BUT SENSITIVE"/>
        </xsd:restriction>
      </xsd:simpleType>
    </xsd:element>
    <xsd:element name="Privacy" ma:index="13" nillable="true" ma:displayName="Privacy" ma:description="Information about restrictions and permissions placed on access to view a document." ma:internalName="Privacy">
      <xsd:simpleType>
        <xsd:restriction base="dms:Choice">
          <xsd:enumeration value="APPOINTMENTS"/>
          <xsd:enumeration value="BUDGET"/>
          <xsd:enumeration value="COMMERCIAL"/>
          <xsd:enumeration value="CONSULAR"/>
          <xsd:enumeration value="CONTRACTS"/>
          <xsd:enumeration value="HONOURS"/>
          <xsd:enumeration value="INVESTIGATION"/>
          <xsd:enumeration value="LOCSEN"/>
          <xsd:enumeration value="MANAGEMENT"/>
          <xsd:enumeration value="MEDICAL"/>
          <xsd:enumeration value="NO SEC"/>
          <xsd:enumeration value="PERSONAL"/>
          <xsd:enumeration value="POLICY"/>
          <xsd:enumeration value="STAFF"/>
          <xsd:enumeration value="VISA"/>
          <xsd:enumeration value="VISITS"/>
          <xsd:enumeration value="WELFA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7" ma:displayName="Title"/>
        <xsd:element ref="dc:subject" minOccurs="0" maxOccurs="1"/>
        <xsd:element ref="dc:description" minOccurs="0" maxOccurs="1" ma:index="15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ivacy xmlns="http://schemas.microsoft.com/sharepoint/v3" xsi:nil="true"/>
    <GeographicalCoverage xmlns="http://schemas.microsoft.com/sharepoint/v3">United Kingdom</GeographicalCoverage>
    <BusinessUnit xmlns="http://schemas.microsoft.com/sharepoint/v3">HRDD</BusinessUnit>
    <AlternativeTitle xmlns="http://schemas.microsoft.com/sharepoint/v3" xsi:nil="true"/>
    <Classification xmlns="http://schemas.microsoft.com/sharepoint/v3">UNCLASSIFIED</Classificatio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62B0-452D-4B10-A34A-A38EEB517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A087FD-CDB7-45AF-AB88-FA104424716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79A931A-6316-4AF0-AF57-609BDDE05F7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E0EA1A9-3631-4012-AA3D-6E899A64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Strategy Template</vt:lpstr>
    </vt:vector>
  </TitlesOfParts>
  <Company>FCO</Company>
  <LinksUpToDate>false</LinksUpToDate>
  <CharactersWithSpaces>11235</CharactersWithSpaces>
  <SharedDoc>false</SharedDoc>
  <HLinks>
    <vt:vector size="18" baseType="variant">
      <vt:variant>
        <vt:i4>5636113</vt:i4>
      </vt:variant>
      <vt:variant>
        <vt:i4>6</vt:i4>
      </vt:variant>
      <vt:variant>
        <vt:i4>0</vt:i4>
      </vt:variant>
      <vt:variant>
        <vt:i4>5</vt:i4>
      </vt:variant>
      <vt:variant>
        <vt:lpwstr>http://ubs.sharepoint.fco.gov.uk/sites/finance/strategicfinance/oda/default.aspx</vt:lpwstr>
      </vt:variant>
      <vt:variant>
        <vt:lpwstr/>
      </vt:variant>
      <vt:variant>
        <vt:i4>3473469</vt:i4>
      </vt:variant>
      <vt:variant>
        <vt:i4>3</vt:i4>
      </vt:variant>
      <vt:variant>
        <vt:i4>0</vt:i4>
      </vt:variant>
      <vt:variant>
        <vt:i4>5</vt:i4>
      </vt:variant>
      <vt:variant>
        <vt:lpwstr>http://www.oecd.org/dac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http://www.oecd.org/dataoecd/9/50/48858205.pdf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Strategy Template</dc:title>
  <dc:subject>Programme Strategy Template</dc:subject>
  <dc:creator>user</dc:creator>
  <cp:keywords>Programme Strategy Template</cp:keywords>
  <cp:lastModifiedBy>jdirkarabedian</cp:lastModifiedBy>
  <cp:revision>2</cp:revision>
  <cp:lastPrinted>2016-01-18T09:24:00Z</cp:lastPrinted>
  <dcterms:created xsi:type="dcterms:W3CDTF">2016-07-27T10:52:00Z</dcterms:created>
  <dcterms:modified xsi:type="dcterms:W3CDTF">2016-07-27T10:52:00Z</dcterms:modified>
  <cp:contentType>FCO Content Type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graphicalCoverage">
    <vt:lpwstr> </vt:lpwstr>
  </property>
  <property fmtid="{D5CDD505-2E9C-101B-9397-08002B2CF9AE}" pid="3" name="Privacy">
    <vt:lpwstr/>
  </property>
  <property fmtid="{D5CDD505-2E9C-101B-9397-08002B2CF9AE}" pid="4" name="Classification">
    <vt:lpwstr>UNCLASSIFIED</vt:lpwstr>
  </property>
  <property fmtid="{D5CDD505-2E9C-101B-9397-08002B2CF9AE}" pid="5" name="AlternativeTitle">
    <vt:lpwstr/>
  </property>
  <property fmtid="{D5CDD505-2E9C-101B-9397-08002B2CF9AE}" pid="6" name="BusinessUnit">
    <vt:lpwstr> </vt:lpwstr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1799-12-31T00:00:00Z</vt:filetime>
  </property>
  <property fmtid="{D5CDD505-2E9C-101B-9397-08002B2CF9AE}" pid="12" name="MaintainMarking">
    <vt:lpwstr>True</vt:lpwstr>
  </property>
  <property fmtid="{D5CDD505-2E9C-101B-9397-08002B2CF9AE}" pid="13" name="MaintainPath">
    <vt:lpwstr>True</vt:lpwstr>
  </property>
  <property fmtid="{D5CDD505-2E9C-101B-9397-08002B2CF9AE}" pid="14" name="ContentType">
    <vt:lpwstr>Document</vt:lpwstr>
  </property>
  <property fmtid="{D5CDD505-2E9C-101B-9397-08002B2CF9AE}" pid="15" name="ContentTypeId">
    <vt:lpwstr>0x010100E71A2716C18B4E96A9B0461156806FFA00D603A772A505714D8FDABB422B40E0D6001C1214CB5C104E48A0083934020649A5</vt:lpwstr>
  </property>
</Properties>
</file>