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5C" w:rsidRPr="00D92ABD" w:rsidRDefault="0014105C" w:rsidP="00F13FBE">
      <w:pPr>
        <w:jc w:val="both"/>
        <w:rPr>
          <w:b/>
          <w:sz w:val="24"/>
          <w:szCs w:val="24"/>
        </w:rPr>
      </w:pPr>
      <w:r w:rsidRPr="00D92ABD">
        <w:rPr>
          <w:b/>
          <w:sz w:val="24"/>
          <w:szCs w:val="24"/>
        </w:rPr>
        <w:tab/>
      </w:r>
      <w:r w:rsidRPr="00D92ABD">
        <w:rPr>
          <w:b/>
          <w:sz w:val="24"/>
          <w:szCs w:val="24"/>
        </w:rPr>
        <w:tab/>
        <w:t xml:space="preserve">                           TERMS OF REFERENCE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409"/>
        <w:gridCol w:w="1985"/>
        <w:gridCol w:w="2977"/>
      </w:tblGrid>
      <w:tr w:rsidR="0014105C" w:rsidRPr="00D92ABD" w:rsidTr="00A465F4">
        <w:trPr>
          <w:trHeight w:val="253"/>
        </w:trPr>
        <w:tc>
          <w:tcPr>
            <w:tcW w:w="2802" w:type="dxa"/>
          </w:tcPr>
          <w:p w:rsidR="0014105C" w:rsidRPr="00D92ABD" w:rsidRDefault="0014105C" w:rsidP="00297B27">
            <w:pPr>
              <w:spacing w:after="0" w:line="240" w:lineRule="auto"/>
              <w:rPr>
                <w:b/>
              </w:rPr>
            </w:pPr>
            <w:r w:rsidRPr="00D92ABD">
              <w:rPr>
                <w:b/>
              </w:rPr>
              <w:t>Project Title</w:t>
            </w:r>
          </w:p>
        </w:tc>
        <w:tc>
          <w:tcPr>
            <w:tcW w:w="7371" w:type="dxa"/>
            <w:gridSpan w:val="3"/>
          </w:tcPr>
          <w:p w:rsidR="0014105C" w:rsidRPr="004B7E56" w:rsidRDefault="007E5859" w:rsidP="00913D4D">
            <w:pPr>
              <w:spacing w:after="0" w:line="240" w:lineRule="auto"/>
            </w:pPr>
            <w:r>
              <w:rPr>
                <w:b/>
              </w:rPr>
              <w:t>I</w:t>
            </w:r>
            <w:r w:rsidR="00393C4C">
              <w:rPr>
                <w:b/>
              </w:rPr>
              <w:t>nformation campaign on</w:t>
            </w:r>
            <w:r w:rsidR="00206DD1" w:rsidRPr="00DF057F">
              <w:rPr>
                <w:b/>
              </w:rPr>
              <w:t xml:space="preserve"> Energy </w:t>
            </w:r>
            <w:r w:rsidR="006F01EF">
              <w:rPr>
                <w:b/>
              </w:rPr>
              <w:t xml:space="preserve">Efficiency </w:t>
            </w:r>
            <w:r w:rsidR="00206DD1" w:rsidRPr="00DF057F">
              <w:rPr>
                <w:b/>
              </w:rPr>
              <w:t>in Ukraine</w:t>
            </w:r>
          </w:p>
        </w:tc>
      </w:tr>
      <w:tr w:rsidR="0014105C" w:rsidRPr="00D92ABD" w:rsidTr="00A465F4">
        <w:tc>
          <w:tcPr>
            <w:tcW w:w="2802" w:type="dxa"/>
          </w:tcPr>
          <w:p w:rsidR="0014105C" w:rsidRPr="00D92ABD" w:rsidRDefault="0014105C" w:rsidP="00297B27">
            <w:pPr>
              <w:spacing w:after="0" w:line="240" w:lineRule="auto"/>
              <w:rPr>
                <w:b/>
              </w:rPr>
            </w:pPr>
            <w:r w:rsidRPr="00D92ABD">
              <w:rPr>
                <w:b/>
              </w:rPr>
              <w:t>Implementer/Organisation</w:t>
            </w:r>
          </w:p>
        </w:tc>
        <w:tc>
          <w:tcPr>
            <w:tcW w:w="7371" w:type="dxa"/>
            <w:gridSpan w:val="3"/>
          </w:tcPr>
          <w:p w:rsidR="0014105C" w:rsidRPr="00D92ABD" w:rsidRDefault="0014105C" w:rsidP="00766359">
            <w:pPr>
              <w:spacing w:after="0" w:line="240" w:lineRule="auto"/>
            </w:pPr>
            <w:r w:rsidRPr="00D92ABD">
              <w:t>To be tendered</w:t>
            </w:r>
            <w:r>
              <w:t xml:space="preserve"> </w:t>
            </w:r>
          </w:p>
        </w:tc>
      </w:tr>
      <w:tr w:rsidR="0014105C" w:rsidRPr="00D92ABD" w:rsidTr="00A465F4">
        <w:tc>
          <w:tcPr>
            <w:tcW w:w="2802" w:type="dxa"/>
          </w:tcPr>
          <w:p w:rsidR="0014105C" w:rsidRPr="00D92ABD" w:rsidRDefault="0014105C" w:rsidP="00913D4D">
            <w:pPr>
              <w:spacing w:after="0" w:line="240" w:lineRule="auto"/>
              <w:rPr>
                <w:b/>
              </w:rPr>
            </w:pPr>
            <w:r w:rsidRPr="00D92ABD">
              <w:rPr>
                <w:b/>
              </w:rPr>
              <w:t xml:space="preserve">Cost </w:t>
            </w:r>
          </w:p>
        </w:tc>
        <w:tc>
          <w:tcPr>
            <w:tcW w:w="7371" w:type="dxa"/>
            <w:gridSpan w:val="3"/>
          </w:tcPr>
          <w:p w:rsidR="0014105C" w:rsidRPr="00D92ABD" w:rsidRDefault="00837EDD" w:rsidP="007D7C55">
            <w:pPr>
              <w:spacing w:after="0" w:line="240" w:lineRule="auto"/>
            </w:pPr>
            <w:r>
              <w:rPr>
                <w:rFonts w:cs="Arial"/>
              </w:rPr>
              <w:t xml:space="preserve">UAH 1 000 000 (co-funding welcome) </w:t>
            </w:r>
          </w:p>
        </w:tc>
      </w:tr>
      <w:tr w:rsidR="0014105C" w:rsidRPr="00D92ABD" w:rsidTr="00A465F4">
        <w:tc>
          <w:tcPr>
            <w:tcW w:w="2802" w:type="dxa"/>
          </w:tcPr>
          <w:p w:rsidR="0014105C" w:rsidRPr="00D92ABD" w:rsidRDefault="0014105C" w:rsidP="00297B27">
            <w:pPr>
              <w:spacing w:after="0" w:line="240" w:lineRule="auto"/>
              <w:rPr>
                <w:b/>
              </w:rPr>
            </w:pPr>
            <w:r w:rsidRPr="00D92ABD">
              <w:rPr>
                <w:b/>
              </w:rPr>
              <w:t>Project Start Date</w:t>
            </w:r>
          </w:p>
        </w:tc>
        <w:tc>
          <w:tcPr>
            <w:tcW w:w="2409" w:type="dxa"/>
          </w:tcPr>
          <w:p w:rsidR="0014105C" w:rsidRPr="00D92ABD" w:rsidRDefault="0014105C" w:rsidP="00054FDA">
            <w:pPr>
              <w:spacing w:after="0" w:line="240" w:lineRule="auto"/>
            </w:pPr>
            <w:r w:rsidRPr="00D92ABD">
              <w:t>1</w:t>
            </w:r>
            <w:r w:rsidR="0051466B">
              <w:t>5</w:t>
            </w:r>
            <w:r w:rsidRPr="00D92ABD">
              <w:t xml:space="preserve"> November 2015</w:t>
            </w:r>
          </w:p>
        </w:tc>
        <w:tc>
          <w:tcPr>
            <w:tcW w:w="1985" w:type="dxa"/>
          </w:tcPr>
          <w:p w:rsidR="0014105C" w:rsidRPr="00D92ABD" w:rsidRDefault="0014105C" w:rsidP="00297B27">
            <w:pPr>
              <w:spacing w:after="0" w:line="240" w:lineRule="auto"/>
              <w:rPr>
                <w:b/>
              </w:rPr>
            </w:pPr>
            <w:r w:rsidRPr="00D92ABD">
              <w:rPr>
                <w:b/>
              </w:rPr>
              <w:t>Project End Date</w:t>
            </w:r>
          </w:p>
        </w:tc>
        <w:tc>
          <w:tcPr>
            <w:tcW w:w="2977" w:type="dxa"/>
          </w:tcPr>
          <w:p w:rsidR="0014105C" w:rsidRPr="00D92ABD" w:rsidRDefault="0014105C" w:rsidP="00297B27">
            <w:pPr>
              <w:spacing w:after="0" w:line="240" w:lineRule="auto"/>
            </w:pPr>
            <w:r w:rsidRPr="00837EDD">
              <w:t>1</w:t>
            </w:r>
            <w:r w:rsidR="00837EDD" w:rsidRPr="00837EDD">
              <w:t>5</w:t>
            </w:r>
            <w:r w:rsidRPr="00837EDD">
              <w:t xml:space="preserve"> March 2016</w:t>
            </w:r>
          </w:p>
        </w:tc>
      </w:tr>
    </w:tbl>
    <w:p w:rsidR="0014105C" w:rsidRPr="00D92ABD" w:rsidRDefault="0014105C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73"/>
      </w:tblGrid>
      <w:tr w:rsidR="0014105C" w:rsidRPr="00D92ABD" w:rsidTr="00722600">
        <w:trPr>
          <w:trHeight w:val="365"/>
        </w:trPr>
        <w:tc>
          <w:tcPr>
            <w:tcW w:w="10173" w:type="dxa"/>
          </w:tcPr>
          <w:p w:rsidR="0014105C" w:rsidRPr="001C3238" w:rsidRDefault="0014105C" w:rsidP="001C323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3238">
              <w:rPr>
                <w:b/>
              </w:rPr>
              <w:t>Project Purpose</w:t>
            </w:r>
          </w:p>
        </w:tc>
      </w:tr>
      <w:tr w:rsidR="0014105C" w:rsidRPr="00D92ABD" w:rsidTr="00722600">
        <w:tc>
          <w:tcPr>
            <w:tcW w:w="10173" w:type="dxa"/>
          </w:tcPr>
          <w:p w:rsidR="00D467B7" w:rsidRDefault="007E5859" w:rsidP="00D467B7">
            <w:pPr>
              <w:pStyle w:val="doc-ti2"/>
              <w:shd w:val="clear" w:color="auto" w:fill="FFFFFF"/>
              <w:spacing w:before="0" w:after="0" w:line="240" w:lineRule="auto"/>
              <w:jc w:val="left"/>
              <w:rPr>
                <w:rFonts w:ascii="Calibri" w:eastAsia="Calibri" w:hAnsi="Calibri"/>
                <w:b w:val="0"/>
                <w:bCs w:val="0"/>
                <w:sz w:val="22"/>
                <w:szCs w:val="22"/>
                <w:lang w:val="en-GB" w:eastAsia="en-US"/>
              </w:rPr>
            </w:pPr>
            <w:r w:rsidRPr="006F01EF">
              <w:rPr>
                <w:rFonts w:ascii="Calibri" w:eastAsia="Calibri" w:hAnsi="Calibri"/>
                <w:b w:val="0"/>
                <w:bCs w:val="0"/>
                <w:sz w:val="22"/>
                <w:szCs w:val="22"/>
                <w:lang w:val="en-GB" w:eastAsia="en-US"/>
              </w:rPr>
              <w:t xml:space="preserve">Working with </w:t>
            </w:r>
            <w:r w:rsidR="00D467B7">
              <w:rPr>
                <w:rFonts w:ascii="Calibri" w:eastAsia="Calibri" w:hAnsi="Calibri"/>
                <w:b w:val="0"/>
                <w:bCs w:val="0"/>
                <w:sz w:val="22"/>
                <w:szCs w:val="22"/>
                <w:lang w:val="en-GB" w:eastAsia="en-US"/>
              </w:rPr>
              <w:t xml:space="preserve">the State Agency on Energy Efficiency and </w:t>
            </w:r>
            <w:r w:rsidRPr="006F01EF">
              <w:rPr>
                <w:rFonts w:ascii="Calibri" w:eastAsia="Calibri" w:hAnsi="Calibri"/>
                <w:b w:val="0"/>
                <w:bCs w:val="0"/>
                <w:sz w:val="22"/>
                <w:szCs w:val="22"/>
                <w:lang w:val="en-GB" w:eastAsia="en-US"/>
              </w:rPr>
              <w:t xml:space="preserve">a wide range of stakeholders, </w:t>
            </w:r>
            <w:r w:rsidR="00D467B7">
              <w:rPr>
                <w:rFonts w:ascii="Calibri" w:eastAsia="Calibri" w:hAnsi="Calibri"/>
                <w:b w:val="0"/>
                <w:bCs w:val="0"/>
                <w:sz w:val="22"/>
                <w:szCs w:val="22"/>
                <w:lang w:val="en-GB" w:eastAsia="en-US"/>
              </w:rPr>
              <w:t xml:space="preserve">including international donors such as USAID </w:t>
            </w:r>
            <w:r w:rsidR="00E82200">
              <w:rPr>
                <w:rFonts w:ascii="Calibri" w:eastAsia="Calibri" w:hAnsi="Calibri"/>
                <w:b w:val="0"/>
                <w:bCs w:val="0"/>
                <w:sz w:val="22"/>
                <w:szCs w:val="22"/>
                <w:lang w:val="en-GB" w:eastAsia="en-US"/>
              </w:rPr>
              <w:t>, EU and</w:t>
            </w:r>
            <w:r w:rsidR="00D467B7">
              <w:rPr>
                <w:rFonts w:ascii="Calibri" w:eastAsia="Calibri" w:hAnsi="Calibri"/>
                <w:b w:val="0"/>
                <w:bCs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D467B7">
              <w:rPr>
                <w:rFonts w:ascii="Calibri" w:eastAsia="Calibri" w:hAnsi="Calibri"/>
                <w:b w:val="0"/>
                <w:bCs w:val="0"/>
                <w:sz w:val="22"/>
                <w:szCs w:val="22"/>
                <w:lang w:val="en-GB" w:eastAsia="en-US"/>
              </w:rPr>
              <w:t>GiZ</w:t>
            </w:r>
            <w:proofErr w:type="spellEnd"/>
            <w:r w:rsidR="00D467B7">
              <w:rPr>
                <w:rFonts w:ascii="Calibri" w:eastAsia="Calibri" w:hAnsi="Calibri"/>
                <w:b w:val="0"/>
                <w:bCs w:val="0"/>
                <w:sz w:val="22"/>
                <w:szCs w:val="22"/>
                <w:lang w:val="en-GB" w:eastAsia="en-US"/>
              </w:rPr>
              <w:t xml:space="preserve">, </w:t>
            </w:r>
            <w:r w:rsidR="006F01EF" w:rsidRPr="006F01EF">
              <w:rPr>
                <w:rFonts w:ascii="Calibri" w:eastAsia="Calibri" w:hAnsi="Calibri"/>
                <w:b w:val="0"/>
                <w:bCs w:val="0"/>
                <w:sz w:val="22"/>
                <w:szCs w:val="22"/>
                <w:lang w:val="en-GB" w:eastAsia="en-US"/>
              </w:rPr>
              <w:t>and in line with EU Directive 2012/27/EU of 25 October 2012</w:t>
            </w:r>
            <w:r w:rsidR="00D467B7">
              <w:rPr>
                <w:rFonts w:ascii="Calibri" w:eastAsia="Calibri" w:hAnsi="Calibri"/>
                <w:b w:val="0"/>
                <w:bCs w:val="0"/>
                <w:sz w:val="22"/>
                <w:szCs w:val="22"/>
                <w:lang w:val="en-GB" w:eastAsia="en-US"/>
              </w:rPr>
              <w:t xml:space="preserve"> </w:t>
            </w:r>
            <w:r w:rsidR="006F01EF" w:rsidRPr="00D467B7">
              <w:rPr>
                <w:rFonts w:ascii="Calibri" w:eastAsia="Calibri" w:hAnsi="Calibri"/>
                <w:b w:val="0"/>
                <w:bCs w:val="0"/>
                <w:sz w:val="22"/>
                <w:szCs w:val="22"/>
                <w:lang w:val="en-GB" w:eastAsia="en-US"/>
              </w:rPr>
              <w:t>on energy efficiency</w:t>
            </w:r>
            <w:r w:rsidR="00D467B7" w:rsidRPr="00D467B7">
              <w:rPr>
                <w:rFonts w:ascii="Calibri" w:eastAsia="Calibri" w:hAnsi="Calibri"/>
                <w:b w:val="0"/>
                <w:bCs w:val="0"/>
                <w:sz w:val="22"/>
                <w:szCs w:val="22"/>
                <w:lang w:val="en-GB" w:eastAsia="en-US"/>
              </w:rPr>
              <w:t xml:space="preserve"> and Ukraine’s National Action Plan on Energy Efficiency 2020 (in particular, Target 4: Raising awareness of citizens and business on EE), this</w:t>
            </w:r>
            <w:r w:rsidR="00837EDD" w:rsidRPr="00D467B7">
              <w:rPr>
                <w:rFonts w:ascii="Calibri" w:eastAsia="Calibri" w:hAnsi="Calibri"/>
                <w:b w:val="0"/>
                <w:bCs w:val="0"/>
                <w:sz w:val="22"/>
                <w:szCs w:val="22"/>
                <w:lang w:val="en-GB" w:eastAsia="en-US"/>
              </w:rPr>
              <w:t xml:space="preserve"> project will develop a targeted information campaign on energy efficiency in Ukraine, which would: motivate consumers to use energy-saving and energy-saving technologies in all spheres of public life; raise awareness of younger generation via relevant educational activities for enhancing the culture of energy saving and rational use of energy resources; encourage setting up businesses engaged in the implementation of energy efficient technologies and technologies for renewable energy production needs</w:t>
            </w:r>
            <w:r w:rsidR="004278EC" w:rsidRPr="00D467B7">
              <w:rPr>
                <w:rFonts w:ascii="Calibri" w:eastAsia="Calibri" w:hAnsi="Calibri"/>
                <w:b w:val="0"/>
                <w:bCs w:val="0"/>
                <w:sz w:val="22"/>
                <w:szCs w:val="22"/>
                <w:lang w:val="en-GB" w:eastAsia="en-US"/>
              </w:rPr>
              <w:t xml:space="preserve">; attracting foreign investment in this area. </w:t>
            </w:r>
          </w:p>
          <w:p w:rsidR="00D467B7" w:rsidRDefault="00D467B7" w:rsidP="00D467B7">
            <w:pPr>
              <w:pStyle w:val="doc-ti2"/>
              <w:shd w:val="clear" w:color="auto" w:fill="FFFFFF"/>
              <w:spacing w:before="0" w:after="0" w:line="240" w:lineRule="auto"/>
              <w:jc w:val="left"/>
              <w:rPr>
                <w:rFonts w:ascii="Calibri" w:eastAsia="Calibri" w:hAnsi="Calibri"/>
                <w:b w:val="0"/>
                <w:bCs w:val="0"/>
                <w:sz w:val="22"/>
                <w:szCs w:val="22"/>
                <w:lang w:val="en-GB" w:eastAsia="en-US"/>
              </w:rPr>
            </w:pPr>
          </w:p>
          <w:p w:rsidR="00D467B7" w:rsidRDefault="00837EDD" w:rsidP="00D467B7">
            <w:pPr>
              <w:pStyle w:val="doc-ti2"/>
              <w:shd w:val="clear" w:color="auto" w:fill="FFFFFF"/>
              <w:spacing w:before="0" w:after="0" w:line="240" w:lineRule="auto"/>
              <w:jc w:val="left"/>
              <w:rPr>
                <w:rFonts w:ascii="Calibri" w:eastAsia="Calibri" w:hAnsi="Calibri"/>
                <w:b w:val="0"/>
                <w:bCs w:val="0"/>
                <w:sz w:val="22"/>
                <w:szCs w:val="22"/>
                <w:lang w:val="en-GB" w:eastAsia="en-US"/>
              </w:rPr>
            </w:pPr>
            <w:r w:rsidRPr="00D467B7">
              <w:rPr>
                <w:rFonts w:ascii="Calibri" w:eastAsia="Calibri" w:hAnsi="Calibri"/>
                <w:b w:val="0"/>
                <w:bCs w:val="0"/>
                <w:sz w:val="22"/>
                <w:szCs w:val="22"/>
                <w:lang w:val="en-GB" w:eastAsia="en-US"/>
              </w:rPr>
              <w:t>It will take into consideration the best UK experience, in particular, that of the Green Investment Bank</w:t>
            </w:r>
            <w:r w:rsidR="00E82200">
              <w:rPr>
                <w:rFonts w:ascii="Calibri" w:eastAsia="Calibri" w:hAnsi="Calibri"/>
                <w:b w:val="0"/>
                <w:bCs w:val="0"/>
                <w:sz w:val="22"/>
                <w:szCs w:val="22"/>
                <w:lang w:val="en-GB" w:eastAsia="en-US"/>
              </w:rPr>
              <w:t xml:space="preserve"> (GIB)</w:t>
            </w:r>
            <w:r w:rsidRPr="00D467B7">
              <w:rPr>
                <w:rFonts w:ascii="Calibri" w:eastAsia="Calibri" w:hAnsi="Calibri"/>
                <w:b w:val="0"/>
                <w:bCs w:val="0"/>
                <w:sz w:val="22"/>
                <w:szCs w:val="22"/>
                <w:lang w:val="en-GB" w:eastAsia="en-US"/>
              </w:rPr>
              <w:t xml:space="preserve">, as reflected in the GIB Guide, which could be applicable for Ukraine. </w:t>
            </w:r>
          </w:p>
          <w:p w:rsidR="00D467B7" w:rsidRDefault="00D467B7" w:rsidP="00D467B7">
            <w:pPr>
              <w:pStyle w:val="doc-ti2"/>
              <w:shd w:val="clear" w:color="auto" w:fill="FFFFFF"/>
              <w:spacing w:before="0" w:after="0" w:line="240" w:lineRule="auto"/>
              <w:jc w:val="left"/>
              <w:rPr>
                <w:rFonts w:ascii="Calibri" w:eastAsia="Calibri" w:hAnsi="Calibri"/>
                <w:b w:val="0"/>
                <w:bCs w:val="0"/>
                <w:sz w:val="22"/>
                <w:szCs w:val="22"/>
                <w:lang w:val="en-GB" w:eastAsia="en-US"/>
              </w:rPr>
            </w:pPr>
          </w:p>
          <w:p w:rsidR="00D467B7" w:rsidRPr="00D467B7" w:rsidRDefault="007E5859" w:rsidP="00D467B7">
            <w:pPr>
              <w:pStyle w:val="doc-ti2"/>
              <w:shd w:val="clear" w:color="auto" w:fill="FFFFFF"/>
              <w:spacing w:before="0" w:after="0" w:line="240" w:lineRule="auto"/>
              <w:jc w:val="left"/>
              <w:rPr>
                <w:rFonts w:ascii="Calibri" w:eastAsia="Calibri" w:hAnsi="Calibri"/>
                <w:b w:val="0"/>
                <w:bCs w:val="0"/>
                <w:sz w:val="22"/>
                <w:szCs w:val="22"/>
                <w:lang w:val="en-GB" w:eastAsia="en-US"/>
              </w:rPr>
            </w:pPr>
            <w:r w:rsidRPr="00D467B7">
              <w:rPr>
                <w:rFonts w:ascii="Calibri" w:eastAsia="Calibri" w:hAnsi="Calibri"/>
                <w:b w:val="0"/>
                <w:bCs w:val="0"/>
                <w:sz w:val="22"/>
                <w:szCs w:val="22"/>
                <w:lang w:val="en-GB" w:eastAsia="en-US"/>
              </w:rPr>
              <w:t xml:space="preserve">The project will run a pilot information campaign in one of the </w:t>
            </w:r>
            <w:r w:rsidR="00E82200">
              <w:rPr>
                <w:rFonts w:ascii="Calibri" w:eastAsia="Calibri" w:hAnsi="Calibri"/>
                <w:b w:val="0"/>
                <w:bCs w:val="0"/>
                <w:sz w:val="22"/>
                <w:szCs w:val="22"/>
                <w:lang w:val="en-GB" w:eastAsia="en-US"/>
              </w:rPr>
              <w:t>priority areas/</w:t>
            </w:r>
            <w:r w:rsidRPr="00D467B7">
              <w:rPr>
                <w:rFonts w:ascii="Calibri" w:eastAsia="Calibri" w:hAnsi="Calibri"/>
                <w:b w:val="0"/>
                <w:bCs w:val="0"/>
                <w:sz w:val="22"/>
                <w:szCs w:val="22"/>
                <w:lang w:val="en-GB" w:eastAsia="en-US"/>
              </w:rPr>
              <w:t>sectors</w:t>
            </w:r>
            <w:r w:rsidR="00E82200">
              <w:rPr>
                <w:rFonts w:ascii="Calibri" w:eastAsia="Calibri" w:hAnsi="Calibri"/>
                <w:b w:val="0"/>
                <w:bCs w:val="0"/>
                <w:sz w:val="22"/>
                <w:szCs w:val="22"/>
                <w:lang w:val="en-GB" w:eastAsia="en-US"/>
              </w:rPr>
              <w:t>, educational establishments or universities in Ukraine, with</w:t>
            </w:r>
            <w:r w:rsidRPr="00D467B7">
              <w:rPr>
                <w:rFonts w:ascii="Calibri" w:eastAsia="Calibri" w:hAnsi="Calibri"/>
                <w:b w:val="0"/>
                <w:bCs w:val="0"/>
                <w:sz w:val="22"/>
                <w:szCs w:val="22"/>
                <w:lang w:val="en-GB" w:eastAsia="en-US"/>
              </w:rPr>
              <w:t xml:space="preserve"> recommendations on best experience disseminated via a final conference</w:t>
            </w:r>
          </w:p>
        </w:tc>
      </w:tr>
      <w:tr w:rsidR="0014105C" w:rsidRPr="00D92ABD" w:rsidTr="00722600">
        <w:trPr>
          <w:trHeight w:val="398"/>
        </w:trPr>
        <w:tc>
          <w:tcPr>
            <w:tcW w:w="10173" w:type="dxa"/>
          </w:tcPr>
          <w:p w:rsidR="0014105C" w:rsidRPr="001C3238" w:rsidRDefault="0014105C" w:rsidP="001C3238">
            <w:pPr>
              <w:spacing w:after="0" w:line="240" w:lineRule="auto"/>
              <w:rPr>
                <w:b/>
              </w:rPr>
            </w:pPr>
            <w:r w:rsidRPr="001C3238">
              <w:rPr>
                <w:b/>
              </w:rPr>
              <w:t>Project outcome</w:t>
            </w:r>
          </w:p>
        </w:tc>
      </w:tr>
      <w:tr w:rsidR="0014105C" w:rsidRPr="00D92ABD" w:rsidTr="00722600">
        <w:tc>
          <w:tcPr>
            <w:tcW w:w="10173" w:type="dxa"/>
          </w:tcPr>
          <w:p w:rsidR="002D49FD" w:rsidRPr="00D92ABD" w:rsidRDefault="00837EDD" w:rsidP="00E82200">
            <w:pPr>
              <w:tabs>
                <w:tab w:val="left" w:pos="300"/>
              </w:tabs>
              <w:spacing w:after="0" w:line="240" w:lineRule="auto"/>
              <w:jc w:val="both"/>
            </w:pPr>
            <w:r>
              <w:t>The UK experience as reflected in the Green Investment Bank’s Guidance is taken into account in the process of development of energy efficiency information campaign</w:t>
            </w:r>
            <w:r w:rsidR="00E82200">
              <w:t xml:space="preserve">. Raised awareness on energy efficiency increases the level of engagement in energy efficiency activities in various sectors, including by Ukrainian universities, which engage in relevant programmes at a more practical level. Success of the information campaign pilot spread across Ukraine and reflected on SAEE website. </w:t>
            </w:r>
          </w:p>
        </w:tc>
      </w:tr>
    </w:tbl>
    <w:p w:rsidR="0014105C" w:rsidRPr="00D92ABD" w:rsidRDefault="0014105C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3685"/>
        <w:gridCol w:w="3686"/>
      </w:tblGrid>
      <w:tr w:rsidR="0014105C" w:rsidRPr="00D92ABD" w:rsidTr="00722600">
        <w:tc>
          <w:tcPr>
            <w:tcW w:w="2802" w:type="dxa"/>
          </w:tcPr>
          <w:p w:rsidR="0014105C" w:rsidRPr="00D92ABD" w:rsidRDefault="0014105C" w:rsidP="00436C7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92ABD">
              <w:rPr>
                <w:b/>
              </w:rPr>
              <w:t>Indicators of success</w:t>
            </w:r>
            <w:r w:rsidRPr="00D92ABD">
              <w:t xml:space="preserve"> </w:t>
            </w:r>
          </w:p>
        </w:tc>
        <w:tc>
          <w:tcPr>
            <w:tcW w:w="3685" w:type="dxa"/>
          </w:tcPr>
          <w:p w:rsidR="0014105C" w:rsidRPr="00D92ABD" w:rsidRDefault="0014105C" w:rsidP="00436C78">
            <w:pPr>
              <w:spacing w:after="0" w:line="240" w:lineRule="auto"/>
            </w:pPr>
            <w:r w:rsidRPr="00D92ABD">
              <w:rPr>
                <w:b/>
              </w:rPr>
              <w:t>Status before project/baseline data</w:t>
            </w:r>
            <w:r w:rsidRPr="00D92ABD">
              <w:t xml:space="preserve"> </w:t>
            </w:r>
          </w:p>
        </w:tc>
        <w:tc>
          <w:tcPr>
            <w:tcW w:w="3686" w:type="dxa"/>
          </w:tcPr>
          <w:p w:rsidR="0014105C" w:rsidRPr="00D92ABD" w:rsidRDefault="0014105C" w:rsidP="00583546">
            <w:pPr>
              <w:spacing w:after="0" w:line="240" w:lineRule="auto"/>
            </w:pPr>
            <w:r w:rsidRPr="00D92ABD">
              <w:rPr>
                <w:b/>
              </w:rPr>
              <w:t>Source of information</w:t>
            </w:r>
            <w:r w:rsidRPr="00D92ABD">
              <w:t xml:space="preserve"> </w:t>
            </w:r>
          </w:p>
        </w:tc>
      </w:tr>
      <w:tr w:rsidR="0014105C" w:rsidRPr="00D92ABD" w:rsidTr="00722600">
        <w:trPr>
          <w:trHeight w:val="435"/>
        </w:trPr>
        <w:tc>
          <w:tcPr>
            <w:tcW w:w="2802" w:type="dxa"/>
          </w:tcPr>
          <w:p w:rsidR="0014105C" w:rsidRPr="000E337E" w:rsidRDefault="007E5859" w:rsidP="00773A6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Information campaign developed </w:t>
            </w:r>
          </w:p>
        </w:tc>
        <w:tc>
          <w:tcPr>
            <w:tcW w:w="3685" w:type="dxa"/>
          </w:tcPr>
          <w:p w:rsidR="0014105C" w:rsidRPr="000E337E" w:rsidRDefault="0014105C" w:rsidP="002D49FD">
            <w:pPr>
              <w:spacing w:after="0" w:line="240" w:lineRule="auto"/>
              <w:rPr>
                <w:rFonts w:cs="Arial"/>
                <w:szCs w:val="20"/>
              </w:rPr>
            </w:pPr>
            <w:r w:rsidRPr="000E337E">
              <w:rPr>
                <w:rFonts w:cs="Arial"/>
                <w:szCs w:val="20"/>
              </w:rPr>
              <w:t>No</w:t>
            </w:r>
            <w:r w:rsidR="002D49FD">
              <w:rPr>
                <w:rFonts w:cs="Arial"/>
                <w:szCs w:val="20"/>
              </w:rPr>
              <w:t>ne</w:t>
            </w:r>
          </w:p>
        </w:tc>
        <w:tc>
          <w:tcPr>
            <w:tcW w:w="3686" w:type="dxa"/>
          </w:tcPr>
          <w:p w:rsidR="0014105C" w:rsidRPr="000E337E" w:rsidRDefault="0014105C" w:rsidP="007E5859">
            <w:pPr>
              <w:spacing w:after="0" w:line="240" w:lineRule="auto"/>
              <w:rPr>
                <w:rFonts w:cs="Arial"/>
                <w:szCs w:val="20"/>
              </w:rPr>
            </w:pPr>
            <w:r w:rsidRPr="000E337E">
              <w:rPr>
                <w:rFonts w:cs="Arial"/>
                <w:szCs w:val="20"/>
              </w:rPr>
              <w:t>Report/paper</w:t>
            </w:r>
            <w:r w:rsidR="007E5859">
              <w:rPr>
                <w:rFonts w:cs="Arial"/>
                <w:szCs w:val="20"/>
              </w:rPr>
              <w:t xml:space="preserve"> with the list of recommended information activities for all target groups</w:t>
            </w:r>
          </w:p>
        </w:tc>
      </w:tr>
      <w:tr w:rsidR="007E5859" w:rsidRPr="00D92ABD" w:rsidTr="00722600">
        <w:trPr>
          <w:trHeight w:val="435"/>
        </w:trPr>
        <w:tc>
          <w:tcPr>
            <w:tcW w:w="2802" w:type="dxa"/>
          </w:tcPr>
          <w:p w:rsidR="007E5859" w:rsidRPr="000E337E" w:rsidRDefault="007E5859" w:rsidP="00773A6D">
            <w:pPr>
              <w:spacing w:after="0" w:line="240" w:lineRule="auto"/>
              <w:rPr>
                <w:szCs w:val="20"/>
              </w:rPr>
            </w:pPr>
            <w:r w:rsidRPr="000E337E">
              <w:rPr>
                <w:rFonts w:cs="Arial"/>
                <w:szCs w:val="20"/>
              </w:rPr>
              <w:t xml:space="preserve">UK experience of GIB </w:t>
            </w:r>
            <w:r w:rsidR="00773A6D" w:rsidRPr="000E337E">
              <w:rPr>
                <w:rFonts w:cs="Arial"/>
                <w:szCs w:val="20"/>
              </w:rPr>
              <w:t>shared with Ukraine</w:t>
            </w:r>
            <w:r w:rsidR="00773A6D">
              <w:rPr>
                <w:rFonts w:cs="Arial"/>
                <w:szCs w:val="20"/>
              </w:rPr>
              <w:t xml:space="preserve"> (in particular, on establishing the Energy Efficiency Fund and monitoring impact of investment on increasing EE in Ukraine) </w:t>
            </w:r>
          </w:p>
        </w:tc>
        <w:tc>
          <w:tcPr>
            <w:tcW w:w="3685" w:type="dxa"/>
          </w:tcPr>
          <w:p w:rsidR="007E5859" w:rsidRPr="000E337E" w:rsidRDefault="007E5859" w:rsidP="00E10620">
            <w:pPr>
              <w:spacing w:after="0" w:line="240" w:lineRule="auto"/>
              <w:rPr>
                <w:szCs w:val="20"/>
              </w:rPr>
            </w:pPr>
            <w:r>
              <w:rPr>
                <w:rFonts w:cs="Arial"/>
                <w:szCs w:val="20"/>
              </w:rPr>
              <w:t>No knowledge on UK experience</w:t>
            </w:r>
          </w:p>
        </w:tc>
        <w:tc>
          <w:tcPr>
            <w:tcW w:w="3686" w:type="dxa"/>
          </w:tcPr>
          <w:p w:rsidR="007E5859" w:rsidRPr="000E337E" w:rsidRDefault="007E5859" w:rsidP="007E5859">
            <w:pPr>
              <w:spacing w:after="0" w:line="240" w:lineRule="auto"/>
              <w:rPr>
                <w:szCs w:val="20"/>
              </w:rPr>
            </w:pPr>
            <w:r>
              <w:rPr>
                <w:rFonts w:cs="Arial"/>
                <w:szCs w:val="20"/>
              </w:rPr>
              <w:t xml:space="preserve">Recommendations on UK </w:t>
            </w:r>
            <w:r w:rsidRPr="000E337E">
              <w:rPr>
                <w:rFonts w:cs="Arial"/>
                <w:szCs w:val="20"/>
              </w:rPr>
              <w:t>experience</w:t>
            </w:r>
            <w:r w:rsidR="00773A6D">
              <w:rPr>
                <w:rFonts w:cs="Arial"/>
                <w:szCs w:val="20"/>
              </w:rPr>
              <w:t xml:space="preserve"> applicable for Ukraine integrated in</w:t>
            </w:r>
            <w:r>
              <w:rPr>
                <w:rFonts w:cs="Arial"/>
                <w:szCs w:val="20"/>
              </w:rPr>
              <w:t xml:space="preserve"> the report  </w:t>
            </w:r>
          </w:p>
        </w:tc>
      </w:tr>
      <w:tr w:rsidR="0014105C" w:rsidRPr="00D92ABD" w:rsidTr="00722600">
        <w:trPr>
          <w:trHeight w:val="435"/>
        </w:trPr>
        <w:tc>
          <w:tcPr>
            <w:tcW w:w="2802" w:type="dxa"/>
          </w:tcPr>
          <w:p w:rsidR="0014105C" w:rsidRPr="000E337E" w:rsidRDefault="007E5859" w:rsidP="00A65FB1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Action plan for</w:t>
            </w:r>
            <w:r w:rsidR="0014105C" w:rsidRPr="000E337E">
              <w:rPr>
                <w:rFonts w:cs="Arial"/>
                <w:szCs w:val="20"/>
              </w:rPr>
              <w:t xml:space="preserve"> attracting foreign investments for the </w:t>
            </w:r>
            <w:r>
              <w:rPr>
                <w:rFonts w:cs="Arial"/>
                <w:szCs w:val="20"/>
              </w:rPr>
              <w:t xml:space="preserve">Energy Efficiency </w:t>
            </w:r>
            <w:r w:rsidR="0014105C" w:rsidRPr="000E337E">
              <w:rPr>
                <w:rFonts w:cs="Arial"/>
                <w:szCs w:val="20"/>
              </w:rPr>
              <w:t>Fund</w:t>
            </w:r>
            <w:r>
              <w:rPr>
                <w:rFonts w:cs="Arial"/>
                <w:szCs w:val="20"/>
              </w:rPr>
              <w:t xml:space="preserve"> of Ukraine</w:t>
            </w:r>
          </w:p>
        </w:tc>
        <w:tc>
          <w:tcPr>
            <w:tcW w:w="3685" w:type="dxa"/>
          </w:tcPr>
          <w:p w:rsidR="0014105C" w:rsidRPr="000E337E" w:rsidRDefault="0014105C" w:rsidP="007E5859">
            <w:pPr>
              <w:spacing w:after="0" w:line="240" w:lineRule="auto"/>
              <w:rPr>
                <w:rFonts w:cs="Arial"/>
                <w:szCs w:val="20"/>
              </w:rPr>
            </w:pPr>
            <w:r w:rsidRPr="000E337E">
              <w:rPr>
                <w:rFonts w:cs="Arial"/>
                <w:szCs w:val="20"/>
              </w:rPr>
              <w:t xml:space="preserve">Existing  </w:t>
            </w:r>
            <w:r w:rsidR="007E5859">
              <w:rPr>
                <w:rFonts w:cs="Arial"/>
                <w:szCs w:val="20"/>
              </w:rPr>
              <w:t xml:space="preserve">activities by </w:t>
            </w:r>
            <w:r w:rsidRPr="000E337E">
              <w:rPr>
                <w:rFonts w:cs="Arial"/>
                <w:szCs w:val="20"/>
              </w:rPr>
              <w:t>USAID, GIZ</w:t>
            </w:r>
            <w:r w:rsidR="00E258B2">
              <w:rPr>
                <w:rFonts w:cs="Arial"/>
                <w:szCs w:val="20"/>
              </w:rPr>
              <w:t>, EBRD  and other stakeholders and</w:t>
            </w:r>
            <w:r w:rsidRPr="000E337E">
              <w:rPr>
                <w:rFonts w:cs="Arial"/>
                <w:szCs w:val="20"/>
              </w:rPr>
              <w:t xml:space="preserve"> key players</w:t>
            </w:r>
          </w:p>
        </w:tc>
        <w:tc>
          <w:tcPr>
            <w:tcW w:w="3686" w:type="dxa"/>
          </w:tcPr>
          <w:p w:rsidR="0014105C" w:rsidRPr="000E337E" w:rsidRDefault="00132E81" w:rsidP="00773A6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Existing programmes are assesse</w:t>
            </w:r>
            <w:r w:rsidR="00773A6D">
              <w:rPr>
                <w:rFonts w:cs="Arial"/>
                <w:szCs w:val="20"/>
              </w:rPr>
              <w:t>d are covered in</w:t>
            </w:r>
            <w:r w:rsidR="007E5859">
              <w:rPr>
                <w:rFonts w:cs="Arial"/>
                <w:szCs w:val="20"/>
              </w:rPr>
              <w:t xml:space="preserve"> the report/paper</w:t>
            </w:r>
            <w:r w:rsidR="00D201B4">
              <w:rPr>
                <w:rFonts w:cs="Arial"/>
                <w:szCs w:val="20"/>
              </w:rPr>
              <w:t>, action plan as part of the report/paper</w:t>
            </w:r>
            <w:r w:rsidR="00405CF4">
              <w:rPr>
                <w:rFonts w:cs="Arial"/>
                <w:szCs w:val="20"/>
              </w:rPr>
              <w:t xml:space="preserve"> </w:t>
            </w:r>
          </w:p>
        </w:tc>
      </w:tr>
      <w:tr w:rsidR="00E44929" w:rsidRPr="00D92ABD" w:rsidTr="00722600">
        <w:trPr>
          <w:trHeight w:val="435"/>
        </w:trPr>
        <w:tc>
          <w:tcPr>
            <w:tcW w:w="2802" w:type="dxa"/>
          </w:tcPr>
          <w:p w:rsidR="00E44929" w:rsidRDefault="00E44929" w:rsidP="00A65FB1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EE information campaign piloted  successfully  </w:t>
            </w:r>
          </w:p>
        </w:tc>
        <w:tc>
          <w:tcPr>
            <w:tcW w:w="3685" w:type="dxa"/>
          </w:tcPr>
          <w:p w:rsidR="00E44929" w:rsidRPr="000E337E" w:rsidRDefault="00E10620" w:rsidP="007E585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Earlier campaigns by other donors taken into consideration</w:t>
            </w:r>
          </w:p>
        </w:tc>
        <w:tc>
          <w:tcPr>
            <w:tcW w:w="3686" w:type="dxa"/>
          </w:tcPr>
          <w:p w:rsidR="00E44929" w:rsidRDefault="00E10620" w:rsidP="00A65FB1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Recommendations on best practice</w:t>
            </w:r>
            <w:r w:rsidR="00773A6D">
              <w:rPr>
                <w:rFonts w:cs="Arial"/>
                <w:szCs w:val="20"/>
              </w:rPr>
              <w:t xml:space="preserve"> disseminated across Ukraine and accessible from SAEE website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</w:tbl>
    <w:p w:rsidR="0014105C" w:rsidRPr="00D92ABD" w:rsidRDefault="00A465F4">
      <w:r>
        <w:t xml:space="preserve">  </w:t>
      </w:r>
      <w:r w:rsidR="0014105C" w:rsidRPr="00D92ABD">
        <w:t xml:space="preserve">                                                                                                                                                              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9072"/>
      </w:tblGrid>
      <w:tr w:rsidR="0014105C" w:rsidRPr="00D92ABD" w:rsidTr="00722600">
        <w:tc>
          <w:tcPr>
            <w:tcW w:w="1101" w:type="dxa"/>
          </w:tcPr>
          <w:p w:rsidR="0014105C" w:rsidRPr="00D92ABD" w:rsidRDefault="00A465F4" w:rsidP="00A465F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>O</w:t>
            </w:r>
            <w:r w:rsidR="0014105C" w:rsidRPr="00D92ABD">
              <w:rPr>
                <w:b/>
              </w:rPr>
              <w:t>utputs</w:t>
            </w:r>
            <w:r w:rsidR="0014105C" w:rsidRPr="00D92ABD">
              <w:t xml:space="preserve"> </w:t>
            </w:r>
          </w:p>
        </w:tc>
        <w:tc>
          <w:tcPr>
            <w:tcW w:w="9072" w:type="dxa"/>
          </w:tcPr>
          <w:p w:rsidR="0014105C" w:rsidRPr="00D92ABD" w:rsidRDefault="002D49FD" w:rsidP="00EB5A3C">
            <w:pPr>
              <w:spacing w:after="0" w:line="240" w:lineRule="auto"/>
              <w:jc w:val="both"/>
            </w:pPr>
            <w:r>
              <w:rPr>
                <w:rFonts w:cs="Arial"/>
                <w:shd w:val="clear" w:color="auto" w:fill="FFFFFF"/>
              </w:rPr>
              <w:t xml:space="preserve">A </w:t>
            </w:r>
            <w:r w:rsidR="00E10620">
              <w:rPr>
                <w:rFonts w:cs="Arial"/>
                <w:shd w:val="clear" w:color="auto" w:fill="FFFFFF"/>
              </w:rPr>
              <w:t xml:space="preserve">report </w:t>
            </w:r>
            <w:r w:rsidR="00EB5A3C">
              <w:rPr>
                <w:rFonts w:cs="Arial"/>
                <w:shd w:val="clear" w:color="auto" w:fill="FFFFFF"/>
              </w:rPr>
              <w:t xml:space="preserve">up to 30 pages long (in English and Ukrainian), that includes </w:t>
            </w:r>
            <w:r w:rsidR="00405CF4">
              <w:rPr>
                <w:rFonts w:cs="Arial"/>
                <w:szCs w:val="20"/>
              </w:rPr>
              <w:t xml:space="preserve">the list of information </w:t>
            </w:r>
            <w:r w:rsidR="00405CF4">
              <w:rPr>
                <w:rFonts w:cs="Arial"/>
                <w:szCs w:val="20"/>
              </w:rPr>
              <w:lastRenderedPageBreak/>
              <w:t xml:space="preserve">activities for all target groups, </w:t>
            </w:r>
            <w:r w:rsidR="00405CF4">
              <w:rPr>
                <w:rFonts w:cs="Arial"/>
                <w:shd w:val="clear" w:color="auto" w:fill="FFFFFF"/>
              </w:rPr>
              <w:t xml:space="preserve"> </w:t>
            </w:r>
            <w:r w:rsidR="00EB5A3C">
              <w:rPr>
                <w:rFonts w:cs="Arial"/>
                <w:shd w:val="clear" w:color="auto" w:fill="FFFFFF"/>
              </w:rPr>
              <w:t xml:space="preserve">recommendations on </w:t>
            </w:r>
            <w:r w:rsidR="00405CF4">
              <w:rPr>
                <w:rFonts w:cs="Arial"/>
                <w:szCs w:val="20"/>
              </w:rPr>
              <w:t xml:space="preserve">UK </w:t>
            </w:r>
            <w:r w:rsidR="00405CF4" w:rsidRPr="000E337E">
              <w:rPr>
                <w:rFonts w:cs="Arial"/>
                <w:szCs w:val="20"/>
              </w:rPr>
              <w:t>experience</w:t>
            </w:r>
            <w:r w:rsidR="00405CF4">
              <w:rPr>
                <w:rFonts w:cs="Arial"/>
                <w:szCs w:val="20"/>
              </w:rPr>
              <w:t xml:space="preserve"> applicable for Ukraine and </w:t>
            </w:r>
            <w:r w:rsidR="00405CF4">
              <w:rPr>
                <w:rFonts w:cs="Arial"/>
                <w:shd w:val="clear" w:color="auto" w:fill="FFFFFF"/>
              </w:rPr>
              <w:t xml:space="preserve"> </w:t>
            </w:r>
            <w:r w:rsidR="00405CF4">
              <w:rPr>
                <w:rFonts w:cs="Arial"/>
                <w:szCs w:val="20"/>
              </w:rPr>
              <w:t>action plan for</w:t>
            </w:r>
            <w:r w:rsidR="00405CF4" w:rsidRPr="000E337E">
              <w:rPr>
                <w:rFonts w:cs="Arial"/>
                <w:szCs w:val="20"/>
              </w:rPr>
              <w:t xml:space="preserve"> attracting foreign investments for the </w:t>
            </w:r>
            <w:r w:rsidR="00405CF4">
              <w:rPr>
                <w:rFonts w:cs="Arial"/>
                <w:szCs w:val="20"/>
              </w:rPr>
              <w:t xml:space="preserve">Energy Efficiency </w:t>
            </w:r>
            <w:r w:rsidR="00405CF4" w:rsidRPr="000E337E">
              <w:rPr>
                <w:rFonts w:cs="Arial"/>
                <w:szCs w:val="20"/>
              </w:rPr>
              <w:t>Fund</w:t>
            </w:r>
            <w:r w:rsidR="00405CF4">
              <w:rPr>
                <w:rFonts w:cs="Arial"/>
                <w:szCs w:val="20"/>
              </w:rPr>
              <w:t xml:space="preserve"> of Ukraine</w:t>
            </w:r>
          </w:p>
        </w:tc>
      </w:tr>
      <w:tr w:rsidR="0014105C" w:rsidRPr="00D92ABD" w:rsidTr="00722600">
        <w:trPr>
          <w:trHeight w:val="1848"/>
        </w:trPr>
        <w:tc>
          <w:tcPr>
            <w:tcW w:w="1101" w:type="dxa"/>
          </w:tcPr>
          <w:p w:rsidR="0014105C" w:rsidRPr="00D92ABD" w:rsidRDefault="0014105C" w:rsidP="00A465F4">
            <w:pPr>
              <w:spacing w:after="0" w:line="240" w:lineRule="auto"/>
            </w:pPr>
            <w:r w:rsidRPr="00D92ABD">
              <w:rPr>
                <w:b/>
              </w:rPr>
              <w:lastRenderedPageBreak/>
              <w:t>Main Activities</w:t>
            </w:r>
            <w:r w:rsidRPr="00D92ABD">
              <w:t xml:space="preserve"> </w:t>
            </w:r>
          </w:p>
        </w:tc>
        <w:tc>
          <w:tcPr>
            <w:tcW w:w="9072" w:type="dxa"/>
          </w:tcPr>
          <w:p w:rsidR="00A465F4" w:rsidRDefault="00A465F4" w:rsidP="00A465F4">
            <w:pPr>
              <w:spacing w:after="0" w:line="240" w:lineRule="auto"/>
              <w:rPr>
                <w:u w:val="single"/>
              </w:rPr>
            </w:pPr>
            <w:r>
              <w:t xml:space="preserve">1) </w:t>
            </w:r>
            <w:r w:rsidR="0014105C" w:rsidRPr="00766359">
              <w:t>British Embassy Kyiv to run a tender to</w:t>
            </w:r>
            <w:r w:rsidR="00EB5A3C">
              <w:t xml:space="preserve"> select im</w:t>
            </w:r>
            <w:r w:rsidR="00D201B4">
              <w:t xml:space="preserve">plementing partner (1 -15 November </w:t>
            </w:r>
            <w:r w:rsidR="0014105C" w:rsidRPr="00766359">
              <w:t xml:space="preserve">2015) </w:t>
            </w:r>
          </w:p>
          <w:p w:rsidR="00EB5A3C" w:rsidRPr="00A465F4" w:rsidRDefault="00A465F4" w:rsidP="00A465F4">
            <w:pPr>
              <w:spacing w:after="0" w:line="240" w:lineRule="auto"/>
              <w:rPr>
                <w:u w:val="single"/>
              </w:rPr>
            </w:pPr>
            <w:r w:rsidRPr="00A465F4">
              <w:t xml:space="preserve">2) </w:t>
            </w:r>
            <w:r w:rsidR="00EB5A3C">
              <w:t>Once the implementer is identified,</w:t>
            </w:r>
            <w:r w:rsidR="009B56E4">
              <w:t xml:space="preserve"> the British Embassy to put them</w:t>
            </w:r>
            <w:r w:rsidR="00EB5A3C">
              <w:t xml:space="preserve"> in touch with UK GIB</w:t>
            </w:r>
            <w:r>
              <w:t xml:space="preserve">. </w:t>
            </w:r>
            <w:r w:rsidR="00D201B4">
              <w:t>To sign a contract (by end</w:t>
            </w:r>
            <w:r w:rsidR="009B56E4">
              <w:t xml:space="preserve"> November 2015</w:t>
            </w:r>
            <w:r w:rsidR="00D201B4">
              <w:t>)</w:t>
            </w:r>
          </w:p>
          <w:p w:rsidR="009B56E4" w:rsidRDefault="00A465F4" w:rsidP="00A465F4">
            <w:pPr>
              <w:spacing w:after="0" w:line="240" w:lineRule="auto"/>
            </w:pPr>
            <w:r>
              <w:t xml:space="preserve">3) </w:t>
            </w:r>
            <w:r w:rsidR="00B01E69">
              <w:t xml:space="preserve">Implementer to arrange a possible visit by </w:t>
            </w:r>
            <w:r w:rsidR="00D201B4">
              <w:t xml:space="preserve">a </w:t>
            </w:r>
            <w:r w:rsidR="00B01E69">
              <w:t xml:space="preserve">GIB expert </w:t>
            </w:r>
            <w:r w:rsidR="00D201B4">
              <w:t>(or by SAEE officials to the GIB)</w:t>
            </w:r>
            <w:r w:rsidR="00B01E69">
              <w:t xml:space="preserve"> and </w:t>
            </w:r>
            <w:r w:rsidR="00D201B4">
              <w:t xml:space="preserve">to </w:t>
            </w:r>
            <w:r w:rsidR="00B01E69">
              <w:t>run an experience-sharing event;</w:t>
            </w:r>
            <w:r w:rsidR="009B56E4">
              <w:t xml:space="preserve"> </w:t>
            </w:r>
            <w:r w:rsidR="00D201B4">
              <w:t xml:space="preserve"> </w:t>
            </w:r>
            <w:r w:rsidR="009B56E4">
              <w:t xml:space="preserve">to produce all reports </w:t>
            </w:r>
            <w:r w:rsidR="00D201B4">
              <w:t>(</w:t>
            </w:r>
            <w:r w:rsidR="009B56E4">
              <w:t>by end January 2016</w:t>
            </w:r>
            <w:r w:rsidR="00D201B4">
              <w:t>)</w:t>
            </w:r>
          </w:p>
          <w:p w:rsidR="009B56E4" w:rsidRDefault="00A465F4" w:rsidP="00A465F4">
            <w:pPr>
              <w:spacing w:after="0" w:line="240" w:lineRule="auto"/>
            </w:pPr>
            <w:r>
              <w:t xml:space="preserve">4) </w:t>
            </w:r>
            <w:r w:rsidR="00D201B4">
              <w:t>To run a pilot (</w:t>
            </w:r>
            <w:r w:rsidR="009B56E4">
              <w:t>February 2016</w:t>
            </w:r>
            <w:r w:rsidR="00D201B4">
              <w:t>)</w:t>
            </w:r>
          </w:p>
          <w:p w:rsidR="009B56E4" w:rsidRDefault="00A465F4" w:rsidP="00EB5A3C">
            <w:pPr>
              <w:spacing w:after="0" w:line="240" w:lineRule="auto"/>
            </w:pPr>
            <w:r>
              <w:t xml:space="preserve">5) </w:t>
            </w:r>
            <w:r w:rsidR="00D201B4">
              <w:t>To organise and run a final conference</w:t>
            </w:r>
            <w:r w:rsidR="009B56E4">
              <w:t xml:space="preserve"> </w:t>
            </w:r>
            <w:r w:rsidR="00D201B4">
              <w:t>(</w:t>
            </w:r>
            <w:r w:rsidR="009B56E4">
              <w:t>by 15 March 2016</w:t>
            </w:r>
            <w:r w:rsidR="00D201B4">
              <w:t>)</w:t>
            </w:r>
          </w:p>
          <w:p w:rsidR="00D201B4" w:rsidRDefault="00D201B4" w:rsidP="00EB5A3C">
            <w:pPr>
              <w:spacing w:after="0" w:line="240" w:lineRule="auto"/>
            </w:pPr>
          </w:p>
          <w:p w:rsidR="0014105C" w:rsidRPr="00766359" w:rsidRDefault="0014105C" w:rsidP="00766359">
            <w:pPr>
              <w:spacing w:after="0" w:line="240" w:lineRule="auto"/>
              <w:rPr>
                <w:rFonts w:cs="Arial"/>
              </w:rPr>
            </w:pPr>
            <w:r w:rsidRPr="00766359">
              <w:t xml:space="preserve">Please note that the British Embassy Kyiv will </w:t>
            </w:r>
            <w:r w:rsidR="009B56E4">
              <w:t>own the copyright of all information campaign products</w:t>
            </w:r>
            <w:r w:rsidRPr="00766359">
              <w:t xml:space="preserve"> produced</w:t>
            </w:r>
            <w:r w:rsidR="009B56E4">
              <w:t xml:space="preserve"> within this project</w:t>
            </w:r>
            <w:r w:rsidRPr="00766359">
              <w:t>.</w:t>
            </w:r>
          </w:p>
        </w:tc>
      </w:tr>
    </w:tbl>
    <w:p w:rsidR="0014105C" w:rsidRPr="00D92ABD" w:rsidRDefault="0014105C" w:rsidP="006731D0"/>
    <w:sectPr w:rsidR="0014105C" w:rsidRPr="00D92ABD" w:rsidSect="00A465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CF4" w:rsidRDefault="00405CF4" w:rsidP="00D07326">
      <w:pPr>
        <w:spacing w:after="0" w:line="240" w:lineRule="auto"/>
      </w:pPr>
      <w:r>
        <w:separator/>
      </w:r>
    </w:p>
  </w:endnote>
  <w:endnote w:type="continuationSeparator" w:id="0">
    <w:p w:rsidR="00405CF4" w:rsidRDefault="00405CF4" w:rsidP="00D0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F4" w:rsidRDefault="00405CF4">
    <w:pPr>
      <w:pStyle w:val="Footer"/>
    </w:pPr>
  </w:p>
  <w:p w:rsidR="00405CF4" w:rsidRDefault="004F3007" w:rsidP="00117D7B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E258B2" w:rsidRPr="00E258B2">
        <w:rPr>
          <w:rFonts w:ascii="Arial" w:hAnsi="Arial" w:cs="Arial"/>
          <w:b/>
          <w:sz w:val="20"/>
        </w:rPr>
        <w:t>UNCLASSIFIED</w:t>
      </w:r>
    </w:fldSimple>
    <w:r w:rsidR="00405CF4" w:rsidRPr="00117D7B">
      <w:rPr>
        <w:rFonts w:ascii="Arial" w:hAnsi="Arial" w:cs="Arial"/>
        <w:b/>
        <w:sz w:val="20"/>
      </w:rPr>
      <w:t xml:space="preserve"> </w:t>
    </w:r>
  </w:p>
  <w:p w:rsidR="00405CF4" w:rsidRPr="00117D7B" w:rsidRDefault="004F3007" w:rsidP="00117D7B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E258B2" w:rsidRPr="00E258B2">
        <w:rPr>
          <w:rFonts w:ascii="Arial" w:hAnsi="Arial" w:cs="Arial"/>
          <w:noProof/>
          <w:sz w:val="12"/>
        </w:rPr>
        <w:t>S:\Projects\CSSF 15-16\CSSF Energy\RUNNING\SAEE EEF_UK GIB project\Tender</w:t>
      </w:r>
      <w:r w:rsidR="00E258B2">
        <w:rPr>
          <w:noProof/>
        </w:rPr>
        <w:t>\TOR for Tender.docx</w:t>
      </w:r>
    </w:fldSimple>
    <w:r>
      <w:fldChar w:fldCharType="begin"/>
    </w:r>
    <w:r w:rsidR="00405CF4">
      <w:instrText xml:space="preserve"> DOCPROPERTY PRIVACY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F4" w:rsidRDefault="00405CF4" w:rsidP="00117D7B">
    <w:pPr>
      <w:pStyle w:val="Footer"/>
      <w:jc w:val="center"/>
      <w:rPr>
        <w:rFonts w:ascii="Arial" w:hAnsi="Arial" w:cs="Arial"/>
        <w:b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F4" w:rsidRDefault="00405CF4">
    <w:pPr>
      <w:pStyle w:val="Footer"/>
    </w:pPr>
  </w:p>
  <w:p w:rsidR="00405CF4" w:rsidRDefault="004F3007" w:rsidP="00117D7B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E258B2" w:rsidRPr="00E258B2">
        <w:rPr>
          <w:rFonts w:ascii="Arial" w:hAnsi="Arial" w:cs="Arial"/>
          <w:b/>
          <w:sz w:val="20"/>
        </w:rPr>
        <w:t>UNCLASSIFIED</w:t>
      </w:r>
    </w:fldSimple>
    <w:r w:rsidR="00405CF4" w:rsidRPr="00117D7B">
      <w:rPr>
        <w:rFonts w:ascii="Arial" w:hAnsi="Arial" w:cs="Arial"/>
        <w:b/>
        <w:sz w:val="20"/>
      </w:rPr>
      <w:t xml:space="preserve"> </w:t>
    </w:r>
  </w:p>
  <w:p w:rsidR="00405CF4" w:rsidRPr="00117D7B" w:rsidRDefault="004F3007" w:rsidP="00117D7B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E258B2" w:rsidRPr="00E258B2">
        <w:rPr>
          <w:rFonts w:ascii="Arial" w:hAnsi="Arial" w:cs="Arial"/>
          <w:noProof/>
          <w:sz w:val="12"/>
        </w:rPr>
        <w:t>S:\Projects\CSSF 15-16\CSSF Energy\RUNNING\SAEE EEF_UK GIB project\Tender</w:t>
      </w:r>
      <w:r w:rsidR="00E258B2">
        <w:rPr>
          <w:noProof/>
        </w:rPr>
        <w:t>\TOR for Tender.docx</w:t>
      </w:r>
    </w:fldSimple>
    <w:r>
      <w:fldChar w:fldCharType="begin"/>
    </w:r>
    <w:r w:rsidR="00405CF4">
      <w:instrText xml:space="preserve"> DOCPROPERTY PRIVACY  \* MERGEFORMAT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CF4" w:rsidRDefault="00405CF4" w:rsidP="00D07326">
      <w:pPr>
        <w:spacing w:after="0" w:line="240" w:lineRule="auto"/>
      </w:pPr>
      <w:r>
        <w:separator/>
      </w:r>
    </w:p>
  </w:footnote>
  <w:footnote w:type="continuationSeparator" w:id="0">
    <w:p w:rsidR="00405CF4" w:rsidRDefault="00405CF4" w:rsidP="00D0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F4" w:rsidRPr="00117D7B" w:rsidRDefault="004F3007" w:rsidP="00117D7B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E258B2" w:rsidRPr="00E258B2">
        <w:rPr>
          <w:rFonts w:ascii="Arial" w:hAnsi="Arial" w:cs="Arial"/>
          <w:b/>
          <w:sz w:val="20"/>
        </w:rPr>
        <w:t>UNCLASSIFIED</w:t>
      </w:r>
    </w:fldSimple>
    <w:r w:rsidR="00405CF4" w:rsidRPr="00117D7B">
      <w:rPr>
        <w:rFonts w:ascii="Arial" w:hAnsi="Arial" w:cs="Arial"/>
        <w:b/>
        <w:sz w:val="20"/>
      </w:rPr>
      <w:t xml:space="preserve"> </w:t>
    </w:r>
    <w:r>
      <w:fldChar w:fldCharType="begin"/>
    </w:r>
    <w:r w:rsidR="00405CF4">
      <w:instrText xml:space="preserve"> DOCPROPERTY PRIVACY  \* MERGEFORMAT </w:instrText>
    </w:r>
    <w:r>
      <w:fldChar w:fldCharType="end"/>
    </w:r>
  </w:p>
  <w:p w:rsidR="00405CF4" w:rsidRDefault="00405C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F4" w:rsidRDefault="00405C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F4" w:rsidRPr="00117D7B" w:rsidRDefault="004F3007" w:rsidP="00117D7B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E258B2" w:rsidRPr="00E258B2">
        <w:rPr>
          <w:rFonts w:ascii="Arial" w:hAnsi="Arial" w:cs="Arial"/>
          <w:b/>
          <w:sz w:val="20"/>
        </w:rPr>
        <w:t>UNCLASSIFIED</w:t>
      </w:r>
    </w:fldSimple>
    <w:r w:rsidR="00405CF4" w:rsidRPr="00117D7B">
      <w:rPr>
        <w:rFonts w:ascii="Arial" w:hAnsi="Arial" w:cs="Arial"/>
        <w:b/>
        <w:sz w:val="20"/>
      </w:rPr>
      <w:t xml:space="preserve"> </w:t>
    </w:r>
    <w:r>
      <w:fldChar w:fldCharType="begin"/>
    </w:r>
    <w:r w:rsidR="00405CF4">
      <w:instrText xml:space="preserve"> DOCPROPERTY PRIVACY  \* MERGEFORMAT </w:instrText>
    </w:r>
    <w:r>
      <w:fldChar w:fldCharType="end"/>
    </w:r>
  </w:p>
  <w:p w:rsidR="00405CF4" w:rsidRDefault="00405C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BF2"/>
    <w:multiLevelType w:val="hybridMultilevel"/>
    <w:tmpl w:val="3D705350"/>
    <w:lvl w:ilvl="0" w:tplc="B1605554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95A11"/>
    <w:multiLevelType w:val="multilevel"/>
    <w:tmpl w:val="A6349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02EA09D7"/>
    <w:multiLevelType w:val="hybridMultilevel"/>
    <w:tmpl w:val="DBA4CF4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4C2BBC"/>
    <w:multiLevelType w:val="multilevel"/>
    <w:tmpl w:val="312A882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05914363"/>
    <w:multiLevelType w:val="hybridMultilevel"/>
    <w:tmpl w:val="F83CD31A"/>
    <w:lvl w:ilvl="0" w:tplc="0F14F6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4789"/>
    <w:multiLevelType w:val="hybridMultilevel"/>
    <w:tmpl w:val="1520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361D1"/>
    <w:multiLevelType w:val="multilevel"/>
    <w:tmpl w:val="B8529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1955789E"/>
    <w:multiLevelType w:val="hybridMultilevel"/>
    <w:tmpl w:val="F8C64DC0"/>
    <w:lvl w:ilvl="0" w:tplc="D2F6B40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1439A"/>
    <w:multiLevelType w:val="hybridMultilevel"/>
    <w:tmpl w:val="6DF8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287156"/>
    <w:multiLevelType w:val="hybridMultilevel"/>
    <w:tmpl w:val="29B0C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942E48"/>
    <w:multiLevelType w:val="hybridMultilevel"/>
    <w:tmpl w:val="1FAC8C36"/>
    <w:lvl w:ilvl="0" w:tplc="86B2C72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8B2D7E"/>
    <w:multiLevelType w:val="hybridMultilevel"/>
    <w:tmpl w:val="D8106A4A"/>
    <w:lvl w:ilvl="0" w:tplc="B1605554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62767"/>
    <w:multiLevelType w:val="hybridMultilevel"/>
    <w:tmpl w:val="224E5258"/>
    <w:lvl w:ilvl="0" w:tplc="3D0C8156">
      <w:start w:val="1"/>
      <w:numFmt w:val="lowerRoman"/>
      <w:lvlText w:val="(%1)"/>
      <w:lvlJc w:val="left"/>
      <w:pPr>
        <w:ind w:left="1440" w:hanging="72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04515AD"/>
    <w:multiLevelType w:val="hybridMultilevel"/>
    <w:tmpl w:val="A0A0BD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1D5C1D"/>
    <w:multiLevelType w:val="hybridMultilevel"/>
    <w:tmpl w:val="FF4A7730"/>
    <w:lvl w:ilvl="0" w:tplc="CA98C56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67275C2"/>
    <w:multiLevelType w:val="multilevel"/>
    <w:tmpl w:val="BD68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8AB408A"/>
    <w:multiLevelType w:val="hybridMultilevel"/>
    <w:tmpl w:val="7CF2D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B2693"/>
    <w:multiLevelType w:val="hybridMultilevel"/>
    <w:tmpl w:val="51B63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782E09"/>
    <w:multiLevelType w:val="multilevel"/>
    <w:tmpl w:val="B16CF3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42626C3C"/>
    <w:multiLevelType w:val="hybridMultilevel"/>
    <w:tmpl w:val="156671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6C2754"/>
    <w:multiLevelType w:val="multilevel"/>
    <w:tmpl w:val="0B32DA8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50E47B87"/>
    <w:multiLevelType w:val="hybridMultilevel"/>
    <w:tmpl w:val="15084FBC"/>
    <w:lvl w:ilvl="0" w:tplc="1C6E13D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13504"/>
    <w:multiLevelType w:val="hybridMultilevel"/>
    <w:tmpl w:val="C4C8C3B4"/>
    <w:lvl w:ilvl="0" w:tplc="9694398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918F6"/>
    <w:multiLevelType w:val="hybridMultilevel"/>
    <w:tmpl w:val="9B14EE1A"/>
    <w:lvl w:ilvl="0" w:tplc="FED28CB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D1D10"/>
    <w:multiLevelType w:val="hybridMultilevel"/>
    <w:tmpl w:val="063EB2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11"/>
  </w:num>
  <w:num w:numId="5">
    <w:abstractNumId w:val="3"/>
  </w:num>
  <w:num w:numId="6">
    <w:abstractNumId w:val="6"/>
  </w:num>
  <w:num w:numId="7">
    <w:abstractNumId w:val="1"/>
  </w:num>
  <w:num w:numId="8">
    <w:abstractNumId w:val="20"/>
  </w:num>
  <w:num w:numId="9">
    <w:abstractNumId w:val="2"/>
  </w:num>
  <w:num w:numId="10">
    <w:abstractNumId w:val="24"/>
  </w:num>
  <w:num w:numId="11">
    <w:abstractNumId w:val="14"/>
  </w:num>
  <w:num w:numId="12">
    <w:abstractNumId w:val="8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8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5"/>
  </w:num>
  <w:num w:numId="21">
    <w:abstractNumId w:val="4"/>
  </w:num>
  <w:num w:numId="22">
    <w:abstractNumId w:val="22"/>
  </w:num>
  <w:num w:numId="23">
    <w:abstractNumId w:val="23"/>
  </w:num>
  <w:num w:numId="24">
    <w:abstractNumId w:val="2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D07326"/>
    <w:rsid w:val="00006774"/>
    <w:rsid w:val="00012652"/>
    <w:rsid w:val="00034776"/>
    <w:rsid w:val="00054FDA"/>
    <w:rsid w:val="00067C96"/>
    <w:rsid w:val="00071959"/>
    <w:rsid w:val="00094344"/>
    <w:rsid w:val="000A22C4"/>
    <w:rsid w:val="000B64FF"/>
    <w:rsid w:val="000E19E4"/>
    <w:rsid w:val="000E337E"/>
    <w:rsid w:val="000E37D5"/>
    <w:rsid w:val="000E5D8C"/>
    <w:rsid w:val="000F78BD"/>
    <w:rsid w:val="00104D97"/>
    <w:rsid w:val="00105FB2"/>
    <w:rsid w:val="001068EE"/>
    <w:rsid w:val="00117D7B"/>
    <w:rsid w:val="00125A9F"/>
    <w:rsid w:val="00132E81"/>
    <w:rsid w:val="00136B36"/>
    <w:rsid w:val="0014105C"/>
    <w:rsid w:val="00152D24"/>
    <w:rsid w:val="00153ADF"/>
    <w:rsid w:val="001714AF"/>
    <w:rsid w:val="00181486"/>
    <w:rsid w:val="00186EF2"/>
    <w:rsid w:val="00191212"/>
    <w:rsid w:val="001936C5"/>
    <w:rsid w:val="001B5F08"/>
    <w:rsid w:val="001C3238"/>
    <w:rsid w:val="001E2856"/>
    <w:rsid w:val="001E4CF2"/>
    <w:rsid w:val="0020471B"/>
    <w:rsid w:val="00205E54"/>
    <w:rsid w:val="00206DD1"/>
    <w:rsid w:val="00216D05"/>
    <w:rsid w:val="00232026"/>
    <w:rsid w:val="002320C4"/>
    <w:rsid w:val="0026219C"/>
    <w:rsid w:val="002905AC"/>
    <w:rsid w:val="0029067B"/>
    <w:rsid w:val="00297B27"/>
    <w:rsid w:val="002B421B"/>
    <w:rsid w:val="002C33B6"/>
    <w:rsid w:val="002D49FD"/>
    <w:rsid w:val="002D5C5B"/>
    <w:rsid w:val="002E2261"/>
    <w:rsid w:val="002E7D7E"/>
    <w:rsid w:val="00333DB0"/>
    <w:rsid w:val="0034391A"/>
    <w:rsid w:val="0034420F"/>
    <w:rsid w:val="0035053A"/>
    <w:rsid w:val="00360604"/>
    <w:rsid w:val="00385E95"/>
    <w:rsid w:val="00393C4C"/>
    <w:rsid w:val="00396763"/>
    <w:rsid w:val="00405CF4"/>
    <w:rsid w:val="004072F4"/>
    <w:rsid w:val="004108D0"/>
    <w:rsid w:val="00412FF3"/>
    <w:rsid w:val="004278EC"/>
    <w:rsid w:val="00431539"/>
    <w:rsid w:val="00436C78"/>
    <w:rsid w:val="0044268A"/>
    <w:rsid w:val="00443776"/>
    <w:rsid w:val="00445AEC"/>
    <w:rsid w:val="00452152"/>
    <w:rsid w:val="00455D05"/>
    <w:rsid w:val="00464761"/>
    <w:rsid w:val="00465F11"/>
    <w:rsid w:val="004663CC"/>
    <w:rsid w:val="00472072"/>
    <w:rsid w:val="00476C21"/>
    <w:rsid w:val="00481B7E"/>
    <w:rsid w:val="0049069A"/>
    <w:rsid w:val="00490F56"/>
    <w:rsid w:val="00495F41"/>
    <w:rsid w:val="004B178C"/>
    <w:rsid w:val="004B7E56"/>
    <w:rsid w:val="004C42AE"/>
    <w:rsid w:val="004C53CF"/>
    <w:rsid w:val="004E0BB9"/>
    <w:rsid w:val="004E7EE6"/>
    <w:rsid w:val="004E7F14"/>
    <w:rsid w:val="004F3007"/>
    <w:rsid w:val="004F5A45"/>
    <w:rsid w:val="00500728"/>
    <w:rsid w:val="0050556F"/>
    <w:rsid w:val="00507419"/>
    <w:rsid w:val="0051466B"/>
    <w:rsid w:val="005202A9"/>
    <w:rsid w:val="00520D05"/>
    <w:rsid w:val="00523C5D"/>
    <w:rsid w:val="005303BB"/>
    <w:rsid w:val="00551467"/>
    <w:rsid w:val="005809D0"/>
    <w:rsid w:val="005813C3"/>
    <w:rsid w:val="00583546"/>
    <w:rsid w:val="00585EEF"/>
    <w:rsid w:val="0059729C"/>
    <w:rsid w:val="005A5F15"/>
    <w:rsid w:val="005A709A"/>
    <w:rsid w:val="005E03B8"/>
    <w:rsid w:val="005E218C"/>
    <w:rsid w:val="005E3C42"/>
    <w:rsid w:val="005F55ED"/>
    <w:rsid w:val="00607F1F"/>
    <w:rsid w:val="006445A9"/>
    <w:rsid w:val="006451D0"/>
    <w:rsid w:val="006731D0"/>
    <w:rsid w:val="0068312A"/>
    <w:rsid w:val="00686ABA"/>
    <w:rsid w:val="00692082"/>
    <w:rsid w:val="006A6A56"/>
    <w:rsid w:val="006B14E1"/>
    <w:rsid w:val="006C748E"/>
    <w:rsid w:val="006D5A08"/>
    <w:rsid w:val="006D687E"/>
    <w:rsid w:val="006E1FB9"/>
    <w:rsid w:val="006F01EF"/>
    <w:rsid w:val="00702C28"/>
    <w:rsid w:val="00715888"/>
    <w:rsid w:val="0072023A"/>
    <w:rsid w:val="00722600"/>
    <w:rsid w:val="0073360C"/>
    <w:rsid w:val="00735296"/>
    <w:rsid w:val="00737DD7"/>
    <w:rsid w:val="00742868"/>
    <w:rsid w:val="007630A4"/>
    <w:rsid w:val="00766359"/>
    <w:rsid w:val="00773A6D"/>
    <w:rsid w:val="0079066D"/>
    <w:rsid w:val="007927AA"/>
    <w:rsid w:val="007963D2"/>
    <w:rsid w:val="00797171"/>
    <w:rsid w:val="007B3A8A"/>
    <w:rsid w:val="007C1A0A"/>
    <w:rsid w:val="007D7C55"/>
    <w:rsid w:val="007E27C4"/>
    <w:rsid w:val="007E5859"/>
    <w:rsid w:val="007F4711"/>
    <w:rsid w:val="0080654F"/>
    <w:rsid w:val="00820872"/>
    <w:rsid w:val="00821178"/>
    <w:rsid w:val="008219CA"/>
    <w:rsid w:val="0083258E"/>
    <w:rsid w:val="008337C2"/>
    <w:rsid w:val="00837EDD"/>
    <w:rsid w:val="00840534"/>
    <w:rsid w:val="00863524"/>
    <w:rsid w:val="008757F5"/>
    <w:rsid w:val="0087752B"/>
    <w:rsid w:val="0088551F"/>
    <w:rsid w:val="00891D50"/>
    <w:rsid w:val="008A3F15"/>
    <w:rsid w:val="008B6EAC"/>
    <w:rsid w:val="008B706D"/>
    <w:rsid w:val="008C084E"/>
    <w:rsid w:val="008D57F7"/>
    <w:rsid w:val="008D71CD"/>
    <w:rsid w:val="008F267F"/>
    <w:rsid w:val="008F5B89"/>
    <w:rsid w:val="009003E0"/>
    <w:rsid w:val="00900C95"/>
    <w:rsid w:val="00901A28"/>
    <w:rsid w:val="00903BDC"/>
    <w:rsid w:val="00910B3A"/>
    <w:rsid w:val="00913D4D"/>
    <w:rsid w:val="0092699E"/>
    <w:rsid w:val="00931FD1"/>
    <w:rsid w:val="009665BF"/>
    <w:rsid w:val="00976E8A"/>
    <w:rsid w:val="0098517C"/>
    <w:rsid w:val="0098791A"/>
    <w:rsid w:val="00987C71"/>
    <w:rsid w:val="00992E4A"/>
    <w:rsid w:val="00992F5C"/>
    <w:rsid w:val="009B56E4"/>
    <w:rsid w:val="009D03E0"/>
    <w:rsid w:val="009D1B29"/>
    <w:rsid w:val="009E1D93"/>
    <w:rsid w:val="009E60CB"/>
    <w:rsid w:val="009F7615"/>
    <w:rsid w:val="00A03D18"/>
    <w:rsid w:val="00A11FD1"/>
    <w:rsid w:val="00A2235B"/>
    <w:rsid w:val="00A257D2"/>
    <w:rsid w:val="00A465F4"/>
    <w:rsid w:val="00A65FB1"/>
    <w:rsid w:val="00A675A1"/>
    <w:rsid w:val="00A87292"/>
    <w:rsid w:val="00AA49C6"/>
    <w:rsid w:val="00AA513B"/>
    <w:rsid w:val="00AB44C3"/>
    <w:rsid w:val="00AB46A7"/>
    <w:rsid w:val="00AC5B14"/>
    <w:rsid w:val="00AE7EC7"/>
    <w:rsid w:val="00B01381"/>
    <w:rsid w:val="00B01E69"/>
    <w:rsid w:val="00B27297"/>
    <w:rsid w:val="00B42978"/>
    <w:rsid w:val="00B44265"/>
    <w:rsid w:val="00B51FB9"/>
    <w:rsid w:val="00B52B49"/>
    <w:rsid w:val="00B71CA3"/>
    <w:rsid w:val="00B723AE"/>
    <w:rsid w:val="00B84C55"/>
    <w:rsid w:val="00B92086"/>
    <w:rsid w:val="00BB22A8"/>
    <w:rsid w:val="00BE4893"/>
    <w:rsid w:val="00BF7489"/>
    <w:rsid w:val="00C05F6D"/>
    <w:rsid w:val="00C20DA6"/>
    <w:rsid w:val="00C30034"/>
    <w:rsid w:val="00C341BC"/>
    <w:rsid w:val="00C45A02"/>
    <w:rsid w:val="00C45D61"/>
    <w:rsid w:val="00C623EA"/>
    <w:rsid w:val="00C77C76"/>
    <w:rsid w:val="00C85A9C"/>
    <w:rsid w:val="00C94DEC"/>
    <w:rsid w:val="00CA5FC3"/>
    <w:rsid w:val="00CC1D41"/>
    <w:rsid w:val="00CE48DF"/>
    <w:rsid w:val="00CE65B3"/>
    <w:rsid w:val="00CF2485"/>
    <w:rsid w:val="00D07326"/>
    <w:rsid w:val="00D201B4"/>
    <w:rsid w:val="00D208D2"/>
    <w:rsid w:val="00D21368"/>
    <w:rsid w:val="00D31638"/>
    <w:rsid w:val="00D32B8F"/>
    <w:rsid w:val="00D467B7"/>
    <w:rsid w:val="00D50759"/>
    <w:rsid w:val="00D546A7"/>
    <w:rsid w:val="00D54E42"/>
    <w:rsid w:val="00D6425D"/>
    <w:rsid w:val="00D824E7"/>
    <w:rsid w:val="00D92ABD"/>
    <w:rsid w:val="00DC5354"/>
    <w:rsid w:val="00DD08F5"/>
    <w:rsid w:val="00DD312F"/>
    <w:rsid w:val="00DD6971"/>
    <w:rsid w:val="00DE70ED"/>
    <w:rsid w:val="00DF057F"/>
    <w:rsid w:val="00E03DB6"/>
    <w:rsid w:val="00E10620"/>
    <w:rsid w:val="00E258B2"/>
    <w:rsid w:val="00E4454E"/>
    <w:rsid w:val="00E44929"/>
    <w:rsid w:val="00E53DC0"/>
    <w:rsid w:val="00E55611"/>
    <w:rsid w:val="00E71F27"/>
    <w:rsid w:val="00E736C1"/>
    <w:rsid w:val="00E74370"/>
    <w:rsid w:val="00E771CB"/>
    <w:rsid w:val="00E82200"/>
    <w:rsid w:val="00E93ECF"/>
    <w:rsid w:val="00E96400"/>
    <w:rsid w:val="00EA0BE6"/>
    <w:rsid w:val="00EB5697"/>
    <w:rsid w:val="00EB5A3C"/>
    <w:rsid w:val="00EB624D"/>
    <w:rsid w:val="00ED5C56"/>
    <w:rsid w:val="00EF10C8"/>
    <w:rsid w:val="00F01682"/>
    <w:rsid w:val="00F01825"/>
    <w:rsid w:val="00F1167E"/>
    <w:rsid w:val="00F13F8E"/>
    <w:rsid w:val="00F13FBE"/>
    <w:rsid w:val="00F346DB"/>
    <w:rsid w:val="00F45646"/>
    <w:rsid w:val="00F47DF0"/>
    <w:rsid w:val="00F72B18"/>
    <w:rsid w:val="00F75E82"/>
    <w:rsid w:val="00F76C71"/>
    <w:rsid w:val="00F80EA6"/>
    <w:rsid w:val="00F85BB4"/>
    <w:rsid w:val="00F90633"/>
    <w:rsid w:val="00FB1981"/>
    <w:rsid w:val="00FB6078"/>
    <w:rsid w:val="00FC0A7F"/>
    <w:rsid w:val="00FD01AF"/>
    <w:rsid w:val="00FD6A34"/>
    <w:rsid w:val="00FE1232"/>
    <w:rsid w:val="00FF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63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7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73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7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73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73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073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07326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623EA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E53DC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F01825"/>
    <w:pPr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1825"/>
    <w:rPr>
      <w:rFonts w:ascii="Arial" w:hAnsi="Arial" w:cs="Times New Roman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FB60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B6078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6078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B6078"/>
    <w:rPr>
      <w:rFonts w:cs="Times New Roman"/>
      <w:b/>
      <w:bCs/>
      <w:lang w:eastAsia="en-US"/>
    </w:rPr>
  </w:style>
  <w:style w:type="paragraph" w:customStyle="1" w:styleId="doc-ti2">
    <w:name w:val="doc-ti2"/>
    <w:basedOn w:val="Normal"/>
    <w:rsid w:val="006F01EF"/>
    <w:pPr>
      <w:spacing w:before="240" w:after="120" w:line="312" w:lineRule="atLeast"/>
      <w:jc w:val="center"/>
    </w:pPr>
    <w:rPr>
      <w:rFonts w:ascii="Times New Roman" w:eastAsia="Times New Roman" w:hAnsi="Times New Roman"/>
      <w:b/>
      <w:bCs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Full Project Proposal Form March 2011</vt:lpstr>
      <vt:lpstr>Full Project Proposal Form March 2011</vt:lpstr>
    </vt:vector>
  </TitlesOfParts>
  <Company>FCO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Project Proposal Form March 2011</dc:title>
  <dc:subject/>
  <dc:creator>rlota</dc:creator>
  <cp:keywords/>
  <cp:lastModifiedBy>syavorska</cp:lastModifiedBy>
  <cp:revision>3</cp:revision>
  <cp:lastPrinted>2013-06-17T12:54:00Z</cp:lastPrinted>
  <dcterms:created xsi:type="dcterms:W3CDTF">2015-10-29T10:54:00Z</dcterms:created>
  <dcterms:modified xsi:type="dcterms:W3CDTF">2015-10-29T10:55:00Z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1799-12-30T21:00:00Z</vt:filetime>
  </property>
</Properties>
</file>