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C4EC0F" w14:textId="77777777" w:rsidR="00EF7C43" w:rsidRDefault="00EF7C43" w:rsidP="008376CF">
      <w:pPr>
        <w:spacing w:after="240"/>
        <w:jc w:val="center"/>
      </w:pPr>
      <w:bookmarkStart w:id="0" w:name="h.gjdgxs" w:colFirst="0" w:colLast="0"/>
      <w:bookmarkEnd w:id="0"/>
    </w:p>
    <w:p w14:paraId="03A0C1BC" w14:textId="77777777" w:rsidR="00EF7C43" w:rsidRDefault="00EF7C43" w:rsidP="008376CF">
      <w:pPr>
        <w:tabs>
          <w:tab w:val="center" w:pos="4820"/>
          <w:tab w:val="right" w:pos="9638"/>
        </w:tabs>
        <w:spacing w:after="240"/>
        <w:ind w:left="-567"/>
        <w:jc w:val="center"/>
      </w:pPr>
    </w:p>
    <w:p w14:paraId="49350B4F" w14:textId="77777777" w:rsidR="00EF7C43" w:rsidRDefault="00EF7C43" w:rsidP="008376CF">
      <w:pPr>
        <w:tabs>
          <w:tab w:val="center" w:pos="4820"/>
          <w:tab w:val="right" w:pos="9638"/>
        </w:tabs>
        <w:spacing w:after="240"/>
        <w:ind w:left="-567"/>
        <w:jc w:val="center"/>
      </w:pPr>
    </w:p>
    <w:p w14:paraId="12FFB084" w14:textId="77777777" w:rsidR="00EF7C43" w:rsidRDefault="00EF7C43" w:rsidP="008376CF">
      <w:pPr>
        <w:spacing w:after="240"/>
        <w:ind w:left="-567"/>
        <w:jc w:val="center"/>
      </w:pPr>
    </w:p>
    <w:p w14:paraId="7623711F" w14:textId="77777777" w:rsidR="00EF7C43" w:rsidRDefault="009B1034" w:rsidP="008376CF">
      <w:pPr>
        <w:pStyle w:val="Title"/>
        <w:ind w:left="-567"/>
      </w:pPr>
      <w:r>
        <w:rPr>
          <w:rFonts w:ascii="Arial" w:eastAsia="Arial" w:hAnsi="Arial" w:cs="Arial"/>
          <w:sz w:val="22"/>
          <w:szCs w:val="22"/>
        </w:rPr>
        <w:t>SCHEDULE 5.2</w:t>
      </w:r>
    </w:p>
    <w:p w14:paraId="48B7A2CE" w14:textId="77777777" w:rsidR="00EF7C43" w:rsidRDefault="009B1034" w:rsidP="008376CF">
      <w:pPr>
        <w:pStyle w:val="Title"/>
        <w:ind w:left="-567"/>
      </w:pPr>
      <w:r>
        <w:rPr>
          <w:rFonts w:ascii="Arial" w:eastAsia="Arial" w:hAnsi="Arial" w:cs="Arial"/>
          <w:sz w:val="22"/>
          <w:szCs w:val="22"/>
        </w:rPr>
        <w:t>WHOLESALE ACCESS PRICING</w:t>
      </w:r>
    </w:p>
    <w:p w14:paraId="47ED8C15" w14:textId="77777777" w:rsidR="00EF7C43" w:rsidRDefault="00EF7C43">
      <w:pPr>
        <w:spacing w:after="240"/>
      </w:pPr>
    </w:p>
    <w:p w14:paraId="7F23D3E6" w14:textId="77777777" w:rsidR="00EF7C43" w:rsidRDefault="00EF7C43">
      <w:pPr>
        <w:spacing w:after="240"/>
      </w:pPr>
    </w:p>
    <w:p w14:paraId="1C850954" w14:textId="77777777" w:rsidR="00EF7C43" w:rsidRDefault="00EF7C43">
      <w:pPr>
        <w:spacing w:after="240"/>
      </w:pPr>
    </w:p>
    <w:p w14:paraId="36C3AF36" w14:textId="77777777" w:rsidR="00EF7C43" w:rsidRDefault="00EF7C43">
      <w:pPr>
        <w:spacing w:after="240"/>
      </w:pPr>
    </w:p>
    <w:p w14:paraId="024F224D" w14:textId="77777777" w:rsidR="00C95D9F" w:rsidRDefault="00C95D9F">
      <w:pPr>
        <w:spacing w:after="240"/>
      </w:pPr>
    </w:p>
    <w:p w14:paraId="30E3883D" w14:textId="77777777" w:rsidR="00C95D9F" w:rsidRDefault="00C95D9F">
      <w:pPr>
        <w:spacing w:after="240"/>
      </w:pPr>
    </w:p>
    <w:p w14:paraId="23EE62B5" w14:textId="77777777" w:rsidR="00C95D9F" w:rsidRDefault="00C95D9F">
      <w:pPr>
        <w:spacing w:after="240"/>
      </w:pPr>
    </w:p>
    <w:p w14:paraId="0B4D7C5E" w14:textId="77777777" w:rsidR="00C95D9F" w:rsidRDefault="00C95D9F">
      <w:pPr>
        <w:spacing w:after="240"/>
      </w:pPr>
    </w:p>
    <w:p w14:paraId="36A8E7FC" w14:textId="77777777" w:rsidR="00C95D9F" w:rsidRDefault="00C95D9F">
      <w:pPr>
        <w:spacing w:after="240"/>
      </w:pPr>
    </w:p>
    <w:p w14:paraId="08D86D1E" w14:textId="77777777" w:rsidR="00C95D9F" w:rsidRDefault="00C95D9F">
      <w:pPr>
        <w:spacing w:after="240"/>
      </w:pPr>
    </w:p>
    <w:p w14:paraId="71DEBEB5" w14:textId="77777777" w:rsidR="00C95D9F" w:rsidRDefault="00C95D9F">
      <w:pPr>
        <w:spacing w:after="240"/>
      </w:pPr>
    </w:p>
    <w:p w14:paraId="09472968" w14:textId="77777777" w:rsidR="00C95D9F" w:rsidRDefault="00C95D9F">
      <w:pPr>
        <w:spacing w:after="240"/>
      </w:pPr>
    </w:p>
    <w:p w14:paraId="0A0C33CE" w14:textId="77777777" w:rsidR="00C95D9F" w:rsidRDefault="00C95D9F">
      <w:pPr>
        <w:spacing w:after="240"/>
      </w:pPr>
    </w:p>
    <w:p w14:paraId="112C2215" w14:textId="77777777" w:rsidR="00C95D9F" w:rsidRDefault="00C95D9F">
      <w:pPr>
        <w:spacing w:after="240"/>
      </w:pPr>
    </w:p>
    <w:p w14:paraId="6524349A" w14:textId="77777777" w:rsidR="00C95D9F" w:rsidRDefault="00C95D9F">
      <w:pPr>
        <w:spacing w:after="240"/>
      </w:pPr>
    </w:p>
    <w:p w14:paraId="3902E1E5" w14:textId="77777777" w:rsidR="00C95D9F" w:rsidRDefault="00C95D9F">
      <w:pPr>
        <w:spacing w:after="240"/>
      </w:pPr>
    </w:p>
    <w:p w14:paraId="3EA0E1E3" w14:textId="77777777" w:rsidR="00C95D9F" w:rsidRDefault="00C95D9F">
      <w:pPr>
        <w:spacing w:after="240"/>
      </w:pPr>
    </w:p>
    <w:p w14:paraId="3D06972F" w14:textId="77777777" w:rsidR="00C95D9F" w:rsidRDefault="00C95D9F">
      <w:pPr>
        <w:spacing w:after="240"/>
      </w:pPr>
    </w:p>
    <w:p w14:paraId="40E2B81F" w14:textId="77777777" w:rsidR="00C95D9F" w:rsidRDefault="00C95D9F">
      <w:pPr>
        <w:spacing w:after="240"/>
      </w:pPr>
    </w:p>
    <w:p w14:paraId="54BE5321" w14:textId="77777777" w:rsidR="00C95D9F" w:rsidRDefault="00C95D9F">
      <w:pPr>
        <w:spacing w:after="240"/>
      </w:pPr>
    </w:p>
    <w:p w14:paraId="2487F8F9" w14:textId="77777777" w:rsidR="00C95D9F" w:rsidRDefault="00C95D9F">
      <w:pPr>
        <w:spacing w:after="240"/>
      </w:pPr>
    </w:p>
    <w:p w14:paraId="0F673616" w14:textId="77777777" w:rsidR="00C95D9F" w:rsidRDefault="00C95D9F">
      <w:pPr>
        <w:spacing w:after="240"/>
      </w:pPr>
    </w:p>
    <w:p w14:paraId="65B84A5E" w14:textId="77777777" w:rsidR="00C95D9F" w:rsidRDefault="00C95D9F">
      <w:pPr>
        <w:spacing w:after="240"/>
      </w:pPr>
    </w:p>
    <w:p w14:paraId="0592A45D" w14:textId="77777777" w:rsidR="00C95D9F" w:rsidRDefault="00C95D9F">
      <w:pPr>
        <w:spacing w:after="240"/>
      </w:pPr>
    </w:p>
    <w:p w14:paraId="2E051699" w14:textId="77777777" w:rsidR="00671452" w:rsidRDefault="00671452" w:rsidP="00671452">
      <w:pPr>
        <w:pStyle w:val="Body"/>
        <w:jc w:val="center"/>
        <w:rPr>
          <w:b/>
        </w:rPr>
      </w:pPr>
      <w:r>
        <w:rPr>
          <w:b/>
        </w:rPr>
        <w:br w:type="page"/>
      </w:r>
      <w:r w:rsidRPr="0034624F">
        <w:rPr>
          <w:b/>
        </w:rPr>
        <w:lastRenderedPageBreak/>
        <w:t>VERSION CONTROL</w:t>
      </w:r>
    </w:p>
    <w:p w14:paraId="1440A98D" w14:textId="77777777" w:rsidR="00671452" w:rsidRPr="0034624F" w:rsidRDefault="00671452" w:rsidP="00671452">
      <w:pPr>
        <w:pStyle w:val="Body"/>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gridCol w:w="3680"/>
      </w:tblGrid>
      <w:tr w:rsidR="00671452" w:rsidRPr="0034624F" w14:paraId="151CD0CC" w14:textId="77777777" w:rsidTr="004C0BFA">
        <w:tc>
          <w:tcPr>
            <w:tcW w:w="2410" w:type="dxa"/>
          </w:tcPr>
          <w:p w14:paraId="0FB54205" w14:textId="77777777" w:rsidR="00671452" w:rsidRPr="0034624F" w:rsidRDefault="00671452" w:rsidP="004C0BFA">
            <w:pPr>
              <w:tabs>
                <w:tab w:val="left" w:pos="737"/>
              </w:tabs>
              <w:jc w:val="center"/>
              <w:rPr>
                <w:b/>
              </w:rPr>
            </w:pPr>
            <w:r w:rsidRPr="0034624F">
              <w:rPr>
                <w:b/>
              </w:rPr>
              <w:t>VERSION NUMBER</w:t>
            </w:r>
          </w:p>
        </w:tc>
        <w:tc>
          <w:tcPr>
            <w:tcW w:w="2410" w:type="dxa"/>
          </w:tcPr>
          <w:p w14:paraId="37B26B58" w14:textId="77777777" w:rsidR="00671452" w:rsidRPr="0034624F" w:rsidRDefault="00671452" w:rsidP="004C0BFA">
            <w:pPr>
              <w:tabs>
                <w:tab w:val="left" w:pos="737"/>
              </w:tabs>
              <w:jc w:val="center"/>
              <w:rPr>
                <w:b/>
              </w:rPr>
            </w:pPr>
            <w:r w:rsidRPr="0034624F">
              <w:rPr>
                <w:b/>
              </w:rPr>
              <w:t>DATE</w:t>
            </w:r>
          </w:p>
          <w:p w14:paraId="52CCEB48" w14:textId="77777777" w:rsidR="00671452" w:rsidRPr="0034624F" w:rsidRDefault="00671452" w:rsidP="004C0BFA">
            <w:pPr>
              <w:tabs>
                <w:tab w:val="left" w:pos="737"/>
              </w:tabs>
              <w:jc w:val="center"/>
              <w:rPr>
                <w:b/>
              </w:rPr>
            </w:pPr>
          </w:p>
        </w:tc>
        <w:tc>
          <w:tcPr>
            <w:tcW w:w="3680" w:type="dxa"/>
          </w:tcPr>
          <w:p w14:paraId="1A6AFA9B" w14:textId="77777777" w:rsidR="00671452" w:rsidRPr="0034624F" w:rsidRDefault="00671452" w:rsidP="004C0BFA">
            <w:pPr>
              <w:tabs>
                <w:tab w:val="left" w:pos="737"/>
              </w:tabs>
              <w:jc w:val="center"/>
              <w:rPr>
                <w:b/>
              </w:rPr>
            </w:pPr>
            <w:r w:rsidRPr="0034624F">
              <w:rPr>
                <w:b/>
              </w:rPr>
              <w:t>COMMENT</w:t>
            </w:r>
          </w:p>
        </w:tc>
      </w:tr>
      <w:tr w:rsidR="00671452" w:rsidRPr="006A4524" w14:paraId="1C1F51B9" w14:textId="77777777" w:rsidTr="004C0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0D82D656" w14:textId="77777777" w:rsidR="00671452" w:rsidRPr="006A4524" w:rsidRDefault="00671452" w:rsidP="004C0BFA">
            <w:pPr>
              <w:tabs>
                <w:tab w:val="left" w:pos="737"/>
              </w:tabs>
              <w:ind w:firstLine="100"/>
            </w:pPr>
            <w:r>
              <w:t>0.1</w:t>
            </w:r>
          </w:p>
        </w:tc>
        <w:tc>
          <w:tcPr>
            <w:tcW w:w="2410" w:type="dxa"/>
            <w:tcBorders>
              <w:top w:val="single" w:sz="4" w:space="0" w:color="auto"/>
              <w:left w:val="single" w:sz="4" w:space="0" w:color="auto"/>
              <w:bottom w:val="single" w:sz="4" w:space="0" w:color="auto"/>
              <w:right w:val="single" w:sz="4" w:space="0" w:color="auto"/>
            </w:tcBorders>
          </w:tcPr>
          <w:p w14:paraId="48416C66" w14:textId="0B0E9468" w:rsidR="002B3F36" w:rsidRPr="002C4FA2" w:rsidRDefault="00C73843" w:rsidP="002B3F36">
            <w:pPr>
              <w:tabs>
                <w:tab w:val="left" w:pos="737"/>
              </w:tabs>
              <w:ind w:firstLine="122"/>
            </w:pPr>
            <w:r>
              <w:t>27</w:t>
            </w:r>
            <w:r w:rsidR="002B3F36" w:rsidRPr="002C4FA2">
              <w:t xml:space="preserve"> July 2016</w:t>
            </w:r>
          </w:p>
          <w:p w14:paraId="20E8208E" w14:textId="77777777" w:rsidR="00671452" w:rsidRPr="006A4524" w:rsidRDefault="00671452" w:rsidP="004C0BFA">
            <w:pPr>
              <w:tabs>
                <w:tab w:val="left" w:pos="737"/>
              </w:tabs>
              <w:ind w:firstLine="122"/>
            </w:pPr>
          </w:p>
        </w:tc>
        <w:tc>
          <w:tcPr>
            <w:tcW w:w="3680" w:type="dxa"/>
            <w:tcBorders>
              <w:top w:val="single" w:sz="4" w:space="0" w:color="auto"/>
              <w:left w:val="single" w:sz="4" w:space="0" w:color="auto"/>
              <w:bottom w:val="single" w:sz="4" w:space="0" w:color="auto"/>
              <w:right w:val="single" w:sz="4" w:space="0" w:color="auto"/>
            </w:tcBorders>
          </w:tcPr>
          <w:p w14:paraId="0435B9A3" w14:textId="4960186C" w:rsidR="00671452" w:rsidRPr="006A4524" w:rsidRDefault="00671452" w:rsidP="004C0BFA">
            <w:pPr>
              <w:tabs>
                <w:tab w:val="left" w:pos="737"/>
              </w:tabs>
              <w:ind w:left="136" w:hanging="20"/>
            </w:pPr>
            <w:r>
              <w:t xml:space="preserve">Preliminary </w:t>
            </w:r>
            <w:r w:rsidR="00C73843">
              <w:t xml:space="preserve">draft </w:t>
            </w:r>
            <w:r>
              <w:t>template version made available for general comment</w:t>
            </w:r>
          </w:p>
        </w:tc>
      </w:tr>
      <w:tr w:rsidR="00647A12" w:rsidRPr="006A4524" w14:paraId="3895BC2E" w14:textId="77777777" w:rsidTr="009C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18334837" w14:textId="77777777" w:rsidR="00647A12" w:rsidRDefault="00647A12" w:rsidP="009C5F85">
            <w:pPr>
              <w:tabs>
                <w:tab w:val="left" w:pos="737"/>
              </w:tabs>
              <w:ind w:firstLine="100"/>
            </w:pPr>
            <w:r>
              <w:t>0.2</w:t>
            </w:r>
          </w:p>
        </w:tc>
        <w:tc>
          <w:tcPr>
            <w:tcW w:w="2410" w:type="dxa"/>
            <w:tcBorders>
              <w:top w:val="single" w:sz="4" w:space="0" w:color="auto"/>
              <w:left w:val="single" w:sz="4" w:space="0" w:color="auto"/>
              <w:bottom w:val="single" w:sz="4" w:space="0" w:color="auto"/>
              <w:right w:val="single" w:sz="4" w:space="0" w:color="auto"/>
            </w:tcBorders>
          </w:tcPr>
          <w:p w14:paraId="02661DF5" w14:textId="5EAAB828" w:rsidR="00647A12" w:rsidRDefault="00554AC9" w:rsidP="009C5F85">
            <w:pPr>
              <w:tabs>
                <w:tab w:val="left" w:pos="737"/>
              </w:tabs>
              <w:ind w:firstLine="122"/>
            </w:pPr>
            <w:r w:rsidRPr="00554AC9">
              <w:t>2 September 2016</w:t>
            </w:r>
          </w:p>
        </w:tc>
        <w:tc>
          <w:tcPr>
            <w:tcW w:w="3680" w:type="dxa"/>
            <w:tcBorders>
              <w:top w:val="single" w:sz="4" w:space="0" w:color="auto"/>
              <w:left w:val="single" w:sz="4" w:space="0" w:color="auto"/>
              <w:bottom w:val="single" w:sz="4" w:space="0" w:color="auto"/>
              <w:right w:val="single" w:sz="4" w:space="0" w:color="auto"/>
            </w:tcBorders>
          </w:tcPr>
          <w:p w14:paraId="2297E76B" w14:textId="77777777" w:rsidR="00647A12" w:rsidRDefault="00647A12" w:rsidP="009C5F85">
            <w:pPr>
              <w:tabs>
                <w:tab w:val="left" w:pos="737"/>
              </w:tabs>
              <w:ind w:left="136" w:hanging="20"/>
            </w:pPr>
            <w:r>
              <w:t>Uplifted draft, following feedback, made available for final comment</w:t>
            </w:r>
          </w:p>
        </w:tc>
      </w:tr>
      <w:tr w:rsidR="00A72C56" w:rsidRPr="006A4524" w14:paraId="4DAD0297" w14:textId="77777777" w:rsidTr="003C0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0939BFF7" w14:textId="77777777" w:rsidR="00A72C56" w:rsidRDefault="00A72C56" w:rsidP="003C017E">
            <w:pPr>
              <w:tabs>
                <w:tab w:val="left" w:pos="737"/>
              </w:tabs>
              <w:ind w:firstLine="100"/>
            </w:pPr>
            <w:r>
              <w:t>0.3</w:t>
            </w:r>
          </w:p>
        </w:tc>
        <w:tc>
          <w:tcPr>
            <w:tcW w:w="2410" w:type="dxa"/>
            <w:tcBorders>
              <w:top w:val="single" w:sz="4" w:space="0" w:color="auto"/>
              <w:left w:val="single" w:sz="4" w:space="0" w:color="auto"/>
              <w:bottom w:val="single" w:sz="4" w:space="0" w:color="auto"/>
              <w:right w:val="single" w:sz="4" w:space="0" w:color="auto"/>
            </w:tcBorders>
          </w:tcPr>
          <w:p w14:paraId="07862CA4" w14:textId="77777777" w:rsidR="00A72C56" w:rsidRDefault="00A72C56" w:rsidP="003C017E">
            <w:pPr>
              <w:tabs>
                <w:tab w:val="left" w:pos="737"/>
              </w:tabs>
              <w:ind w:firstLine="122"/>
            </w:pPr>
            <w:r>
              <w:t>25 October 2016</w:t>
            </w:r>
          </w:p>
        </w:tc>
        <w:tc>
          <w:tcPr>
            <w:tcW w:w="3680" w:type="dxa"/>
            <w:tcBorders>
              <w:top w:val="single" w:sz="4" w:space="0" w:color="auto"/>
              <w:left w:val="single" w:sz="4" w:space="0" w:color="auto"/>
              <w:bottom w:val="single" w:sz="4" w:space="0" w:color="auto"/>
              <w:right w:val="single" w:sz="4" w:space="0" w:color="auto"/>
            </w:tcBorders>
          </w:tcPr>
          <w:p w14:paraId="416B551D" w14:textId="77777777" w:rsidR="00A72C56" w:rsidRDefault="00A72C56" w:rsidP="003C017E">
            <w:pPr>
              <w:tabs>
                <w:tab w:val="left" w:pos="737"/>
              </w:tabs>
              <w:ind w:left="136" w:hanging="20"/>
            </w:pPr>
            <w:r>
              <w:t>Uplifted following local body and supplier feedback</w:t>
            </w:r>
          </w:p>
        </w:tc>
      </w:tr>
      <w:tr w:rsidR="00055438" w:rsidRPr="006A4524" w14:paraId="6F6C79B3" w14:textId="77777777" w:rsidTr="003C0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45582DD4" w14:textId="2F85C336" w:rsidR="00055438" w:rsidRDefault="00055438" w:rsidP="003C017E">
            <w:pPr>
              <w:tabs>
                <w:tab w:val="left" w:pos="737"/>
              </w:tabs>
              <w:ind w:firstLine="100"/>
            </w:pPr>
            <w:r>
              <w:t>1.0</w:t>
            </w:r>
          </w:p>
        </w:tc>
        <w:tc>
          <w:tcPr>
            <w:tcW w:w="2410" w:type="dxa"/>
            <w:tcBorders>
              <w:top w:val="single" w:sz="4" w:space="0" w:color="auto"/>
              <w:left w:val="single" w:sz="4" w:space="0" w:color="auto"/>
              <w:bottom w:val="single" w:sz="4" w:space="0" w:color="auto"/>
              <w:right w:val="single" w:sz="4" w:space="0" w:color="auto"/>
            </w:tcBorders>
          </w:tcPr>
          <w:p w14:paraId="62E300D8" w14:textId="399EB9C5" w:rsidR="00055438" w:rsidRDefault="00055438" w:rsidP="003C017E">
            <w:pPr>
              <w:tabs>
                <w:tab w:val="left" w:pos="737"/>
              </w:tabs>
              <w:ind w:firstLine="122"/>
            </w:pPr>
            <w:r>
              <w:t>16 November 2016</w:t>
            </w:r>
          </w:p>
        </w:tc>
        <w:tc>
          <w:tcPr>
            <w:tcW w:w="3680" w:type="dxa"/>
            <w:tcBorders>
              <w:top w:val="single" w:sz="4" w:space="0" w:color="auto"/>
              <w:left w:val="single" w:sz="4" w:space="0" w:color="auto"/>
              <w:bottom w:val="single" w:sz="4" w:space="0" w:color="auto"/>
              <w:right w:val="single" w:sz="4" w:space="0" w:color="auto"/>
            </w:tcBorders>
          </w:tcPr>
          <w:p w14:paraId="37E03F2B" w14:textId="77777777" w:rsidR="00055438" w:rsidRDefault="00055438" w:rsidP="003C017E">
            <w:pPr>
              <w:tabs>
                <w:tab w:val="left" w:pos="737"/>
              </w:tabs>
              <w:ind w:left="136" w:hanging="20"/>
            </w:pPr>
            <w:r>
              <w:t>Baselined Version 1.0</w:t>
            </w:r>
          </w:p>
          <w:p w14:paraId="39A44EB6" w14:textId="19499B87" w:rsidR="00055438" w:rsidRDefault="00055438" w:rsidP="003C017E">
            <w:pPr>
              <w:tabs>
                <w:tab w:val="left" w:pos="737"/>
              </w:tabs>
              <w:ind w:left="136" w:hanging="20"/>
            </w:pPr>
            <w:bookmarkStart w:id="1" w:name="_GoBack"/>
            <w:bookmarkEnd w:id="1"/>
          </w:p>
        </w:tc>
      </w:tr>
    </w:tbl>
    <w:p w14:paraId="788EDFD3" w14:textId="77777777" w:rsidR="00671452" w:rsidRDefault="00671452" w:rsidP="00671452">
      <w:pPr>
        <w:jc w:val="left"/>
      </w:pPr>
    </w:p>
    <w:p w14:paraId="7D472937" w14:textId="1BD29550" w:rsidR="00671452" w:rsidRDefault="00671452" w:rsidP="00671452">
      <w:pPr>
        <w:jc w:val="left"/>
        <w:rPr>
          <w:b/>
        </w:rPr>
      </w:pPr>
      <w:r>
        <w:rPr>
          <w:b/>
        </w:rPr>
        <w:br w:type="page"/>
      </w:r>
    </w:p>
    <w:p w14:paraId="556DFEBB" w14:textId="74EB2DC1" w:rsidR="00EF7C43" w:rsidRPr="0010267C" w:rsidRDefault="009B1034">
      <w:pPr>
        <w:spacing w:after="240"/>
        <w:jc w:val="center"/>
      </w:pPr>
      <w:r w:rsidRPr="0010267C">
        <w:rPr>
          <w:b/>
        </w:rPr>
        <w:lastRenderedPageBreak/>
        <w:t>CONTENTS</w:t>
      </w:r>
    </w:p>
    <w:p w14:paraId="77D23FFF" w14:textId="77777777" w:rsidR="00EF7C43" w:rsidRPr="0010267C" w:rsidRDefault="009B1034">
      <w:pPr>
        <w:tabs>
          <w:tab w:val="right" w:pos="8500"/>
        </w:tabs>
        <w:spacing w:after="240"/>
        <w:ind w:left="851" w:right="567" w:hanging="851"/>
        <w:rPr>
          <w:color w:val="auto"/>
        </w:rPr>
      </w:pPr>
      <w:r w:rsidRPr="0010267C">
        <w:rPr>
          <w:color w:val="auto"/>
        </w:rPr>
        <w:t>1</w:t>
      </w:r>
      <w:r w:rsidRPr="0010267C">
        <w:rPr>
          <w:rFonts w:ascii="Calibri" w:eastAsia="Calibri" w:hAnsi="Calibri" w:cs="Calibri"/>
          <w:color w:val="auto"/>
          <w:sz w:val="22"/>
          <w:szCs w:val="22"/>
        </w:rPr>
        <w:tab/>
      </w:r>
      <w:r w:rsidRPr="0010267C">
        <w:rPr>
          <w:color w:val="auto"/>
        </w:rPr>
        <w:t>BACKGROUND</w:t>
      </w:r>
      <w:r w:rsidRPr="0010267C">
        <w:rPr>
          <w:color w:val="auto"/>
        </w:rPr>
        <w:tab/>
        <w:t>3</w:t>
      </w:r>
    </w:p>
    <w:p w14:paraId="57EE0156" w14:textId="77777777" w:rsidR="00EF7C43" w:rsidRPr="0010267C" w:rsidRDefault="009B1034">
      <w:pPr>
        <w:tabs>
          <w:tab w:val="right" w:pos="8500"/>
        </w:tabs>
        <w:spacing w:after="240"/>
        <w:ind w:left="851" w:right="567" w:hanging="851"/>
        <w:rPr>
          <w:color w:val="auto"/>
        </w:rPr>
      </w:pPr>
      <w:r w:rsidRPr="0010267C">
        <w:rPr>
          <w:color w:val="auto"/>
        </w:rPr>
        <w:t>2</w:t>
      </w:r>
      <w:r w:rsidRPr="0010267C">
        <w:rPr>
          <w:rFonts w:ascii="Calibri" w:eastAsia="Calibri" w:hAnsi="Calibri" w:cs="Calibri"/>
          <w:color w:val="auto"/>
          <w:sz w:val="22"/>
          <w:szCs w:val="22"/>
        </w:rPr>
        <w:tab/>
      </w:r>
      <w:r w:rsidRPr="0010267C">
        <w:rPr>
          <w:color w:val="auto"/>
        </w:rPr>
        <w:t>PROJECT WHOLESALE ACCESS PRICES</w:t>
      </w:r>
      <w:r w:rsidRPr="0010267C">
        <w:rPr>
          <w:color w:val="auto"/>
        </w:rPr>
        <w:tab/>
        <w:t>3</w:t>
      </w:r>
    </w:p>
    <w:p w14:paraId="60B62911" w14:textId="77777777" w:rsidR="00EF7C43" w:rsidRPr="0010267C" w:rsidRDefault="009B1034">
      <w:pPr>
        <w:tabs>
          <w:tab w:val="right" w:pos="8500"/>
        </w:tabs>
        <w:spacing w:after="240"/>
        <w:ind w:left="851" w:right="567" w:hanging="851"/>
        <w:rPr>
          <w:color w:val="auto"/>
        </w:rPr>
      </w:pPr>
      <w:r w:rsidRPr="0010267C">
        <w:rPr>
          <w:color w:val="auto"/>
        </w:rPr>
        <w:t>3</w:t>
      </w:r>
      <w:r w:rsidRPr="0010267C">
        <w:rPr>
          <w:rFonts w:ascii="Calibri" w:eastAsia="Calibri" w:hAnsi="Calibri" w:cs="Calibri"/>
          <w:color w:val="auto"/>
          <w:sz w:val="22"/>
          <w:szCs w:val="22"/>
        </w:rPr>
        <w:tab/>
      </w:r>
      <w:r w:rsidRPr="0010267C">
        <w:rPr>
          <w:color w:val="auto"/>
        </w:rPr>
        <w:t>WHOLESALE ACCESS PRICE BENCHMARK MECHANISM</w:t>
      </w:r>
      <w:r w:rsidRPr="0010267C">
        <w:rPr>
          <w:color w:val="auto"/>
        </w:rPr>
        <w:tab/>
        <w:t>3</w:t>
      </w:r>
    </w:p>
    <w:p w14:paraId="47524F6F" w14:textId="77777777" w:rsidR="00EF7C43" w:rsidRPr="0010267C" w:rsidRDefault="009B1034">
      <w:pPr>
        <w:tabs>
          <w:tab w:val="right" w:pos="8500"/>
        </w:tabs>
        <w:spacing w:after="240"/>
        <w:ind w:left="851" w:right="567" w:hanging="851"/>
        <w:rPr>
          <w:color w:val="auto"/>
        </w:rPr>
      </w:pPr>
      <w:r w:rsidRPr="0010267C">
        <w:rPr>
          <w:color w:val="auto"/>
        </w:rPr>
        <w:t>4</w:t>
      </w:r>
      <w:r w:rsidRPr="0010267C">
        <w:rPr>
          <w:rFonts w:ascii="Calibri" w:eastAsia="Calibri" w:hAnsi="Calibri" w:cs="Calibri"/>
          <w:color w:val="auto"/>
          <w:sz w:val="22"/>
          <w:szCs w:val="22"/>
        </w:rPr>
        <w:tab/>
      </w:r>
      <w:r w:rsidRPr="0010267C">
        <w:rPr>
          <w:color w:val="auto"/>
        </w:rPr>
        <w:t>CHANGES TO THE WHOLESALE ACCESS PRICES</w:t>
      </w:r>
      <w:r w:rsidRPr="0010267C">
        <w:rPr>
          <w:color w:val="auto"/>
        </w:rPr>
        <w:tab/>
        <w:t>4</w:t>
      </w:r>
    </w:p>
    <w:p w14:paraId="0D09CE91" w14:textId="77777777" w:rsidR="00EF7C43" w:rsidRDefault="009B1034">
      <w:r>
        <w:br w:type="page"/>
      </w:r>
    </w:p>
    <w:p w14:paraId="4C464EA4" w14:textId="77777777" w:rsidR="00EF7C43" w:rsidRDefault="009B1034" w:rsidP="001354DD">
      <w:pPr>
        <w:spacing w:after="240"/>
        <w:ind w:right="283"/>
        <w:jc w:val="center"/>
      </w:pPr>
      <w:r>
        <w:rPr>
          <w:b/>
        </w:rPr>
        <w:lastRenderedPageBreak/>
        <w:t>SCHEDULE 5.2 – WHOLESALE ACCESS PRICING</w:t>
      </w:r>
    </w:p>
    <w:p w14:paraId="4043CBBC" w14:textId="535BE07F" w:rsidR="00EF7C43" w:rsidRDefault="009B1034" w:rsidP="001354DD">
      <w:pPr>
        <w:numPr>
          <w:ilvl w:val="0"/>
          <w:numId w:val="2"/>
        </w:numPr>
        <w:spacing w:after="240"/>
        <w:ind w:right="283" w:hanging="851"/>
      </w:pPr>
      <w:bookmarkStart w:id="2" w:name="h.30j0zll" w:colFirst="0" w:colLast="0"/>
      <w:bookmarkEnd w:id="2"/>
      <w:r>
        <w:rPr>
          <w:b/>
          <w:smallCaps/>
        </w:rPr>
        <w:t>BACKGROUND</w:t>
      </w:r>
      <w:r w:rsidR="001357CA">
        <w:rPr>
          <w:b/>
          <w:smallCaps/>
        </w:rPr>
        <w:t xml:space="preserve"> </w:t>
      </w:r>
    </w:p>
    <w:p w14:paraId="03EBC331" w14:textId="77777777" w:rsidR="00EF7C43" w:rsidRDefault="009B1034" w:rsidP="001354DD">
      <w:pPr>
        <w:numPr>
          <w:ilvl w:val="1"/>
          <w:numId w:val="1"/>
        </w:numPr>
        <w:spacing w:after="240"/>
        <w:ind w:right="283" w:hanging="851"/>
      </w:pPr>
      <w:r>
        <w:t>This Schedule 5.2 sets out the process for benchmarking Project Wholesale Access Prices.</w:t>
      </w:r>
    </w:p>
    <w:p w14:paraId="42159DD9" w14:textId="77777777" w:rsidR="001357CA" w:rsidRDefault="009B1034" w:rsidP="001354DD">
      <w:pPr>
        <w:numPr>
          <w:ilvl w:val="0"/>
          <w:numId w:val="2"/>
        </w:numPr>
        <w:spacing w:after="240"/>
        <w:ind w:right="283" w:hanging="851"/>
      </w:pPr>
      <w:bookmarkStart w:id="3" w:name="h.1fob9te" w:colFirst="0" w:colLast="0"/>
      <w:bookmarkEnd w:id="3"/>
      <w:r>
        <w:rPr>
          <w:b/>
          <w:smallCaps/>
        </w:rPr>
        <w:t xml:space="preserve">PROJECT WHOLESALE ACCESS PRICES  </w:t>
      </w:r>
    </w:p>
    <w:p w14:paraId="0B736B33" w14:textId="525571EF" w:rsidR="00EF7C43" w:rsidRDefault="009B1034" w:rsidP="001354DD">
      <w:pPr>
        <w:numPr>
          <w:ilvl w:val="1"/>
          <w:numId w:val="2"/>
        </w:numPr>
        <w:spacing w:after="240"/>
        <w:ind w:left="873" w:right="283" w:hanging="873"/>
      </w:pPr>
      <w:r>
        <w:t xml:space="preserve">The </w:t>
      </w:r>
      <w:r w:rsidRPr="001357CA">
        <w:rPr>
          <w:b/>
        </w:rPr>
        <w:t>"Project Wholesale Access Prices"</w:t>
      </w:r>
      <w:r>
        <w:t xml:space="preserve"> are the prices for the Wholesale Access Products and Services, identified in the Project Model.</w:t>
      </w:r>
    </w:p>
    <w:p w14:paraId="63E09FDF" w14:textId="77777777" w:rsidR="001357CA" w:rsidRDefault="009B1034" w:rsidP="001354DD">
      <w:pPr>
        <w:numPr>
          <w:ilvl w:val="1"/>
          <w:numId w:val="2"/>
        </w:numPr>
        <w:spacing w:after="240"/>
        <w:ind w:right="283" w:hanging="851"/>
      </w:pPr>
      <w:r>
        <w:t xml:space="preserve">The Project Wholesale Access Prices shall include Wholesale Access Products and Services </w:t>
      </w:r>
      <w:r w:rsidR="001357CA">
        <w:t>to be supplied over the Network.</w:t>
      </w:r>
    </w:p>
    <w:p w14:paraId="01AB75AF" w14:textId="3B62108B" w:rsidR="00EF7C43" w:rsidRDefault="009B1034" w:rsidP="001354DD">
      <w:pPr>
        <w:numPr>
          <w:ilvl w:val="1"/>
          <w:numId w:val="2"/>
        </w:numPr>
        <w:spacing w:after="240"/>
        <w:ind w:right="283" w:hanging="851"/>
      </w:pPr>
      <w:r>
        <w:t>The Project Wholesale Access Prices shall be expressed in £s sterling exclusive of VAT.</w:t>
      </w:r>
    </w:p>
    <w:p w14:paraId="3EA940B4" w14:textId="77777777" w:rsidR="001357CA" w:rsidRDefault="009B1034" w:rsidP="001354DD">
      <w:pPr>
        <w:numPr>
          <w:ilvl w:val="0"/>
          <w:numId w:val="2"/>
        </w:numPr>
        <w:spacing w:after="240"/>
        <w:ind w:right="283" w:hanging="851"/>
      </w:pPr>
      <w:bookmarkStart w:id="4" w:name="h.3znysh7" w:colFirst="0" w:colLast="0"/>
      <w:bookmarkEnd w:id="4"/>
      <w:r>
        <w:rPr>
          <w:b/>
          <w:smallCaps/>
        </w:rPr>
        <w:t>WHOLESALE ACCESS PRICE BENCHMARK MECHANISM</w:t>
      </w:r>
      <w:bookmarkStart w:id="5" w:name="h.2et92p0" w:colFirst="0" w:colLast="0"/>
      <w:bookmarkEnd w:id="5"/>
    </w:p>
    <w:p w14:paraId="2A31C815" w14:textId="77777777" w:rsidR="001357CA" w:rsidRDefault="009B1034" w:rsidP="001354DD">
      <w:pPr>
        <w:numPr>
          <w:ilvl w:val="1"/>
          <w:numId w:val="2"/>
        </w:numPr>
        <w:spacing w:after="240"/>
        <w:ind w:right="283" w:hanging="851"/>
      </w:pPr>
      <w:r>
        <w:t>The Supplier shall at least annually conduct a Wholesale Access Prices</w:t>
      </w:r>
      <w:r w:rsidRPr="001357CA">
        <w:rPr>
          <w:b/>
        </w:rPr>
        <w:t xml:space="preserve"> </w:t>
      </w:r>
      <w:r>
        <w:t>Benchmarking comparison of the Project Wholesale Access Prices with the Benchmark Data and, if so required by this Schedule, revise those prices.  This annual requirement excludes any benchmarking performed pursuant to paragraph 3.7.</w:t>
      </w:r>
      <w:bookmarkStart w:id="6" w:name="h.tyjcwt" w:colFirst="0" w:colLast="0"/>
      <w:bookmarkEnd w:id="6"/>
    </w:p>
    <w:p w14:paraId="22BEA24B" w14:textId="0EFEE5C7" w:rsidR="001357CA" w:rsidRDefault="009B1034" w:rsidP="001354DD">
      <w:pPr>
        <w:numPr>
          <w:ilvl w:val="1"/>
          <w:numId w:val="2"/>
        </w:numPr>
        <w:spacing w:after="240"/>
        <w:ind w:right="283" w:hanging="851"/>
      </w:pPr>
      <w:r>
        <w:t>The specific timings of each Wholesale Access Prices Benchmarking shall be agreed by the Supplier with the Authority (such agreement not to be unreasonably withheld or delayed) but shall not be within six (6) months of the previous Wholesale Access Prices</w:t>
      </w:r>
      <w:r w:rsidRPr="001357CA">
        <w:rPr>
          <w:b/>
        </w:rPr>
        <w:t xml:space="preserve"> </w:t>
      </w:r>
      <w:r>
        <w:t>Benchmarking comparison (excluding any benchmarking performed pursuant to paragraph 3.7).</w:t>
      </w:r>
      <w:r w:rsidR="000E78AE">
        <w:t xml:space="preserve"> </w:t>
      </w:r>
    </w:p>
    <w:p w14:paraId="23D56911" w14:textId="080D79E8" w:rsidR="00EF7C43" w:rsidRDefault="009B1034" w:rsidP="001354DD">
      <w:pPr>
        <w:numPr>
          <w:ilvl w:val="1"/>
          <w:numId w:val="2"/>
        </w:numPr>
        <w:spacing w:after="240"/>
        <w:ind w:right="283" w:hanging="851"/>
      </w:pPr>
      <w:r>
        <w:t>The "</w:t>
      </w:r>
      <w:r w:rsidRPr="001357CA">
        <w:rPr>
          <w:b/>
        </w:rPr>
        <w:t>Benchmark Data</w:t>
      </w:r>
      <w:r>
        <w:t>"</w:t>
      </w:r>
      <w:r w:rsidRPr="001357CA">
        <w:rPr>
          <w:b/>
        </w:rPr>
        <w:t xml:space="preserve"> </w:t>
      </w:r>
      <w:r>
        <w:t>used for each Wholesale Access Prices</w:t>
      </w:r>
      <w:r w:rsidRPr="001357CA">
        <w:rPr>
          <w:b/>
        </w:rPr>
        <w:t xml:space="preserve"> </w:t>
      </w:r>
      <w:r>
        <w:t>Benchmarking comparison will be identified by the Supplier for agreement with the Authority (such agreement not to be unreasonably withheld or delayed), with the Parties acknowledging that the Benchmark Data to be used shall be as set out in the Wholesale Product Template(s) corresponding to the Wholesale Access Products and Services concerned (all as comprised within the Supplier Solution) unless such Benchmark Data no longer mee</w:t>
      </w:r>
      <w:r w:rsidR="002B429C">
        <w:t>ts the description provided in p</w:t>
      </w:r>
      <w:r>
        <w:t>aragraph 3.4.</w:t>
      </w:r>
    </w:p>
    <w:p w14:paraId="075C3054" w14:textId="77777777" w:rsidR="001357CA" w:rsidRDefault="009B1034" w:rsidP="001354DD">
      <w:pPr>
        <w:numPr>
          <w:ilvl w:val="1"/>
          <w:numId w:val="2"/>
        </w:numPr>
        <w:spacing w:after="240"/>
        <w:ind w:right="283" w:hanging="851"/>
      </w:pPr>
      <w:bookmarkStart w:id="7" w:name="h.3dy6vkm" w:colFirst="0" w:colLast="0"/>
      <w:bookmarkEnd w:id="7"/>
      <w:r>
        <w:t>The Benchmark Data should be such that it would provide a reasonable basis for determining how the Project Wholesale Access Prices compare with the average published (regulated) wholesale prices that prevail in other comparable (including more competitive) areas of the country or the European Community or, in the absence of such published prices, on prices already set or approved by the Regulator for the markets and services concerned.</w:t>
      </w:r>
    </w:p>
    <w:p w14:paraId="3DD5CD0B" w14:textId="76B6B591" w:rsidR="00EF7C43" w:rsidRDefault="009B1034" w:rsidP="001354DD">
      <w:pPr>
        <w:numPr>
          <w:ilvl w:val="1"/>
          <w:numId w:val="2"/>
        </w:numPr>
        <w:spacing w:after="240"/>
        <w:ind w:right="283" w:hanging="851"/>
      </w:pPr>
      <w:r>
        <w:t>The Supplier shall provide a written Wholesale Access Prices</w:t>
      </w:r>
      <w:r w:rsidRPr="001357CA">
        <w:rPr>
          <w:b/>
        </w:rPr>
        <w:t xml:space="preserve"> </w:t>
      </w:r>
      <w:r>
        <w:t>Benchmarking report to the Authority for each Wholesale Access Prices</w:t>
      </w:r>
      <w:r w:rsidRPr="001357CA">
        <w:rPr>
          <w:b/>
        </w:rPr>
        <w:t xml:space="preserve"> </w:t>
      </w:r>
      <w:r>
        <w:t>Benchmarking conducted.  This report shall:</w:t>
      </w:r>
    </w:p>
    <w:p w14:paraId="4E27F889" w14:textId="77777777" w:rsidR="00EF7C43" w:rsidRDefault="009B1034" w:rsidP="001354DD">
      <w:pPr>
        <w:numPr>
          <w:ilvl w:val="2"/>
          <w:numId w:val="2"/>
        </w:numPr>
        <w:spacing w:after="240"/>
        <w:ind w:right="283" w:hanging="851"/>
      </w:pPr>
      <w:r>
        <w:t>set out a comparison of the Project Wholesale Access Prices against the Benchmark Data;</w:t>
      </w:r>
    </w:p>
    <w:p w14:paraId="6E767BEE" w14:textId="3F93583B" w:rsidR="00EF7C43" w:rsidRDefault="009B1034" w:rsidP="001354DD">
      <w:pPr>
        <w:numPr>
          <w:ilvl w:val="2"/>
          <w:numId w:val="2"/>
        </w:numPr>
        <w:spacing w:after="240"/>
        <w:ind w:right="283" w:hanging="851"/>
      </w:pPr>
      <w:r>
        <w:t xml:space="preserve">justify and provide evidence </w:t>
      </w:r>
      <w:r w:rsidR="008376CF">
        <w:t xml:space="preserve">in detail </w:t>
      </w:r>
      <w:r>
        <w:t>for any deviation of the Project Wholesale Access Prices from the Benchmark Data (including the expected timescale over which the deviations will remain in place, and the circumstances under which such deviations will be re-evaluated); and</w:t>
      </w:r>
    </w:p>
    <w:p w14:paraId="6970592D" w14:textId="77777777" w:rsidR="001357CA" w:rsidRPr="001357CA" w:rsidRDefault="009B1034" w:rsidP="001354DD">
      <w:pPr>
        <w:numPr>
          <w:ilvl w:val="2"/>
          <w:numId w:val="2"/>
        </w:numPr>
        <w:spacing w:after="240"/>
        <w:ind w:right="283" w:hanging="851"/>
      </w:pPr>
      <w:r>
        <w:t>set out proposals for changes to the Project Wholesale Access Prices, so that they align to the Benchmark Data taking into account any justifiable basis for deviation (see paragraph 4 for the process for implementation of changes).</w:t>
      </w:r>
      <w:r>
        <w:rPr>
          <w:b/>
        </w:rPr>
        <w:t xml:space="preserve"> </w:t>
      </w:r>
    </w:p>
    <w:p w14:paraId="16800382" w14:textId="4C305FAE" w:rsidR="001357CA" w:rsidRDefault="009B1034" w:rsidP="001354DD">
      <w:pPr>
        <w:numPr>
          <w:ilvl w:val="1"/>
          <w:numId w:val="2"/>
        </w:numPr>
        <w:spacing w:after="240"/>
        <w:ind w:right="283" w:hanging="851"/>
      </w:pPr>
      <w:r>
        <w:t xml:space="preserve">The Wholesale Access Prices Benchmarking report will be provided to the Authority within the timescale agreed pursuant to paragraph 3.2, noting that the report must be provided </w:t>
      </w:r>
      <w:r>
        <w:lastRenderedPageBreak/>
        <w:t xml:space="preserve">within </w:t>
      </w:r>
      <w:r w:rsidR="00B074B7">
        <w:t>twenty (20)</w:t>
      </w:r>
      <w:r>
        <w:t xml:space="preserve"> Working Days of conducting the data comparison as part of the benchmarking concerned.</w:t>
      </w:r>
      <w:bookmarkStart w:id="8" w:name="h.1t3h5sf" w:colFirst="0" w:colLast="0"/>
      <w:bookmarkEnd w:id="8"/>
    </w:p>
    <w:p w14:paraId="7F5411CD" w14:textId="481361A7" w:rsidR="00EF7C43" w:rsidRDefault="009B1034" w:rsidP="001354DD">
      <w:pPr>
        <w:numPr>
          <w:ilvl w:val="1"/>
          <w:numId w:val="2"/>
        </w:numPr>
        <w:spacing w:after="240"/>
        <w:ind w:right="283" w:hanging="851"/>
      </w:pPr>
      <w:r>
        <w:t>The Authority shall be entitled (for the avoidance of doubt, at no cost to the Authority) to require ad-hoc Wholesale Access Prices Benchmarking exercises at any time during the Term between previously conducted and forthcoming (pursuant to paragraph 3.1 above) Wholesale Access Prices Benchmarkings where there is reasonable evidence that any of the following may be taking place:</w:t>
      </w:r>
    </w:p>
    <w:p w14:paraId="573BD963" w14:textId="77777777" w:rsidR="00EF7C43" w:rsidRDefault="009B1034" w:rsidP="001354DD">
      <w:pPr>
        <w:numPr>
          <w:ilvl w:val="2"/>
          <w:numId w:val="2"/>
        </w:numPr>
        <w:spacing w:after="240"/>
        <w:ind w:right="283" w:hanging="851"/>
      </w:pPr>
      <w:r>
        <w:t>higher or lower pricing relative to recent Benchmark Data; and/or</w:t>
      </w:r>
    </w:p>
    <w:p w14:paraId="2E0F84CE" w14:textId="77777777" w:rsidR="00EF7C43" w:rsidRDefault="009B1034" w:rsidP="001354DD">
      <w:pPr>
        <w:numPr>
          <w:ilvl w:val="2"/>
          <w:numId w:val="2"/>
        </w:numPr>
        <w:spacing w:after="240"/>
        <w:ind w:right="283" w:hanging="851"/>
      </w:pPr>
      <w:r>
        <w:t>a change in the market having a significant impact on potential applicable Benchmark Data.</w:t>
      </w:r>
    </w:p>
    <w:p w14:paraId="201BF4F8" w14:textId="77777777" w:rsidR="001357CA" w:rsidRDefault="009B1034" w:rsidP="001354DD">
      <w:pPr>
        <w:numPr>
          <w:ilvl w:val="0"/>
          <w:numId w:val="2"/>
        </w:numPr>
        <w:spacing w:after="240"/>
        <w:ind w:right="283" w:hanging="851"/>
      </w:pPr>
      <w:bookmarkStart w:id="9" w:name="h.4d34og8" w:colFirst="0" w:colLast="0"/>
      <w:bookmarkEnd w:id="9"/>
      <w:r>
        <w:rPr>
          <w:b/>
        </w:rPr>
        <w:t>CHANGES TO THE WHOLESALE ACCESS PRICES</w:t>
      </w:r>
      <w:bookmarkStart w:id="10" w:name="h.2s8eyo1" w:colFirst="0" w:colLast="0"/>
      <w:bookmarkEnd w:id="10"/>
    </w:p>
    <w:p w14:paraId="10C1E89F" w14:textId="6B91A23C" w:rsidR="00EF7C43" w:rsidRDefault="009B1034" w:rsidP="001354DD">
      <w:pPr>
        <w:numPr>
          <w:ilvl w:val="1"/>
          <w:numId w:val="2"/>
        </w:numPr>
        <w:spacing w:after="240"/>
        <w:ind w:right="283" w:hanging="851"/>
      </w:pPr>
      <w:r>
        <w:t>Where the Wholesale Access Prices Benchmarking identifies Project Wholesale Access Prices that are higher or lower than the Benchmark Data and there is no applicable reasonable justification for the deviation, the Authority may:</w:t>
      </w:r>
    </w:p>
    <w:p w14:paraId="7A05C39F" w14:textId="77777777" w:rsidR="00EF7C43" w:rsidRDefault="009B1034" w:rsidP="001354DD">
      <w:pPr>
        <w:numPr>
          <w:ilvl w:val="2"/>
          <w:numId w:val="2"/>
        </w:numPr>
        <w:spacing w:after="240"/>
        <w:ind w:right="283" w:hanging="851"/>
      </w:pPr>
      <w:r>
        <w:t>request the Supplier to provide further evidence or justification for the deviation between the Project Wholesale Access Prices and the Benchmark Data;</w:t>
      </w:r>
    </w:p>
    <w:p w14:paraId="4A2E9CE1" w14:textId="24154C25" w:rsidR="00EF7C43" w:rsidRDefault="009B1034" w:rsidP="001354DD">
      <w:pPr>
        <w:numPr>
          <w:ilvl w:val="2"/>
          <w:numId w:val="2"/>
        </w:numPr>
        <w:spacing w:after="240"/>
        <w:ind w:right="283" w:hanging="851"/>
      </w:pPr>
      <w:bookmarkStart w:id="11" w:name="h.17dp8vu" w:colFirst="0" w:colLast="0"/>
      <w:bookmarkEnd w:id="11"/>
      <w:r>
        <w:t>require that the Supplier reviews and adjusts the actual Project Wholesale Access Prices to align with the Benchmark Data, taking into account any justifiable basis for deviation; and/or</w:t>
      </w:r>
      <w:r w:rsidR="0004504C">
        <w:t xml:space="preserve"> </w:t>
      </w:r>
    </w:p>
    <w:p w14:paraId="2CE6C1DC" w14:textId="77777777" w:rsidR="001357CA" w:rsidRDefault="009B1034" w:rsidP="001354DD">
      <w:pPr>
        <w:numPr>
          <w:ilvl w:val="2"/>
          <w:numId w:val="2"/>
        </w:numPr>
        <w:spacing w:after="240"/>
        <w:ind w:right="283" w:hanging="851"/>
      </w:pPr>
      <w:r>
        <w:t>report such deviation to the Programme Authority.</w:t>
      </w:r>
    </w:p>
    <w:p w14:paraId="31472763" w14:textId="42E20BBF" w:rsidR="001357CA" w:rsidRDefault="009B1034" w:rsidP="001354DD">
      <w:pPr>
        <w:numPr>
          <w:ilvl w:val="1"/>
          <w:numId w:val="2"/>
        </w:numPr>
        <w:spacing w:after="240"/>
        <w:ind w:right="283" w:hanging="851"/>
      </w:pPr>
      <w:r>
        <w:t>Where pursuant to paragraph 4.1.2 above an adjustment is to be made to the Project Wholesale Access Prices, this shall be implemented using the process provided in Schedule 5.3 (The Project Model), as soon as reasonably practical and in any event to achieve agreement within ten (10) Working Days (unless extended by written agreement of the Parties) of a</w:t>
      </w:r>
      <w:r w:rsidR="00481D3D">
        <w:t>n</w:t>
      </w:r>
      <w:r>
        <w:t xml:space="preserve"> </w:t>
      </w:r>
      <w:r w:rsidR="00481D3D">
        <w:t xml:space="preserve">adjustment being required </w:t>
      </w:r>
      <w:r>
        <w:t>by the Authority pursuant to paragraph 4.1</w:t>
      </w:r>
      <w:r w:rsidR="00481D3D">
        <w:t>.2</w:t>
      </w:r>
      <w:r>
        <w:t>.  Neither Party shall unreasonably withhold or delay agreement to such changes.</w:t>
      </w:r>
    </w:p>
    <w:p w14:paraId="3E780E58" w14:textId="7EB908AD" w:rsidR="00EF7C43" w:rsidRDefault="009B1034" w:rsidP="001354DD">
      <w:pPr>
        <w:numPr>
          <w:ilvl w:val="1"/>
          <w:numId w:val="2"/>
        </w:numPr>
        <w:spacing w:after="240"/>
        <w:ind w:right="283" w:hanging="851"/>
      </w:pPr>
      <w:r>
        <w:t xml:space="preserve">If the Supplier </w:t>
      </w:r>
      <w:r w:rsidR="0004504C">
        <w:t>refuses</w:t>
      </w:r>
      <w:r>
        <w:t xml:space="preserve"> to adjust pricing on reasonable request by the Authority as a result of a Wholesale Access Prices Benchmarking under this Contract the Authority may also notify the Programme Authority and/or the Regulator and/or the European Commission of those circumstances.</w:t>
      </w:r>
      <w:r w:rsidR="00C95D9F">
        <w:t xml:space="preserve"> The Authority reserves its rights to apply the Dispute Resolution Procedures in accordance with this Contrac</w:t>
      </w:r>
      <w:r w:rsidR="001B3361">
        <w:t xml:space="preserve">t to escalate and resolve the Supplier’s </w:t>
      </w:r>
      <w:r w:rsidR="0017521E">
        <w:t>refusal</w:t>
      </w:r>
      <w:r w:rsidR="001B3361">
        <w:t xml:space="preserve"> to adjust the Wholesale Access Prices to</w:t>
      </w:r>
      <w:r w:rsidR="00B75CAA">
        <w:t xml:space="preserve"> align with the Benchmark Data.</w:t>
      </w:r>
    </w:p>
    <w:sectPr w:rsidR="00EF7C43">
      <w:footerReference w:type="default" r:id="rId7"/>
      <w:pgSz w:w="11907" w:h="16840"/>
      <w:pgMar w:top="1418" w:right="1701" w:bottom="1418" w:left="1701"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0C38D" w14:textId="77777777" w:rsidR="00525895" w:rsidRDefault="00525895">
      <w:r>
        <w:separator/>
      </w:r>
    </w:p>
  </w:endnote>
  <w:endnote w:type="continuationSeparator" w:id="0">
    <w:p w14:paraId="16F717EB" w14:textId="77777777" w:rsidR="00525895" w:rsidRDefault="0052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53D7D" w14:textId="0C7F1DF2" w:rsidR="002C593A" w:rsidRPr="002C593A" w:rsidRDefault="002C593A" w:rsidP="002C593A">
    <w:pPr>
      <w:ind w:right="29"/>
      <w:jc w:val="left"/>
      <w:rPr>
        <w:sz w:val="16"/>
        <w:szCs w:val="16"/>
      </w:rPr>
    </w:pPr>
    <w:r w:rsidRPr="002C593A">
      <w:rPr>
        <w:sz w:val="16"/>
        <w:szCs w:val="16"/>
      </w:rPr>
      <w:t>SCHEDULE 5.2 – WHOLESALE ACCESS PRICING</w:t>
    </w:r>
  </w:p>
  <w:p w14:paraId="59847C4C" w14:textId="77777777" w:rsidR="00EF7C43" w:rsidRDefault="009B1034" w:rsidP="001354DD">
    <w:pPr>
      <w:ind w:right="29"/>
      <w:jc w:val="center"/>
    </w:pPr>
    <w:r>
      <w:fldChar w:fldCharType="begin"/>
    </w:r>
    <w:r>
      <w:instrText>PAGE</w:instrText>
    </w:r>
    <w:r>
      <w:fldChar w:fldCharType="separate"/>
    </w:r>
    <w:r w:rsidR="0005543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A20A0" w14:textId="77777777" w:rsidR="00525895" w:rsidRDefault="00525895">
      <w:r>
        <w:separator/>
      </w:r>
    </w:p>
  </w:footnote>
  <w:footnote w:type="continuationSeparator" w:id="0">
    <w:p w14:paraId="157DE914" w14:textId="77777777" w:rsidR="00525895" w:rsidRDefault="00525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572"/>
    <w:multiLevelType w:val="multilevel"/>
    <w:tmpl w:val="4860EEEA"/>
    <w:lvl w:ilvl="0">
      <w:start w:val="1"/>
      <w:numFmt w:val="decimal"/>
      <w:lvlText w:val="%1."/>
      <w:lvlJc w:val="left"/>
      <w:pPr>
        <w:ind w:left="851" w:firstLine="0"/>
      </w:pPr>
      <w:rPr>
        <w:b w:val="0"/>
        <w:i w:val="0"/>
        <w:smallCaps w:val="0"/>
        <w:strike w:val="0"/>
        <w:color w:val="000000"/>
        <w:u w:val="none"/>
        <w:vertAlign w:val="baseline"/>
      </w:rPr>
    </w:lvl>
    <w:lvl w:ilvl="1">
      <w:start w:val="1"/>
      <w:numFmt w:val="decimal"/>
      <w:lvlText w:val="%1.%2"/>
      <w:lvlJc w:val="left"/>
      <w:pPr>
        <w:ind w:left="851" w:firstLine="0"/>
      </w:pPr>
      <w:rPr>
        <w:b w:val="0"/>
        <w:i w:val="0"/>
        <w:smallCaps w:val="0"/>
        <w:strike w:val="0"/>
        <w:color w:val="000000"/>
        <w:u w:val="none"/>
        <w:vertAlign w:val="baseline"/>
      </w:rPr>
    </w:lvl>
    <w:lvl w:ilvl="2">
      <w:start w:val="1"/>
      <w:numFmt w:val="decimal"/>
      <w:lvlText w:val="%1.%2.%3"/>
      <w:lvlJc w:val="left"/>
      <w:pPr>
        <w:ind w:left="1702" w:firstLine="851"/>
      </w:pPr>
      <w:rPr>
        <w:b w:val="0"/>
        <w:i w:val="0"/>
        <w:smallCaps w:val="0"/>
        <w:strike w:val="0"/>
        <w:color w:val="000000"/>
        <w:u w:val="none"/>
        <w:vertAlign w:val="baseline"/>
      </w:rPr>
    </w:lvl>
    <w:lvl w:ilvl="3">
      <w:start w:val="1"/>
      <w:numFmt w:val="lowerLetter"/>
      <w:lvlText w:val="(%4)"/>
      <w:lvlJc w:val="left"/>
      <w:pPr>
        <w:ind w:left="2553" w:firstLine="1702"/>
      </w:pPr>
      <w:rPr>
        <w:b w:val="0"/>
        <w:i w:val="0"/>
        <w:smallCaps w:val="0"/>
        <w:strike w:val="0"/>
        <w:color w:val="000000"/>
        <w:u w:val="none"/>
        <w:vertAlign w:val="baseline"/>
      </w:rPr>
    </w:lvl>
    <w:lvl w:ilvl="4">
      <w:start w:val="1"/>
      <w:numFmt w:val="lowerRoman"/>
      <w:lvlText w:val="(%5)"/>
      <w:lvlJc w:val="left"/>
      <w:pPr>
        <w:ind w:left="3404" w:firstLine="2553"/>
      </w:pPr>
      <w:rPr>
        <w:b w:val="0"/>
        <w:i w:val="0"/>
        <w:smallCaps w:val="0"/>
        <w:strike w:val="0"/>
        <w:color w:val="000000"/>
        <w:u w:val="none"/>
        <w:vertAlign w:val="baseline"/>
      </w:rPr>
    </w:lvl>
    <w:lvl w:ilvl="5">
      <w:start w:val="1"/>
      <w:numFmt w:val="decimal"/>
      <w:lvlText w:val="(%6)"/>
      <w:lvlJc w:val="left"/>
      <w:pPr>
        <w:ind w:left="4255" w:firstLine="3404"/>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1" w15:restartNumberingAfterBreak="0">
    <w:nsid w:val="217E11C0"/>
    <w:multiLevelType w:val="multilevel"/>
    <w:tmpl w:val="92C65F5A"/>
    <w:lvl w:ilvl="0">
      <w:start w:val="1"/>
      <w:numFmt w:val="decimal"/>
      <w:lvlText w:val="%1."/>
      <w:lvlJc w:val="left"/>
      <w:pPr>
        <w:ind w:left="851" w:firstLine="0"/>
      </w:pPr>
      <w:rPr>
        <w:b w:val="0"/>
        <w:i w:val="0"/>
        <w:smallCaps w:val="0"/>
        <w:strike w:val="0"/>
        <w:color w:val="000000"/>
        <w:u w:val="none"/>
        <w:vertAlign w:val="baseline"/>
      </w:rPr>
    </w:lvl>
    <w:lvl w:ilvl="1">
      <w:start w:val="1"/>
      <w:numFmt w:val="decimal"/>
      <w:lvlText w:val="%1.%2"/>
      <w:lvlJc w:val="left"/>
      <w:pPr>
        <w:ind w:left="851" w:firstLine="0"/>
      </w:pPr>
      <w:rPr>
        <w:b w:val="0"/>
        <w:i w:val="0"/>
        <w:smallCaps w:val="0"/>
        <w:strike w:val="0"/>
        <w:color w:val="000000"/>
        <w:u w:val="none"/>
        <w:vertAlign w:val="baseline"/>
      </w:rPr>
    </w:lvl>
    <w:lvl w:ilvl="2">
      <w:start w:val="1"/>
      <w:numFmt w:val="decimal"/>
      <w:lvlText w:val="%1.%2.%3"/>
      <w:lvlJc w:val="left"/>
      <w:pPr>
        <w:ind w:left="1702" w:firstLine="851"/>
      </w:pPr>
      <w:rPr>
        <w:b w:val="0"/>
        <w:i w:val="0"/>
        <w:smallCaps w:val="0"/>
        <w:strike w:val="0"/>
        <w:color w:val="000000"/>
        <w:u w:val="none"/>
        <w:vertAlign w:val="baseline"/>
      </w:rPr>
    </w:lvl>
    <w:lvl w:ilvl="3">
      <w:start w:val="1"/>
      <w:numFmt w:val="lowerLetter"/>
      <w:lvlText w:val="(%4)"/>
      <w:lvlJc w:val="left"/>
      <w:pPr>
        <w:ind w:left="2553" w:firstLine="1702"/>
      </w:pPr>
      <w:rPr>
        <w:b w:val="0"/>
        <w:i w:val="0"/>
        <w:smallCaps w:val="0"/>
        <w:strike w:val="0"/>
        <w:color w:val="000000"/>
        <w:u w:val="none"/>
        <w:vertAlign w:val="baseline"/>
      </w:rPr>
    </w:lvl>
    <w:lvl w:ilvl="4">
      <w:start w:val="1"/>
      <w:numFmt w:val="lowerRoman"/>
      <w:lvlText w:val="(%5)"/>
      <w:lvlJc w:val="left"/>
      <w:pPr>
        <w:ind w:left="3404" w:firstLine="2553"/>
      </w:pPr>
      <w:rPr>
        <w:b w:val="0"/>
        <w:i w:val="0"/>
        <w:smallCaps w:val="0"/>
        <w:strike w:val="0"/>
        <w:color w:val="000000"/>
        <w:u w:val="none"/>
        <w:vertAlign w:val="baseline"/>
      </w:rPr>
    </w:lvl>
    <w:lvl w:ilvl="5">
      <w:start w:val="1"/>
      <w:numFmt w:val="decimal"/>
      <w:lvlText w:val="(%6)"/>
      <w:lvlJc w:val="left"/>
      <w:pPr>
        <w:ind w:left="4255" w:firstLine="3404"/>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EF7C43"/>
    <w:rsid w:val="0004504C"/>
    <w:rsid w:val="00055438"/>
    <w:rsid w:val="00071D42"/>
    <w:rsid w:val="000D2C22"/>
    <w:rsid w:val="000E78AE"/>
    <w:rsid w:val="0010267C"/>
    <w:rsid w:val="001354DD"/>
    <w:rsid w:val="001357CA"/>
    <w:rsid w:val="0015485A"/>
    <w:rsid w:val="0017521E"/>
    <w:rsid w:val="001B3361"/>
    <w:rsid w:val="002B3F36"/>
    <w:rsid w:val="002B429C"/>
    <w:rsid w:val="002C593A"/>
    <w:rsid w:val="003A78EF"/>
    <w:rsid w:val="004252F9"/>
    <w:rsid w:val="0042640E"/>
    <w:rsid w:val="00481D3D"/>
    <w:rsid w:val="00525895"/>
    <w:rsid w:val="00554AC9"/>
    <w:rsid w:val="0056764B"/>
    <w:rsid w:val="00647A12"/>
    <w:rsid w:val="00671452"/>
    <w:rsid w:val="006C5300"/>
    <w:rsid w:val="007B775C"/>
    <w:rsid w:val="007E1D68"/>
    <w:rsid w:val="008376CF"/>
    <w:rsid w:val="008457F4"/>
    <w:rsid w:val="008663BB"/>
    <w:rsid w:val="00940A55"/>
    <w:rsid w:val="00994762"/>
    <w:rsid w:val="009B1034"/>
    <w:rsid w:val="00A72C56"/>
    <w:rsid w:val="00B074B7"/>
    <w:rsid w:val="00B30A91"/>
    <w:rsid w:val="00B75CAA"/>
    <w:rsid w:val="00C73843"/>
    <w:rsid w:val="00C95D9F"/>
    <w:rsid w:val="00E53F6B"/>
    <w:rsid w:val="00E63434"/>
    <w:rsid w:val="00E84DB4"/>
    <w:rsid w:val="00E94134"/>
    <w:rsid w:val="00EE70FF"/>
    <w:rsid w:val="00EF7C43"/>
    <w:rsid w:val="00F96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A55BE"/>
  <w15:docId w15:val="{0A0CB449-CEE6-40FE-BE2E-1A364666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ind w:left="432" w:hanging="432"/>
      <w:jc w:val="left"/>
      <w:outlineLvl w:val="0"/>
    </w:pPr>
    <w:rPr>
      <w:rFonts w:ascii="Calibri" w:eastAsia="Calibri" w:hAnsi="Calibri" w:cs="Calibri"/>
      <w:b/>
      <w:color w:val="1F497D"/>
      <w:sz w:val="40"/>
      <w:szCs w:val="40"/>
    </w:rPr>
  </w:style>
  <w:style w:type="paragraph" w:styleId="Heading2">
    <w:name w:val="heading 2"/>
    <w:basedOn w:val="Normal"/>
    <w:next w:val="Normal"/>
    <w:pPr>
      <w:keepNext/>
      <w:keepLines/>
      <w:spacing w:before="360" w:after="120" w:line="276" w:lineRule="auto"/>
      <w:ind w:left="576" w:hanging="576"/>
      <w:jc w:val="left"/>
      <w:outlineLvl w:val="1"/>
    </w:pPr>
    <w:rPr>
      <w:rFonts w:ascii="Calibri" w:eastAsia="Calibri" w:hAnsi="Calibri" w:cs="Calibri"/>
      <w:b/>
      <w:color w:val="1F497D"/>
      <w:sz w:val="32"/>
      <w:szCs w:val="32"/>
    </w:rPr>
  </w:style>
  <w:style w:type="paragraph" w:styleId="Heading3">
    <w:name w:val="heading 3"/>
    <w:basedOn w:val="Normal"/>
    <w:next w:val="Normal"/>
    <w:pPr>
      <w:keepNext/>
      <w:keepLines/>
      <w:tabs>
        <w:tab w:val="left" w:pos="864"/>
      </w:tabs>
      <w:spacing w:after="120" w:line="264" w:lineRule="auto"/>
      <w:ind w:left="840" w:hanging="720"/>
      <w:outlineLvl w:val="2"/>
    </w:pPr>
    <w:rPr>
      <w:rFonts w:ascii="Calibri" w:eastAsia="Calibri" w:hAnsi="Calibri" w:cs="Calibri"/>
      <w:sz w:val="22"/>
      <w:szCs w:val="22"/>
    </w:rPr>
  </w:style>
  <w:style w:type="paragraph" w:styleId="Heading4">
    <w:name w:val="heading 4"/>
    <w:basedOn w:val="Normal"/>
    <w:next w:val="Normal"/>
    <w:pPr>
      <w:keepNext/>
      <w:keepLines/>
      <w:spacing w:before="240" w:after="80"/>
      <w:ind w:left="576" w:hanging="576"/>
      <w:jc w:val="left"/>
      <w:outlineLvl w:val="3"/>
    </w:pPr>
    <w:rPr>
      <w:rFonts w:ascii="Calibri" w:eastAsia="Calibri" w:hAnsi="Calibri" w:cs="Calibri"/>
      <w:i/>
      <w:color w:val="1F497D"/>
      <w:sz w:val="22"/>
      <w:szCs w:val="22"/>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240"/>
      <w:jc w:val="center"/>
    </w:pPr>
    <w:rPr>
      <w:rFonts w:ascii="Times New Roman" w:eastAsia="Times New Roman" w:hAnsi="Times New Roman" w:cs="Times New Roman"/>
      <w:b/>
      <w:smallCaps/>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4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34"/>
    <w:rPr>
      <w:rFonts w:ascii="Segoe UI" w:hAnsi="Segoe UI" w:cs="Segoe UI"/>
      <w:sz w:val="18"/>
      <w:szCs w:val="18"/>
    </w:rPr>
  </w:style>
  <w:style w:type="paragraph" w:styleId="ListParagraph">
    <w:name w:val="List Paragraph"/>
    <w:basedOn w:val="Normal"/>
    <w:uiPriority w:val="34"/>
    <w:qFormat/>
    <w:rsid w:val="00E84DB4"/>
    <w:pPr>
      <w:ind w:left="720"/>
      <w:contextualSpacing/>
    </w:pPr>
  </w:style>
  <w:style w:type="paragraph" w:styleId="Header">
    <w:name w:val="header"/>
    <w:basedOn w:val="Normal"/>
    <w:link w:val="HeaderChar"/>
    <w:uiPriority w:val="99"/>
    <w:unhideWhenUsed/>
    <w:rsid w:val="00F96487"/>
    <w:pPr>
      <w:tabs>
        <w:tab w:val="center" w:pos="4513"/>
        <w:tab w:val="right" w:pos="9026"/>
      </w:tabs>
    </w:pPr>
  </w:style>
  <w:style w:type="character" w:customStyle="1" w:styleId="HeaderChar">
    <w:name w:val="Header Char"/>
    <w:basedOn w:val="DefaultParagraphFont"/>
    <w:link w:val="Header"/>
    <w:uiPriority w:val="99"/>
    <w:rsid w:val="00F96487"/>
  </w:style>
  <w:style w:type="paragraph" w:styleId="Footer">
    <w:name w:val="footer"/>
    <w:basedOn w:val="Normal"/>
    <w:link w:val="FooterChar"/>
    <w:uiPriority w:val="99"/>
    <w:unhideWhenUsed/>
    <w:rsid w:val="00F96487"/>
    <w:pPr>
      <w:tabs>
        <w:tab w:val="center" w:pos="4513"/>
        <w:tab w:val="right" w:pos="9026"/>
      </w:tabs>
    </w:pPr>
  </w:style>
  <w:style w:type="character" w:customStyle="1" w:styleId="FooterChar">
    <w:name w:val="Footer Char"/>
    <w:basedOn w:val="DefaultParagraphFont"/>
    <w:link w:val="Footer"/>
    <w:uiPriority w:val="99"/>
    <w:rsid w:val="00F96487"/>
  </w:style>
  <w:style w:type="character" w:styleId="Hyperlink">
    <w:name w:val="Hyperlink"/>
    <w:basedOn w:val="DefaultParagraphFont"/>
    <w:uiPriority w:val="99"/>
    <w:unhideWhenUsed/>
    <w:rsid w:val="008376C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75CAA"/>
    <w:rPr>
      <w:b/>
      <w:bCs/>
    </w:rPr>
  </w:style>
  <w:style w:type="character" w:customStyle="1" w:styleId="CommentSubjectChar">
    <w:name w:val="Comment Subject Char"/>
    <w:basedOn w:val="CommentTextChar"/>
    <w:link w:val="CommentSubject"/>
    <w:uiPriority w:val="99"/>
    <w:semiHidden/>
    <w:rsid w:val="00B75CAA"/>
    <w:rPr>
      <w:b/>
      <w:bCs/>
    </w:rPr>
  </w:style>
  <w:style w:type="paragraph" w:customStyle="1" w:styleId="Body">
    <w:name w:val="Body"/>
    <w:aliases w:val="b"/>
    <w:basedOn w:val="Normal"/>
    <w:link w:val="BodyChar"/>
    <w:rsid w:val="00671452"/>
    <w:pPr>
      <w:spacing w:after="240"/>
    </w:pPr>
    <w:rPr>
      <w:rFonts w:eastAsia="Times New Roman"/>
      <w:color w:val="auto"/>
    </w:rPr>
  </w:style>
  <w:style w:type="character" w:customStyle="1" w:styleId="BodyChar">
    <w:name w:val="Body Char"/>
    <w:link w:val="Body"/>
    <w:rsid w:val="00671452"/>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866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Johnson</dc:creator>
  <cp:lastModifiedBy>Chris Johnson</cp:lastModifiedBy>
  <cp:revision>12</cp:revision>
  <dcterms:created xsi:type="dcterms:W3CDTF">2016-07-20T17:39:00Z</dcterms:created>
  <dcterms:modified xsi:type="dcterms:W3CDTF">2016-11-16T22:25:00Z</dcterms:modified>
</cp:coreProperties>
</file>