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28" w:rsidRPr="007C41A6" w:rsidRDefault="00712828">
      <w:pPr>
        <w:rPr>
          <w:rFonts w:ascii="Arial" w:hAnsi="Arial" w:cs="Arial"/>
        </w:rPr>
      </w:pPr>
      <w:bookmarkStart w:id="0" w:name="_Toc412452355"/>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Family 6 high band" style="position:absolute;margin-left:-691.5pt;margin-top:-1in;width:1228.5pt;height:870.75pt;z-index:-251657728;visibility:visible">
            <v:imagedata r:id="rId7" o:title=""/>
          </v:shape>
        </w:pict>
      </w:r>
      <w:r>
        <w:rPr>
          <w:noProof/>
          <w:lang w:eastAsia="en-GB"/>
        </w:rPr>
        <w:pict>
          <v:shapetype id="_x0000_t202" coordsize="21600,21600" o:spt="202" path="m,l,21600r21600,l21600,xe">
            <v:stroke joinstyle="miter"/>
            <v:path gradientshapeok="t" o:connecttype="rect"/>
          </v:shapetype>
          <v:shape id="Text Box 2" o:spid="_x0000_s1027" type="#_x0000_t202" style="position:absolute;margin-left:74.25pt;margin-top:-599.65pt;width:439.5pt;height:139.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R4CwIAAPMDAAAOAAAAZHJzL2Uyb0RvYy54bWysU21v2yAQ/j5p/wHxfbGdxV1ixam6dpkm&#10;dS9Sux+AMY7RgGNAYme/fgdO02j9Vo0PCLi75+557lhfj1qRg3BegqlpMcspEYZDK82upj8ft++W&#10;lPjATMsUGFHTo/D0evP2zXqwlZhDD6oVjiCI8dVga9qHYKss87wXmvkZWGHQ2IHTLODV7bLWsQHR&#10;tcrmeX6VDeBa64AL7/H1bjLSTcLvOsHD967zIhBVU6wtpN2lvYl7tlmzaueY7SU/lcFeUYVm0mDS&#10;M9QdC4zsnXwBpSV34KELMw46g66TXCQOyKbI/2Hz0DMrEhcUx9uzTP7/wfJvhx+OyBZ7R4lhGlv0&#10;KMZAPsJI5lGdwfoKnR4suoURn6NnZOrtPfBfnhi47ZnZiRvnYOgFa7G6IkZmF6ETjo8gzfAVWkzD&#10;9gES0Ng5HQFRDILo2KXjuTOxFI6PZbksrko0cbQVi/z9almmHKx6CrfOh88CNImHmjpsfYJnh3sf&#10;YjmsenKJ2QxspVKp/cqQoaarcl6mgAuLlgGnU0ld02Ue1zQvkeUn06bgwKSazphAmRPtyHTiHMZm&#10;RMeoRQPtEQVwME0h/ho89OD+UDLgBNbU/94zJyhRXwyKuCoWiziy6bIoP8zx4i4tzaWFGY5QNQ2U&#10;TMfbkMZ8atUNir2VSYbnSk614mQldU6/II7u5T15Pf/VzV8AAAD//wMAUEsDBBQABgAIAAAAIQBy&#10;RBB44gAAAA8BAAAPAAAAZHJzL2Rvd25yZXYueG1sTI9LT8MwEITvSPwHa5G4tXbCI4/GqSrUliNQ&#10;Is5u7CYR8UO2m4Z/z/YEx5n9NDtTrWc9kkn5MFjDIVkyIMq0Vg6m49B87hY5kBCFkWK0RnH4UQHW&#10;9e1NJUppL+ZDTYfYEQwxoRQc+hhdSWloe6VFWFqnDN5O1msRUfqOSi8uGK5HmjL2TLUYDH7ohVMv&#10;vWq/D2fNwUW3z1792/tmu5tY87Vv0qHbcn5/N29WQKKa4x8M1/pYHWrsdLRnIwMZUT/mT4hyWCRJ&#10;UTwAuTIszdA8ollkeQq0ruj/HfUvAAAA//8DAFBLAQItABQABgAIAAAAIQC2gziS/gAAAOEBAAAT&#10;AAAAAAAAAAAAAAAAAAAAAABbQ29udGVudF9UeXBlc10ueG1sUEsBAi0AFAAGAAgAAAAhADj9If/W&#10;AAAAlAEAAAsAAAAAAAAAAAAAAAAALwEAAF9yZWxzLy5yZWxzUEsBAi0AFAAGAAgAAAAhAM3t5HgL&#10;AgAA8wMAAA4AAAAAAAAAAAAAAAAALgIAAGRycy9lMm9Eb2MueG1sUEsBAi0AFAAGAAgAAAAhAHJE&#10;EHjiAAAADwEAAA8AAAAAAAAAAAAAAAAAZQQAAGRycy9kb3ducmV2LnhtbFBLBQYAAAAABAAEAPMA&#10;AAB0BQAAAAA=&#10;" filled="f" stroked="f">
            <v:textbox style="mso-fit-shape-to-text:t">
              <w:txbxContent>
                <w:p w:rsidR="00712828" w:rsidRPr="00E5405C" w:rsidRDefault="00712828">
                  <w:pPr>
                    <w:rPr>
                      <w:rFonts w:ascii="Arial" w:hAnsi="Arial" w:cs="Arial"/>
                      <w:color w:val="FFFFFF"/>
                      <w:sz w:val="56"/>
                      <w:szCs w:val="56"/>
                    </w:rPr>
                  </w:pPr>
                  <w:r w:rsidRPr="00E5405C">
                    <w:rPr>
                      <w:rFonts w:ascii="Arial" w:hAnsi="Arial" w:cs="Arial"/>
                      <w:color w:val="FFFFFF"/>
                      <w:sz w:val="56"/>
                      <w:szCs w:val="56"/>
                    </w:rPr>
                    <w:t>Call for Evidence</w:t>
                  </w:r>
                </w:p>
                <w:p w:rsidR="00712828" w:rsidRPr="008B6782" w:rsidRDefault="00712828">
                  <w:pPr>
                    <w:rPr>
                      <w:rFonts w:ascii="Arial" w:hAnsi="Arial" w:cs="Arial"/>
                      <w:color w:val="92D050"/>
                      <w:sz w:val="48"/>
                      <w:szCs w:val="44"/>
                    </w:rPr>
                  </w:pPr>
                  <w:r w:rsidRPr="008B6782">
                    <w:rPr>
                      <w:rFonts w:ascii="Arial" w:hAnsi="Arial" w:cs="Arial"/>
                      <w:color w:val="92D050"/>
                      <w:sz w:val="48"/>
                      <w:szCs w:val="44"/>
                    </w:rPr>
                    <w:t xml:space="preserve">Collective Redundancy Consultation </w:t>
                  </w:r>
                  <w:r>
                    <w:rPr>
                      <w:rFonts w:ascii="Arial" w:hAnsi="Arial" w:cs="Arial"/>
                      <w:color w:val="92D050"/>
                      <w:sz w:val="48"/>
                      <w:szCs w:val="44"/>
                    </w:rPr>
                    <w:t>for employers f</w:t>
                  </w:r>
                  <w:r w:rsidRPr="008B6782">
                    <w:rPr>
                      <w:rFonts w:ascii="Arial" w:hAnsi="Arial" w:cs="Arial"/>
                      <w:color w:val="92D050"/>
                      <w:sz w:val="48"/>
                      <w:szCs w:val="44"/>
                    </w:rPr>
                    <w:t>acing Insolvency</w:t>
                  </w:r>
                </w:p>
                <w:p w:rsidR="00712828" w:rsidRPr="008B6782" w:rsidRDefault="00712828">
                  <w:pPr>
                    <w:rPr>
                      <w:rFonts w:ascii="Arial" w:hAnsi="Arial" w:cs="Arial"/>
                      <w:color w:val="92D050"/>
                      <w:sz w:val="48"/>
                      <w:szCs w:val="44"/>
                    </w:rPr>
                  </w:pPr>
                  <w:r w:rsidRPr="008B6782">
                    <w:rPr>
                      <w:rFonts w:ascii="Arial" w:hAnsi="Arial" w:cs="Arial"/>
                      <w:color w:val="92D050"/>
                      <w:sz w:val="48"/>
                      <w:szCs w:val="44"/>
                    </w:rPr>
                    <w:t>March 2015</w:t>
                  </w:r>
                </w:p>
              </w:txbxContent>
            </v:textbox>
          </v:shape>
        </w:pict>
      </w:r>
    </w:p>
    <w:p w:rsidR="00712828" w:rsidRPr="007C41A6" w:rsidRDefault="00712828">
      <w:pPr>
        <w:rPr>
          <w:rFonts w:ascii="Arial" w:hAnsi="Arial" w:cs="Arial"/>
        </w:rPr>
      </w:pPr>
      <w:r>
        <w:rPr>
          <w:noProof/>
          <w:lang w:eastAsia="en-GB"/>
        </w:rPr>
        <w:pict>
          <v:shape id="_x0000_s1028" type="#_x0000_t202" style="position:absolute;margin-left:58.5pt;margin-top:82.55pt;width:459.75pt;height:18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4ACwIAAPoDAAAOAAAAZHJzL2Uyb0RvYy54bWysU21v2yAQ/j5p/wHxfbHjJFtqhVRdu06T&#10;uhep7Q8gGMdowDEgsbNf3wOnadR9m2pLiOOO5+557lhdDkaTvfRBgWV0OikpkVZAo+yW0ceH2w9L&#10;SkLktuEarGT0IAO9XL9/t+pdLSvoQDfSEwSxoe4do12Mri6KIDppeJiAkxadLXjDI5p+WzSe94hu&#10;dFGV5ceiB984D0KGgKc3o5OuM37bShF/tm2QkWhGsbaYV5/XTVqL9YrXW89dp8SxDP4fVRiuLCY9&#10;Qd3wyMnOq3+gjBIeArRxIsAU0LZKyMwB2UzLV2zuO+5k5oLiBHeSKbwdrPix/+WJahidUWK5wRY9&#10;yCGSzzCQKqnTu1Bj0L3DsDjgMXY5Mw3uDsTvQCxcd9xu5ZX30HeSN1jdNN0szq6OOCGBbPrv0GAa&#10;vouQgYbWmyQdikEQHbt0OHUmlSLwcLGcLZfVghKBvmpWLvDPOXj9fN35EL9KMCRtGPXY+gzP93ch&#10;pnJ4/RySslm4VVrn9mtLekYvFoj/ymNUxOnUyjC6LNM3zkti+cU2+XLkSo97TKDtkXZiOnKOw2bI&#10;+mZNkiQbaA6og4dxGPHx4KYD/5eSHgeR0fBnx72kRH+zqOXFdD5Pk5uN+eJThYY/92zOPdwKhGI0&#10;UjJur2Oe9pHYFWreqqzGSyXHknHAskjHx5Am+NzOUS9Pdv0EAAD//wMAUEsDBBQABgAIAAAAIQAg&#10;hn0H3wAAAAwBAAAPAAAAZHJzL2Rvd25yZXYueG1sTI/BTsMwEETvSPyDtUjcqJ1CQglxKgTiWtQW&#10;kLi58TaJiNdR7Dbh77s90duOdjTzplhOrhNHHELrSUMyUyCQKm9bqjV8bt/vFiBCNGRN5wk1/GGA&#10;ZXl9VZjc+pHWeNzEWnAIhdxoaGLscylD1aAzYeZ7JP7t/eBMZDnU0g5m5HDXyblSmXSmJW5oTI+v&#10;DVa/m4PT8LXa/3w/qI/6zaX96CclyT1JrW9vppdnEBGn+G+GMz6jQ8lMO38gG0THOnnkLZGPLE1A&#10;nB3qPktB7DSk80UCsizk5YjyBAAA//8DAFBLAQItABQABgAIAAAAIQC2gziS/gAAAOEBAAATAAAA&#10;AAAAAAAAAAAAAAAAAABbQ29udGVudF9UeXBlc10ueG1sUEsBAi0AFAAGAAgAAAAhADj9If/WAAAA&#10;lAEAAAsAAAAAAAAAAAAAAAAALwEAAF9yZWxzLy5yZWxzUEsBAi0AFAAGAAgAAAAhAPhJPgALAgAA&#10;+gMAAA4AAAAAAAAAAAAAAAAALgIAAGRycy9lMm9Eb2MueG1sUEsBAi0AFAAGAAgAAAAhACCGfQff&#10;AAAADAEAAA8AAAAAAAAAAAAAAAAAZQQAAGRycy9kb3ducmV2LnhtbFBLBQYAAAAABAAEAPMAAABx&#10;BQAAAAA=&#10;" filled="f" stroked="f">
            <v:textbox>
              <w:txbxContent>
                <w:p w:rsidR="00712828" w:rsidRPr="00E5405C" w:rsidRDefault="00712828" w:rsidP="006A62B5">
                  <w:pPr>
                    <w:rPr>
                      <w:rFonts w:ascii="Arial" w:hAnsi="Arial" w:cs="Arial"/>
                      <w:color w:val="FFFFFF"/>
                      <w:sz w:val="56"/>
                      <w:szCs w:val="56"/>
                    </w:rPr>
                  </w:pPr>
                  <w:r w:rsidRPr="00E5405C">
                    <w:rPr>
                      <w:rFonts w:ascii="Arial" w:hAnsi="Arial" w:cs="Arial"/>
                      <w:color w:val="FFFFFF"/>
                      <w:sz w:val="56"/>
                      <w:szCs w:val="56"/>
                    </w:rPr>
                    <w:t>Call for Evidence</w:t>
                  </w:r>
                </w:p>
                <w:p w:rsidR="00712828" w:rsidRPr="008B6782" w:rsidRDefault="00712828" w:rsidP="006A62B5">
                  <w:pPr>
                    <w:rPr>
                      <w:rFonts w:ascii="Arial" w:hAnsi="Arial" w:cs="Arial"/>
                      <w:color w:val="92D050"/>
                      <w:sz w:val="48"/>
                      <w:szCs w:val="44"/>
                    </w:rPr>
                  </w:pPr>
                  <w:r w:rsidRPr="008B6782">
                    <w:rPr>
                      <w:rFonts w:ascii="Arial" w:hAnsi="Arial" w:cs="Arial"/>
                      <w:color w:val="92D050"/>
                      <w:sz w:val="48"/>
                      <w:szCs w:val="44"/>
                    </w:rPr>
                    <w:t xml:space="preserve">Collective Redundancy Consultation </w:t>
                  </w:r>
                  <w:r>
                    <w:rPr>
                      <w:rFonts w:ascii="Arial" w:hAnsi="Arial" w:cs="Arial"/>
                      <w:color w:val="92D050"/>
                      <w:sz w:val="48"/>
                      <w:szCs w:val="44"/>
                    </w:rPr>
                    <w:t>for Employers f</w:t>
                  </w:r>
                  <w:r w:rsidRPr="008B6782">
                    <w:rPr>
                      <w:rFonts w:ascii="Arial" w:hAnsi="Arial" w:cs="Arial"/>
                      <w:color w:val="92D050"/>
                      <w:sz w:val="48"/>
                      <w:szCs w:val="44"/>
                    </w:rPr>
                    <w:t>acing Insolvency</w:t>
                  </w:r>
                </w:p>
                <w:p w:rsidR="00712828" w:rsidRPr="008B6782" w:rsidRDefault="00712828" w:rsidP="006A62B5">
                  <w:pPr>
                    <w:rPr>
                      <w:rFonts w:ascii="Arial" w:hAnsi="Arial" w:cs="Arial"/>
                      <w:color w:val="92D050"/>
                      <w:sz w:val="48"/>
                      <w:szCs w:val="44"/>
                    </w:rPr>
                  </w:pPr>
                  <w:r w:rsidRPr="008B6782">
                    <w:rPr>
                      <w:rFonts w:ascii="Arial" w:hAnsi="Arial" w:cs="Arial"/>
                      <w:color w:val="92D050"/>
                      <w:sz w:val="48"/>
                      <w:szCs w:val="44"/>
                    </w:rPr>
                    <w:t>March 2015</w:t>
                  </w:r>
                </w:p>
                <w:p w:rsidR="00712828" w:rsidRDefault="00712828"/>
              </w:txbxContent>
            </v:textbox>
          </v:shape>
        </w:pict>
      </w:r>
      <w:r>
        <w:rPr>
          <w:noProof/>
          <w:lang w:eastAsia="en-GB"/>
        </w:rPr>
        <w:pict>
          <v:shape id="Picture 4" o:spid="_x0000_s1029" type="#_x0000_t75" alt="A BIS Service a4" style="position:absolute;margin-left:361.8pt;margin-top:620.85pt;width:127.5pt;height:28.5pt;z-index:251657728;visibility:visible">
            <v:imagedata r:id="rId8" o:title=""/>
          </v:shape>
        </w:pict>
      </w:r>
      <w:r w:rsidRPr="007C41A6">
        <w:rPr>
          <w:rFonts w:ascii="Arial" w:hAnsi="Arial" w:cs="Arial"/>
        </w:rPr>
        <w:br w:type="page"/>
      </w:r>
    </w:p>
    <w:p w:rsidR="00712828" w:rsidRPr="007C41A6" w:rsidRDefault="00712828" w:rsidP="006A62B5">
      <w:pPr>
        <w:rPr>
          <w:rFonts w:ascii="Arial" w:hAnsi="Arial" w:cs="Arial"/>
        </w:rPr>
      </w:pPr>
    </w:p>
    <w:p w:rsidR="00712828" w:rsidRPr="007C41A6" w:rsidRDefault="00712828" w:rsidP="006A62B5">
      <w:pPr>
        <w:rPr>
          <w:rFonts w:ascii="Arial" w:hAnsi="Arial" w:cs="Arial"/>
        </w:rPr>
      </w:pPr>
      <w:r w:rsidRPr="007C41A6">
        <w:rPr>
          <w:rFonts w:ascii="Arial" w:hAnsi="Arial" w:cs="Arial"/>
        </w:rPr>
        <w:t>Contents</w:t>
      </w:r>
    </w:p>
    <w:p w:rsidR="00712828" w:rsidRPr="007C41A6" w:rsidRDefault="00712828">
      <w:pPr>
        <w:pStyle w:val="TOC1"/>
        <w:tabs>
          <w:tab w:val="right" w:leader="dot" w:pos="9016"/>
        </w:tabs>
        <w:rPr>
          <w:rFonts w:ascii="Arial" w:hAnsi="Arial" w:cs="Arial"/>
          <w:noProof/>
          <w:lang w:eastAsia="en-GB"/>
        </w:rPr>
      </w:pPr>
      <w:r w:rsidRPr="007C41A6">
        <w:rPr>
          <w:rFonts w:ascii="Arial" w:hAnsi="Arial" w:cs="Arial"/>
        </w:rPr>
        <w:fldChar w:fldCharType="begin"/>
      </w:r>
      <w:r w:rsidRPr="007C41A6">
        <w:rPr>
          <w:rFonts w:ascii="Arial" w:hAnsi="Arial" w:cs="Arial"/>
        </w:rPr>
        <w:instrText xml:space="preserve"> TOC \o "1-3" \h \z \u </w:instrText>
      </w:r>
      <w:r w:rsidRPr="007C41A6">
        <w:rPr>
          <w:rFonts w:ascii="Arial" w:hAnsi="Arial" w:cs="Arial"/>
        </w:rPr>
        <w:fldChar w:fldCharType="separate"/>
      </w:r>
      <w:hyperlink w:anchor="_Toc412452354" w:history="1">
        <w:r w:rsidRPr="007C41A6">
          <w:rPr>
            <w:rStyle w:val="Hyperlink"/>
            <w:rFonts w:ascii="Arial" w:hAnsi="Arial" w:cs="Arial"/>
            <w:noProof/>
          </w:rPr>
          <w:t>How to Respond</w:t>
        </w:r>
        <w:r w:rsidRPr="007C41A6">
          <w:rPr>
            <w:rFonts w:ascii="Arial" w:hAnsi="Arial" w:cs="Arial"/>
            <w:noProof/>
            <w:webHidden/>
          </w:rPr>
          <w:tab/>
        </w:r>
        <w:r w:rsidRPr="007C41A6">
          <w:rPr>
            <w:rFonts w:ascii="Arial" w:hAnsi="Arial" w:cs="Arial"/>
            <w:noProof/>
            <w:webHidden/>
          </w:rPr>
          <w:fldChar w:fldCharType="begin"/>
        </w:r>
        <w:r w:rsidRPr="007C41A6">
          <w:rPr>
            <w:rFonts w:ascii="Arial" w:hAnsi="Arial" w:cs="Arial"/>
            <w:noProof/>
            <w:webHidden/>
          </w:rPr>
          <w:instrText xml:space="preserve"> PAGEREF _Toc412452354 \h </w:instrText>
        </w:r>
        <w:r w:rsidRPr="00ED25BF">
          <w:rPr>
            <w:rFonts w:ascii="Arial" w:hAnsi="Arial" w:cs="Arial"/>
            <w:noProof/>
          </w:rPr>
        </w:r>
        <w:r w:rsidRPr="007C41A6">
          <w:rPr>
            <w:rFonts w:ascii="Arial" w:hAnsi="Arial" w:cs="Arial"/>
            <w:noProof/>
            <w:webHidden/>
          </w:rPr>
          <w:fldChar w:fldCharType="separate"/>
        </w:r>
        <w:r>
          <w:rPr>
            <w:rFonts w:ascii="Arial" w:hAnsi="Arial" w:cs="Arial"/>
            <w:noProof/>
            <w:webHidden/>
          </w:rPr>
          <w:t>3</w:t>
        </w:r>
        <w:r w:rsidRPr="007C41A6">
          <w:rPr>
            <w:rFonts w:ascii="Arial" w:hAnsi="Arial" w:cs="Arial"/>
            <w:noProof/>
            <w:webHidden/>
          </w:rPr>
          <w:fldChar w:fldCharType="end"/>
        </w:r>
      </w:hyperlink>
    </w:p>
    <w:p w:rsidR="00712828" w:rsidRPr="007C41A6" w:rsidRDefault="00712828">
      <w:pPr>
        <w:pStyle w:val="TOC1"/>
        <w:tabs>
          <w:tab w:val="right" w:leader="dot" w:pos="9016"/>
        </w:tabs>
        <w:rPr>
          <w:rFonts w:ascii="Arial" w:hAnsi="Arial" w:cs="Arial"/>
          <w:noProof/>
          <w:lang w:eastAsia="en-GB"/>
        </w:rPr>
      </w:pPr>
      <w:hyperlink w:anchor="_Toc412452355" w:history="1">
        <w:r w:rsidRPr="007C41A6">
          <w:rPr>
            <w:rStyle w:val="Hyperlink"/>
            <w:rFonts w:ascii="Arial" w:hAnsi="Arial" w:cs="Arial"/>
            <w:noProof/>
          </w:rPr>
          <w:t>Foreword</w:t>
        </w:r>
        <w:r w:rsidRPr="007C41A6">
          <w:rPr>
            <w:rFonts w:ascii="Arial" w:hAnsi="Arial" w:cs="Arial"/>
            <w:noProof/>
            <w:webHidden/>
          </w:rPr>
          <w:tab/>
        </w:r>
        <w:r w:rsidRPr="007C41A6">
          <w:rPr>
            <w:rFonts w:ascii="Arial" w:hAnsi="Arial" w:cs="Arial"/>
            <w:noProof/>
            <w:webHidden/>
          </w:rPr>
          <w:fldChar w:fldCharType="begin"/>
        </w:r>
        <w:r w:rsidRPr="007C41A6">
          <w:rPr>
            <w:rFonts w:ascii="Arial" w:hAnsi="Arial" w:cs="Arial"/>
            <w:noProof/>
            <w:webHidden/>
          </w:rPr>
          <w:instrText xml:space="preserve"> PAGEREF _Toc412452355 \h </w:instrText>
        </w:r>
        <w:r w:rsidRPr="00ED25BF">
          <w:rPr>
            <w:rFonts w:ascii="Arial" w:hAnsi="Arial" w:cs="Arial"/>
            <w:noProof/>
          </w:rPr>
        </w:r>
        <w:r w:rsidRPr="007C41A6">
          <w:rPr>
            <w:rFonts w:ascii="Arial" w:hAnsi="Arial" w:cs="Arial"/>
            <w:noProof/>
            <w:webHidden/>
          </w:rPr>
          <w:fldChar w:fldCharType="separate"/>
        </w:r>
        <w:r>
          <w:rPr>
            <w:rFonts w:ascii="Arial" w:hAnsi="Arial" w:cs="Arial"/>
            <w:noProof/>
            <w:webHidden/>
          </w:rPr>
          <w:t>1</w:t>
        </w:r>
        <w:r w:rsidRPr="007C41A6">
          <w:rPr>
            <w:rFonts w:ascii="Arial" w:hAnsi="Arial" w:cs="Arial"/>
            <w:noProof/>
            <w:webHidden/>
          </w:rPr>
          <w:fldChar w:fldCharType="end"/>
        </w:r>
      </w:hyperlink>
    </w:p>
    <w:p w:rsidR="00712828" w:rsidRPr="007C41A6" w:rsidRDefault="00712828">
      <w:pPr>
        <w:pStyle w:val="TOC1"/>
        <w:tabs>
          <w:tab w:val="right" w:leader="dot" w:pos="9016"/>
        </w:tabs>
        <w:rPr>
          <w:rFonts w:ascii="Arial" w:hAnsi="Arial" w:cs="Arial"/>
          <w:noProof/>
          <w:lang w:eastAsia="en-GB"/>
        </w:rPr>
      </w:pPr>
      <w:hyperlink w:anchor="_Toc412452356" w:history="1">
        <w:r w:rsidRPr="007C41A6">
          <w:rPr>
            <w:rStyle w:val="Hyperlink"/>
            <w:rFonts w:ascii="Arial" w:hAnsi="Arial" w:cs="Arial"/>
            <w:noProof/>
          </w:rPr>
          <w:t>Summary</w:t>
        </w:r>
        <w:r w:rsidRPr="007C41A6">
          <w:rPr>
            <w:rFonts w:ascii="Arial" w:hAnsi="Arial" w:cs="Arial"/>
            <w:noProof/>
            <w:webHidden/>
          </w:rPr>
          <w:tab/>
        </w:r>
        <w:r w:rsidRPr="007C41A6">
          <w:rPr>
            <w:rFonts w:ascii="Arial" w:hAnsi="Arial" w:cs="Arial"/>
            <w:noProof/>
            <w:webHidden/>
          </w:rPr>
          <w:fldChar w:fldCharType="begin"/>
        </w:r>
        <w:r w:rsidRPr="007C41A6">
          <w:rPr>
            <w:rFonts w:ascii="Arial" w:hAnsi="Arial" w:cs="Arial"/>
            <w:noProof/>
            <w:webHidden/>
          </w:rPr>
          <w:instrText xml:space="preserve"> PAGEREF _Toc412452356 \h </w:instrText>
        </w:r>
        <w:r w:rsidRPr="00ED25BF">
          <w:rPr>
            <w:rFonts w:ascii="Arial" w:hAnsi="Arial" w:cs="Arial"/>
            <w:noProof/>
          </w:rPr>
        </w:r>
        <w:r w:rsidRPr="007C41A6">
          <w:rPr>
            <w:rFonts w:ascii="Arial" w:hAnsi="Arial" w:cs="Arial"/>
            <w:noProof/>
            <w:webHidden/>
          </w:rPr>
          <w:fldChar w:fldCharType="separate"/>
        </w:r>
        <w:r>
          <w:rPr>
            <w:rFonts w:ascii="Arial" w:hAnsi="Arial" w:cs="Arial"/>
            <w:noProof/>
            <w:webHidden/>
          </w:rPr>
          <w:t>5</w:t>
        </w:r>
        <w:r w:rsidRPr="007C41A6">
          <w:rPr>
            <w:rFonts w:ascii="Arial" w:hAnsi="Arial" w:cs="Arial"/>
            <w:noProof/>
            <w:webHidden/>
          </w:rPr>
          <w:fldChar w:fldCharType="end"/>
        </w:r>
      </w:hyperlink>
    </w:p>
    <w:p w:rsidR="00712828" w:rsidRPr="007C41A6" w:rsidRDefault="00712828">
      <w:pPr>
        <w:pStyle w:val="TOC1"/>
        <w:tabs>
          <w:tab w:val="right" w:leader="dot" w:pos="9016"/>
        </w:tabs>
        <w:rPr>
          <w:rFonts w:ascii="Arial" w:hAnsi="Arial" w:cs="Arial"/>
          <w:noProof/>
          <w:lang w:eastAsia="en-GB"/>
        </w:rPr>
      </w:pPr>
      <w:hyperlink w:anchor="_Toc412452357" w:history="1">
        <w:r w:rsidRPr="007C41A6">
          <w:rPr>
            <w:rStyle w:val="Hyperlink"/>
            <w:rFonts w:ascii="Arial" w:hAnsi="Arial" w:cs="Arial"/>
            <w:noProof/>
          </w:rPr>
          <w:t>1. Introduction</w:t>
        </w:r>
        <w:r w:rsidRPr="007C41A6">
          <w:rPr>
            <w:rFonts w:ascii="Arial" w:hAnsi="Arial" w:cs="Arial"/>
            <w:noProof/>
            <w:webHidden/>
          </w:rPr>
          <w:tab/>
        </w:r>
        <w:r w:rsidRPr="007C41A6">
          <w:rPr>
            <w:rFonts w:ascii="Arial" w:hAnsi="Arial" w:cs="Arial"/>
            <w:noProof/>
            <w:webHidden/>
          </w:rPr>
          <w:fldChar w:fldCharType="begin"/>
        </w:r>
        <w:r w:rsidRPr="007C41A6">
          <w:rPr>
            <w:rFonts w:ascii="Arial" w:hAnsi="Arial" w:cs="Arial"/>
            <w:noProof/>
            <w:webHidden/>
          </w:rPr>
          <w:instrText xml:space="preserve"> PAGEREF _Toc412452357 \h </w:instrText>
        </w:r>
        <w:r w:rsidRPr="00ED25BF">
          <w:rPr>
            <w:rFonts w:ascii="Arial" w:hAnsi="Arial" w:cs="Arial"/>
            <w:noProof/>
          </w:rPr>
        </w:r>
        <w:r w:rsidRPr="007C41A6">
          <w:rPr>
            <w:rFonts w:ascii="Arial" w:hAnsi="Arial" w:cs="Arial"/>
            <w:noProof/>
            <w:webHidden/>
          </w:rPr>
          <w:fldChar w:fldCharType="separate"/>
        </w:r>
        <w:r>
          <w:rPr>
            <w:rFonts w:ascii="Arial" w:hAnsi="Arial" w:cs="Arial"/>
            <w:noProof/>
            <w:webHidden/>
          </w:rPr>
          <w:t>6</w:t>
        </w:r>
        <w:r w:rsidRPr="007C41A6">
          <w:rPr>
            <w:rFonts w:ascii="Arial" w:hAnsi="Arial" w:cs="Arial"/>
            <w:noProof/>
            <w:webHidden/>
          </w:rPr>
          <w:fldChar w:fldCharType="end"/>
        </w:r>
      </w:hyperlink>
    </w:p>
    <w:p w:rsidR="00712828" w:rsidRPr="007C41A6" w:rsidRDefault="00712828">
      <w:pPr>
        <w:pStyle w:val="TOC2"/>
        <w:tabs>
          <w:tab w:val="right" w:leader="dot" w:pos="9016"/>
        </w:tabs>
        <w:rPr>
          <w:rFonts w:ascii="Arial" w:hAnsi="Arial" w:cs="Arial"/>
          <w:noProof/>
          <w:lang w:eastAsia="en-GB"/>
        </w:rPr>
      </w:pPr>
      <w:hyperlink w:anchor="_Toc412452358" w:history="1">
        <w:r w:rsidRPr="007C41A6">
          <w:rPr>
            <w:rStyle w:val="Hyperlink"/>
            <w:rFonts w:ascii="Arial" w:hAnsi="Arial" w:cs="Arial"/>
            <w:noProof/>
          </w:rPr>
          <w:t>1.1. The Legislation</w:t>
        </w:r>
        <w:r w:rsidRPr="007C41A6">
          <w:rPr>
            <w:rFonts w:ascii="Arial" w:hAnsi="Arial" w:cs="Arial"/>
            <w:noProof/>
            <w:webHidden/>
          </w:rPr>
          <w:tab/>
        </w:r>
        <w:r w:rsidRPr="007C41A6">
          <w:rPr>
            <w:rFonts w:ascii="Arial" w:hAnsi="Arial" w:cs="Arial"/>
            <w:noProof/>
            <w:webHidden/>
          </w:rPr>
          <w:fldChar w:fldCharType="begin"/>
        </w:r>
        <w:r w:rsidRPr="007C41A6">
          <w:rPr>
            <w:rFonts w:ascii="Arial" w:hAnsi="Arial" w:cs="Arial"/>
            <w:noProof/>
            <w:webHidden/>
          </w:rPr>
          <w:instrText xml:space="preserve"> PAGEREF _Toc412452358 \h </w:instrText>
        </w:r>
        <w:r w:rsidRPr="00ED25BF">
          <w:rPr>
            <w:rFonts w:ascii="Arial" w:hAnsi="Arial" w:cs="Arial"/>
            <w:noProof/>
          </w:rPr>
        </w:r>
        <w:r w:rsidRPr="007C41A6">
          <w:rPr>
            <w:rFonts w:ascii="Arial" w:hAnsi="Arial" w:cs="Arial"/>
            <w:noProof/>
            <w:webHidden/>
          </w:rPr>
          <w:fldChar w:fldCharType="separate"/>
        </w:r>
        <w:r>
          <w:rPr>
            <w:rFonts w:ascii="Arial" w:hAnsi="Arial" w:cs="Arial"/>
            <w:noProof/>
            <w:webHidden/>
          </w:rPr>
          <w:t>6</w:t>
        </w:r>
        <w:r w:rsidRPr="007C41A6">
          <w:rPr>
            <w:rFonts w:ascii="Arial" w:hAnsi="Arial" w:cs="Arial"/>
            <w:noProof/>
            <w:webHidden/>
          </w:rPr>
          <w:fldChar w:fldCharType="end"/>
        </w:r>
      </w:hyperlink>
    </w:p>
    <w:p w:rsidR="00712828" w:rsidRPr="007C41A6" w:rsidRDefault="00712828">
      <w:pPr>
        <w:pStyle w:val="TOC2"/>
        <w:tabs>
          <w:tab w:val="right" w:leader="dot" w:pos="9016"/>
        </w:tabs>
        <w:rPr>
          <w:rFonts w:ascii="Arial" w:hAnsi="Arial" w:cs="Arial"/>
          <w:noProof/>
          <w:lang w:eastAsia="en-GB"/>
        </w:rPr>
      </w:pPr>
      <w:hyperlink w:anchor="_Toc412452359" w:history="1">
        <w:r w:rsidRPr="007C41A6">
          <w:rPr>
            <w:rStyle w:val="Hyperlink"/>
            <w:rFonts w:ascii="Arial" w:hAnsi="Arial" w:cs="Arial"/>
            <w:noProof/>
          </w:rPr>
          <w:t>1.2. Our Work So Far</w:t>
        </w:r>
        <w:r w:rsidRPr="007C41A6">
          <w:rPr>
            <w:rFonts w:ascii="Arial" w:hAnsi="Arial" w:cs="Arial"/>
            <w:noProof/>
            <w:webHidden/>
          </w:rPr>
          <w:tab/>
        </w:r>
        <w:r w:rsidRPr="007C41A6">
          <w:rPr>
            <w:rFonts w:ascii="Arial" w:hAnsi="Arial" w:cs="Arial"/>
            <w:noProof/>
            <w:webHidden/>
          </w:rPr>
          <w:fldChar w:fldCharType="begin"/>
        </w:r>
        <w:r w:rsidRPr="007C41A6">
          <w:rPr>
            <w:rFonts w:ascii="Arial" w:hAnsi="Arial" w:cs="Arial"/>
            <w:noProof/>
            <w:webHidden/>
          </w:rPr>
          <w:instrText xml:space="preserve"> PAGEREF _Toc412452359 \h </w:instrText>
        </w:r>
        <w:r w:rsidRPr="00ED25BF">
          <w:rPr>
            <w:rFonts w:ascii="Arial" w:hAnsi="Arial" w:cs="Arial"/>
            <w:noProof/>
          </w:rPr>
        </w:r>
        <w:r w:rsidRPr="007C41A6">
          <w:rPr>
            <w:rFonts w:ascii="Arial" w:hAnsi="Arial" w:cs="Arial"/>
            <w:noProof/>
            <w:webHidden/>
          </w:rPr>
          <w:fldChar w:fldCharType="separate"/>
        </w:r>
        <w:r>
          <w:rPr>
            <w:rFonts w:ascii="Arial" w:hAnsi="Arial" w:cs="Arial"/>
            <w:noProof/>
            <w:webHidden/>
          </w:rPr>
          <w:t>8</w:t>
        </w:r>
        <w:r w:rsidRPr="007C41A6">
          <w:rPr>
            <w:rFonts w:ascii="Arial" w:hAnsi="Arial" w:cs="Arial"/>
            <w:noProof/>
            <w:webHidden/>
          </w:rPr>
          <w:fldChar w:fldCharType="end"/>
        </w:r>
      </w:hyperlink>
    </w:p>
    <w:p w:rsidR="00712828" w:rsidRPr="007C41A6" w:rsidRDefault="00712828">
      <w:pPr>
        <w:pStyle w:val="TOC2"/>
        <w:tabs>
          <w:tab w:val="right" w:leader="dot" w:pos="9016"/>
        </w:tabs>
        <w:rPr>
          <w:rFonts w:ascii="Arial" w:hAnsi="Arial" w:cs="Arial"/>
          <w:noProof/>
          <w:lang w:eastAsia="en-GB"/>
        </w:rPr>
      </w:pPr>
      <w:hyperlink w:anchor="_Toc412452360" w:history="1">
        <w:r w:rsidRPr="007C41A6">
          <w:rPr>
            <w:rStyle w:val="Hyperlink"/>
            <w:rFonts w:ascii="Arial" w:hAnsi="Arial" w:cs="Arial"/>
            <w:noProof/>
          </w:rPr>
          <w:t>1.3. What we are seeking to do now</w:t>
        </w:r>
        <w:r w:rsidRPr="007C41A6">
          <w:rPr>
            <w:rFonts w:ascii="Arial" w:hAnsi="Arial" w:cs="Arial"/>
            <w:noProof/>
            <w:webHidden/>
          </w:rPr>
          <w:tab/>
        </w:r>
        <w:r w:rsidRPr="007C41A6">
          <w:rPr>
            <w:rFonts w:ascii="Arial" w:hAnsi="Arial" w:cs="Arial"/>
            <w:noProof/>
            <w:webHidden/>
          </w:rPr>
          <w:fldChar w:fldCharType="begin"/>
        </w:r>
        <w:r w:rsidRPr="007C41A6">
          <w:rPr>
            <w:rFonts w:ascii="Arial" w:hAnsi="Arial" w:cs="Arial"/>
            <w:noProof/>
            <w:webHidden/>
          </w:rPr>
          <w:instrText xml:space="preserve"> PAGEREF _Toc412452360 \h </w:instrText>
        </w:r>
        <w:r w:rsidRPr="00ED25BF">
          <w:rPr>
            <w:rFonts w:ascii="Arial" w:hAnsi="Arial" w:cs="Arial"/>
            <w:noProof/>
          </w:rPr>
        </w:r>
        <w:r w:rsidRPr="007C41A6">
          <w:rPr>
            <w:rFonts w:ascii="Arial" w:hAnsi="Arial" w:cs="Arial"/>
            <w:noProof/>
            <w:webHidden/>
          </w:rPr>
          <w:fldChar w:fldCharType="separate"/>
        </w:r>
        <w:r>
          <w:rPr>
            <w:rFonts w:ascii="Arial" w:hAnsi="Arial" w:cs="Arial"/>
            <w:noProof/>
            <w:webHidden/>
          </w:rPr>
          <w:t>9</w:t>
        </w:r>
        <w:r w:rsidRPr="007C41A6">
          <w:rPr>
            <w:rFonts w:ascii="Arial" w:hAnsi="Arial" w:cs="Arial"/>
            <w:noProof/>
            <w:webHidden/>
          </w:rPr>
          <w:fldChar w:fldCharType="end"/>
        </w:r>
      </w:hyperlink>
    </w:p>
    <w:p w:rsidR="00712828" w:rsidRPr="007C41A6" w:rsidRDefault="00712828">
      <w:pPr>
        <w:pStyle w:val="TOC1"/>
        <w:tabs>
          <w:tab w:val="right" w:leader="dot" w:pos="9016"/>
        </w:tabs>
        <w:rPr>
          <w:rFonts w:ascii="Arial" w:hAnsi="Arial" w:cs="Arial"/>
          <w:noProof/>
          <w:lang w:eastAsia="en-GB"/>
        </w:rPr>
      </w:pPr>
      <w:hyperlink w:anchor="_Toc412452361" w:history="1">
        <w:r w:rsidRPr="007C41A6">
          <w:rPr>
            <w:rStyle w:val="Hyperlink"/>
            <w:rFonts w:ascii="Arial" w:hAnsi="Arial" w:cs="Arial"/>
            <w:noProof/>
          </w:rPr>
          <w:t>2. Areas for Consideration</w:t>
        </w:r>
        <w:r w:rsidRPr="007C41A6">
          <w:rPr>
            <w:rFonts w:ascii="Arial" w:hAnsi="Arial" w:cs="Arial"/>
            <w:noProof/>
            <w:webHidden/>
          </w:rPr>
          <w:tab/>
        </w:r>
        <w:r w:rsidRPr="007C41A6">
          <w:rPr>
            <w:rFonts w:ascii="Arial" w:hAnsi="Arial" w:cs="Arial"/>
            <w:noProof/>
            <w:webHidden/>
          </w:rPr>
          <w:fldChar w:fldCharType="begin"/>
        </w:r>
        <w:r w:rsidRPr="007C41A6">
          <w:rPr>
            <w:rFonts w:ascii="Arial" w:hAnsi="Arial" w:cs="Arial"/>
            <w:noProof/>
            <w:webHidden/>
          </w:rPr>
          <w:instrText xml:space="preserve"> PAGEREF _Toc412452361 \h </w:instrText>
        </w:r>
        <w:r w:rsidRPr="00ED25BF">
          <w:rPr>
            <w:rFonts w:ascii="Arial" w:hAnsi="Arial" w:cs="Arial"/>
            <w:noProof/>
          </w:rPr>
        </w:r>
        <w:r w:rsidRPr="007C41A6">
          <w:rPr>
            <w:rFonts w:ascii="Arial" w:hAnsi="Arial" w:cs="Arial"/>
            <w:noProof/>
            <w:webHidden/>
          </w:rPr>
          <w:fldChar w:fldCharType="separate"/>
        </w:r>
        <w:r>
          <w:rPr>
            <w:rFonts w:ascii="Arial" w:hAnsi="Arial" w:cs="Arial"/>
            <w:noProof/>
            <w:webHidden/>
          </w:rPr>
          <w:t>10</w:t>
        </w:r>
        <w:r w:rsidRPr="007C41A6">
          <w:rPr>
            <w:rFonts w:ascii="Arial" w:hAnsi="Arial" w:cs="Arial"/>
            <w:noProof/>
            <w:webHidden/>
          </w:rPr>
          <w:fldChar w:fldCharType="end"/>
        </w:r>
      </w:hyperlink>
    </w:p>
    <w:p w:rsidR="00712828" w:rsidRPr="007C41A6" w:rsidRDefault="00712828">
      <w:pPr>
        <w:pStyle w:val="TOC2"/>
        <w:tabs>
          <w:tab w:val="right" w:leader="dot" w:pos="9016"/>
        </w:tabs>
        <w:rPr>
          <w:rFonts w:ascii="Arial" w:hAnsi="Arial" w:cs="Arial"/>
          <w:noProof/>
          <w:lang w:eastAsia="en-GB"/>
        </w:rPr>
      </w:pPr>
      <w:hyperlink w:anchor="_Toc412452362" w:history="1">
        <w:r w:rsidRPr="007C41A6">
          <w:rPr>
            <w:rStyle w:val="Hyperlink"/>
            <w:rFonts w:ascii="Arial" w:hAnsi="Arial" w:cs="Arial"/>
            <w:noProof/>
          </w:rPr>
          <w:t>2.1. Employers’ Understanding</w:t>
        </w:r>
        <w:r w:rsidRPr="007C41A6">
          <w:rPr>
            <w:rFonts w:ascii="Arial" w:hAnsi="Arial" w:cs="Arial"/>
            <w:noProof/>
            <w:webHidden/>
          </w:rPr>
          <w:tab/>
        </w:r>
        <w:r w:rsidRPr="007C41A6">
          <w:rPr>
            <w:rFonts w:ascii="Arial" w:hAnsi="Arial" w:cs="Arial"/>
            <w:noProof/>
            <w:webHidden/>
          </w:rPr>
          <w:fldChar w:fldCharType="begin"/>
        </w:r>
        <w:r w:rsidRPr="007C41A6">
          <w:rPr>
            <w:rFonts w:ascii="Arial" w:hAnsi="Arial" w:cs="Arial"/>
            <w:noProof/>
            <w:webHidden/>
          </w:rPr>
          <w:instrText xml:space="preserve"> PAGEREF _Toc412452362 \h </w:instrText>
        </w:r>
        <w:r w:rsidRPr="00ED25BF">
          <w:rPr>
            <w:rFonts w:ascii="Arial" w:hAnsi="Arial" w:cs="Arial"/>
            <w:noProof/>
          </w:rPr>
        </w:r>
        <w:r w:rsidRPr="007C41A6">
          <w:rPr>
            <w:rFonts w:ascii="Arial" w:hAnsi="Arial" w:cs="Arial"/>
            <w:noProof/>
            <w:webHidden/>
          </w:rPr>
          <w:fldChar w:fldCharType="separate"/>
        </w:r>
        <w:r>
          <w:rPr>
            <w:rFonts w:ascii="Arial" w:hAnsi="Arial" w:cs="Arial"/>
            <w:noProof/>
            <w:webHidden/>
          </w:rPr>
          <w:t>10</w:t>
        </w:r>
        <w:r w:rsidRPr="007C41A6">
          <w:rPr>
            <w:rFonts w:ascii="Arial" w:hAnsi="Arial" w:cs="Arial"/>
            <w:noProof/>
            <w:webHidden/>
          </w:rPr>
          <w:fldChar w:fldCharType="end"/>
        </w:r>
      </w:hyperlink>
    </w:p>
    <w:p w:rsidR="00712828" w:rsidRPr="007C41A6" w:rsidRDefault="00712828">
      <w:pPr>
        <w:pStyle w:val="TOC2"/>
        <w:tabs>
          <w:tab w:val="right" w:leader="dot" w:pos="9016"/>
        </w:tabs>
        <w:rPr>
          <w:rFonts w:ascii="Arial" w:hAnsi="Arial" w:cs="Arial"/>
          <w:noProof/>
          <w:lang w:eastAsia="en-GB"/>
        </w:rPr>
      </w:pPr>
      <w:hyperlink w:anchor="_Toc412452363" w:history="1">
        <w:r w:rsidRPr="007C41A6">
          <w:rPr>
            <w:rStyle w:val="Hyperlink"/>
            <w:rFonts w:ascii="Arial" w:hAnsi="Arial" w:cs="Arial"/>
            <w:noProof/>
          </w:rPr>
          <w:t>2.2. Facilitators and Inhibitors</w:t>
        </w:r>
        <w:r w:rsidRPr="007C41A6">
          <w:rPr>
            <w:rFonts w:ascii="Arial" w:hAnsi="Arial" w:cs="Arial"/>
            <w:noProof/>
            <w:webHidden/>
          </w:rPr>
          <w:tab/>
        </w:r>
        <w:r w:rsidRPr="007C41A6">
          <w:rPr>
            <w:rFonts w:ascii="Arial" w:hAnsi="Arial" w:cs="Arial"/>
            <w:noProof/>
            <w:webHidden/>
          </w:rPr>
          <w:fldChar w:fldCharType="begin"/>
        </w:r>
        <w:r w:rsidRPr="007C41A6">
          <w:rPr>
            <w:rFonts w:ascii="Arial" w:hAnsi="Arial" w:cs="Arial"/>
            <w:noProof/>
            <w:webHidden/>
          </w:rPr>
          <w:instrText xml:space="preserve"> PAGEREF _Toc412452363 \h </w:instrText>
        </w:r>
        <w:r w:rsidRPr="00ED25BF">
          <w:rPr>
            <w:rFonts w:ascii="Arial" w:hAnsi="Arial" w:cs="Arial"/>
            <w:noProof/>
          </w:rPr>
        </w:r>
        <w:r w:rsidRPr="007C41A6">
          <w:rPr>
            <w:rFonts w:ascii="Arial" w:hAnsi="Arial" w:cs="Arial"/>
            <w:noProof/>
            <w:webHidden/>
          </w:rPr>
          <w:fldChar w:fldCharType="separate"/>
        </w:r>
        <w:r>
          <w:rPr>
            <w:rFonts w:ascii="Arial" w:hAnsi="Arial" w:cs="Arial"/>
            <w:noProof/>
            <w:webHidden/>
          </w:rPr>
          <w:t>10</w:t>
        </w:r>
        <w:r w:rsidRPr="007C41A6">
          <w:rPr>
            <w:rFonts w:ascii="Arial" w:hAnsi="Arial" w:cs="Arial"/>
            <w:noProof/>
            <w:webHidden/>
          </w:rPr>
          <w:fldChar w:fldCharType="end"/>
        </w:r>
      </w:hyperlink>
    </w:p>
    <w:p w:rsidR="00712828" w:rsidRPr="007C41A6" w:rsidRDefault="00712828">
      <w:pPr>
        <w:pStyle w:val="TOC2"/>
        <w:tabs>
          <w:tab w:val="right" w:leader="dot" w:pos="9016"/>
        </w:tabs>
        <w:rPr>
          <w:rFonts w:ascii="Arial" w:hAnsi="Arial" w:cs="Arial"/>
          <w:noProof/>
          <w:lang w:eastAsia="en-GB"/>
        </w:rPr>
      </w:pPr>
      <w:hyperlink w:anchor="_Toc412452364" w:history="1">
        <w:r w:rsidRPr="007C41A6">
          <w:rPr>
            <w:rStyle w:val="Hyperlink"/>
            <w:rFonts w:ascii="Arial" w:hAnsi="Arial" w:cs="Arial"/>
            <w:noProof/>
          </w:rPr>
          <w:t>2.3. The Role of Directors</w:t>
        </w:r>
        <w:r w:rsidRPr="007C41A6">
          <w:rPr>
            <w:rFonts w:ascii="Arial" w:hAnsi="Arial" w:cs="Arial"/>
            <w:noProof/>
            <w:webHidden/>
          </w:rPr>
          <w:tab/>
        </w:r>
        <w:r w:rsidRPr="007C41A6">
          <w:rPr>
            <w:rFonts w:ascii="Arial" w:hAnsi="Arial" w:cs="Arial"/>
            <w:noProof/>
            <w:webHidden/>
          </w:rPr>
          <w:fldChar w:fldCharType="begin"/>
        </w:r>
        <w:r w:rsidRPr="007C41A6">
          <w:rPr>
            <w:rFonts w:ascii="Arial" w:hAnsi="Arial" w:cs="Arial"/>
            <w:noProof/>
            <w:webHidden/>
          </w:rPr>
          <w:instrText xml:space="preserve"> PAGEREF _Toc412452364 \h </w:instrText>
        </w:r>
        <w:r w:rsidRPr="00ED25BF">
          <w:rPr>
            <w:rFonts w:ascii="Arial" w:hAnsi="Arial" w:cs="Arial"/>
            <w:noProof/>
          </w:rPr>
        </w:r>
        <w:r w:rsidRPr="007C41A6">
          <w:rPr>
            <w:rFonts w:ascii="Arial" w:hAnsi="Arial" w:cs="Arial"/>
            <w:noProof/>
            <w:webHidden/>
          </w:rPr>
          <w:fldChar w:fldCharType="separate"/>
        </w:r>
        <w:r>
          <w:rPr>
            <w:rFonts w:ascii="Arial" w:hAnsi="Arial" w:cs="Arial"/>
            <w:noProof/>
            <w:webHidden/>
          </w:rPr>
          <w:t>11</w:t>
        </w:r>
        <w:r w:rsidRPr="007C41A6">
          <w:rPr>
            <w:rFonts w:ascii="Arial" w:hAnsi="Arial" w:cs="Arial"/>
            <w:noProof/>
            <w:webHidden/>
          </w:rPr>
          <w:fldChar w:fldCharType="end"/>
        </w:r>
      </w:hyperlink>
    </w:p>
    <w:p w:rsidR="00712828" w:rsidRPr="007C41A6" w:rsidRDefault="00712828">
      <w:pPr>
        <w:pStyle w:val="TOC2"/>
        <w:tabs>
          <w:tab w:val="right" w:leader="dot" w:pos="9016"/>
        </w:tabs>
        <w:rPr>
          <w:rFonts w:ascii="Arial" w:hAnsi="Arial" w:cs="Arial"/>
          <w:noProof/>
          <w:lang w:eastAsia="en-GB"/>
        </w:rPr>
      </w:pPr>
      <w:hyperlink w:anchor="_Toc412452365" w:history="1">
        <w:r w:rsidRPr="007C41A6">
          <w:rPr>
            <w:rStyle w:val="Hyperlink"/>
            <w:rFonts w:ascii="Arial" w:hAnsi="Arial" w:cs="Arial"/>
            <w:noProof/>
          </w:rPr>
          <w:t>2.4. Ensuring Effective Notification and Consultation</w:t>
        </w:r>
        <w:r w:rsidRPr="007C41A6">
          <w:rPr>
            <w:rFonts w:ascii="Arial" w:hAnsi="Arial" w:cs="Arial"/>
            <w:noProof/>
            <w:webHidden/>
          </w:rPr>
          <w:tab/>
        </w:r>
        <w:r w:rsidRPr="007C41A6">
          <w:rPr>
            <w:rFonts w:ascii="Arial" w:hAnsi="Arial" w:cs="Arial"/>
            <w:noProof/>
            <w:webHidden/>
          </w:rPr>
          <w:fldChar w:fldCharType="begin"/>
        </w:r>
        <w:r w:rsidRPr="007C41A6">
          <w:rPr>
            <w:rFonts w:ascii="Arial" w:hAnsi="Arial" w:cs="Arial"/>
            <w:noProof/>
            <w:webHidden/>
          </w:rPr>
          <w:instrText xml:space="preserve"> PAGEREF _Toc412452365 \h </w:instrText>
        </w:r>
        <w:r w:rsidRPr="00ED25BF">
          <w:rPr>
            <w:rFonts w:ascii="Arial" w:hAnsi="Arial" w:cs="Arial"/>
            <w:noProof/>
          </w:rPr>
        </w:r>
        <w:r w:rsidRPr="007C41A6">
          <w:rPr>
            <w:rFonts w:ascii="Arial" w:hAnsi="Arial" w:cs="Arial"/>
            <w:noProof/>
            <w:webHidden/>
          </w:rPr>
          <w:fldChar w:fldCharType="separate"/>
        </w:r>
        <w:r>
          <w:rPr>
            <w:rFonts w:ascii="Arial" w:hAnsi="Arial" w:cs="Arial"/>
            <w:noProof/>
            <w:webHidden/>
          </w:rPr>
          <w:t>12</w:t>
        </w:r>
        <w:r w:rsidRPr="007C41A6">
          <w:rPr>
            <w:rFonts w:ascii="Arial" w:hAnsi="Arial" w:cs="Arial"/>
            <w:noProof/>
            <w:webHidden/>
          </w:rPr>
          <w:fldChar w:fldCharType="end"/>
        </w:r>
      </w:hyperlink>
    </w:p>
    <w:p w:rsidR="00712828" w:rsidRPr="007C41A6" w:rsidRDefault="00712828" w:rsidP="00DC3EC9">
      <w:pPr>
        <w:rPr>
          <w:rFonts w:ascii="Arial" w:hAnsi="Arial" w:cs="Arial"/>
        </w:rPr>
      </w:pPr>
      <w:r w:rsidRPr="007C41A6">
        <w:rPr>
          <w:rFonts w:ascii="Arial" w:hAnsi="Arial" w:cs="Arial"/>
        </w:rPr>
        <w:fldChar w:fldCharType="end"/>
      </w:r>
    </w:p>
    <w:p w:rsidR="00712828" w:rsidRPr="00ED25BF" w:rsidRDefault="00712828" w:rsidP="00ED25BF">
      <w:pPr>
        <w:pStyle w:val="Title"/>
        <w:rPr>
          <w:rFonts w:ascii="Arial" w:hAnsi="Arial" w:cs="Arial"/>
        </w:rPr>
      </w:pPr>
      <w:r w:rsidRPr="007C41A6">
        <w:t xml:space="preserve"> </w:t>
      </w:r>
      <w:r w:rsidRPr="007C41A6">
        <w:br w:type="page"/>
      </w:r>
      <w:bookmarkStart w:id="1" w:name="_Toc412452354"/>
      <w:r w:rsidRPr="00ED25BF">
        <w:rPr>
          <w:rFonts w:ascii="Arial" w:hAnsi="Arial" w:cs="Arial"/>
        </w:rPr>
        <w:t>How to Respond</w:t>
      </w:r>
      <w:bookmarkEnd w:id="1"/>
      <w:r w:rsidRPr="00ED25BF">
        <w:rPr>
          <w:rFonts w:ascii="Arial" w:hAnsi="Arial" w:cs="Arial"/>
        </w:rPr>
        <w:t xml:space="preserve">  </w:t>
      </w:r>
    </w:p>
    <w:p w:rsidR="00712828" w:rsidRPr="007C41A6" w:rsidRDefault="00712828" w:rsidP="00D82C5B">
      <w:pPr>
        <w:rPr>
          <w:rFonts w:ascii="Arial" w:hAnsi="Arial" w:cs="Arial"/>
          <w:lang w:eastAsia="en-GB"/>
        </w:rPr>
      </w:pPr>
      <w:r w:rsidRPr="007C41A6">
        <w:rPr>
          <w:rFonts w:ascii="Arial" w:hAnsi="Arial" w:cs="Arial"/>
          <w:lang w:eastAsia="en-GB"/>
        </w:rPr>
        <w:t xml:space="preserve">When responding please state whether you are responding as an individual or representing the views of an organisation. If you are responding on behalf of an organisation, please make it clear </w:t>
      </w:r>
      <w:r>
        <w:rPr>
          <w:rFonts w:ascii="Arial" w:hAnsi="Arial" w:cs="Arial"/>
          <w:lang w:eastAsia="en-GB"/>
        </w:rPr>
        <w:t xml:space="preserve">who the organisation represents by selecting the appropriate option on the call for evidence response form </w:t>
      </w:r>
      <w:r w:rsidRPr="007C41A6">
        <w:rPr>
          <w:rFonts w:ascii="Arial" w:hAnsi="Arial" w:cs="Arial"/>
          <w:lang w:eastAsia="en-GB"/>
        </w:rPr>
        <w:t>and, where applicable, how the views of members were assembled.</w:t>
      </w:r>
    </w:p>
    <w:p w:rsidR="00712828" w:rsidRDefault="00712828" w:rsidP="00D82C5B">
      <w:pPr>
        <w:rPr>
          <w:rFonts w:ascii="Arial" w:hAnsi="Arial" w:cs="Arial"/>
          <w:lang w:eastAsia="en-GB"/>
        </w:rPr>
      </w:pPr>
      <w:r w:rsidRPr="007C41A6">
        <w:rPr>
          <w:rFonts w:ascii="Arial" w:hAnsi="Arial" w:cs="Arial"/>
          <w:lang w:eastAsia="en-GB"/>
        </w:rPr>
        <w:t>A copy of the Call for Evidence Response form</w:t>
      </w:r>
      <w:r>
        <w:rPr>
          <w:rFonts w:ascii="Arial" w:hAnsi="Arial" w:cs="Arial"/>
          <w:lang w:eastAsia="en-GB"/>
        </w:rPr>
        <w:t xml:space="preserve"> is</w:t>
      </w:r>
      <w:r w:rsidRPr="007C41A6">
        <w:rPr>
          <w:rFonts w:ascii="Arial" w:hAnsi="Arial" w:cs="Arial"/>
          <w:lang w:eastAsia="en-GB"/>
        </w:rPr>
        <w:t xml:space="preserve"> available</w:t>
      </w:r>
      <w:r>
        <w:rPr>
          <w:rFonts w:ascii="Arial" w:hAnsi="Arial" w:cs="Arial"/>
          <w:lang w:eastAsia="en-GB"/>
        </w:rPr>
        <w:t xml:space="preserve"> at:</w:t>
      </w:r>
    </w:p>
    <w:p w:rsidR="00712828" w:rsidRDefault="00712828" w:rsidP="00D82C5B">
      <w:pPr>
        <w:rPr>
          <w:rFonts w:ascii="Arial" w:hAnsi="Arial" w:cs="Arial"/>
          <w:sz w:val="18"/>
          <w:szCs w:val="18"/>
          <w:lang w:eastAsia="en-GB"/>
        </w:rPr>
      </w:pPr>
      <w:hyperlink r:id="rId9" w:history="1">
        <w:r w:rsidRPr="004D0038">
          <w:rPr>
            <w:rStyle w:val="Hyperlink"/>
            <w:rFonts w:ascii="Arial" w:hAnsi="Arial" w:cs="Arial"/>
            <w:sz w:val="18"/>
            <w:szCs w:val="18"/>
            <w:lang w:eastAsia="en-GB"/>
          </w:rPr>
          <w:t>https://www.gov.uk/government/consultations/collective-redundancy-consultation-for-employers-facing-insolvency</w:t>
        </w:r>
      </w:hyperlink>
    </w:p>
    <w:p w:rsidR="00712828" w:rsidRPr="007C41A6" w:rsidRDefault="00712828" w:rsidP="00D82C5B">
      <w:pPr>
        <w:rPr>
          <w:rFonts w:ascii="Arial" w:hAnsi="Arial" w:cs="Arial"/>
          <w:lang w:eastAsia="en-GB"/>
        </w:rPr>
      </w:pPr>
      <w:r w:rsidRPr="007C41A6">
        <w:rPr>
          <w:rFonts w:ascii="Arial" w:hAnsi="Arial" w:cs="Arial"/>
          <w:lang w:eastAsia="en-GB"/>
        </w:rPr>
        <w:t xml:space="preserve">If responding this way please email to: </w:t>
      </w:r>
      <w:hyperlink r:id="rId10" w:history="1">
        <w:r w:rsidRPr="0050723A">
          <w:rPr>
            <w:rStyle w:val="Hyperlink"/>
            <w:rFonts w:ascii="Arial" w:hAnsi="Arial" w:cs="Arial"/>
            <w:lang w:eastAsia="en-GB"/>
          </w:rPr>
          <w:t>policy.unit@insolvency.gsi.gov.uk</w:t>
        </w:r>
      </w:hyperlink>
    </w:p>
    <w:p w:rsidR="00712828" w:rsidRPr="007C41A6" w:rsidRDefault="00712828" w:rsidP="00D82C5B">
      <w:pPr>
        <w:rPr>
          <w:rFonts w:ascii="Arial" w:hAnsi="Arial" w:cs="Arial"/>
          <w:lang w:eastAsia="en-GB"/>
        </w:rPr>
      </w:pPr>
      <w:r w:rsidRPr="007C41A6">
        <w:rPr>
          <w:rFonts w:ascii="Arial" w:hAnsi="Arial" w:cs="Arial"/>
          <w:lang w:eastAsia="en-GB"/>
        </w:rPr>
        <w:t xml:space="preserve">Or post </w:t>
      </w:r>
      <w:r>
        <w:rPr>
          <w:rFonts w:ascii="Arial" w:hAnsi="Arial" w:cs="Arial"/>
          <w:lang w:eastAsia="en-GB"/>
        </w:rPr>
        <w:t>to</w:t>
      </w:r>
      <w:r w:rsidRPr="007C41A6">
        <w:rPr>
          <w:rFonts w:ascii="Arial" w:hAnsi="Arial" w:cs="Arial"/>
          <w:lang w:eastAsia="en-GB"/>
        </w:rPr>
        <w:t>:</w:t>
      </w:r>
    </w:p>
    <w:p w:rsidR="00712828" w:rsidRPr="007C41A6" w:rsidRDefault="00712828" w:rsidP="007C41A6">
      <w:pPr>
        <w:spacing w:after="0"/>
        <w:rPr>
          <w:rFonts w:ascii="Arial" w:hAnsi="Arial" w:cs="Arial"/>
          <w:lang w:eastAsia="en-GB"/>
        </w:rPr>
      </w:pPr>
      <w:r w:rsidRPr="007C41A6">
        <w:rPr>
          <w:rFonts w:ascii="Arial" w:hAnsi="Arial" w:cs="Arial"/>
          <w:lang w:eastAsia="en-GB"/>
        </w:rPr>
        <w:t>Pabitar Powar</w:t>
      </w:r>
    </w:p>
    <w:p w:rsidR="00712828" w:rsidRPr="007C41A6" w:rsidRDefault="00712828" w:rsidP="007C41A6">
      <w:pPr>
        <w:spacing w:after="0"/>
        <w:rPr>
          <w:rFonts w:ascii="Arial" w:hAnsi="Arial" w:cs="Arial"/>
          <w:lang w:eastAsia="en-GB"/>
        </w:rPr>
      </w:pPr>
      <w:r w:rsidRPr="007C41A6">
        <w:rPr>
          <w:rFonts w:ascii="Arial" w:hAnsi="Arial" w:cs="Arial"/>
          <w:lang w:eastAsia="en-GB"/>
        </w:rPr>
        <w:t>The Insolvency Service</w:t>
      </w:r>
    </w:p>
    <w:p w:rsidR="00712828" w:rsidRPr="007C41A6" w:rsidRDefault="00712828" w:rsidP="007C41A6">
      <w:pPr>
        <w:spacing w:after="0"/>
        <w:rPr>
          <w:rFonts w:ascii="Arial" w:hAnsi="Arial" w:cs="Arial"/>
          <w:lang w:eastAsia="en-GB"/>
        </w:rPr>
      </w:pPr>
      <w:smartTag w:uri="urn:schemas-microsoft-com:office:smarttags" w:element="address">
        <w:smartTag w:uri="urn:schemas-microsoft-com:office:smarttags" w:element="Street">
          <w:r w:rsidRPr="007C41A6">
            <w:rPr>
              <w:rFonts w:ascii="Arial" w:hAnsi="Arial" w:cs="Arial"/>
              <w:lang w:eastAsia="en-GB"/>
            </w:rPr>
            <w:t>4 Abbey Orchard Street</w:t>
          </w:r>
        </w:smartTag>
      </w:smartTag>
    </w:p>
    <w:p w:rsidR="00712828" w:rsidRPr="007C41A6" w:rsidRDefault="00712828" w:rsidP="007C41A6">
      <w:pPr>
        <w:spacing w:after="0"/>
        <w:rPr>
          <w:rFonts w:ascii="Arial" w:hAnsi="Arial" w:cs="Arial"/>
          <w:lang w:eastAsia="en-GB"/>
        </w:rPr>
      </w:pPr>
      <w:smartTag w:uri="urn:schemas-microsoft-com:office:smarttags" w:element="place">
        <w:smartTag w:uri="urn:schemas-microsoft-com:office:smarttags" w:element="City">
          <w:r w:rsidRPr="007C41A6">
            <w:rPr>
              <w:rFonts w:ascii="Arial" w:hAnsi="Arial" w:cs="Arial"/>
              <w:lang w:eastAsia="en-GB"/>
            </w:rPr>
            <w:t>London</w:t>
          </w:r>
        </w:smartTag>
      </w:smartTag>
    </w:p>
    <w:p w:rsidR="00712828" w:rsidRPr="007C41A6" w:rsidRDefault="00712828" w:rsidP="007C41A6">
      <w:pPr>
        <w:spacing w:after="0"/>
        <w:rPr>
          <w:rFonts w:ascii="Arial" w:hAnsi="Arial" w:cs="Arial"/>
          <w:lang w:eastAsia="en-GB"/>
        </w:rPr>
      </w:pPr>
      <w:r w:rsidRPr="007C41A6">
        <w:rPr>
          <w:rFonts w:ascii="Arial" w:hAnsi="Arial" w:cs="Arial"/>
          <w:lang w:eastAsia="en-GB"/>
        </w:rPr>
        <w:t>SW1P 2HT</w:t>
      </w:r>
    </w:p>
    <w:p w:rsidR="00712828" w:rsidRPr="007C41A6" w:rsidRDefault="00712828" w:rsidP="00D82C5B">
      <w:pPr>
        <w:rPr>
          <w:rFonts w:ascii="Arial" w:hAnsi="Arial" w:cs="Arial"/>
          <w:lang w:eastAsia="en-GB"/>
        </w:rPr>
      </w:pPr>
    </w:p>
    <w:p w:rsidR="00712828" w:rsidRPr="007C41A6" w:rsidRDefault="00712828" w:rsidP="00D82C5B">
      <w:pPr>
        <w:rPr>
          <w:rFonts w:ascii="Arial" w:hAnsi="Arial" w:cs="Arial"/>
          <w:color w:val="1F497D"/>
          <w:sz w:val="32"/>
          <w:lang w:eastAsia="en-GB"/>
        </w:rPr>
      </w:pPr>
      <w:r w:rsidRPr="007C41A6">
        <w:rPr>
          <w:rFonts w:ascii="Arial" w:hAnsi="Arial" w:cs="Arial"/>
          <w:color w:val="1F497D"/>
          <w:sz w:val="32"/>
          <w:lang w:eastAsia="en-GB"/>
        </w:rPr>
        <w:t xml:space="preserve">Confidentiality and Data Protection </w:t>
      </w:r>
    </w:p>
    <w:p w:rsidR="00712828" w:rsidRPr="007C41A6" w:rsidRDefault="00712828" w:rsidP="00D82C5B">
      <w:pPr>
        <w:rPr>
          <w:rFonts w:ascii="Arial" w:hAnsi="Arial" w:cs="Arial"/>
          <w:lang w:eastAsia="en-GB"/>
        </w:rPr>
      </w:pPr>
      <w:r w:rsidRPr="007C41A6">
        <w:rPr>
          <w:rFonts w:ascii="Arial" w:hAnsi="Arial" w:cs="Arial"/>
          <w:lang w:eastAsia="en-GB"/>
        </w:rPr>
        <w:t>Information provided in response to this call for evidence, including personal information, may be subject to publication or release to other parties or to disclosure in accordance with the access to information regimes (these are primarily the Freedom of Information Act 2000 (FOIA), the Data Protection Act 1998 (DPA) and the Environmental Information Regulations 2004). If you want information, including personal data that you provide to be treated as confidential, please be aware that, under the FOIA, there is a statutory Code of Practice with which public authorities must comply and which deals, amongst other things, with obligations of confidence.</w:t>
      </w:r>
    </w:p>
    <w:p w:rsidR="00712828" w:rsidRPr="007C41A6" w:rsidRDefault="00712828" w:rsidP="00D82C5B">
      <w:pPr>
        <w:rPr>
          <w:rFonts w:ascii="Arial" w:hAnsi="Arial" w:cs="Arial"/>
          <w:lang w:eastAsia="en-GB"/>
        </w:rPr>
      </w:pPr>
      <w:r w:rsidRPr="007C41A6">
        <w:rPr>
          <w:rFonts w:ascii="Arial" w:hAnsi="Arial" w:cs="Arial"/>
          <w:lang w:eastAsia="en-GB"/>
        </w:rPr>
        <w:t>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rsidR="00712828" w:rsidRPr="007C41A6" w:rsidRDefault="00712828" w:rsidP="00D82C5B">
      <w:pPr>
        <w:rPr>
          <w:rFonts w:ascii="Arial" w:hAnsi="Arial" w:cs="Arial"/>
          <w:lang w:eastAsia="en-GB"/>
        </w:rPr>
      </w:pPr>
    </w:p>
    <w:p w:rsidR="00712828" w:rsidRPr="007C41A6" w:rsidRDefault="00712828" w:rsidP="00D82C5B">
      <w:pPr>
        <w:rPr>
          <w:rFonts w:ascii="Arial" w:hAnsi="Arial" w:cs="Arial"/>
          <w:color w:val="1F497D"/>
          <w:sz w:val="32"/>
          <w:lang w:eastAsia="en-GB"/>
        </w:rPr>
      </w:pPr>
      <w:r w:rsidRPr="007C41A6">
        <w:rPr>
          <w:rFonts w:ascii="Arial" w:hAnsi="Arial" w:cs="Arial"/>
          <w:color w:val="1F497D"/>
          <w:sz w:val="32"/>
          <w:lang w:eastAsia="en-GB"/>
        </w:rPr>
        <w:t xml:space="preserve">What Happens Next? </w:t>
      </w:r>
    </w:p>
    <w:p w:rsidR="00712828" w:rsidRPr="00ED25BF" w:rsidRDefault="00712828" w:rsidP="00ED25BF">
      <w:pPr>
        <w:rPr>
          <w:rStyle w:val="TitleChar"/>
          <w:rFonts w:ascii="Arial" w:hAnsi="Arial" w:cs="Arial"/>
        </w:rPr>
      </w:pPr>
      <w:r w:rsidRPr="007C41A6">
        <w:t>Thi</w:t>
      </w:r>
      <w:r>
        <w:t>s call for evidence will close 12 June 2015</w:t>
      </w:r>
      <w:r w:rsidRPr="007C41A6">
        <w:t xml:space="preserve">. The Government will analyse the responses received with a view to considering our next steps. </w:t>
      </w:r>
      <w:r>
        <w:t xml:space="preserve">If you have any queries on any of the issues raised please send them to </w:t>
      </w:r>
      <w:hyperlink r:id="rId11" w:history="1">
        <w:r w:rsidRPr="00703C4C">
          <w:rPr>
            <w:rStyle w:val="Hyperlink"/>
            <w:rFonts w:ascii="Arial" w:hAnsi="Arial" w:cs="Arial"/>
            <w:lang w:eastAsia="en-GB"/>
          </w:rPr>
          <w:t>Pabitar.Powar@insolvency.gsi.gov.uk</w:t>
        </w:r>
      </w:hyperlink>
      <w:r>
        <w:t xml:space="preserve">  </w:t>
      </w:r>
      <w:r w:rsidRPr="007C41A6">
        <w:br w:type="page"/>
      </w:r>
      <w:r>
        <w:rPr>
          <w:noProof/>
          <w:lang w:eastAsia="en-GB"/>
        </w:rPr>
        <w:pict>
          <v:shape id="_x0000_s1030" type="#_x0000_t202" style="position:absolute;margin-left:80.25pt;margin-top:-604.15pt;width:430.5pt;height:139.5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5fEQIAAPwDAAAOAAAAZHJzL2Uyb0RvYy54bWysU9uO2yAQfa/Uf0C8N3Yu3iRWnNV2t6kq&#10;bS/Sbj+AYByjAkOBxE6/fgecTa32raofLGCYM3POHDa3vVbkJJyXYCo6neSUCMOhluZQ0e/Pu3cr&#10;SnxgpmYKjKjoWXh6u337ZtPZUsygBVULRxDE+LKzFW1DsGWWed4KzfwErDAYbMBpFnDrDlntWIfo&#10;WmWzPL/JOnC1dcCF93j6MATpNuE3jeDha9N4EYiqKPYW0t+l/z7+s+2GlQfHbCv5pQ32D11oJg0W&#10;vUI9sMDI0cm/oLTkDjw0YcJBZ9A0kovEAdlM8z/YPLXMisQFxfH2KpP/f7D8y+mbI7Ku6DxfUmKY&#10;xiE9iz6Q99CTWdSns77Ea08WL4Yej3HOiau3j8B/eGLgvmXmIO6cg64VrMb+pjEzG6UOOD6C7LvP&#10;UGMZdgyQgPrG6SgeykEQHed0vs4mtsLxsFjcLOcFhjjGpot8vl4VqQYrX9Ot8+GjAE3ioqIOh5/g&#10;2enRh9gOK1+vxGoGdlKpZABlSFfRdTErUsIoomVAfyqpK7rK4zc4JrL8YOqUHJhUwxoLKHOhHZkO&#10;nEO/75PCVzX3UJ9RBweDHfH54KIF94uSDq1YUf/zyJygRH0yqOV6ulhE76bNoljOcOPGkf04wgxH&#10;qIoGSoblfUh+j5S9vUPNdzKpEYczdHJpGS2WRLo8h+jh8T7d+v1oty8AAAD//wMAUEsDBBQABgAI&#10;AAAAIQATnxOn4QAAAA8BAAAPAAAAZHJzL2Rvd25yZXYueG1sTI/NTsMwEITvSLyDtUjcWjtGtCGN&#10;U1WoLUdKiTi7sZtExD+y3TS8PdsTHGf20+xMuZ7MQEYdYu+sgGzOgGjbONXbVkD9uZvlQGKSVsnB&#10;WS3gR0dYV/d3pSyUu9oPPR5TSzDExkIK6FLyBaWx6bSRce68tng7u2BkQhlaqoK8YrgZKGdsQY3s&#10;LX7opNevnW6+jxcjwCe/X76F98NmuxtZ/bWved9uhXh8mDYrIElP6Q+GW32sDhV2OrmLVZEMqBfs&#10;GVEBs4yz/AnIjWE8Q/OE5ku+5ECrkv7fUf0CAAD//wMAUEsBAi0AFAAGAAgAAAAhALaDOJL+AAAA&#10;4QEAABMAAAAAAAAAAAAAAAAAAAAAAFtDb250ZW50X1R5cGVzXS54bWxQSwECLQAUAAYACAAAACEA&#10;OP0h/9YAAACUAQAACwAAAAAAAAAAAAAAAAAvAQAAX3JlbHMvLnJlbHNQSwECLQAUAAYACAAAACEA&#10;jnpeXxECAAD8AwAADgAAAAAAAAAAAAAAAAAuAgAAZHJzL2Uyb0RvYy54bWxQSwECLQAUAAYACAAA&#10;ACEAE58Tp+EAAAAPAQAADwAAAAAAAAAAAAAAAABrBAAAZHJzL2Rvd25yZXYueG1sUEsFBgAAAAAE&#10;AAQA8wAAAHkFAAAAAA==&#10;" filled="f" stroked="f">
            <v:textbox style="mso-fit-shape-to-text:t">
              <w:txbxContent>
                <w:p w:rsidR="00712828" w:rsidRPr="00E5405C" w:rsidRDefault="00712828">
                  <w:pPr>
                    <w:rPr>
                      <w:rFonts w:ascii="Century Gothic" w:hAnsi="Century Gothic"/>
                      <w:b/>
                      <w:color w:val="FFFFFF"/>
                      <w:sz w:val="44"/>
                      <w:szCs w:val="44"/>
                    </w:rPr>
                  </w:pPr>
                  <w:r w:rsidRPr="00E5405C">
                    <w:rPr>
                      <w:b/>
                      <w:color w:val="FFFFFF"/>
                      <w:sz w:val="44"/>
                      <w:szCs w:val="44"/>
                    </w:rPr>
                    <w:t>Collective Redundancy Consultation when Facing Insolvency: A Call for Evidence</w:t>
                  </w:r>
                </w:p>
                <w:p w:rsidR="00712828" w:rsidRPr="00E5405C" w:rsidRDefault="00712828">
                  <w:pPr>
                    <w:rPr>
                      <w:rFonts w:ascii="Century Gothic" w:hAnsi="Century Gothic"/>
                      <w:b/>
                      <w:color w:val="FFFFFF"/>
                      <w:sz w:val="44"/>
                      <w:szCs w:val="44"/>
                    </w:rPr>
                  </w:pPr>
                  <w:r w:rsidRPr="00E5405C">
                    <w:rPr>
                      <w:b/>
                      <w:color w:val="FFFFFF"/>
                      <w:sz w:val="44"/>
                      <w:szCs w:val="44"/>
                    </w:rPr>
                    <w:t xml:space="preserve">March 2015 </w:t>
                  </w:r>
                </w:p>
              </w:txbxContent>
            </v:textbox>
          </v:shape>
        </w:pict>
      </w:r>
      <w:r w:rsidRPr="00ED25BF">
        <w:rPr>
          <w:rStyle w:val="TitleChar"/>
          <w:rFonts w:ascii="Arial" w:hAnsi="Arial" w:cs="Arial"/>
        </w:rPr>
        <w:t>Foreword</w:t>
      </w:r>
      <w:bookmarkEnd w:id="0"/>
      <w:r w:rsidRPr="00ED25BF">
        <w:rPr>
          <w:rStyle w:val="TitleChar"/>
          <w:rFonts w:ascii="Arial" w:hAnsi="Arial" w:cs="Arial"/>
        </w:rPr>
        <w:t xml:space="preserve"> </w:t>
      </w:r>
    </w:p>
    <w:p w:rsidR="00712828" w:rsidRPr="007C41A6" w:rsidRDefault="00712828" w:rsidP="00D81D48">
      <w:pPr>
        <w:rPr>
          <w:rFonts w:ascii="Arial" w:hAnsi="Arial" w:cs="Arial"/>
          <w:lang w:eastAsia="en-GB"/>
        </w:rPr>
      </w:pPr>
      <w:r w:rsidRPr="007C41A6">
        <w:rPr>
          <w:rFonts w:ascii="Arial" w:hAnsi="Arial" w:cs="Arial"/>
          <w:lang w:eastAsia="en-GB"/>
        </w:rPr>
        <w:t xml:space="preserve">Constructive engagement with employees is important for business at all times, but especially when facing situations such as insolvency. The purpose of this call for evidence is to look at consultation with employees where a business is facing insolvency or has moved into an insolvency process. Whilst our current system generally works well and is effectively complied with and its benefits </w:t>
      </w:r>
      <w:r>
        <w:rPr>
          <w:rFonts w:ascii="Arial" w:hAnsi="Arial" w:cs="Arial"/>
          <w:lang w:eastAsia="en-GB"/>
        </w:rPr>
        <w:t xml:space="preserve">are </w:t>
      </w:r>
      <w:r w:rsidRPr="007C41A6">
        <w:rPr>
          <w:rFonts w:ascii="Arial" w:hAnsi="Arial" w:cs="Arial"/>
          <w:lang w:eastAsia="en-GB"/>
        </w:rPr>
        <w:t xml:space="preserve">agreed upon, we want to explore in more detail how consultation operates in these situations and what are the challenges and best approaches. </w:t>
      </w:r>
    </w:p>
    <w:p w:rsidR="00712828" w:rsidRPr="007C41A6" w:rsidRDefault="00712828" w:rsidP="00A702C1">
      <w:pPr>
        <w:rPr>
          <w:rFonts w:ascii="Arial" w:hAnsi="Arial" w:cs="Arial"/>
          <w:lang w:eastAsia="en-GB"/>
        </w:rPr>
      </w:pPr>
      <w:r w:rsidRPr="007C41A6">
        <w:rPr>
          <w:rFonts w:ascii="Arial" w:hAnsi="Arial" w:cs="Arial"/>
          <w:lang w:eastAsia="en-GB"/>
        </w:rPr>
        <w:t xml:space="preserve">In this country we have clear levels of protection for employees, which set out employers’ duty to consult with employee representatives and notify the Secretary of State when proposing collective redundancies.  The intention of this legislation is to ensure that unnecessary redundancies are avoided and to mitigate the effects of redundancies where they do </w:t>
      </w:r>
      <w:r>
        <w:rPr>
          <w:rFonts w:ascii="Arial" w:hAnsi="Arial" w:cs="Arial"/>
          <w:lang w:eastAsia="en-GB"/>
        </w:rPr>
        <w:t xml:space="preserve">unfortunately </w:t>
      </w:r>
      <w:r w:rsidRPr="007C41A6">
        <w:rPr>
          <w:rFonts w:ascii="Arial" w:hAnsi="Arial" w:cs="Arial"/>
          <w:lang w:eastAsia="en-GB"/>
        </w:rPr>
        <w:t xml:space="preserve">need to occur.  </w:t>
      </w:r>
    </w:p>
    <w:p w:rsidR="00712828" w:rsidRPr="007C41A6" w:rsidRDefault="00712828" w:rsidP="00A702C1">
      <w:pPr>
        <w:rPr>
          <w:rFonts w:ascii="Arial" w:hAnsi="Arial" w:cs="Arial"/>
          <w:lang w:eastAsia="en-GB"/>
        </w:rPr>
      </w:pPr>
      <w:r w:rsidRPr="007C41A6">
        <w:rPr>
          <w:rFonts w:ascii="Arial" w:hAnsi="Arial" w:cs="Arial"/>
          <w:lang w:eastAsia="en-GB"/>
        </w:rPr>
        <w:t xml:space="preserve">Consultation helps ensure employees are appropriately informed and enables them to contribute to decisions that affect them.  This in turn allows employers to make better business choices; to ensure that all possible options for rescuing the business, preserving jobs and supporting employees are explored. Notifying the Secretary of State helps to mitigate the effects of redundancies where they occur by ensuring that government agencies that support employees facing redundancy are able to give timely and effective advice and training, which can help individuals return to employment and reduce stress and uncertainty.  Being made redundant, or making redundancies, is never easy but this legislation is intended to ensure that it is done in the best way possible for both employers and employees.  </w:t>
      </w:r>
    </w:p>
    <w:p w:rsidR="00712828" w:rsidRPr="007C41A6" w:rsidRDefault="00712828" w:rsidP="00A702C1">
      <w:pPr>
        <w:rPr>
          <w:rFonts w:ascii="Arial" w:hAnsi="Arial" w:cs="Arial"/>
          <w:lang w:eastAsia="en-GB"/>
        </w:rPr>
      </w:pPr>
      <w:r w:rsidRPr="007C41A6">
        <w:rPr>
          <w:rFonts w:ascii="Arial" w:hAnsi="Arial" w:cs="Arial"/>
          <w:lang w:eastAsia="en-GB"/>
        </w:rPr>
        <w:t xml:space="preserve">I held a round table </w:t>
      </w:r>
      <w:r>
        <w:rPr>
          <w:rFonts w:ascii="Arial" w:hAnsi="Arial" w:cs="Arial"/>
          <w:lang w:eastAsia="en-GB"/>
        </w:rPr>
        <w:t xml:space="preserve">discussion </w:t>
      </w:r>
      <w:r w:rsidRPr="007C41A6">
        <w:rPr>
          <w:rFonts w:ascii="Arial" w:hAnsi="Arial" w:cs="Arial"/>
          <w:lang w:eastAsia="en-GB"/>
        </w:rPr>
        <w:t xml:space="preserve">with representatives to discuss these issues and it is clear that there is a real willingness to seek approaches to deliver improved outcomes. </w:t>
      </w:r>
    </w:p>
    <w:p w:rsidR="00712828" w:rsidRPr="007C41A6" w:rsidRDefault="00712828" w:rsidP="00A702C1">
      <w:pPr>
        <w:rPr>
          <w:rFonts w:ascii="Arial" w:hAnsi="Arial" w:cs="Arial"/>
          <w:lang w:eastAsia="en-GB"/>
        </w:rPr>
      </w:pPr>
      <w:r w:rsidRPr="007C41A6">
        <w:rPr>
          <w:rFonts w:ascii="Arial" w:hAnsi="Arial" w:cs="Arial"/>
          <w:lang w:eastAsia="en-GB"/>
        </w:rPr>
        <w:t xml:space="preserve">Your responses will be greatly appreciated. </w:t>
      </w:r>
    </w:p>
    <w:p w:rsidR="00712828" w:rsidRPr="007C41A6" w:rsidRDefault="00712828" w:rsidP="00A702C1">
      <w:pPr>
        <w:rPr>
          <w:rFonts w:ascii="Arial" w:hAnsi="Arial" w:cs="Arial"/>
          <w:lang w:eastAsia="en-GB"/>
        </w:rPr>
      </w:pPr>
    </w:p>
    <w:p w:rsidR="00712828" w:rsidRPr="007C41A6" w:rsidRDefault="00712828" w:rsidP="00EE50C7">
      <w:pPr>
        <w:spacing w:after="0" w:line="360" w:lineRule="auto"/>
        <w:rPr>
          <w:rFonts w:ascii="Arial" w:hAnsi="Arial" w:cs="Arial"/>
          <w:b/>
          <w:sz w:val="24"/>
          <w:szCs w:val="24"/>
          <w:lang w:eastAsia="en-GB"/>
        </w:rPr>
      </w:pPr>
      <w:bookmarkStart w:id="2" w:name="SignOff"/>
    </w:p>
    <w:p w:rsidR="00712828" w:rsidRPr="007C41A6" w:rsidRDefault="00712828" w:rsidP="00EE50C7">
      <w:pPr>
        <w:spacing w:after="0" w:line="360" w:lineRule="auto"/>
        <w:rPr>
          <w:rFonts w:ascii="Arial" w:hAnsi="Arial" w:cs="Arial"/>
          <w:b/>
          <w:sz w:val="24"/>
          <w:szCs w:val="24"/>
          <w:lang w:eastAsia="en-GB"/>
        </w:rPr>
      </w:pPr>
    </w:p>
    <w:p w:rsidR="00712828" w:rsidRPr="007C41A6" w:rsidRDefault="00712828" w:rsidP="00EE50C7">
      <w:pPr>
        <w:spacing w:after="0" w:line="360" w:lineRule="auto"/>
        <w:rPr>
          <w:rFonts w:ascii="Arial" w:hAnsi="Arial" w:cs="Arial"/>
          <w:b/>
          <w:sz w:val="24"/>
          <w:szCs w:val="24"/>
          <w:lang w:eastAsia="en-GB"/>
        </w:rPr>
      </w:pPr>
      <w:r w:rsidRPr="007C41A6">
        <w:rPr>
          <w:rFonts w:ascii="Arial" w:hAnsi="Arial" w:cs="Arial"/>
          <w:b/>
          <w:sz w:val="24"/>
          <w:szCs w:val="24"/>
          <w:lang w:eastAsia="en-GB"/>
        </w:rPr>
        <w:t>JO SWINSON MP</w:t>
      </w:r>
      <w:bookmarkEnd w:id="2"/>
    </w:p>
    <w:p w:rsidR="00712828" w:rsidRPr="00ED25BF" w:rsidRDefault="00712828" w:rsidP="00ED25BF">
      <w:pPr>
        <w:pStyle w:val="Title"/>
        <w:rPr>
          <w:rFonts w:ascii="Arial" w:hAnsi="Arial" w:cs="Arial"/>
        </w:rPr>
      </w:pPr>
      <w:r w:rsidRPr="007C41A6">
        <w:br w:type="page"/>
      </w:r>
      <w:bookmarkStart w:id="3" w:name="_Toc412452356"/>
      <w:r w:rsidRPr="00ED25BF">
        <w:rPr>
          <w:rFonts w:ascii="Arial" w:hAnsi="Arial" w:cs="Arial"/>
        </w:rPr>
        <w:t>Summary</w:t>
      </w:r>
      <w:bookmarkEnd w:id="3"/>
      <w:r w:rsidRPr="00ED25BF">
        <w:rPr>
          <w:rFonts w:ascii="Arial" w:hAnsi="Arial" w:cs="Arial"/>
        </w:rPr>
        <w:t xml:space="preserve"> </w:t>
      </w:r>
    </w:p>
    <w:p w:rsidR="00712828" w:rsidRPr="007C41A6" w:rsidRDefault="00712828" w:rsidP="001036F5">
      <w:pPr>
        <w:rPr>
          <w:rFonts w:ascii="Arial" w:hAnsi="Arial" w:cs="Arial"/>
          <w:lang w:eastAsia="en-GB"/>
        </w:rPr>
      </w:pPr>
      <w:r w:rsidRPr="007C41A6">
        <w:rPr>
          <w:rFonts w:ascii="Arial" w:hAnsi="Arial" w:cs="Arial"/>
          <w:lang w:eastAsia="en-GB"/>
        </w:rPr>
        <w:t xml:space="preserve">This call for evidence seeks to understand what happens in consultation with employees when it is conducted by businesses that are imminently facing, or have moved into, formal insolvency and what suggestions there are for how outcomes for both employees and businesses might be improved. </w:t>
      </w:r>
    </w:p>
    <w:p w:rsidR="00712828" w:rsidRPr="007C41A6" w:rsidRDefault="00712828" w:rsidP="001036F5">
      <w:pPr>
        <w:rPr>
          <w:rFonts w:ascii="Arial" w:hAnsi="Arial" w:cs="Arial"/>
          <w:lang w:eastAsia="en-GB"/>
        </w:rPr>
      </w:pPr>
      <w:r w:rsidRPr="007C41A6">
        <w:rPr>
          <w:rFonts w:ascii="Arial" w:hAnsi="Arial" w:cs="Arial"/>
          <w:lang w:eastAsia="en-GB"/>
        </w:rPr>
        <w:t xml:space="preserve">This call for evidence comes after the Department for Business, Innovation and Skills’ Call for Evidence (November 2011, </w:t>
      </w:r>
      <w:r w:rsidRPr="007C41A6">
        <w:rPr>
          <w:rFonts w:ascii="Arial" w:hAnsi="Arial" w:cs="Arial"/>
          <w:i/>
          <w:lang w:eastAsia="en-GB"/>
        </w:rPr>
        <w:t>Collective Redundancy Consultation Rules</w:t>
      </w:r>
      <w:r w:rsidRPr="007C41A6">
        <w:rPr>
          <w:rFonts w:ascii="Arial" w:hAnsi="Arial" w:cs="Arial"/>
          <w:lang w:eastAsia="en-GB"/>
        </w:rPr>
        <w:t>) and Consultation (June 2012</w:t>
      </w:r>
      <w:r w:rsidRPr="007C41A6">
        <w:rPr>
          <w:rFonts w:ascii="Arial" w:hAnsi="Arial" w:cs="Arial"/>
          <w:i/>
          <w:lang w:eastAsia="en-GB"/>
        </w:rPr>
        <w:t>, Collective Redundancies: A Consultation on Changes to the Rules</w:t>
      </w:r>
      <w:r w:rsidRPr="007C41A6">
        <w:rPr>
          <w:rFonts w:ascii="Arial" w:hAnsi="Arial" w:cs="Arial"/>
          <w:lang w:eastAsia="en-GB"/>
        </w:rPr>
        <w:t xml:space="preserve">). This consultation and the response, published in December 2012, found generally high levels of regard for, and understanding of, the legislation but also led to changes in April 2013, to make consultation simpler and more effective. Recent Employment Tribunal findings have highlighted the need for the Government to </w:t>
      </w:r>
      <w:r>
        <w:rPr>
          <w:rFonts w:ascii="Arial" w:hAnsi="Arial" w:cs="Arial"/>
          <w:lang w:eastAsia="en-GB"/>
        </w:rPr>
        <w:t xml:space="preserve">return to this issue to </w:t>
      </w:r>
      <w:r w:rsidRPr="007C41A6">
        <w:rPr>
          <w:rFonts w:ascii="Arial" w:hAnsi="Arial" w:cs="Arial"/>
          <w:lang w:eastAsia="en-GB"/>
        </w:rPr>
        <w:t xml:space="preserve">look in more detail at the particular circumstances that surround consultation in the face of, and during insolvency.  </w:t>
      </w:r>
    </w:p>
    <w:p w:rsidR="00712828" w:rsidRPr="007C41A6" w:rsidRDefault="00712828" w:rsidP="001036F5">
      <w:pPr>
        <w:rPr>
          <w:rFonts w:ascii="Arial" w:hAnsi="Arial" w:cs="Arial"/>
          <w:lang w:eastAsia="en-GB"/>
        </w:rPr>
      </w:pPr>
      <w:r w:rsidRPr="007C41A6">
        <w:rPr>
          <w:rFonts w:ascii="Arial" w:hAnsi="Arial" w:cs="Arial"/>
          <w:lang w:eastAsia="en-GB"/>
        </w:rPr>
        <w:t xml:space="preserve">In such circumstances there may be particular challenges in conducting effective consultation, but it remains important to do.  </w:t>
      </w:r>
    </w:p>
    <w:p w:rsidR="00712828" w:rsidRPr="007C41A6" w:rsidRDefault="00712828" w:rsidP="001036F5">
      <w:pPr>
        <w:rPr>
          <w:rFonts w:ascii="Arial" w:hAnsi="Arial" w:cs="Arial"/>
          <w:lang w:eastAsia="en-GB"/>
        </w:rPr>
      </w:pPr>
      <w:r w:rsidRPr="007C41A6">
        <w:rPr>
          <w:rFonts w:ascii="Arial" w:hAnsi="Arial" w:cs="Arial"/>
          <w:lang w:eastAsia="en-GB"/>
        </w:rPr>
        <w:t xml:space="preserve">We invite evidence and views on:  </w:t>
      </w:r>
    </w:p>
    <w:p w:rsidR="00712828" w:rsidRPr="007C41A6" w:rsidRDefault="00712828" w:rsidP="00F65983">
      <w:pPr>
        <w:pStyle w:val="ListParagraph"/>
        <w:numPr>
          <w:ilvl w:val="0"/>
          <w:numId w:val="1"/>
        </w:numPr>
        <w:rPr>
          <w:rFonts w:ascii="Arial" w:hAnsi="Arial" w:cs="Arial"/>
          <w:lang w:eastAsia="en-GB"/>
        </w:rPr>
      </w:pPr>
      <w:r w:rsidRPr="007C41A6">
        <w:rPr>
          <w:rFonts w:ascii="Arial" w:hAnsi="Arial" w:cs="Arial"/>
          <w:lang w:eastAsia="en-GB"/>
        </w:rPr>
        <w:t>Your understanding of the current requirements, their purpose and benefits</w:t>
      </w:r>
    </w:p>
    <w:p w:rsidR="00712828" w:rsidRPr="007C41A6" w:rsidRDefault="00712828" w:rsidP="00F65983">
      <w:pPr>
        <w:pStyle w:val="ListParagraph"/>
        <w:numPr>
          <w:ilvl w:val="0"/>
          <w:numId w:val="1"/>
        </w:numPr>
        <w:rPr>
          <w:rFonts w:ascii="Arial" w:hAnsi="Arial" w:cs="Arial"/>
          <w:lang w:eastAsia="en-GB"/>
        </w:rPr>
      </w:pPr>
      <w:r w:rsidRPr="007C41A6">
        <w:rPr>
          <w:rFonts w:ascii="Arial" w:hAnsi="Arial" w:cs="Arial"/>
          <w:lang w:eastAsia="en-GB"/>
        </w:rPr>
        <w:t>Factors that facilitate and/or inhibit effective consultation</w:t>
      </w:r>
    </w:p>
    <w:p w:rsidR="00712828" w:rsidRPr="007C41A6" w:rsidRDefault="00712828" w:rsidP="00F65983">
      <w:pPr>
        <w:pStyle w:val="ListParagraph"/>
        <w:numPr>
          <w:ilvl w:val="0"/>
          <w:numId w:val="1"/>
        </w:numPr>
        <w:rPr>
          <w:rFonts w:ascii="Arial" w:hAnsi="Arial" w:cs="Arial"/>
          <w:lang w:eastAsia="en-GB"/>
        </w:rPr>
      </w:pPr>
      <w:r w:rsidRPr="007C41A6">
        <w:rPr>
          <w:rFonts w:ascii="Arial" w:hAnsi="Arial" w:cs="Arial"/>
          <w:lang w:eastAsia="en-GB"/>
        </w:rPr>
        <w:t xml:space="preserve">The role of directors </w:t>
      </w:r>
      <w:r>
        <w:rPr>
          <w:rFonts w:ascii="Arial" w:hAnsi="Arial" w:cs="Arial"/>
          <w:lang w:eastAsia="en-GB"/>
        </w:rPr>
        <w:t xml:space="preserve">and insolvency practitioners </w:t>
      </w:r>
    </w:p>
    <w:p w:rsidR="00712828" w:rsidRPr="007C41A6" w:rsidRDefault="00712828" w:rsidP="00F65983">
      <w:pPr>
        <w:pStyle w:val="ListParagraph"/>
        <w:numPr>
          <w:ilvl w:val="0"/>
          <w:numId w:val="1"/>
        </w:numPr>
        <w:rPr>
          <w:rFonts w:ascii="Arial" w:hAnsi="Arial" w:cs="Arial"/>
          <w:lang w:eastAsia="en-GB"/>
        </w:rPr>
      </w:pPr>
      <w:r w:rsidRPr="007C41A6">
        <w:rPr>
          <w:rFonts w:ascii="Arial" w:hAnsi="Arial" w:cs="Arial"/>
          <w:lang w:eastAsia="en-GB"/>
        </w:rPr>
        <w:t xml:space="preserve">Ensuring timely notification and effective consultation </w:t>
      </w:r>
    </w:p>
    <w:p w:rsidR="00712828" w:rsidRPr="007C41A6" w:rsidRDefault="00712828" w:rsidP="00F65983">
      <w:pPr>
        <w:rPr>
          <w:rFonts w:ascii="Arial" w:hAnsi="Arial" w:cs="Arial"/>
          <w:lang w:eastAsia="en-GB"/>
        </w:rPr>
      </w:pPr>
      <w:r w:rsidRPr="007C41A6">
        <w:rPr>
          <w:rFonts w:ascii="Arial" w:hAnsi="Arial" w:cs="Arial"/>
          <w:lang w:eastAsia="en-GB"/>
        </w:rPr>
        <w:t>This c</w:t>
      </w:r>
      <w:r>
        <w:rPr>
          <w:rFonts w:ascii="Arial" w:hAnsi="Arial" w:cs="Arial"/>
          <w:lang w:eastAsia="en-GB"/>
        </w:rPr>
        <w:t>all for evidence will run for 12</w:t>
      </w:r>
      <w:r w:rsidRPr="007C41A6">
        <w:rPr>
          <w:rFonts w:ascii="Arial" w:hAnsi="Arial" w:cs="Arial"/>
          <w:lang w:eastAsia="en-GB"/>
        </w:rPr>
        <w:t xml:space="preserve"> weeks an</w:t>
      </w:r>
      <w:r>
        <w:rPr>
          <w:rFonts w:ascii="Arial" w:hAnsi="Arial" w:cs="Arial"/>
          <w:lang w:eastAsia="en-GB"/>
        </w:rPr>
        <w:t>d primarily be of interest to business owners and directors, employee representative bodies, HR professionals, the legal profession and insolvency practitioners</w:t>
      </w:r>
      <w:r w:rsidRPr="007C41A6">
        <w:rPr>
          <w:rFonts w:ascii="Arial" w:hAnsi="Arial" w:cs="Arial"/>
          <w:lang w:eastAsia="en-GB"/>
        </w:rPr>
        <w:t xml:space="preserve">. </w:t>
      </w:r>
    </w:p>
    <w:p w:rsidR="00712828" w:rsidRPr="00ED25BF" w:rsidRDefault="00712828" w:rsidP="00ED25BF">
      <w:pPr>
        <w:pStyle w:val="Title"/>
        <w:rPr>
          <w:rFonts w:ascii="Arial" w:hAnsi="Arial" w:cs="Arial"/>
        </w:rPr>
      </w:pPr>
      <w:r w:rsidRPr="007C41A6">
        <w:br w:type="page"/>
      </w:r>
      <w:bookmarkStart w:id="4" w:name="_Toc412452357"/>
      <w:r w:rsidRPr="00ED25BF">
        <w:rPr>
          <w:rFonts w:ascii="Arial" w:hAnsi="Arial" w:cs="Arial"/>
        </w:rPr>
        <w:t>1. Introduction</w:t>
      </w:r>
      <w:bookmarkEnd w:id="4"/>
      <w:r w:rsidRPr="00ED25BF">
        <w:rPr>
          <w:rFonts w:ascii="Arial" w:hAnsi="Arial" w:cs="Arial"/>
        </w:rPr>
        <w:t xml:space="preserve"> </w:t>
      </w:r>
    </w:p>
    <w:p w:rsidR="00712828" w:rsidRPr="007C41A6" w:rsidRDefault="00712828" w:rsidP="00D82C5B">
      <w:pPr>
        <w:pStyle w:val="Heading2"/>
        <w:rPr>
          <w:rFonts w:ascii="Arial" w:hAnsi="Arial" w:cs="Arial"/>
        </w:rPr>
      </w:pPr>
      <w:bookmarkStart w:id="5" w:name="_Toc412452358"/>
      <w:r w:rsidRPr="007C41A6">
        <w:rPr>
          <w:rFonts w:ascii="Arial" w:hAnsi="Arial" w:cs="Arial"/>
        </w:rPr>
        <w:t>1.1. The Legislation</w:t>
      </w:r>
      <w:bookmarkEnd w:id="5"/>
    </w:p>
    <w:p w:rsidR="00712828" w:rsidRPr="007C41A6" w:rsidRDefault="00712828" w:rsidP="003D7035">
      <w:pPr>
        <w:rPr>
          <w:rFonts w:ascii="Arial" w:hAnsi="Arial" w:cs="Arial"/>
          <w:lang w:eastAsia="en-GB"/>
        </w:rPr>
      </w:pPr>
      <w:r w:rsidRPr="007C41A6">
        <w:rPr>
          <w:rFonts w:ascii="Arial" w:hAnsi="Arial" w:cs="Arial"/>
          <w:lang w:eastAsia="en-GB"/>
        </w:rPr>
        <w:t xml:space="preserve">Like all other EU Member States the </w:t>
      </w:r>
      <w:smartTag w:uri="urn:schemas-microsoft-com:office:smarttags" w:element="place">
        <w:smartTag w:uri="urn:schemas-microsoft-com:office:smarttags" w:element="country-region">
          <w:r w:rsidRPr="007C41A6">
            <w:rPr>
              <w:rFonts w:ascii="Arial" w:hAnsi="Arial" w:cs="Arial"/>
              <w:lang w:eastAsia="en-GB"/>
            </w:rPr>
            <w:t>UK</w:t>
          </w:r>
        </w:smartTag>
      </w:smartTag>
      <w:r w:rsidRPr="007C41A6">
        <w:rPr>
          <w:rFonts w:ascii="Arial" w:hAnsi="Arial" w:cs="Arial"/>
          <w:lang w:eastAsia="en-GB"/>
        </w:rPr>
        <w:t xml:space="preserve"> has to comply with the requirements of the Collective Redundancies Directive (Directive 98/59). The aim of the Directive is to provide greater protection for employees in large-scale redundancies.</w:t>
      </w:r>
      <w:r w:rsidRPr="007C41A6">
        <w:rPr>
          <w:rStyle w:val="FootnoteReference"/>
          <w:rFonts w:ascii="Arial" w:hAnsi="Arial" w:cs="Arial"/>
          <w:lang w:eastAsia="en-GB"/>
        </w:rPr>
        <w:footnoteReference w:id="1"/>
      </w:r>
    </w:p>
    <w:p w:rsidR="00712828" w:rsidRPr="007C41A6" w:rsidRDefault="00712828" w:rsidP="003D7035">
      <w:pPr>
        <w:rPr>
          <w:rFonts w:ascii="Arial" w:hAnsi="Arial" w:cs="Arial"/>
          <w:lang w:eastAsia="en-GB"/>
        </w:rPr>
      </w:pPr>
      <w:r w:rsidRPr="007C41A6">
        <w:rPr>
          <w:rFonts w:ascii="Arial" w:hAnsi="Arial" w:cs="Arial"/>
          <w:lang w:eastAsia="en-GB"/>
        </w:rPr>
        <w:t xml:space="preserve">The duty to consult with employees and notify the Secretary of State where collective redundancies are proposed is implemented in domestic law through the Trade Union and Labour Relation (Consolidation) Act, 1992, </w:t>
      </w:r>
      <w:r>
        <w:rPr>
          <w:rFonts w:ascii="Arial" w:hAnsi="Arial" w:cs="Arial"/>
          <w:lang w:eastAsia="en-GB"/>
        </w:rPr>
        <w:t>S</w:t>
      </w:r>
      <w:r w:rsidRPr="007C41A6">
        <w:rPr>
          <w:rFonts w:ascii="Arial" w:hAnsi="Arial" w:cs="Arial"/>
          <w:lang w:eastAsia="en-GB"/>
        </w:rPr>
        <w:t xml:space="preserve">ection 188 to 198. The duty to consult arises where an employer is proposing to dismiss as redundant 20 or more employees at one establishment within a period of 90 days or less. Details of the legislation can be found at </w:t>
      </w:r>
      <w:hyperlink r:id="rId12" w:history="1">
        <w:r w:rsidRPr="007C41A6">
          <w:rPr>
            <w:rStyle w:val="Hyperlink"/>
            <w:rFonts w:ascii="Arial" w:hAnsi="Arial" w:cs="Arial"/>
            <w:color w:val="4F81BD"/>
            <w:lang w:eastAsia="en-GB"/>
          </w:rPr>
          <w:t>http://www.legislation.gov.uk/ukpga/1992/52/part/IV/chapter/II</w:t>
        </w:r>
      </w:hyperlink>
      <w:r w:rsidRPr="007C41A6">
        <w:rPr>
          <w:rFonts w:ascii="Arial" w:hAnsi="Arial" w:cs="Arial"/>
          <w:color w:val="1F497D"/>
          <w:lang w:eastAsia="en-GB"/>
        </w:rPr>
        <w:t xml:space="preserve"> </w:t>
      </w:r>
      <w:r w:rsidRPr="007C41A6">
        <w:rPr>
          <w:rFonts w:ascii="Arial" w:hAnsi="Arial" w:cs="Arial"/>
          <w:lang w:eastAsia="en-GB"/>
        </w:rPr>
        <w:t xml:space="preserve">and the table below sets out its key provisions for collective redundancy consultations. </w:t>
      </w:r>
    </w:p>
    <w:p w:rsidR="00712828" w:rsidRPr="007C41A6" w:rsidRDefault="00712828" w:rsidP="003D7035">
      <w:pPr>
        <w:rPr>
          <w:rFonts w:ascii="Arial" w:hAnsi="Arial" w:cs="Arial"/>
          <w:lang w:eastAsia="en-GB"/>
        </w:rPr>
      </w:pPr>
    </w:p>
    <w:tbl>
      <w:tblPr>
        <w:tblW w:w="932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tblPr>
      <w:tblGrid>
        <w:gridCol w:w="4503"/>
        <w:gridCol w:w="4819"/>
      </w:tblGrid>
      <w:tr w:rsidR="00712828" w:rsidRPr="00E5405C" w:rsidTr="00E5405C">
        <w:tc>
          <w:tcPr>
            <w:tcW w:w="4503" w:type="dxa"/>
            <w:tcBorders>
              <w:bottom w:val="single" w:sz="18" w:space="0" w:color="9BBB59"/>
            </w:tcBorders>
          </w:tcPr>
          <w:p w:rsidR="00712828" w:rsidRPr="00E5405C" w:rsidRDefault="00712828" w:rsidP="00E5405C">
            <w:pPr>
              <w:spacing w:after="0" w:line="240" w:lineRule="auto"/>
              <w:rPr>
                <w:rFonts w:ascii="Arial" w:hAnsi="Arial" w:cs="Arial"/>
                <w:b/>
                <w:bCs/>
                <w:sz w:val="32"/>
                <w:szCs w:val="32"/>
                <w:lang w:bidi="hi-IN"/>
              </w:rPr>
            </w:pPr>
            <w:r w:rsidRPr="00E5405C">
              <w:rPr>
                <w:rFonts w:ascii="Arial" w:hAnsi="Arial" w:cs="Arial"/>
                <w:b/>
                <w:bCs/>
                <w:sz w:val="32"/>
                <w:szCs w:val="32"/>
                <w:lang w:bidi="hi-IN"/>
              </w:rPr>
              <w:t>Key Provision</w:t>
            </w:r>
          </w:p>
        </w:tc>
        <w:tc>
          <w:tcPr>
            <w:tcW w:w="4819" w:type="dxa"/>
            <w:tcBorders>
              <w:bottom w:val="single" w:sz="18" w:space="0" w:color="9BBB59"/>
            </w:tcBorders>
          </w:tcPr>
          <w:p w:rsidR="00712828" w:rsidRPr="00E5405C" w:rsidRDefault="00712828" w:rsidP="00E5405C">
            <w:pPr>
              <w:spacing w:after="0" w:line="240" w:lineRule="auto"/>
              <w:rPr>
                <w:rFonts w:ascii="Arial" w:hAnsi="Arial" w:cs="Arial"/>
                <w:b/>
                <w:bCs/>
                <w:sz w:val="32"/>
                <w:szCs w:val="32"/>
                <w:lang w:bidi="hi-IN"/>
              </w:rPr>
            </w:pPr>
            <w:r w:rsidRPr="00E5405C">
              <w:rPr>
                <w:rFonts w:ascii="Arial" w:hAnsi="Arial" w:cs="Arial"/>
                <w:b/>
                <w:bCs/>
                <w:sz w:val="32"/>
                <w:szCs w:val="32"/>
                <w:lang w:bidi="hi-IN"/>
              </w:rPr>
              <w:t xml:space="preserve">Detail </w:t>
            </w:r>
          </w:p>
        </w:tc>
      </w:tr>
      <w:tr w:rsidR="00712828" w:rsidRPr="00E5405C" w:rsidTr="00E5405C">
        <w:tc>
          <w:tcPr>
            <w:tcW w:w="4503" w:type="dxa"/>
            <w:shd w:val="clear" w:color="auto" w:fill="E6EED5"/>
          </w:tcPr>
          <w:p w:rsidR="00712828" w:rsidRPr="00E5405C" w:rsidRDefault="00712828" w:rsidP="00E5405C">
            <w:pPr>
              <w:spacing w:after="0" w:line="240" w:lineRule="auto"/>
              <w:rPr>
                <w:rFonts w:ascii="Arial" w:hAnsi="Arial" w:cs="Arial"/>
                <w:b/>
                <w:bCs/>
                <w:sz w:val="24"/>
                <w:lang w:bidi="hi-IN"/>
              </w:rPr>
            </w:pPr>
            <w:r w:rsidRPr="00E5405C">
              <w:rPr>
                <w:rFonts w:ascii="Arial" w:hAnsi="Arial" w:cs="Arial"/>
                <w:b/>
                <w:bCs/>
                <w:sz w:val="24"/>
                <w:lang w:bidi="hi-IN"/>
              </w:rPr>
              <w:t>Employers have a duty to notify the Secretary of State in writing of proposed redundancies before any dismissals take effect</w:t>
            </w:r>
          </w:p>
        </w:tc>
        <w:tc>
          <w:tcPr>
            <w:tcW w:w="4819" w:type="dxa"/>
            <w:shd w:val="clear" w:color="auto" w:fill="E6EED5"/>
          </w:tcPr>
          <w:p w:rsidR="00712828" w:rsidRPr="00E5405C" w:rsidRDefault="00712828" w:rsidP="00E5405C">
            <w:pPr>
              <w:pStyle w:val="CommentText"/>
              <w:spacing w:after="0"/>
              <w:rPr>
                <w:rFonts w:ascii="Arial" w:hAnsi="Arial" w:cs="Arial"/>
                <w:sz w:val="24"/>
                <w:szCs w:val="24"/>
              </w:rPr>
            </w:pPr>
            <w:r w:rsidRPr="00E5405C">
              <w:rPr>
                <w:rFonts w:ascii="Arial" w:hAnsi="Arial" w:cs="Arial"/>
                <w:color w:val="000000"/>
                <w:sz w:val="24"/>
                <w:szCs w:val="24"/>
                <w:lang w:bidi="hi-IN"/>
              </w:rPr>
              <w:t xml:space="preserve">Notification should be sent as soon as possible </w:t>
            </w:r>
            <w:r w:rsidRPr="00E5405C">
              <w:rPr>
                <w:rFonts w:ascii="Arial" w:hAnsi="Arial" w:cs="Arial"/>
                <w:sz w:val="24"/>
                <w:szCs w:val="24"/>
              </w:rPr>
              <w:t>and is a separate requirement to consultation. Consequently, the date for giving notification may be different to the date the consultation commenced and so the time periods before redundancies take effect may not entirely overlap.</w:t>
            </w:r>
          </w:p>
          <w:p w:rsidR="00712828" w:rsidRPr="00E5405C" w:rsidRDefault="00712828" w:rsidP="00E5405C">
            <w:pPr>
              <w:pStyle w:val="ListParagraph"/>
              <w:spacing w:after="0" w:line="240" w:lineRule="auto"/>
              <w:ind w:left="0"/>
              <w:rPr>
                <w:rFonts w:ascii="Arial" w:hAnsi="Arial" w:cs="Arial"/>
                <w:color w:val="000000"/>
                <w:lang w:bidi="hi-IN"/>
              </w:rPr>
            </w:pPr>
          </w:p>
          <w:p w:rsidR="00712828" w:rsidRPr="00E5405C" w:rsidRDefault="00712828" w:rsidP="00E5405C">
            <w:pPr>
              <w:pStyle w:val="ListParagraph"/>
              <w:spacing w:after="0" w:line="240" w:lineRule="auto"/>
              <w:ind w:left="0"/>
              <w:rPr>
                <w:rFonts w:ascii="Arial" w:hAnsi="Arial" w:cs="Arial"/>
                <w:color w:val="000000"/>
                <w:sz w:val="24"/>
                <w:lang w:bidi="hi-IN"/>
              </w:rPr>
            </w:pPr>
            <w:r w:rsidRPr="00E5405C">
              <w:rPr>
                <w:rFonts w:ascii="Arial" w:hAnsi="Arial" w:cs="Arial"/>
                <w:color w:val="000000"/>
                <w:sz w:val="24"/>
                <w:lang w:bidi="hi-IN"/>
              </w:rPr>
              <w:t xml:space="preserve">If proposing to dismiss 100 or more employees the notification must be sent at least 45 days before the first of those dismissals can take effect. If proposing to dismiss 20-99 employees the notification must be sent at least 30 days before.  </w:t>
            </w:r>
          </w:p>
          <w:p w:rsidR="00712828" w:rsidRPr="00E5405C" w:rsidRDefault="00712828" w:rsidP="00E5405C">
            <w:pPr>
              <w:pStyle w:val="ListParagraph"/>
              <w:spacing w:after="0" w:line="240" w:lineRule="auto"/>
              <w:ind w:left="0"/>
              <w:rPr>
                <w:rFonts w:ascii="Arial" w:hAnsi="Arial" w:cs="Arial"/>
                <w:color w:val="000000"/>
                <w:sz w:val="24"/>
                <w:lang w:bidi="hi-IN"/>
              </w:rPr>
            </w:pPr>
          </w:p>
          <w:p w:rsidR="00712828" w:rsidRPr="00E5405C" w:rsidRDefault="00712828" w:rsidP="00E5405C">
            <w:pPr>
              <w:pStyle w:val="ListParagraph"/>
              <w:spacing w:after="0" w:line="240" w:lineRule="auto"/>
              <w:ind w:left="0"/>
              <w:rPr>
                <w:rFonts w:ascii="Arial" w:hAnsi="Arial" w:cs="Arial"/>
                <w:color w:val="000000"/>
                <w:sz w:val="24"/>
                <w:lang w:bidi="hi-IN"/>
              </w:rPr>
            </w:pPr>
            <w:r w:rsidRPr="00E5405C">
              <w:rPr>
                <w:rFonts w:ascii="Arial" w:hAnsi="Arial" w:cs="Arial"/>
                <w:color w:val="000000"/>
                <w:sz w:val="24"/>
                <w:lang w:bidi="hi-IN"/>
              </w:rPr>
              <w:t>It must state, where relevant, the date that consultation was started. Employee representatives should be given a copy.</w:t>
            </w:r>
          </w:p>
          <w:p w:rsidR="00712828" w:rsidRPr="00E5405C" w:rsidRDefault="00712828" w:rsidP="00E5405C">
            <w:pPr>
              <w:pStyle w:val="ListParagraph"/>
              <w:spacing w:after="0" w:line="240" w:lineRule="auto"/>
              <w:ind w:left="0"/>
              <w:rPr>
                <w:rFonts w:ascii="Arial" w:hAnsi="Arial" w:cs="Arial"/>
                <w:color w:val="000000"/>
                <w:sz w:val="24"/>
                <w:lang w:bidi="hi-IN"/>
              </w:rPr>
            </w:pPr>
          </w:p>
          <w:p w:rsidR="00712828" w:rsidRPr="00E5405C" w:rsidRDefault="00712828" w:rsidP="00E5405C">
            <w:pPr>
              <w:pStyle w:val="ListParagraph"/>
              <w:spacing w:after="0" w:line="240" w:lineRule="auto"/>
              <w:ind w:left="0"/>
              <w:rPr>
                <w:rFonts w:ascii="Arial" w:hAnsi="Arial" w:cs="Arial"/>
                <w:color w:val="000000"/>
                <w:sz w:val="24"/>
                <w:lang w:bidi="hi-IN"/>
              </w:rPr>
            </w:pPr>
            <w:r w:rsidRPr="00E5405C">
              <w:rPr>
                <w:rFonts w:ascii="Arial" w:hAnsi="Arial" w:cs="Arial"/>
                <w:color w:val="000000"/>
                <w:sz w:val="24"/>
                <w:lang w:bidi="hi-IN"/>
              </w:rPr>
              <w:t>Failure to provide the notification to the Secretary of State in accordance with the requirements is a criminal offence, punishable on summary conviction by a fine.</w:t>
            </w:r>
          </w:p>
          <w:p w:rsidR="00712828" w:rsidRPr="00E5405C" w:rsidRDefault="00712828" w:rsidP="00E5405C">
            <w:pPr>
              <w:pStyle w:val="ListParagraph"/>
              <w:spacing w:after="0" w:line="240" w:lineRule="auto"/>
              <w:ind w:left="0"/>
              <w:rPr>
                <w:rFonts w:ascii="Arial" w:hAnsi="Arial" w:cs="Arial"/>
                <w:color w:val="000000"/>
                <w:sz w:val="24"/>
                <w:lang w:bidi="hi-IN"/>
              </w:rPr>
            </w:pPr>
          </w:p>
          <w:p w:rsidR="00712828" w:rsidRPr="00E5405C" w:rsidRDefault="00712828" w:rsidP="00E5405C">
            <w:pPr>
              <w:spacing w:after="0" w:line="240" w:lineRule="auto"/>
              <w:rPr>
                <w:rFonts w:ascii="Arial" w:hAnsi="Arial" w:cs="Arial"/>
                <w:color w:val="000000"/>
                <w:sz w:val="24"/>
                <w:lang w:bidi="hi-IN"/>
              </w:rPr>
            </w:pPr>
          </w:p>
        </w:tc>
      </w:tr>
    </w:tbl>
    <w:p w:rsidR="00712828" w:rsidRDefault="00712828"/>
    <w:tbl>
      <w:tblPr>
        <w:tblW w:w="932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tblPr>
      <w:tblGrid>
        <w:gridCol w:w="4503"/>
        <w:gridCol w:w="4819"/>
      </w:tblGrid>
      <w:tr w:rsidR="00712828" w:rsidRPr="00E5405C" w:rsidTr="00E5405C">
        <w:tc>
          <w:tcPr>
            <w:tcW w:w="4503" w:type="dxa"/>
          </w:tcPr>
          <w:p w:rsidR="00712828" w:rsidRPr="00E5405C" w:rsidRDefault="00712828" w:rsidP="00E5405C">
            <w:pPr>
              <w:spacing w:after="0" w:line="240" w:lineRule="auto"/>
              <w:rPr>
                <w:rFonts w:ascii="Arial" w:hAnsi="Arial" w:cs="Arial"/>
                <w:b/>
                <w:bCs/>
                <w:sz w:val="24"/>
                <w:lang w:bidi="hi-IN"/>
              </w:rPr>
            </w:pPr>
            <w:r>
              <w:br w:type="page"/>
            </w:r>
            <w:r>
              <w:br w:type="page"/>
            </w:r>
            <w:r w:rsidRPr="00E5405C">
              <w:rPr>
                <w:rFonts w:ascii="Arial" w:hAnsi="Arial" w:cs="Arial"/>
                <w:b/>
                <w:bCs/>
                <w:sz w:val="24"/>
                <w:lang w:bidi="hi-IN"/>
              </w:rPr>
              <w:t xml:space="preserve">The consultation should begin in good time and with a view to reaching agreement. </w:t>
            </w:r>
          </w:p>
        </w:tc>
        <w:tc>
          <w:tcPr>
            <w:tcW w:w="4819" w:type="dxa"/>
          </w:tcPr>
          <w:p w:rsidR="00712828" w:rsidRPr="00E5405C" w:rsidRDefault="00712828" w:rsidP="00E5405C">
            <w:pPr>
              <w:spacing w:after="0" w:line="240" w:lineRule="auto"/>
              <w:rPr>
                <w:rFonts w:ascii="Arial" w:hAnsi="Arial" w:cs="Arial"/>
                <w:sz w:val="24"/>
                <w:lang w:bidi="hi-IN"/>
              </w:rPr>
            </w:pPr>
            <w:r w:rsidRPr="00E5405C">
              <w:rPr>
                <w:rFonts w:ascii="Arial" w:hAnsi="Arial" w:cs="Arial"/>
                <w:sz w:val="24"/>
                <w:lang w:bidi="hi-IN"/>
              </w:rPr>
              <w:t xml:space="preserve">The consultation must begin once the redundancies have been proposed and before any decision to make redundancies has been made. No dismissals can take effect until the consultation is complete and the minimum period has elapsed. Consultation may also take longer to complete than the minimum period before dismissal can take effect. </w:t>
            </w:r>
          </w:p>
          <w:p w:rsidR="00712828" w:rsidRPr="00E5405C" w:rsidRDefault="00712828" w:rsidP="00E5405C">
            <w:pPr>
              <w:spacing w:after="0" w:line="240" w:lineRule="auto"/>
              <w:rPr>
                <w:rFonts w:ascii="Arial" w:hAnsi="Arial" w:cs="Arial"/>
                <w:sz w:val="24"/>
                <w:lang w:bidi="hi-IN"/>
              </w:rPr>
            </w:pPr>
          </w:p>
        </w:tc>
      </w:tr>
      <w:tr w:rsidR="00712828" w:rsidRPr="00E5405C" w:rsidTr="00E5405C">
        <w:tc>
          <w:tcPr>
            <w:tcW w:w="4503" w:type="dxa"/>
            <w:shd w:val="clear" w:color="auto" w:fill="E6EED5"/>
          </w:tcPr>
          <w:p w:rsidR="00712828" w:rsidRPr="00E5405C" w:rsidRDefault="00712828" w:rsidP="00E5405C">
            <w:pPr>
              <w:spacing w:after="0" w:line="240" w:lineRule="auto"/>
              <w:rPr>
                <w:rFonts w:ascii="Arial" w:hAnsi="Arial" w:cs="Arial"/>
                <w:b/>
                <w:bCs/>
                <w:sz w:val="24"/>
                <w:lang w:bidi="hi-IN"/>
              </w:rPr>
            </w:pPr>
            <w:r w:rsidRPr="00E5405C">
              <w:rPr>
                <w:rFonts w:ascii="Arial" w:hAnsi="Arial" w:cs="Arial"/>
                <w:b/>
                <w:bCs/>
                <w:sz w:val="24"/>
                <w:lang w:bidi="hi-IN"/>
              </w:rPr>
              <w:t xml:space="preserve">Employers must consult with appropriate employee representatives </w:t>
            </w:r>
          </w:p>
        </w:tc>
        <w:tc>
          <w:tcPr>
            <w:tcW w:w="4819" w:type="dxa"/>
            <w:shd w:val="clear" w:color="auto" w:fill="E6EED5"/>
          </w:tcPr>
          <w:p w:rsidR="00712828" w:rsidRPr="00E5405C" w:rsidRDefault="00712828" w:rsidP="00E5405C">
            <w:pPr>
              <w:spacing w:after="0" w:line="240" w:lineRule="auto"/>
              <w:rPr>
                <w:rFonts w:ascii="Arial" w:hAnsi="Arial" w:cs="Arial"/>
                <w:sz w:val="24"/>
                <w:lang w:bidi="hi-IN"/>
              </w:rPr>
            </w:pPr>
            <w:r w:rsidRPr="00E5405C">
              <w:rPr>
                <w:rFonts w:ascii="Arial" w:hAnsi="Arial" w:cs="Arial"/>
                <w:sz w:val="24"/>
                <w:lang w:bidi="hi-IN"/>
              </w:rPr>
              <w:t>Where there is an employer recognised trade union consultation must occur with trade union representatives. Otherwise, if no union is recognised, with the elected or appointed employee representatives who have authority from those employees to receive information and to be consulted about the proposed dismissals on their behalf.</w:t>
            </w:r>
          </w:p>
          <w:p w:rsidR="00712828" w:rsidRPr="00E5405C" w:rsidRDefault="00712828" w:rsidP="00E5405C">
            <w:pPr>
              <w:spacing w:after="0" w:line="240" w:lineRule="auto"/>
              <w:rPr>
                <w:rFonts w:ascii="Arial" w:hAnsi="Arial" w:cs="Arial"/>
                <w:sz w:val="24"/>
                <w:lang w:bidi="hi-IN"/>
              </w:rPr>
            </w:pPr>
          </w:p>
        </w:tc>
      </w:tr>
      <w:tr w:rsidR="00712828" w:rsidRPr="00E5405C" w:rsidTr="00E5405C">
        <w:tc>
          <w:tcPr>
            <w:tcW w:w="4503" w:type="dxa"/>
          </w:tcPr>
          <w:p w:rsidR="00712828" w:rsidRPr="00E5405C" w:rsidRDefault="00712828" w:rsidP="00E5405C">
            <w:pPr>
              <w:spacing w:after="0" w:line="240" w:lineRule="auto"/>
              <w:rPr>
                <w:rFonts w:ascii="Arial" w:hAnsi="Arial" w:cs="Arial"/>
                <w:b/>
                <w:bCs/>
                <w:sz w:val="24"/>
                <w:lang w:bidi="hi-IN"/>
              </w:rPr>
            </w:pPr>
            <w:r w:rsidRPr="00E5405C">
              <w:rPr>
                <w:rFonts w:ascii="Arial" w:hAnsi="Arial" w:cs="Arial"/>
                <w:b/>
                <w:bCs/>
                <w:sz w:val="24"/>
                <w:lang w:bidi="hi-IN"/>
              </w:rPr>
              <w:t>There are certain topics consultation must cover</w:t>
            </w:r>
          </w:p>
        </w:tc>
        <w:tc>
          <w:tcPr>
            <w:tcW w:w="4819" w:type="dxa"/>
          </w:tcPr>
          <w:p w:rsidR="00712828" w:rsidRPr="00E5405C" w:rsidRDefault="00712828" w:rsidP="00E5405C">
            <w:pPr>
              <w:spacing w:after="0" w:line="240" w:lineRule="auto"/>
              <w:rPr>
                <w:rFonts w:ascii="Arial" w:hAnsi="Arial" w:cs="Arial"/>
                <w:sz w:val="24"/>
                <w:lang w:bidi="hi-IN"/>
              </w:rPr>
            </w:pPr>
            <w:r w:rsidRPr="00E5405C">
              <w:rPr>
                <w:rFonts w:ascii="Arial" w:hAnsi="Arial" w:cs="Arial"/>
                <w:sz w:val="24"/>
                <w:lang w:bidi="hi-IN"/>
              </w:rPr>
              <w:t>This includes: avoiding the dismissals, reducing the numbers of employees to be dismissed, and mitigating the consequences of the dismissals. Consultation should be undertaken with a view to reaching agreement on these issues.</w:t>
            </w:r>
          </w:p>
          <w:p w:rsidR="00712828" w:rsidRPr="00E5405C" w:rsidRDefault="00712828" w:rsidP="00E5405C">
            <w:pPr>
              <w:spacing w:after="0" w:line="240" w:lineRule="auto"/>
              <w:rPr>
                <w:rFonts w:ascii="Arial" w:hAnsi="Arial" w:cs="Arial"/>
                <w:sz w:val="24"/>
                <w:lang w:bidi="hi-IN"/>
              </w:rPr>
            </w:pPr>
          </w:p>
        </w:tc>
      </w:tr>
      <w:tr w:rsidR="00712828" w:rsidRPr="00E5405C" w:rsidTr="00E5405C">
        <w:tc>
          <w:tcPr>
            <w:tcW w:w="4503" w:type="dxa"/>
            <w:shd w:val="clear" w:color="auto" w:fill="E6EED5"/>
          </w:tcPr>
          <w:p w:rsidR="00712828" w:rsidRPr="00E5405C" w:rsidRDefault="00712828" w:rsidP="00E5405C">
            <w:pPr>
              <w:spacing w:after="0" w:line="240" w:lineRule="auto"/>
              <w:rPr>
                <w:rFonts w:ascii="Arial" w:hAnsi="Arial" w:cs="Arial"/>
                <w:b/>
                <w:bCs/>
                <w:sz w:val="24"/>
                <w:lang w:bidi="hi-IN"/>
              </w:rPr>
            </w:pPr>
            <w:r w:rsidRPr="00E5405C">
              <w:rPr>
                <w:rFonts w:ascii="Arial" w:hAnsi="Arial" w:cs="Arial"/>
                <w:b/>
                <w:bCs/>
                <w:sz w:val="24"/>
                <w:lang w:bidi="hi-IN"/>
              </w:rPr>
              <w:t>There is certain information employers must provide to employee representatives in writing</w:t>
            </w:r>
          </w:p>
        </w:tc>
        <w:tc>
          <w:tcPr>
            <w:tcW w:w="4819" w:type="dxa"/>
            <w:shd w:val="clear" w:color="auto" w:fill="E6EED5"/>
          </w:tcPr>
          <w:p w:rsidR="00712828" w:rsidRPr="00E5405C" w:rsidRDefault="00712828" w:rsidP="00E5405C">
            <w:pPr>
              <w:spacing w:after="180" w:line="240" w:lineRule="auto"/>
              <w:rPr>
                <w:rFonts w:ascii="Arial" w:hAnsi="Arial" w:cs="Arial"/>
                <w:sz w:val="24"/>
                <w:lang w:bidi="hi-IN"/>
              </w:rPr>
            </w:pPr>
            <w:r w:rsidRPr="00E5405C">
              <w:rPr>
                <w:rFonts w:ascii="Arial" w:hAnsi="Arial" w:cs="Arial"/>
                <w:color w:val="000000"/>
                <w:sz w:val="24"/>
                <w:lang w:bidi="hi-IN"/>
              </w:rPr>
              <w:t>Including: the reasons for the proposals; the numbers and descriptions of employees whom it is proposed to dismiss as redundant; the total number of employees of any such description employed by the employer at the establishment; the proposed method of selecting the employees who may be dismissed; the proposed method of carrying out the dismissals, including the period over which the dismissals are to take effect; and the proposed method of calculating the amount of any redundancy payments to be made</w:t>
            </w:r>
          </w:p>
        </w:tc>
      </w:tr>
      <w:tr w:rsidR="00712828" w:rsidRPr="00E5405C" w:rsidTr="00E5405C">
        <w:tc>
          <w:tcPr>
            <w:tcW w:w="4503" w:type="dxa"/>
          </w:tcPr>
          <w:p w:rsidR="00712828" w:rsidRPr="00E5405C" w:rsidRDefault="00712828" w:rsidP="00E5405C">
            <w:pPr>
              <w:spacing w:after="0" w:line="240" w:lineRule="auto"/>
              <w:rPr>
                <w:rFonts w:ascii="Arial" w:hAnsi="Arial" w:cs="Arial"/>
                <w:b/>
                <w:bCs/>
                <w:sz w:val="24"/>
                <w:lang w:bidi="hi-IN"/>
              </w:rPr>
            </w:pPr>
            <w:r w:rsidRPr="00E5405C">
              <w:rPr>
                <w:rFonts w:ascii="Arial" w:hAnsi="Arial" w:cs="Arial"/>
                <w:b/>
                <w:bCs/>
                <w:sz w:val="24"/>
                <w:lang w:bidi="hi-IN"/>
              </w:rPr>
              <w:t xml:space="preserve">Mitigating circumstances </w:t>
            </w:r>
          </w:p>
        </w:tc>
        <w:tc>
          <w:tcPr>
            <w:tcW w:w="4819" w:type="dxa"/>
          </w:tcPr>
          <w:p w:rsidR="00712828" w:rsidRPr="00E5405C" w:rsidRDefault="00712828" w:rsidP="00E5405C">
            <w:pPr>
              <w:pStyle w:val="ListParagraph"/>
              <w:spacing w:after="0" w:line="240" w:lineRule="auto"/>
              <w:ind w:left="0"/>
              <w:rPr>
                <w:rFonts w:ascii="Arial" w:hAnsi="Arial" w:cs="Arial"/>
                <w:color w:val="000000"/>
                <w:sz w:val="24"/>
                <w:lang w:bidi="hi-IN"/>
              </w:rPr>
            </w:pPr>
            <w:r w:rsidRPr="00E5405C">
              <w:rPr>
                <w:rFonts w:ascii="Arial" w:hAnsi="Arial" w:cs="Arial"/>
                <w:color w:val="000000"/>
                <w:sz w:val="24"/>
                <w:lang w:bidi="hi-IN"/>
              </w:rPr>
              <w:t>If in any case there are special circumstances rendering it not reasonably practicable for the employer to comply with any of the above requirements they shall take all such steps towards compliance with that requirement as are reasonably practicable in the circumstances.</w:t>
            </w:r>
          </w:p>
          <w:p w:rsidR="00712828" w:rsidRPr="00E5405C" w:rsidRDefault="00712828" w:rsidP="00E5405C">
            <w:pPr>
              <w:pStyle w:val="ListParagraph"/>
              <w:spacing w:after="0" w:line="240" w:lineRule="auto"/>
              <w:ind w:left="0"/>
              <w:rPr>
                <w:rFonts w:ascii="Arial" w:hAnsi="Arial" w:cs="Arial"/>
                <w:color w:val="000000"/>
                <w:sz w:val="24"/>
                <w:lang w:bidi="hi-IN"/>
              </w:rPr>
            </w:pPr>
            <w:r w:rsidRPr="00E5405C">
              <w:rPr>
                <w:rFonts w:ascii="Arial" w:hAnsi="Arial" w:cs="Arial"/>
                <w:color w:val="000000"/>
                <w:sz w:val="24"/>
                <w:lang w:bidi="hi-IN"/>
              </w:rPr>
              <w:t>Insolvency in itself has been determined by case law not to be such a special circumstance, but it may be, in an individual case, that there are other circumstances that make it not reasonably practical to comply during an insolvency.</w:t>
            </w:r>
          </w:p>
        </w:tc>
      </w:tr>
      <w:tr w:rsidR="00712828" w:rsidRPr="00E5405C" w:rsidTr="00E5405C">
        <w:tc>
          <w:tcPr>
            <w:tcW w:w="4503" w:type="dxa"/>
            <w:shd w:val="clear" w:color="auto" w:fill="E6EED5"/>
          </w:tcPr>
          <w:p w:rsidR="00712828" w:rsidRPr="00E5405C" w:rsidRDefault="00712828" w:rsidP="00E5405C">
            <w:pPr>
              <w:spacing w:after="0" w:line="240" w:lineRule="auto"/>
              <w:rPr>
                <w:rFonts w:ascii="Arial" w:hAnsi="Arial" w:cs="Arial"/>
                <w:b/>
                <w:bCs/>
                <w:sz w:val="24"/>
                <w:lang w:bidi="hi-IN"/>
              </w:rPr>
            </w:pPr>
            <w:r w:rsidRPr="00E5405C">
              <w:rPr>
                <w:rFonts w:ascii="Arial" w:hAnsi="Arial" w:cs="Arial"/>
                <w:b/>
                <w:bCs/>
                <w:sz w:val="24"/>
                <w:lang w:bidi="hi-IN"/>
              </w:rPr>
              <w:t>Protective Awards</w:t>
            </w:r>
          </w:p>
        </w:tc>
        <w:tc>
          <w:tcPr>
            <w:tcW w:w="4819" w:type="dxa"/>
            <w:shd w:val="clear" w:color="auto" w:fill="E6EED5"/>
          </w:tcPr>
          <w:p w:rsidR="00712828" w:rsidRPr="00E5405C" w:rsidRDefault="00712828" w:rsidP="00E5405C">
            <w:pPr>
              <w:pStyle w:val="ListParagraph"/>
              <w:spacing w:after="0" w:line="240" w:lineRule="auto"/>
              <w:ind w:left="33"/>
              <w:rPr>
                <w:rFonts w:ascii="Arial" w:hAnsi="Arial" w:cs="Arial"/>
                <w:color w:val="000000"/>
                <w:sz w:val="24"/>
                <w:lang w:bidi="hi-IN"/>
              </w:rPr>
            </w:pPr>
            <w:r w:rsidRPr="00E5405C">
              <w:rPr>
                <w:rFonts w:ascii="Arial" w:hAnsi="Arial" w:cs="Arial"/>
                <w:color w:val="000000"/>
                <w:sz w:val="24"/>
                <w:lang w:bidi="hi-IN"/>
              </w:rPr>
              <w:t>When an employer fails to adequately consult they are liable to pay a Protective Award up to a value of 90 days pay per employee, dependent upon the seriousness of the employer’s default in complying with the legislation.</w:t>
            </w:r>
          </w:p>
          <w:p w:rsidR="00712828" w:rsidRPr="00E5405C" w:rsidRDefault="00712828" w:rsidP="00E5405C">
            <w:pPr>
              <w:pStyle w:val="ListParagraph"/>
              <w:spacing w:after="0" w:line="240" w:lineRule="auto"/>
              <w:ind w:left="33"/>
              <w:rPr>
                <w:rFonts w:ascii="Arial" w:hAnsi="Arial" w:cs="Arial"/>
                <w:color w:val="000000"/>
                <w:sz w:val="24"/>
                <w:lang w:bidi="hi-IN"/>
              </w:rPr>
            </w:pPr>
          </w:p>
          <w:p w:rsidR="00712828" w:rsidRPr="00E5405C" w:rsidRDefault="00712828" w:rsidP="00E5405C">
            <w:pPr>
              <w:pStyle w:val="ListParagraph"/>
              <w:spacing w:after="0" w:line="240" w:lineRule="auto"/>
              <w:ind w:left="33"/>
              <w:rPr>
                <w:rFonts w:ascii="Arial" w:hAnsi="Arial" w:cs="Arial"/>
                <w:color w:val="000000"/>
                <w:sz w:val="24"/>
                <w:lang w:bidi="hi-IN"/>
              </w:rPr>
            </w:pPr>
            <w:r w:rsidRPr="00E5405C">
              <w:rPr>
                <w:rFonts w:ascii="Arial" w:hAnsi="Arial" w:cs="Arial"/>
                <w:color w:val="000000"/>
                <w:sz w:val="24"/>
                <w:lang w:bidi="hi-IN"/>
              </w:rPr>
              <w:t xml:space="preserve">In the case of an insolvent company, sums under a Protective Award may be recoverable as arrears of pay from the National Insurance Fund, subject to statutory caps. </w:t>
            </w:r>
          </w:p>
          <w:p w:rsidR="00712828" w:rsidRPr="00E5405C" w:rsidRDefault="00712828" w:rsidP="00E5405C">
            <w:pPr>
              <w:spacing w:after="0" w:line="240" w:lineRule="auto"/>
              <w:rPr>
                <w:rFonts w:ascii="Arial" w:hAnsi="Arial" w:cs="Arial"/>
                <w:color w:val="000000"/>
                <w:sz w:val="24"/>
                <w:lang w:bidi="hi-IN"/>
              </w:rPr>
            </w:pPr>
          </w:p>
        </w:tc>
      </w:tr>
    </w:tbl>
    <w:p w:rsidR="00712828" w:rsidRPr="007C41A6" w:rsidRDefault="00712828" w:rsidP="003D7035">
      <w:pPr>
        <w:rPr>
          <w:rFonts w:ascii="Arial" w:hAnsi="Arial" w:cs="Arial"/>
          <w:lang w:eastAsia="en-GB"/>
        </w:rPr>
      </w:pPr>
      <w:r w:rsidRPr="007C41A6">
        <w:rPr>
          <w:rFonts w:ascii="Arial" w:hAnsi="Arial" w:cs="Arial"/>
          <w:lang w:eastAsia="en-GB"/>
        </w:rPr>
        <w:t xml:space="preserve"> </w:t>
      </w:r>
    </w:p>
    <w:p w:rsidR="00712828" w:rsidRPr="007C41A6" w:rsidRDefault="00712828" w:rsidP="00FF3FB6">
      <w:pPr>
        <w:rPr>
          <w:rFonts w:ascii="Arial" w:hAnsi="Arial" w:cs="Arial"/>
        </w:rPr>
      </w:pPr>
    </w:p>
    <w:p w:rsidR="00712828" w:rsidRPr="007C41A6" w:rsidRDefault="00712828" w:rsidP="00D82C5B">
      <w:pPr>
        <w:pStyle w:val="Heading2"/>
        <w:rPr>
          <w:rFonts w:ascii="Arial" w:hAnsi="Arial" w:cs="Arial"/>
        </w:rPr>
      </w:pPr>
      <w:bookmarkStart w:id="6" w:name="_Toc412452359"/>
      <w:r w:rsidRPr="007C41A6">
        <w:rPr>
          <w:rFonts w:ascii="Arial" w:hAnsi="Arial" w:cs="Arial"/>
        </w:rPr>
        <w:t>1.2. Our Work So Far</w:t>
      </w:r>
      <w:bookmarkEnd w:id="6"/>
    </w:p>
    <w:p w:rsidR="00712828" w:rsidRPr="007C41A6" w:rsidRDefault="00712828" w:rsidP="001036F5">
      <w:pPr>
        <w:rPr>
          <w:rFonts w:ascii="Arial" w:hAnsi="Arial" w:cs="Arial"/>
          <w:lang w:eastAsia="en-GB"/>
        </w:rPr>
      </w:pPr>
      <w:r w:rsidRPr="007C41A6">
        <w:rPr>
          <w:rFonts w:ascii="Arial" w:hAnsi="Arial" w:cs="Arial"/>
          <w:lang w:eastAsia="en-GB"/>
        </w:rPr>
        <w:t xml:space="preserve">The Government has worked to ensure that the duty and benefits of consulting and notifying the Secretary of State are well understood. Our work so far has included: </w:t>
      </w:r>
    </w:p>
    <w:p w:rsidR="00712828" w:rsidRPr="007C41A6" w:rsidRDefault="00712828" w:rsidP="00DE31C5">
      <w:pPr>
        <w:pStyle w:val="ListParagraph"/>
        <w:numPr>
          <w:ilvl w:val="0"/>
          <w:numId w:val="4"/>
        </w:numPr>
        <w:rPr>
          <w:rFonts w:ascii="Arial" w:hAnsi="Arial" w:cs="Arial"/>
          <w:lang w:eastAsia="en-GB"/>
        </w:rPr>
      </w:pPr>
      <w:r w:rsidRPr="007C41A6">
        <w:rPr>
          <w:rFonts w:ascii="Arial" w:hAnsi="Arial" w:cs="Arial"/>
          <w:lang w:eastAsia="en-GB"/>
        </w:rPr>
        <w:t>Issuing a number of articles in the publication for insolvency practitioners Dear IP</w:t>
      </w:r>
      <w:r w:rsidRPr="007C41A6">
        <w:rPr>
          <w:rStyle w:val="FootnoteReference"/>
          <w:rFonts w:ascii="Arial" w:hAnsi="Arial" w:cs="Arial"/>
          <w:lang w:eastAsia="en-GB"/>
        </w:rPr>
        <w:footnoteReference w:id="2"/>
      </w:r>
      <w:r w:rsidRPr="007C41A6">
        <w:rPr>
          <w:rFonts w:ascii="Arial" w:hAnsi="Arial" w:cs="Arial"/>
          <w:lang w:eastAsia="en-GB"/>
        </w:rPr>
        <w:t xml:space="preserve"> </w:t>
      </w:r>
    </w:p>
    <w:p w:rsidR="00712828" w:rsidRPr="007C41A6" w:rsidRDefault="00712828" w:rsidP="00246EBA">
      <w:pPr>
        <w:pStyle w:val="ListParagraph"/>
        <w:numPr>
          <w:ilvl w:val="0"/>
          <w:numId w:val="4"/>
        </w:numPr>
        <w:rPr>
          <w:rFonts w:ascii="Arial" w:hAnsi="Arial" w:cs="Arial"/>
          <w:lang w:eastAsia="en-GB"/>
        </w:rPr>
      </w:pPr>
      <w:r w:rsidRPr="007C41A6">
        <w:rPr>
          <w:rFonts w:ascii="Arial" w:hAnsi="Arial" w:cs="Arial"/>
          <w:lang w:eastAsia="en-GB"/>
        </w:rPr>
        <w:t>Signing a Memorandum of Understanding between the insolvency practitioner trade body R3, the Insolvency Service and Job Centre Plus (May 2011)</w:t>
      </w:r>
      <w:r w:rsidRPr="007C41A6">
        <w:rPr>
          <w:rStyle w:val="FootnoteReference"/>
          <w:rFonts w:ascii="Arial" w:hAnsi="Arial" w:cs="Arial"/>
          <w:lang w:eastAsia="en-GB"/>
        </w:rPr>
        <w:footnoteReference w:id="3"/>
      </w:r>
      <w:r w:rsidRPr="007C41A6">
        <w:rPr>
          <w:rFonts w:ascii="Arial" w:hAnsi="Arial" w:cs="Arial"/>
          <w:lang w:eastAsia="en-GB"/>
        </w:rPr>
        <w:t xml:space="preserve">, to ensure that Job Centre Plus can receive early confidential warning of insolvencies, and be ready to support employees under threat of redundancy </w:t>
      </w:r>
    </w:p>
    <w:p w:rsidR="00712828" w:rsidRPr="007C41A6" w:rsidRDefault="00712828" w:rsidP="00DE31C5">
      <w:pPr>
        <w:pStyle w:val="ListParagraph"/>
        <w:numPr>
          <w:ilvl w:val="0"/>
          <w:numId w:val="4"/>
        </w:numPr>
        <w:rPr>
          <w:rFonts w:ascii="Arial" w:hAnsi="Arial" w:cs="Arial"/>
          <w:lang w:eastAsia="en-GB"/>
        </w:rPr>
      </w:pPr>
      <w:r w:rsidRPr="007C41A6">
        <w:rPr>
          <w:rFonts w:ascii="Arial" w:hAnsi="Arial" w:cs="Arial"/>
          <w:lang w:eastAsia="en-GB"/>
        </w:rPr>
        <w:t>The Department for Business, Innovation and Skills’ call for evidence (November 2011)</w:t>
      </w:r>
      <w:r w:rsidRPr="007C41A6">
        <w:rPr>
          <w:rStyle w:val="FootnoteReference"/>
          <w:rFonts w:ascii="Arial" w:hAnsi="Arial" w:cs="Arial"/>
          <w:lang w:eastAsia="en-GB"/>
        </w:rPr>
        <w:footnoteReference w:id="4"/>
      </w:r>
      <w:r w:rsidRPr="007C41A6">
        <w:rPr>
          <w:rFonts w:ascii="Arial" w:hAnsi="Arial" w:cs="Arial"/>
          <w:lang w:eastAsia="en-GB"/>
        </w:rPr>
        <w:t>, consultation (June 2012) and published response (December 2012)</w:t>
      </w:r>
      <w:r w:rsidRPr="007C41A6">
        <w:rPr>
          <w:rStyle w:val="FootnoteReference"/>
          <w:rFonts w:ascii="Arial" w:hAnsi="Arial" w:cs="Arial"/>
          <w:lang w:eastAsia="en-GB"/>
        </w:rPr>
        <w:footnoteReference w:id="5"/>
      </w:r>
      <w:r w:rsidRPr="007C41A6">
        <w:rPr>
          <w:rFonts w:ascii="Arial" w:hAnsi="Arial" w:cs="Arial"/>
          <w:lang w:eastAsia="en-GB"/>
        </w:rPr>
        <w:t xml:space="preserve">  </w:t>
      </w:r>
    </w:p>
    <w:p w:rsidR="00712828" w:rsidRPr="007C41A6" w:rsidRDefault="00712828" w:rsidP="00DE31C5">
      <w:pPr>
        <w:pStyle w:val="ListParagraph"/>
        <w:numPr>
          <w:ilvl w:val="0"/>
          <w:numId w:val="4"/>
        </w:numPr>
        <w:rPr>
          <w:rFonts w:ascii="Arial" w:hAnsi="Arial" w:cs="Arial"/>
          <w:lang w:eastAsia="en-GB"/>
        </w:rPr>
      </w:pPr>
      <w:r w:rsidRPr="007C41A6">
        <w:rPr>
          <w:rFonts w:ascii="Arial" w:hAnsi="Arial" w:cs="Arial"/>
          <w:lang w:eastAsia="en-GB"/>
        </w:rPr>
        <w:t xml:space="preserve">Publishing ACAS guidance on </w:t>
      </w:r>
      <w:r w:rsidRPr="007C41A6">
        <w:rPr>
          <w:rFonts w:ascii="Arial" w:hAnsi="Arial" w:cs="Arial"/>
          <w:i/>
          <w:lang w:eastAsia="en-GB"/>
        </w:rPr>
        <w:t xml:space="preserve">Handling Large Scale Collective Redundancies, </w:t>
      </w:r>
      <w:r w:rsidRPr="007C41A6">
        <w:rPr>
          <w:rFonts w:ascii="Arial" w:hAnsi="Arial" w:cs="Arial"/>
          <w:lang w:eastAsia="en-GB"/>
        </w:rPr>
        <w:t xml:space="preserve"> (April 2013)</w:t>
      </w:r>
      <w:r w:rsidRPr="007C41A6">
        <w:rPr>
          <w:rStyle w:val="FootnoteReference"/>
          <w:rFonts w:ascii="Arial" w:hAnsi="Arial" w:cs="Arial"/>
          <w:lang w:eastAsia="en-GB"/>
        </w:rPr>
        <w:footnoteReference w:id="6"/>
      </w:r>
    </w:p>
    <w:p w:rsidR="00712828" w:rsidRPr="007C41A6" w:rsidRDefault="00712828" w:rsidP="00E9622B">
      <w:pPr>
        <w:rPr>
          <w:rFonts w:ascii="Arial" w:hAnsi="Arial" w:cs="Arial"/>
          <w:lang w:eastAsia="en-GB"/>
        </w:rPr>
      </w:pPr>
      <w:r w:rsidRPr="007C41A6">
        <w:rPr>
          <w:rFonts w:ascii="Arial" w:hAnsi="Arial" w:cs="Arial"/>
          <w:lang w:eastAsia="en-GB"/>
        </w:rPr>
        <w:t xml:space="preserve">The outcome of this work means that those concerned should understand the requirements and benefits of consultation. </w:t>
      </w:r>
    </w:p>
    <w:p w:rsidR="00712828" w:rsidRPr="007C41A6" w:rsidRDefault="00712828" w:rsidP="00FF3FB6">
      <w:pPr>
        <w:rPr>
          <w:rFonts w:ascii="Arial" w:hAnsi="Arial" w:cs="Arial"/>
          <w:lang w:eastAsia="en-GB"/>
        </w:rPr>
      </w:pPr>
      <w:r w:rsidRPr="007C41A6">
        <w:rPr>
          <w:rFonts w:ascii="Arial" w:hAnsi="Arial" w:cs="Arial"/>
          <w:lang w:eastAsia="en-GB"/>
        </w:rPr>
        <w:t xml:space="preserve">Recent Employment Tribunal findings however have highlighted that there could be further improvements. In response to this Government held a Ministerial meeting with key stakeholders, (February 2015), as we want to explore in more detail, the specific impact the circumstances of facing insolvency, or being insolvent, has on effective consultation. We are looking at this in more detail because during this period of time consultation may become complicated, but it remains important.  Also, at this time the duty to consult is handed over from director to insolvency practitioner and we wish to understand this process and the role that the different key players perform. </w:t>
      </w:r>
    </w:p>
    <w:p w:rsidR="00712828" w:rsidRPr="007C41A6" w:rsidRDefault="00712828" w:rsidP="00FF3FB6">
      <w:pPr>
        <w:rPr>
          <w:rFonts w:ascii="Arial" w:hAnsi="Arial" w:cs="Arial"/>
          <w:lang w:eastAsia="en-GB"/>
        </w:rPr>
      </w:pPr>
    </w:p>
    <w:p w:rsidR="00712828" w:rsidRPr="007C41A6" w:rsidRDefault="00712828" w:rsidP="00D82C5B">
      <w:pPr>
        <w:pStyle w:val="Heading2"/>
        <w:rPr>
          <w:rFonts w:ascii="Arial" w:hAnsi="Arial" w:cs="Arial"/>
        </w:rPr>
      </w:pPr>
      <w:bookmarkStart w:id="7" w:name="_Toc412452360"/>
      <w:r w:rsidRPr="007C41A6">
        <w:rPr>
          <w:rFonts w:ascii="Arial" w:hAnsi="Arial" w:cs="Arial"/>
        </w:rPr>
        <w:t>1.3. What we are seeking to do now</w:t>
      </w:r>
      <w:bookmarkEnd w:id="7"/>
    </w:p>
    <w:p w:rsidR="00712828" w:rsidRPr="007C41A6" w:rsidRDefault="00712828" w:rsidP="003A42FE">
      <w:pPr>
        <w:rPr>
          <w:rFonts w:ascii="Arial" w:hAnsi="Arial" w:cs="Arial"/>
          <w:lang w:eastAsia="en-GB"/>
        </w:rPr>
      </w:pPr>
      <w:r w:rsidRPr="007C41A6">
        <w:rPr>
          <w:rFonts w:ascii="Arial" w:hAnsi="Arial" w:cs="Arial"/>
          <w:lang w:eastAsia="en-GB"/>
        </w:rPr>
        <w:t xml:space="preserve">We are now taking a closer look at; how consultation works where employers are facing insolvency, or have become insolvent, examples of good practice and we are inviting suggestions for improvement. The responses to this call for evidence will then be considered as to whether or not any policy changes are necessary. </w:t>
      </w:r>
    </w:p>
    <w:p w:rsidR="00712828" w:rsidRPr="00ED25BF" w:rsidRDefault="00712828" w:rsidP="00ED25BF">
      <w:pPr>
        <w:pStyle w:val="Title"/>
        <w:rPr>
          <w:rFonts w:ascii="Arial" w:hAnsi="Arial" w:cs="Arial"/>
        </w:rPr>
      </w:pPr>
      <w:r w:rsidRPr="007C41A6">
        <w:br w:type="page"/>
      </w:r>
      <w:bookmarkStart w:id="8" w:name="_Toc412452361"/>
      <w:r w:rsidRPr="00ED25BF">
        <w:rPr>
          <w:rFonts w:ascii="Arial" w:hAnsi="Arial" w:cs="Arial"/>
        </w:rPr>
        <w:t>2. Areas for Consideration</w:t>
      </w:r>
      <w:bookmarkEnd w:id="8"/>
      <w:r w:rsidRPr="00ED25BF">
        <w:rPr>
          <w:rFonts w:ascii="Arial" w:hAnsi="Arial" w:cs="Arial"/>
        </w:rPr>
        <w:t xml:space="preserve"> </w:t>
      </w:r>
    </w:p>
    <w:p w:rsidR="00712828" w:rsidRPr="007C41A6" w:rsidRDefault="00712828" w:rsidP="00D82C5B">
      <w:pPr>
        <w:pStyle w:val="Heading2"/>
        <w:rPr>
          <w:rFonts w:ascii="Arial" w:hAnsi="Arial" w:cs="Arial"/>
        </w:rPr>
      </w:pPr>
      <w:bookmarkStart w:id="9" w:name="_Toc412452362"/>
      <w:r w:rsidRPr="007C41A6">
        <w:rPr>
          <w:rFonts w:ascii="Arial" w:hAnsi="Arial" w:cs="Arial"/>
        </w:rPr>
        <w:t>2.1. Employers’ Understanding</w:t>
      </w:r>
      <w:bookmarkEnd w:id="9"/>
      <w:r w:rsidRPr="007C41A6">
        <w:rPr>
          <w:rFonts w:ascii="Arial" w:hAnsi="Arial" w:cs="Arial"/>
        </w:rPr>
        <w:t xml:space="preserve"> </w:t>
      </w:r>
    </w:p>
    <w:p w:rsidR="00712828" w:rsidRDefault="00712828" w:rsidP="0030568F">
      <w:pPr>
        <w:rPr>
          <w:rFonts w:ascii="Arial" w:hAnsi="Arial" w:cs="Arial"/>
          <w:lang w:eastAsia="en-GB"/>
        </w:rPr>
      </w:pPr>
      <w:r>
        <w:rPr>
          <w:rFonts w:ascii="Arial" w:hAnsi="Arial" w:cs="Arial"/>
          <w:b/>
          <w:lang w:eastAsia="en-GB"/>
        </w:rPr>
        <w:t xml:space="preserve">Definition: </w:t>
      </w:r>
      <w:r w:rsidRPr="007C41A6">
        <w:rPr>
          <w:rFonts w:ascii="Arial" w:hAnsi="Arial" w:cs="Arial"/>
          <w:b/>
          <w:lang w:eastAsia="en-GB"/>
        </w:rPr>
        <w:t>Employer should be considered throughout Areas for Consideration to refer to both directors in the lead up to formal insolvency and insolvency practitioners where formal insolvency has been entered into.  Please make clear where your answers spec</w:t>
      </w:r>
      <w:r>
        <w:rPr>
          <w:rFonts w:ascii="Arial" w:hAnsi="Arial" w:cs="Arial"/>
          <w:b/>
          <w:lang w:eastAsia="en-GB"/>
        </w:rPr>
        <w:t>ifically refer to directors or insolvency p</w:t>
      </w:r>
      <w:r w:rsidRPr="007C41A6">
        <w:rPr>
          <w:rFonts w:ascii="Arial" w:hAnsi="Arial" w:cs="Arial"/>
          <w:b/>
          <w:lang w:eastAsia="en-GB"/>
        </w:rPr>
        <w:t>ractitioners as the case may be.</w:t>
      </w:r>
    </w:p>
    <w:p w:rsidR="00712828" w:rsidRDefault="00712828" w:rsidP="0030568F">
      <w:pPr>
        <w:rPr>
          <w:rFonts w:ascii="Arial" w:hAnsi="Arial" w:cs="Arial"/>
          <w:lang w:eastAsia="en-GB"/>
        </w:rPr>
      </w:pPr>
      <w:r w:rsidRPr="007C41A6">
        <w:rPr>
          <w:rFonts w:ascii="Arial" w:hAnsi="Arial" w:cs="Arial"/>
          <w:lang w:eastAsia="en-GB"/>
        </w:rPr>
        <w:t>We would like to better understand how employers who are facing insolvency, or are insolvent</w:t>
      </w:r>
      <w:r>
        <w:rPr>
          <w:rFonts w:ascii="Arial" w:hAnsi="Arial" w:cs="Arial"/>
          <w:lang w:eastAsia="en-GB"/>
        </w:rPr>
        <w:t xml:space="preserve"> and insolvency practitioners</w:t>
      </w:r>
      <w:r w:rsidRPr="007C41A6">
        <w:rPr>
          <w:rFonts w:ascii="Arial" w:hAnsi="Arial" w:cs="Arial"/>
          <w:lang w:eastAsia="en-GB"/>
        </w:rPr>
        <w:t xml:space="preserve"> understand the requirements to consult with employees and notify the Secretary of State where they are proposing collective redundancy. We would also like to build a clear picture of how this understanding is implemented in practice and to have your views on the purpose and benefits of consultation. </w:t>
      </w:r>
    </w:p>
    <w:p w:rsidR="00712828" w:rsidRPr="007C41A6" w:rsidRDefault="00712828" w:rsidP="0030568F">
      <w:pPr>
        <w:rPr>
          <w:rFonts w:ascii="Arial" w:hAnsi="Arial" w:cs="Arial"/>
          <w:b/>
          <w:lang w:eastAsia="en-GB"/>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tblPr>
      <w:tblGrid>
        <w:gridCol w:w="9242"/>
      </w:tblGrid>
      <w:tr w:rsidR="00712828" w:rsidRPr="00E5405C" w:rsidTr="00E5405C">
        <w:tc>
          <w:tcPr>
            <w:tcW w:w="9242" w:type="dxa"/>
            <w:tcBorders>
              <w:bottom w:val="single" w:sz="18" w:space="0" w:color="9BBB59"/>
            </w:tcBorders>
          </w:tcPr>
          <w:p w:rsidR="00712828" w:rsidRPr="00E5405C" w:rsidRDefault="00712828" w:rsidP="00E5405C">
            <w:pPr>
              <w:spacing w:after="0" w:line="240" w:lineRule="auto"/>
              <w:rPr>
                <w:rFonts w:ascii="Arial" w:hAnsi="Arial" w:cs="Arial"/>
                <w:b/>
                <w:bCs/>
                <w:sz w:val="24"/>
                <w:lang w:eastAsia="en-GB"/>
              </w:rPr>
            </w:pPr>
            <w:r w:rsidRPr="00E5405C">
              <w:rPr>
                <w:rFonts w:ascii="Arial" w:hAnsi="Arial" w:cs="Arial"/>
                <w:b/>
                <w:bCs/>
                <w:sz w:val="24"/>
                <w:lang w:eastAsia="en-GB"/>
              </w:rPr>
              <w:t xml:space="preserve">Questions </w:t>
            </w:r>
          </w:p>
          <w:p w:rsidR="00712828" w:rsidRPr="00E5405C" w:rsidRDefault="00712828" w:rsidP="00E5405C">
            <w:pPr>
              <w:spacing w:after="0" w:line="240" w:lineRule="auto"/>
              <w:rPr>
                <w:rFonts w:ascii="Arial" w:hAnsi="Arial" w:cs="Arial"/>
                <w:b/>
                <w:bCs/>
                <w:lang w:eastAsia="en-GB"/>
              </w:rPr>
            </w:pPr>
          </w:p>
        </w:tc>
      </w:tr>
      <w:tr w:rsidR="00712828" w:rsidRPr="00E5405C" w:rsidTr="00E5405C">
        <w:tc>
          <w:tcPr>
            <w:tcW w:w="9242" w:type="dxa"/>
            <w:shd w:val="clear" w:color="auto" w:fill="E6EED5"/>
          </w:tcPr>
          <w:p w:rsidR="00712828" w:rsidRPr="00E5405C" w:rsidRDefault="00712828" w:rsidP="00E5405C">
            <w:pPr>
              <w:spacing w:after="0" w:line="240" w:lineRule="auto"/>
              <w:rPr>
                <w:rFonts w:ascii="Arial" w:hAnsi="Arial" w:cs="Arial"/>
                <w:b/>
                <w:bCs/>
                <w:sz w:val="24"/>
                <w:szCs w:val="24"/>
                <w:lang w:eastAsia="en-GB"/>
              </w:rPr>
            </w:pPr>
          </w:p>
          <w:p w:rsidR="00712828" w:rsidRPr="00E5405C" w:rsidRDefault="00712828" w:rsidP="00E5405C">
            <w:pPr>
              <w:spacing w:after="0" w:line="240" w:lineRule="auto"/>
              <w:rPr>
                <w:rFonts w:ascii="Arial" w:hAnsi="Arial" w:cs="Arial"/>
                <w:b/>
                <w:bCs/>
                <w:sz w:val="24"/>
                <w:szCs w:val="24"/>
                <w:lang w:eastAsia="en-GB"/>
              </w:rPr>
            </w:pPr>
            <w:r w:rsidRPr="00E5405C">
              <w:rPr>
                <w:rFonts w:ascii="Arial" w:hAnsi="Arial" w:cs="Arial"/>
                <w:b/>
                <w:bCs/>
                <w:sz w:val="24"/>
                <w:szCs w:val="24"/>
                <w:lang w:eastAsia="en-GB"/>
              </w:rPr>
              <w:t>Current Practices</w:t>
            </w:r>
          </w:p>
          <w:p w:rsidR="00712828" w:rsidRPr="00E5405C" w:rsidRDefault="00712828" w:rsidP="00E5405C">
            <w:pPr>
              <w:pStyle w:val="ListParagraph"/>
              <w:numPr>
                <w:ilvl w:val="0"/>
                <w:numId w:val="6"/>
              </w:numPr>
              <w:spacing w:after="0" w:line="240" w:lineRule="auto"/>
              <w:rPr>
                <w:rFonts w:ascii="Arial" w:hAnsi="Arial" w:cs="Arial"/>
                <w:b/>
                <w:bCs/>
                <w:sz w:val="24"/>
                <w:szCs w:val="24"/>
                <w:lang w:eastAsia="en-GB"/>
              </w:rPr>
            </w:pPr>
            <w:r w:rsidRPr="00E5405C">
              <w:rPr>
                <w:rFonts w:ascii="Arial" w:hAnsi="Arial" w:cs="Arial"/>
                <w:bCs/>
                <w:sz w:val="24"/>
                <w:szCs w:val="24"/>
                <w:lang w:eastAsia="en-GB"/>
              </w:rPr>
              <w:t xml:space="preserve">What are the considerations undertaken when deciding whether or not to start consultation? How is this decided in practice where an employer is facing, or has moved into, insolvency? Please provide examples where possible. </w:t>
            </w:r>
          </w:p>
          <w:p w:rsidR="00712828" w:rsidRPr="00E5405C" w:rsidRDefault="00712828" w:rsidP="00E5405C">
            <w:pPr>
              <w:pStyle w:val="ListParagraph"/>
              <w:spacing w:after="0" w:line="240" w:lineRule="auto"/>
              <w:rPr>
                <w:rFonts w:ascii="Arial" w:hAnsi="Arial" w:cs="Arial"/>
                <w:b/>
                <w:bCs/>
                <w:sz w:val="24"/>
                <w:szCs w:val="24"/>
                <w:lang w:eastAsia="en-GB"/>
              </w:rPr>
            </w:pPr>
          </w:p>
          <w:p w:rsidR="00712828" w:rsidRPr="00E5405C" w:rsidRDefault="00712828" w:rsidP="00E5405C">
            <w:pPr>
              <w:pStyle w:val="ListParagraph"/>
              <w:numPr>
                <w:ilvl w:val="0"/>
                <w:numId w:val="6"/>
              </w:numPr>
              <w:spacing w:after="0" w:line="240" w:lineRule="auto"/>
              <w:rPr>
                <w:rFonts w:ascii="Arial" w:hAnsi="Arial" w:cs="Arial"/>
                <w:b/>
                <w:bCs/>
                <w:sz w:val="24"/>
                <w:szCs w:val="24"/>
                <w:lang w:eastAsia="en-GB"/>
              </w:rPr>
            </w:pPr>
            <w:r w:rsidRPr="00E5405C">
              <w:rPr>
                <w:rFonts w:ascii="Arial" w:hAnsi="Arial" w:cs="Arial"/>
                <w:bCs/>
                <w:sz w:val="24"/>
                <w:szCs w:val="24"/>
                <w:lang w:eastAsia="en-GB"/>
              </w:rPr>
              <w:t xml:space="preserve">How does meaningful consultation with a ‘view to reaching agreement’ work in practice? How does notification work in practice? Please provide examples where possible. </w:t>
            </w:r>
          </w:p>
        </w:tc>
      </w:tr>
      <w:tr w:rsidR="00712828" w:rsidRPr="00E5405C" w:rsidTr="00E5405C">
        <w:tc>
          <w:tcPr>
            <w:tcW w:w="9242" w:type="dxa"/>
          </w:tcPr>
          <w:p w:rsidR="00712828" w:rsidRPr="00E5405C" w:rsidRDefault="00712828" w:rsidP="00E5405C">
            <w:pPr>
              <w:spacing w:after="0" w:line="240" w:lineRule="auto"/>
              <w:rPr>
                <w:rFonts w:ascii="Arial" w:hAnsi="Arial" w:cs="Arial"/>
                <w:b/>
                <w:bCs/>
                <w:sz w:val="24"/>
                <w:szCs w:val="24"/>
                <w:lang w:eastAsia="en-GB"/>
              </w:rPr>
            </w:pPr>
          </w:p>
          <w:p w:rsidR="00712828" w:rsidRPr="00E5405C" w:rsidRDefault="00712828" w:rsidP="00E5405C">
            <w:pPr>
              <w:spacing w:after="0" w:line="240" w:lineRule="auto"/>
              <w:rPr>
                <w:rFonts w:ascii="Arial" w:hAnsi="Arial" w:cs="Arial"/>
                <w:b/>
                <w:bCs/>
                <w:sz w:val="24"/>
                <w:szCs w:val="24"/>
                <w:lang w:eastAsia="en-GB"/>
              </w:rPr>
            </w:pPr>
            <w:r w:rsidRPr="00E5405C">
              <w:rPr>
                <w:rFonts w:ascii="Arial" w:hAnsi="Arial" w:cs="Arial"/>
                <w:b/>
                <w:bCs/>
                <w:sz w:val="24"/>
                <w:szCs w:val="24"/>
                <w:lang w:eastAsia="en-GB"/>
              </w:rPr>
              <w:t xml:space="preserve">Benefits </w:t>
            </w:r>
          </w:p>
          <w:p w:rsidR="00712828" w:rsidRPr="00E5405C" w:rsidRDefault="00712828" w:rsidP="00E5405C">
            <w:pPr>
              <w:pStyle w:val="ListParagraph"/>
              <w:numPr>
                <w:ilvl w:val="0"/>
                <w:numId w:val="10"/>
              </w:numPr>
              <w:spacing w:after="0" w:line="240" w:lineRule="auto"/>
              <w:rPr>
                <w:rFonts w:ascii="Arial" w:hAnsi="Arial" w:cs="Arial"/>
                <w:b/>
                <w:bCs/>
                <w:sz w:val="24"/>
                <w:szCs w:val="24"/>
                <w:lang w:eastAsia="en-GB"/>
              </w:rPr>
            </w:pPr>
            <w:r w:rsidRPr="00E5405C">
              <w:rPr>
                <w:rFonts w:ascii="Arial" w:hAnsi="Arial" w:cs="Arial"/>
                <w:bCs/>
                <w:sz w:val="24"/>
                <w:szCs w:val="24"/>
                <w:lang w:eastAsia="en-GB"/>
              </w:rPr>
              <w:t xml:space="preserve">What do you understand to be the benefits of consultation and notification where an employer is facing, or has become insolvent? Please provide examples where possible. What further benefits do you think we could encourage? </w:t>
            </w:r>
          </w:p>
          <w:p w:rsidR="00712828" w:rsidRPr="00E5405C" w:rsidRDefault="00712828" w:rsidP="00E5405C">
            <w:pPr>
              <w:pStyle w:val="ListParagraph"/>
              <w:numPr>
                <w:ilvl w:val="0"/>
                <w:numId w:val="10"/>
              </w:numPr>
              <w:spacing w:after="0" w:line="240" w:lineRule="auto"/>
              <w:rPr>
                <w:rFonts w:ascii="Arial" w:hAnsi="Arial" w:cs="Arial"/>
                <w:b/>
                <w:bCs/>
                <w:sz w:val="24"/>
                <w:szCs w:val="24"/>
                <w:lang w:eastAsia="en-GB"/>
              </w:rPr>
            </w:pPr>
            <w:r w:rsidRPr="00E5405C">
              <w:rPr>
                <w:rFonts w:ascii="Arial" w:hAnsi="Arial" w:cs="Arial"/>
                <w:bCs/>
                <w:sz w:val="24"/>
                <w:szCs w:val="24"/>
                <w:lang w:eastAsia="en-GB"/>
              </w:rPr>
              <w:t>In practice, what role do employees and employee representatives play in considering options to rescue the business and to help reduce and mitigate the impact of redundancies?</w:t>
            </w:r>
          </w:p>
          <w:p w:rsidR="00712828" w:rsidRPr="00E5405C" w:rsidRDefault="00712828" w:rsidP="00E5405C">
            <w:pPr>
              <w:pStyle w:val="ListParagraph"/>
              <w:spacing w:after="0" w:line="240" w:lineRule="auto"/>
              <w:rPr>
                <w:rFonts w:ascii="Arial" w:hAnsi="Arial" w:cs="Arial"/>
                <w:b/>
                <w:bCs/>
                <w:sz w:val="24"/>
                <w:szCs w:val="24"/>
                <w:lang w:eastAsia="en-GB"/>
              </w:rPr>
            </w:pPr>
          </w:p>
        </w:tc>
      </w:tr>
    </w:tbl>
    <w:p w:rsidR="00712828" w:rsidRPr="007C41A6" w:rsidRDefault="00712828" w:rsidP="004B46F5">
      <w:pPr>
        <w:rPr>
          <w:rFonts w:ascii="Arial" w:hAnsi="Arial" w:cs="Arial"/>
        </w:rPr>
      </w:pPr>
    </w:p>
    <w:p w:rsidR="00712828" w:rsidRPr="00D8237C" w:rsidRDefault="00712828" w:rsidP="00D8237C">
      <w:pPr>
        <w:rPr>
          <w:lang w:eastAsia="en-GB"/>
        </w:rPr>
      </w:pPr>
    </w:p>
    <w:p w:rsidR="00712828" w:rsidRPr="007C41A6" w:rsidRDefault="00712828" w:rsidP="00CB2F98">
      <w:pPr>
        <w:pStyle w:val="Heading2"/>
        <w:rPr>
          <w:rFonts w:ascii="Arial" w:hAnsi="Arial" w:cs="Arial"/>
        </w:rPr>
      </w:pPr>
      <w:bookmarkStart w:id="10" w:name="_Toc412452363"/>
      <w:r w:rsidRPr="007C41A6">
        <w:rPr>
          <w:rFonts w:ascii="Arial" w:hAnsi="Arial" w:cs="Arial"/>
        </w:rPr>
        <w:t>2.2. Facilitators and Inhibitors</w:t>
      </w:r>
      <w:bookmarkEnd w:id="10"/>
      <w:r w:rsidRPr="007C41A6">
        <w:rPr>
          <w:rFonts w:ascii="Arial" w:hAnsi="Arial" w:cs="Arial"/>
        </w:rPr>
        <w:t xml:space="preserve">  </w:t>
      </w:r>
    </w:p>
    <w:p w:rsidR="00712828" w:rsidRPr="007C41A6" w:rsidRDefault="00712828" w:rsidP="0030568F">
      <w:pPr>
        <w:rPr>
          <w:rFonts w:ascii="Arial" w:hAnsi="Arial" w:cs="Arial"/>
          <w:lang w:eastAsia="en-GB"/>
        </w:rPr>
      </w:pPr>
      <w:r w:rsidRPr="007C41A6">
        <w:rPr>
          <w:rFonts w:ascii="Arial" w:hAnsi="Arial" w:cs="Arial"/>
          <w:lang w:eastAsia="en-GB"/>
        </w:rPr>
        <w:t>We also want to understand what factors and circumstances, if present, facilitate or inhibit employers from conducting high quality consultation in circumstances where employers are imminently facing, or transitioning into, formal insolvency.</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tblPr>
      <w:tblGrid>
        <w:gridCol w:w="9242"/>
      </w:tblGrid>
      <w:tr w:rsidR="00712828" w:rsidRPr="00E5405C" w:rsidTr="00E5405C">
        <w:tc>
          <w:tcPr>
            <w:tcW w:w="9242" w:type="dxa"/>
            <w:tcBorders>
              <w:bottom w:val="single" w:sz="18" w:space="0" w:color="9BBB59"/>
            </w:tcBorders>
          </w:tcPr>
          <w:p w:rsidR="00712828" w:rsidRPr="00E5405C" w:rsidRDefault="00712828" w:rsidP="00E5405C">
            <w:pPr>
              <w:spacing w:after="0" w:line="240" w:lineRule="auto"/>
              <w:rPr>
                <w:rFonts w:ascii="Arial" w:hAnsi="Arial" w:cs="Arial"/>
                <w:b/>
                <w:bCs/>
                <w:sz w:val="24"/>
                <w:szCs w:val="24"/>
                <w:lang w:eastAsia="en-GB"/>
              </w:rPr>
            </w:pPr>
            <w:r w:rsidRPr="00E5405C">
              <w:rPr>
                <w:rFonts w:ascii="Arial" w:hAnsi="Arial" w:cs="Arial"/>
                <w:b/>
                <w:bCs/>
                <w:sz w:val="24"/>
                <w:szCs w:val="24"/>
                <w:lang w:eastAsia="en-GB"/>
              </w:rPr>
              <w:t>Questions</w:t>
            </w:r>
          </w:p>
          <w:p w:rsidR="00712828" w:rsidRPr="00E5405C" w:rsidRDefault="00712828" w:rsidP="00E5405C">
            <w:pPr>
              <w:spacing w:after="0" w:line="240" w:lineRule="auto"/>
              <w:rPr>
                <w:rFonts w:ascii="Arial" w:hAnsi="Arial" w:cs="Arial"/>
                <w:b/>
                <w:bCs/>
                <w:sz w:val="24"/>
                <w:szCs w:val="24"/>
                <w:lang w:eastAsia="en-GB"/>
              </w:rPr>
            </w:pPr>
          </w:p>
        </w:tc>
      </w:tr>
      <w:tr w:rsidR="00712828" w:rsidRPr="00E5405C" w:rsidTr="00E5405C">
        <w:tc>
          <w:tcPr>
            <w:tcW w:w="9242" w:type="dxa"/>
            <w:shd w:val="clear" w:color="auto" w:fill="E6EED5"/>
          </w:tcPr>
          <w:p w:rsidR="00712828" w:rsidRPr="00E5405C" w:rsidRDefault="00712828" w:rsidP="00E5405C">
            <w:pPr>
              <w:spacing w:after="0" w:line="240" w:lineRule="auto"/>
              <w:rPr>
                <w:rFonts w:ascii="Arial" w:hAnsi="Arial" w:cs="Arial"/>
                <w:b/>
                <w:bCs/>
                <w:sz w:val="24"/>
                <w:szCs w:val="24"/>
                <w:lang w:eastAsia="en-GB"/>
              </w:rPr>
            </w:pPr>
          </w:p>
          <w:p w:rsidR="00712828" w:rsidRPr="00E5405C" w:rsidRDefault="00712828" w:rsidP="00E5405C">
            <w:pPr>
              <w:spacing w:after="0" w:line="240" w:lineRule="auto"/>
              <w:rPr>
                <w:rFonts w:ascii="Arial" w:hAnsi="Arial" w:cs="Arial"/>
                <w:b/>
                <w:bCs/>
                <w:sz w:val="24"/>
                <w:szCs w:val="24"/>
                <w:lang w:eastAsia="en-GB"/>
              </w:rPr>
            </w:pPr>
            <w:r w:rsidRPr="00E5405C">
              <w:rPr>
                <w:rFonts w:ascii="Arial" w:hAnsi="Arial" w:cs="Arial"/>
                <w:b/>
                <w:bCs/>
                <w:sz w:val="24"/>
                <w:szCs w:val="24"/>
                <w:lang w:eastAsia="en-GB"/>
              </w:rPr>
              <w:t>Facilitators</w:t>
            </w:r>
          </w:p>
          <w:p w:rsidR="00712828" w:rsidRPr="00E5405C" w:rsidRDefault="00712828" w:rsidP="00E5405C">
            <w:pPr>
              <w:pStyle w:val="ListParagraph"/>
              <w:numPr>
                <w:ilvl w:val="0"/>
                <w:numId w:val="10"/>
              </w:numPr>
              <w:spacing w:after="0" w:line="240" w:lineRule="auto"/>
              <w:rPr>
                <w:rFonts w:ascii="Arial" w:hAnsi="Arial" w:cs="Arial"/>
                <w:b/>
                <w:bCs/>
                <w:sz w:val="24"/>
                <w:szCs w:val="24"/>
                <w:lang w:eastAsia="en-GB"/>
              </w:rPr>
            </w:pPr>
            <w:r w:rsidRPr="00E5405C">
              <w:rPr>
                <w:rFonts w:ascii="Arial" w:hAnsi="Arial" w:cs="Arial"/>
                <w:bCs/>
                <w:sz w:val="24"/>
                <w:szCs w:val="24"/>
                <w:lang w:eastAsia="en-GB"/>
              </w:rPr>
              <w:t xml:space="preserve">What factors, where present, best facilitate effective consultation when an employer is imminently facing, or has become insolvent? Please provide examples to illustrate this where possible. </w:t>
            </w:r>
          </w:p>
          <w:p w:rsidR="00712828" w:rsidRPr="00E5405C" w:rsidRDefault="00712828" w:rsidP="00E5405C">
            <w:pPr>
              <w:pStyle w:val="ListParagraph"/>
              <w:spacing w:after="0" w:line="240" w:lineRule="auto"/>
              <w:rPr>
                <w:rFonts w:ascii="Arial" w:hAnsi="Arial" w:cs="Arial"/>
                <w:b/>
                <w:bCs/>
                <w:sz w:val="24"/>
                <w:szCs w:val="24"/>
                <w:lang w:eastAsia="en-GB"/>
              </w:rPr>
            </w:pPr>
          </w:p>
        </w:tc>
      </w:tr>
      <w:tr w:rsidR="00712828" w:rsidRPr="00E5405C" w:rsidTr="00E5405C">
        <w:tc>
          <w:tcPr>
            <w:tcW w:w="9242" w:type="dxa"/>
          </w:tcPr>
          <w:p w:rsidR="00712828" w:rsidRPr="00E5405C" w:rsidRDefault="00712828" w:rsidP="00E5405C">
            <w:pPr>
              <w:spacing w:after="0" w:line="240" w:lineRule="auto"/>
              <w:rPr>
                <w:rFonts w:ascii="Arial" w:hAnsi="Arial" w:cs="Arial"/>
                <w:b/>
                <w:bCs/>
                <w:sz w:val="24"/>
                <w:szCs w:val="24"/>
                <w:lang w:eastAsia="en-GB"/>
              </w:rPr>
            </w:pPr>
          </w:p>
          <w:p w:rsidR="00712828" w:rsidRPr="00E5405C" w:rsidRDefault="00712828" w:rsidP="00E5405C">
            <w:pPr>
              <w:spacing w:after="0" w:line="240" w:lineRule="auto"/>
              <w:rPr>
                <w:rFonts w:ascii="Arial" w:hAnsi="Arial" w:cs="Arial"/>
                <w:b/>
                <w:bCs/>
                <w:sz w:val="24"/>
                <w:szCs w:val="24"/>
                <w:lang w:eastAsia="en-GB"/>
              </w:rPr>
            </w:pPr>
            <w:r w:rsidRPr="00E5405C">
              <w:rPr>
                <w:rFonts w:ascii="Arial" w:hAnsi="Arial" w:cs="Arial"/>
                <w:b/>
                <w:bCs/>
                <w:sz w:val="24"/>
                <w:szCs w:val="24"/>
                <w:lang w:eastAsia="en-GB"/>
              </w:rPr>
              <w:t>Inhibitors</w:t>
            </w:r>
          </w:p>
          <w:p w:rsidR="00712828" w:rsidRPr="00E5405C" w:rsidRDefault="00712828" w:rsidP="00E5405C">
            <w:pPr>
              <w:pStyle w:val="ListParagraph"/>
              <w:numPr>
                <w:ilvl w:val="0"/>
                <w:numId w:val="10"/>
              </w:numPr>
              <w:rPr>
                <w:rFonts w:ascii="Arial" w:hAnsi="Arial" w:cs="Arial"/>
                <w:b/>
                <w:bCs/>
                <w:sz w:val="24"/>
                <w:szCs w:val="24"/>
                <w:lang w:eastAsia="en-GB"/>
              </w:rPr>
            </w:pPr>
            <w:r w:rsidRPr="00E5405C">
              <w:rPr>
                <w:rFonts w:ascii="Arial" w:hAnsi="Arial" w:cs="Arial"/>
                <w:bCs/>
                <w:sz w:val="24"/>
                <w:szCs w:val="24"/>
                <w:lang w:eastAsia="en-GB"/>
              </w:rPr>
              <w:t xml:space="preserve">What factors, where present, act as inhibitors to starting consultation or notifying the Secretary when an employer is imminently facing, or has moved into an insolvency process? Please provide examples to illustrate this where possible. </w:t>
            </w:r>
          </w:p>
          <w:p w:rsidR="00712828" w:rsidRPr="00E5405C" w:rsidRDefault="00712828" w:rsidP="00E5405C">
            <w:pPr>
              <w:pStyle w:val="ListParagraph"/>
              <w:numPr>
                <w:ilvl w:val="0"/>
                <w:numId w:val="10"/>
              </w:numPr>
              <w:rPr>
                <w:rFonts w:ascii="Arial" w:hAnsi="Arial" w:cs="Arial"/>
                <w:b/>
                <w:bCs/>
                <w:sz w:val="24"/>
                <w:szCs w:val="24"/>
                <w:lang w:eastAsia="en-GB"/>
              </w:rPr>
            </w:pPr>
            <w:r w:rsidRPr="00E5405C">
              <w:rPr>
                <w:rFonts w:ascii="Arial" w:hAnsi="Arial" w:cs="Arial"/>
                <w:bCs/>
                <w:sz w:val="24"/>
                <w:szCs w:val="24"/>
                <w:lang w:eastAsia="en-GB"/>
              </w:rPr>
              <w:t xml:space="preserve">What factors, where present, negatively impact upon the quality and effectiveness of consultation when an employer is facing insolvency, or has become insolvent? Please provide examples to illustrate this where possible. </w:t>
            </w:r>
          </w:p>
          <w:p w:rsidR="00712828" w:rsidRPr="00E5405C" w:rsidRDefault="00712828" w:rsidP="00E5405C">
            <w:pPr>
              <w:pStyle w:val="ListParagraph"/>
              <w:spacing w:after="0" w:line="240" w:lineRule="auto"/>
              <w:rPr>
                <w:rFonts w:ascii="Arial" w:hAnsi="Arial" w:cs="Arial"/>
                <w:b/>
                <w:bCs/>
                <w:sz w:val="24"/>
                <w:szCs w:val="24"/>
                <w:lang w:eastAsia="en-GB"/>
              </w:rPr>
            </w:pPr>
          </w:p>
        </w:tc>
      </w:tr>
    </w:tbl>
    <w:p w:rsidR="00712828" w:rsidRPr="007C41A6" w:rsidRDefault="00712828" w:rsidP="004B46F5">
      <w:pPr>
        <w:rPr>
          <w:rFonts w:ascii="Arial" w:hAnsi="Arial" w:cs="Arial"/>
        </w:rPr>
      </w:pPr>
    </w:p>
    <w:p w:rsidR="00712828" w:rsidRPr="007C41A6" w:rsidRDefault="00712828" w:rsidP="00D34D29">
      <w:pPr>
        <w:pStyle w:val="Heading2"/>
        <w:rPr>
          <w:rFonts w:ascii="Arial" w:hAnsi="Arial" w:cs="Arial"/>
        </w:rPr>
      </w:pPr>
      <w:bookmarkStart w:id="11" w:name="_Toc412452364"/>
      <w:r w:rsidRPr="007C41A6">
        <w:rPr>
          <w:rFonts w:ascii="Arial" w:hAnsi="Arial" w:cs="Arial"/>
        </w:rPr>
        <w:t>2.3. The Role of Directors</w:t>
      </w:r>
      <w:bookmarkEnd w:id="11"/>
      <w:r w:rsidRPr="007C41A6">
        <w:rPr>
          <w:rFonts w:ascii="Arial" w:hAnsi="Arial" w:cs="Arial"/>
        </w:rPr>
        <w:t xml:space="preserve"> </w:t>
      </w:r>
    </w:p>
    <w:p w:rsidR="00712828" w:rsidRPr="007C41A6" w:rsidRDefault="00712828" w:rsidP="0030568F">
      <w:pPr>
        <w:rPr>
          <w:rFonts w:ascii="Arial" w:hAnsi="Arial" w:cs="Arial"/>
          <w:lang w:eastAsia="en-GB"/>
        </w:rPr>
      </w:pPr>
      <w:r w:rsidRPr="007C41A6">
        <w:rPr>
          <w:rFonts w:ascii="Arial" w:hAnsi="Arial" w:cs="Arial"/>
          <w:lang w:eastAsia="en-GB"/>
        </w:rPr>
        <w:t xml:space="preserve">Conversations with stakeholders have identified that one of the keys to effective consultation in situations where employers are imminently facing formal insolvency is that consultation is started early enough. This means that directors play an important role in ensuring employee representatives are in place, starting consultation and notifying the Secretary of State. </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tblPr>
      <w:tblGrid>
        <w:gridCol w:w="9242"/>
      </w:tblGrid>
      <w:tr w:rsidR="00712828" w:rsidRPr="00E5405C" w:rsidTr="00E5405C">
        <w:tc>
          <w:tcPr>
            <w:tcW w:w="9242" w:type="dxa"/>
            <w:tcBorders>
              <w:bottom w:val="single" w:sz="18" w:space="0" w:color="9BBB59"/>
            </w:tcBorders>
          </w:tcPr>
          <w:p w:rsidR="00712828" w:rsidRPr="00E5405C" w:rsidRDefault="00712828" w:rsidP="003D4AD9">
            <w:pPr>
              <w:rPr>
                <w:rFonts w:ascii="Arial" w:hAnsi="Arial" w:cs="Arial"/>
                <w:b/>
                <w:bCs/>
                <w:sz w:val="24"/>
                <w:szCs w:val="24"/>
                <w:lang w:eastAsia="en-GB"/>
              </w:rPr>
            </w:pPr>
            <w:r w:rsidRPr="00E5405C">
              <w:rPr>
                <w:rFonts w:ascii="Arial" w:hAnsi="Arial" w:cs="Arial"/>
                <w:b/>
                <w:sz w:val="24"/>
                <w:szCs w:val="24"/>
                <w:lang w:eastAsia="en-GB"/>
              </w:rPr>
              <w:t>Questions</w:t>
            </w:r>
          </w:p>
        </w:tc>
      </w:tr>
      <w:tr w:rsidR="00712828" w:rsidRPr="00E5405C" w:rsidTr="00E5405C">
        <w:tc>
          <w:tcPr>
            <w:tcW w:w="9242" w:type="dxa"/>
            <w:shd w:val="clear" w:color="auto" w:fill="E6EED5"/>
          </w:tcPr>
          <w:p w:rsidR="00712828" w:rsidRPr="00E5405C" w:rsidRDefault="00712828" w:rsidP="00E5405C">
            <w:pPr>
              <w:spacing w:after="0" w:line="240" w:lineRule="auto"/>
              <w:rPr>
                <w:rFonts w:ascii="Arial" w:hAnsi="Arial" w:cs="Arial"/>
                <w:b/>
                <w:bCs/>
                <w:sz w:val="24"/>
                <w:szCs w:val="24"/>
                <w:lang w:eastAsia="en-GB"/>
              </w:rPr>
            </w:pPr>
          </w:p>
          <w:p w:rsidR="00712828" w:rsidRPr="00E5405C" w:rsidRDefault="00712828" w:rsidP="00E5405C">
            <w:pPr>
              <w:spacing w:after="0" w:line="240" w:lineRule="auto"/>
              <w:rPr>
                <w:rFonts w:ascii="Arial" w:hAnsi="Arial" w:cs="Arial"/>
                <w:b/>
                <w:bCs/>
                <w:sz w:val="24"/>
                <w:szCs w:val="24"/>
                <w:lang w:eastAsia="en-GB"/>
              </w:rPr>
            </w:pPr>
            <w:r w:rsidRPr="00E5405C">
              <w:rPr>
                <w:rFonts w:ascii="Arial" w:hAnsi="Arial" w:cs="Arial"/>
                <w:b/>
                <w:bCs/>
                <w:sz w:val="24"/>
                <w:szCs w:val="24"/>
                <w:lang w:eastAsia="en-GB"/>
              </w:rPr>
              <w:t>Director’s Role</w:t>
            </w:r>
          </w:p>
          <w:p w:rsidR="00712828" w:rsidRPr="00E5405C" w:rsidRDefault="00712828" w:rsidP="00E5405C">
            <w:pPr>
              <w:pStyle w:val="ListParagraph"/>
              <w:numPr>
                <w:ilvl w:val="0"/>
                <w:numId w:val="10"/>
              </w:numPr>
              <w:spacing w:after="0" w:line="240" w:lineRule="auto"/>
              <w:rPr>
                <w:rFonts w:ascii="Arial" w:hAnsi="Arial" w:cs="Arial"/>
                <w:b/>
                <w:bCs/>
                <w:sz w:val="24"/>
                <w:szCs w:val="24"/>
                <w:lang w:eastAsia="en-GB"/>
              </w:rPr>
            </w:pPr>
            <w:r w:rsidRPr="00E5405C">
              <w:rPr>
                <w:rFonts w:ascii="Arial" w:hAnsi="Arial" w:cs="Arial"/>
                <w:bCs/>
                <w:sz w:val="24"/>
                <w:szCs w:val="24"/>
                <w:lang w:eastAsia="en-GB"/>
              </w:rPr>
              <w:t>Are advisors (accountants, HR professionals, or where an insolvency practitioner is acting as an advisor pre-insolvency) informing directors of their need to start consultation when there is the prospect of collective redundancies? How do directors respond to such advice?</w:t>
            </w:r>
          </w:p>
          <w:p w:rsidR="00712828" w:rsidRPr="00E5405C" w:rsidRDefault="00712828" w:rsidP="00E5405C">
            <w:pPr>
              <w:pStyle w:val="ListParagraph"/>
              <w:numPr>
                <w:ilvl w:val="0"/>
                <w:numId w:val="10"/>
              </w:numPr>
              <w:spacing w:after="0" w:line="240" w:lineRule="auto"/>
              <w:rPr>
                <w:rFonts w:ascii="Arial" w:hAnsi="Arial" w:cs="Arial"/>
                <w:b/>
                <w:bCs/>
                <w:sz w:val="24"/>
                <w:szCs w:val="24"/>
                <w:lang w:eastAsia="en-GB"/>
              </w:rPr>
            </w:pPr>
            <w:r w:rsidRPr="00E5405C">
              <w:rPr>
                <w:rFonts w:ascii="Arial" w:hAnsi="Arial" w:cs="Arial"/>
                <w:bCs/>
                <w:sz w:val="24"/>
                <w:szCs w:val="24"/>
                <w:lang w:eastAsia="en-GB"/>
              </w:rPr>
              <w:t>Are directors facing insolvency starting consultation, and notifying the Secretary of State, as soon as collective redundancies are proposed and at the latest when they first make contact with an insolvency practitioner? If not, how can this be encouraged?</w:t>
            </w:r>
          </w:p>
          <w:p w:rsidR="00712828" w:rsidRPr="00E5405C" w:rsidRDefault="00712828" w:rsidP="00E5405C">
            <w:pPr>
              <w:pStyle w:val="CommentText"/>
              <w:numPr>
                <w:ilvl w:val="0"/>
                <w:numId w:val="10"/>
              </w:numPr>
              <w:spacing w:after="0"/>
              <w:rPr>
                <w:rFonts w:ascii="Arial" w:hAnsi="Arial" w:cs="Arial"/>
                <w:b/>
                <w:bCs/>
                <w:sz w:val="24"/>
                <w:szCs w:val="24"/>
              </w:rPr>
            </w:pPr>
            <w:r w:rsidRPr="00E5405C">
              <w:rPr>
                <w:rFonts w:ascii="Arial" w:hAnsi="Arial" w:cs="Arial"/>
                <w:bCs/>
                <w:sz w:val="24"/>
                <w:szCs w:val="24"/>
                <w:lang w:eastAsia="en-GB"/>
              </w:rPr>
              <w:t xml:space="preserve">Normally are employee representatives already in place? </w:t>
            </w:r>
            <w:r w:rsidRPr="00E5405C">
              <w:rPr>
                <w:rFonts w:ascii="Arial" w:hAnsi="Arial" w:cs="Arial"/>
                <w:bCs/>
                <w:sz w:val="24"/>
                <w:szCs w:val="24"/>
              </w:rPr>
              <w:t>What are the practicalities of appointing employee representatives when no trade union representation is in place?</w:t>
            </w:r>
          </w:p>
          <w:p w:rsidR="00712828" w:rsidRPr="00E5405C" w:rsidRDefault="00712828" w:rsidP="00E5405C">
            <w:pPr>
              <w:pStyle w:val="ListParagraph"/>
              <w:numPr>
                <w:ilvl w:val="0"/>
                <w:numId w:val="10"/>
              </w:numPr>
              <w:spacing w:after="0" w:line="240" w:lineRule="auto"/>
              <w:rPr>
                <w:rFonts w:ascii="Arial" w:hAnsi="Arial" w:cs="Arial"/>
                <w:b/>
                <w:bCs/>
                <w:sz w:val="24"/>
                <w:szCs w:val="24"/>
                <w:lang w:eastAsia="en-GB"/>
              </w:rPr>
            </w:pPr>
            <w:r w:rsidRPr="00E5405C">
              <w:rPr>
                <w:rFonts w:ascii="Arial" w:hAnsi="Arial" w:cs="Arial"/>
                <w:bCs/>
                <w:sz w:val="24"/>
                <w:szCs w:val="24"/>
                <w:lang w:eastAsia="en-GB"/>
              </w:rPr>
              <w:t>How does the hand over from directors to insolvency practitioners work when a company becomes insolvent in relation to engagement with employees?</w:t>
            </w:r>
          </w:p>
        </w:tc>
      </w:tr>
    </w:tbl>
    <w:p w:rsidR="00712828" w:rsidRPr="007C41A6" w:rsidRDefault="00712828" w:rsidP="003D4AD9">
      <w:pPr>
        <w:pStyle w:val="Heading2"/>
        <w:rPr>
          <w:rFonts w:ascii="Arial" w:hAnsi="Arial" w:cs="Arial"/>
        </w:rPr>
      </w:pPr>
    </w:p>
    <w:p w:rsidR="00712828" w:rsidRPr="007C41A6" w:rsidRDefault="00712828" w:rsidP="003D4AD9">
      <w:pPr>
        <w:pStyle w:val="Heading2"/>
        <w:rPr>
          <w:rFonts w:ascii="Arial" w:hAnsi="Arial" w:cs="Arial"/>
        </w:rPr>
      </w:pPr>
      <w:bookmarkStart w:id="12" w:name="_Toc412452365"/>
      <w:r w:rsidRPr="007C41A6">
        <w:rPr>
          <w:rFonts w:ascii="Arial" w:hAnsi="Arial" w:cs="Arial"/>
        </w:rPr>
        <w:t>2.4. Ensuring Effective Notification and Consultation</w:t>
      </w:r>
      <w:bookmarkEnd w:id="12"/>
      <w:r w:rsidRPr="007C41A6">
        <w:rPr>
          <w:rFonts w:ascii="Arial" w:hAnsi="Arial" w:cs="Arial"/>
        </w:rPr>
        <w:t xml:space="preserve"> </w:t>
      </w:r>
    </w:p>
    <w:p w:rsidR="00712828" w:rsidRDefault="00712828" w:rsidP="0030568F">
      <w:pPr>
        <w:rPr>
          <w:rFonts w:ascii="Arial" w:hAnsi="Arial" w:cs="Arial"/>
          <w:lang w:eastAsia="en-GB"/>
        </w:rPr>
      </w:pPr>
      <w:r w:rsidRPr="007C41A6">
        <w:rPr>
          <w:rFonts w:ascii="Arial" w:hAnsi="Arial" w:cs="Arial"/>
          <w:lang w:eastAsia="en-GB"/>
        </w:rPr>
        <w:t xml:space="preserve">It is important for Government to understand what can be done to ensure that timely and effective notification and high quality consultation occur when employers are imminently facing, or have become insolvent.  It is important to understand how the processes, guidance, incentives and sanction are working in practice and how they could be improved. </w:t>
      </w:r>
    </w:p>
    <w:p w:rsidR="00712828" w:rsidRPr="007C41A6" w:rsidRDefault="00712828" w:rsidP="0030568F">
      <w:pPr>
        <w:rPr>
          <w:rFonts w:ascii="Arial" w:hAnsi="Arial" w:cs="Arial"/>
          <w:lang w:eastAsia="en-GB"/>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tblPr>
      <w:tblGrid>
        <w:gridCol w:w="9242"/>
      </w:tblGrid>
      <w:tr w:rsidR="00712828" w:rsidRPr="00E5405C" w:rsidTr="00E5405C">
        <w:tc>
          <w:tcPr>
            <w:tcW w:w="9242" w:type="dxa"/>
            <w:tcBorders>
              <w:bottom w:val="single" w:sz="18" w:space="0" w:color="9BBB59"/>
            </w:tcBorders>
          </w:tcPr>
          <w:p w:rsidR="00712828" w:rsidRPr="00E5405C" w:rsidRDefault="00712828" w:rsidP="00E5405C">
            <w:pPr>
              <w:spacing w:after="0" w:line="240" w:lineRule="auto"/>
              <w:rPr>
                <w:rFonts w:ascii="Arial" w:hAnsi="Arial" w:cs="Arial"/>
                <w:b/>
                <w:bCs/>
                <w:sz w:val="24"/>
                <w:szCs w:val="24"/>
                <w:lang w:eastAsia="en-GB"/>
              </w:rPr>
            </w:pPr>
            <w:r w:rsidRPr="00E5405C">
              <w:rPr>
                <w:rFonts w:ascii="Arial" w:hAnsi="Arial" w:cs="Arial"/>
                <w:b/>
                <w:bCs/>
                <w:sz w:val="24"/>
                <w:szCs w:val="24"/>
                <w:lang w:eastAsia="en-GB"/>
              </w:rPr>
              <w:t>Questions</w:t>
            </w:r>
          </w:p>
          <w:p w:rsidR="00712828" w:rsidRPr="00E5405C" w:rsidRDefault="00712828" w:rsidP="00E5405C">
            <w:pPr>
              <w:spacing w:after="0" w:line="240" w:lineRule="auto"/>
              <w:rPr>
                <w:rFonts w:ascii="Arial" w:hAnsi="Arial" w:cs="Arial"/>
                <w:b/>
                <w:bCs/>
                <w:sz w:val="24"/>
                <w:szCs w:val="24"/>
                <w:lang w:eastAsia="en-GB"/>
              </w:rPr>
            </w:pPr>
          </w:p>
        </w:tc>
      </w:tr>
      <w:tr w:rsidR="00712828" w:rsidRPr="00E5405C" w:rsidTr="00E5405C">
        <w:tc>
          <w:tcPr>
            <w:tcW w:w="9242" w:type="dxa"/>
            <w:shd w:val="clear" w:color="auto" w:fill="E6EED5"/>
          </w:tcPr>
          <w:p w:rsidR="00712828" w:rsidRPr="00E5405C" w:rsidRDefault="00712828" w:rsidP="00E5405C">
            <w:pPr>
              <w:spacing w:after="0" w:line="240" w:lineRule="auto"/>
              <w:rPr>
                <w:rFonts w:ascii="Arial" w:hAnsi="Arial" w:cs="Arial"/>
                <w:b/>
                <w:bCs/>
                <w:sz w:val="24"/>
                <w:szCs w:val="24"/>
                <w:lang w:eastAsia="en-GB"/>
              </w:rPr>
            </w:pPr>
          </w:p>
          <w:p w:rsidR="00712828" w:rsidRPr="00E5405C" w:rsidRDefault="00712828" w:rsidP="00E5405C">
            <w:pPr>
              <w:spacing w:after="0" w:line="240" w:lineRule="auto"/>
              <w:rPr>
                <w:rFonts w:ascii="Arial" w:hAnsi="Arial" w:cs="Arial"/>
                <w:b/>
                <w:bCs/>
                <w:sz w:val="24"/>
                <w:szCs w:val="24"/>
                <w:lang w:eastAsia="en-GB"/>
              </w:rPr>
            </w:pPr>
            <w:r w:rsidRPr="00E5405C">
              <w:rPr>
                <w:rFonts w:ascii="Arial" w:hAnsi="Arial" w:cs="Arial"/>
                <w:b/>
                <w:bCs/>
                <w:sz w:val="24"/>
                <w:szCs w:val="24"/>
                <w:lang w:eastAsia="en-GB"/>
              </w:rPr>
              <w:t>Process for Notification and Consultation</w:t>
            </w:r>
          </w:p>
          <w:p w:rsidR="00712828" w:rsidRPr="00E5405C" w:rsidRDefault="00712828" w:rsidP="00E5405C">
            <w:pPr>
              <w:pStyle w:val="ListParagraph"/>
              <w:numPr>
                <w:ilvl w:val="0"/>
                <w:numId w:val="10"/>
              </w:numPr>
              <w:spacing w:after="0" w:line="240" w:lineRule="auto"/>
              <w:rPr>
                <w:rFonts w:ascii="Arial" w:hAnsi="Arial" w:cs="Arial"/>
                <w:b/>
                <w:bCs/>
                <w:sz w:val="24"/>
                <w:szCs w:val="24"/>
                <w:lang w:eastAsia="en-GB"/>
              </w:rPr>
            </w:pPr>
            <w:r w:rsidRPr="00E5405C">
              <w:rPr>
                <w:rFonts w:ascii="Arial" w:hAnsi="Arial" w:cs="Arial"/>
                <w:bCs/>
                <w:sz w:val="24"/>
                <w:szCs w:val="24"/>
                <w:lang w:eastAsia="en-GB"/>
              </w:rPr>
              <w:t>How might the process for notifying the Secretary of State and sharing information with third parties be improved?</w:t>
            </w:r>
          </w:p>
          <w:p w:rsidR="00712828" w:rsidRPr="00E5405C" w:rsidRDefault="00712828" w:rsidP="00E5405C">
            <w:pPr>
              <w:pStyle w:val="ListParagraph"/>
              <w:numPr>
                <w:ilvl w:val="0"/>
                <w:numId w:val="10"/>
              </w:numPr>
              <w:spacing w:after="0" w:line="240" w:lineRule="auto"/>
              <w:rPr>
                <w:rFonts w:ascii="Arial" w:hAnsi="Arial" w:cs="Arial"/>
                <w:b/>
                <w:bCs/>
                <w:sz w:val="24"/>
                <w:szCs w:val="24"/>
                <w:lang w:eastAsia="en-GB"/>
              </w:rPr>
            </w:pPr>
            <w:r w:rsidRPr="00E5405C">
              <w:rPr>
                <w:rFonts w:ascii="Arial" w:hAnsi="Arial" w:cs="Arial"/>
                <w:bCs/>
                <w:sz w:val="24"/>
                <w:szCs w:val="24"/>
                <w:lang w:eastAsia="en-GB"/>
              </w:rPr>
              <w:t>Could the process requirements for consultation be further clarified or improved?</w:t>
            </w:r>
          </w:p>
          <w:p w:rsidR="00712828" w:rsidRPr="00E5405C" w:rsidRDefault="00712828" w:rsidP="00E5405C">
            <w:pPr>
              <w:pStyle w:val="ListParagraph"/>
              <w:spacing w:after="0" w:line="240" w:lineRule="auto"/>
              <w:rPr>
                <w:rFonts w:ascii="Arial" w:hAnsi="Arial" w:cs="Arial"/>
                <w:b/>
                <w:bCs/>
                <w:sz w:val="24"/>
                <w:szCs w:val="24"/>
                <w:lang w:eastAsia="en-GB"/>
              </w:rPr>
            </w:pPr>
          </w:p>
        </w:tc>
      </w:tr>
      <w:tr w:rsidR="00712828" w:rsidRPr="00E5405C" w:rsidTr="00E5405C">
        <w:tc>
          <w:tcPr>
            <w:tcW w:w="9242" w:type="dxa"/>
          </w:tcPr>
          <w:p w:rsidR="00712828" w:rsidRPr="00E5405C" w:rsidRDefault="00712828" w:rsidP="00E5405C">
            <w:pPr>
              <w:spacing w:after="0" w:line="240" w:lineRule="auto"/>
              <w:rPr>
                <w:rFonts w:ascii="Arial" w:hAnsi="Arial" w:cs="Arial"/>
                <w:b/>
                <w:bCs/>
                <w:sz w:val="24"/>
                <w:szCs w:val="24"/>
                <w:lang w:eastAsia="en-GB"/>
              </w:rPr>
            </w:pPr>
          </w:p>
          <w:p w:rsidR="00712828" w:rsidRPr="00E5405C" w:rsidRDefault="00712828" w:rsidP="00E5405C">
            <w:pPr>
              <w:spacing w:after="0" w:line="240" w:lineRule="auto"/>
              <w:rPr>
                <w:rFonts w:ascii="Arial" w:hAnsi="Arial" w:cs="Arial"/>
                <w:b/>
                <w:bCs/>
                <w:sz w:val="24"/>
                <w:szCs w:val="24"/>
                <w:lang w:eastAsia="en-GB"/>
              </w:rPr>
            </w:pPr>
            <w:r w:rsidRPr="00E5405C">
              <w:rPr>
                <w:rFonts w:ascii="Arial" w:hAnsi="Arial" w:cs="Arial"/>
                <w:b/>
                <w:bCs/>
                <w:sz w:val="24"/>
                <w:szCs w:val="24"/>
                <w:lang w:eastAsia="en-GB"/>
              </w:rPr>
              <w:t>Guidance</w:t>
            </w:r>
          </w:p>
          <w:p w:rsidR="00712828" w:rsidRPr="00E5405C" w:rsidRDefault="00712828" w:rsidP="00E5405C">
            <w:pPr>
              <w:pStyle w:val="ListParagraph"/>
              <w:numPr>
                <w:ilvl w:val="0"/>
                <w:numId w:val="10"/>
              </w:numPr>
              <w:spacing w:after="0" w:line="240" w:lineRule="auto"/>
              <w:rPr>
                <w:rFonts w:ascii="Arial" w:hAnsi="Arial" w:cs="Arial"/>
                <w:b/>
                <w:bCs/>
                <w:sz w:val="24"/>
                <w:szCs w:val="24"/>
                <w:lang w:eastAsia="en-GB"/>
              </w:rPr>
            </w:pPr>
            <w:r w:rsidRPr="00E5405C">
              <w:rPr>
                <w:rFonts w:ascii="Arial" w:hAnsi="Arial" w:cs="Arial"/>
                <w:bCs/>
                <w:sz w:val="24"/>
                <w:szCs w:val="24"/>
                <w:lang w:eastAsia="en-GB"/>
              </w:rPr>
              <w:t>Would</w:t>
            </w:r>
            <w:r w:rsidRPr="00E5405C">
              <w:rPr>
                <w:rFonts w:ascii="Arial" w:hAnsi="Arial" w:cs="Arial"/>
                <w:b/>
                <w:bCs/>
                <w:sz w:val="24"/>
                <w:szCs w:val="24"/>
                <w:lang w:eastAsia="en-GB"/>
              </w:rPr>
              <w:t xml:space="preserve"> </w:t>
            </w:r>
            <w:r w:rsidRPr="00E5405C">
              <w:rPr>
                <w:rFonts w:ascii="Arial" w:hAnsi="Arial" w:cs="Arial"/>
                <w:bCs/>
                <w:sz w:val="24"/>
                <w:szCs w:val="24"/>
                <w:lang w:eastAsia="en-GB"/>
              </w:rPr>
              <w:t xml:space="preserve">further guidance be helpful and if so, what should this cover, who should it be aimed at and how could it be marketed most effectively? </w:t>
            </w:r>
          </w:p>
          <w:p w:rsidR="00712828" w:rsidRPr="00E5405C" w:rsidRDefault="00712828" w:rsidP="00E5405C">
            <w:pPr>
              <w:pStyle w:val="ListParagraph"/>
              <w:spacing w:after="0" w:line="240" w:lineRule="auto"/>
              <w:rPr>
                <w:rFonts w:ascii="Arial" w:hAnsi="Arial" w:cs="Arial"/>
                <w:b/>
                <w:bCs/>
                <w:sz w:val="24"/>
                <w:szCs w:val="24"/>
                <w:lang w:eastAsia="en-GB"/>
              </w:rPr>
            </w:pPr>
          </w:p>
        </w:tc>
      </w:tr>
      <w:tr w:rsidR="00712828" w:rsidRPr="00E5405C" w:rsidTr="00E5405C">
        <w:tc>
          <w:tcPr>
            <w:tcW w:w="9242" w:type="dxa"/>
            <w:shd w:val="clear" w:color="auto" w:fill="E6EED5"/>
          </w:tcPr>
          <w:p w:rsidR="00712828" w:rsidRPr="00E5405C" w:rsidRDefault="00712828" w:rsidP="00E5405C">
            <w:pPr>
              <w:spacing w:after="0" w:line="240" w:lineRule="auto"/>
              <w:rPr>
                <w:rFonts w:ascii="Arial" w:hAnsi="Arial" w:cs="Arial"/>
                <w:b/>
                <w:bCs/>
                <w:sz w:val="24"/>
                <w:szCs w:val="24"/>
                <w:lang w:eastAsia="en-GB"/>
              </w:rPr>
            </w:pPr>
          </w:p>
          <w:p w:rsidR="00712828" w:rsidRPr="00E5405C" w:rsidRDefault="00712828" w:rsidP="00E5405C">
            <w:pPr>
              <w:spacing w:after="0" w:line="240" w:lineRule="auto"/>
              <w:rPr>
                <w:rFonts w:ascii="Arial" w:hAnsi="Arial" w:cs="Arial"/>
                <w:b/>
                <w:bCs/>
                <w:sz w:val="24"/>
                <w:szCs w:val="24"/>
                <w:lang w:eastAsia="en-GB"/>
              </w:rPr>
            </w:pPr>
            <w:r w:rsidRPr="00E5405C">
              <w:rPr>
                <w:rFonts w:ascii="Arial" w:hAnsi="Arial" w:cs="Arial"/>
                <w:b/>
                <w:bCs/>
                <w:sz w:val="24"/>
                <w:szCs w:val="24"/>
                <w:lang w:eastAsia="en-GB"/>
              </w:rPr>
              <w:t xml:space="preserve">Incentives and disincentives </w:t>
            </w:r>
          </w:p>
          <w:p w:rsidR="00712828" w:rsidRPr="00E5405C" w:rsidRDefault="00712828" w:rsidP="00E5405C">
            <w:pPr>
              <w:pStyle w:val="ListParagraph"/>
              <w:numPr>
                <w:ilvl w:val="0"/>
                <w:numId w:val="10"/>
              </w:numPr>
              <w:spacing w:after="0" w:line="240" w:lineRule="auto"/>
              <w:rPr>
                <w:rFonts w:ascii="Arial" w:hAnsi="Arial" w:cs="Arial"/>
                <w:b/>
                <w:bCs/>
                <w:sz w:val="24"/>
                <w:szCs w:val="24"/>
                <w:lang w:eastAsia="en-GB"/>
              </w:rPr>
            </w:pPr>
            <w:r w:rsidRPr="00E5405C">
              <w:rPr>
                <w:rFonts w:ascii="Arial" w:hAnsi="Arial" w:cs="Arial"/>
                <w:bCs/>
                <w:sz w:val="24"/>
                <w:szCs w:val="24"/>
                <w:lang w:eastAsia="en-GB"/>
              </w:rPr>
              <w:t>How can Government best incentivise or disincentives the behaviour of directors and insolvency practitioners to ensure that consultation and notification are conducted in a timely and effective way in insolvency situations?</w:t>
            </w:r>
          </w:p>
          <w:p w:rsidR="00712828" w:rsidRPr="00E5405C" w:rsidRDefault="00712828" w:rsidP="00E5405C">
            <w:pPr>
              <w:pStyle w:val="ListParagraph"/>
              <w:numPr>
                <w:ilvl w:val="0"/>
                <w:numId w:val="10"/>
              </w:numPr>
              <w:spacing w:after="0" w:line="240" w:lineRule="auto"/>
              <w:rPr>
                <w:rFonts w:ascii="Arial" w:hAnsi="Arial" w:cs="Arial"/>
                <w:b/>
                <w:bCs/>
                <w:sz w:val="24"/>
                <w:szCs w:val="24"/>
                <w:lang w:eastAsia="en-GB"/>
              </w:rPr>
            </w:pPr>
            <w:r w:rsidRPr="00E5405C">
              <w:rPr>
                <w:rFonts w:ascii="Arial" w:hAnsi="Arial" w:cs="Arial"/>
                <w:bCs/>
                <w:sz w:val="24"/>
                <w:szCs w:val="24"/>
                <w:lang w:eastAsia="en-GB"/>
              </w:rPr>
              <w:t>What would most encourage constructive engagement by employees when in this situation? And do you have any suggestions for how employee representatives can best be supported?</w:t>
            </w:r>
          </w:p>
          <w:p w:rsidR="00712828" w:rsidRPr="00E5405C" w:rsidRDefault="00712828" w:rsidP="00E5405C">
            <w:pPr>
              <w:pStyle w:val="ListParagraph"/>
              <w:numPr>
                <w:ilvl w:val="0"/>
                <w:numId w:val="10"/>
              </w:numPr>
              <w:rPr>
                <w:rFonts w:ascii="Arial" w:hAnsi="Arial" w:cs="Arial"/>
                <w:b/>
                <w:bCs/>
                <w:sz w:val="24"/>
                <w:szCs w:val="24"/>
                <w:lang w:eastAsia="en-GB"/>
              </w:rPr>
            </w:pPr>
            <w:r w:rsidRPr="00E5405C">
              <w:rPr>
                <w:rFonts w:ascii="Arial" w:hAnsi="Arial" w:cs="Arial"/>
                <w:bCs/>
                <w:sz w:val="24"/>
                <w:szCs w:val="24"/>
                <w:lang w:eastAsia="en-GB"/>
              </w:rPr>
              <w:t xml:space="preserve">Do you have any examples of where constructive consultation and engagement has happened in an insolvency situation? If so, what was done and how? </w:t>
            </w:r>
          </w:p>
          <w:p w:rsidR="00712828" w:rsidRPr="00E5405C" w:rsidRDefault="00712828" w:rsidP="00E5405C">
            <w:pPr>
              <w:pStyle w:val="ListParagraph"/>
              <w:spacing w:after="0" w:line="240" w:lineRule="auto"/>
              <w:rPr>
                <w:rFonts w:ascii="Arial" w:hAnsi="Arial" w:cs="Arial"/>
                <w:b/>
                <w:bCs/>
                <w:sz w:val="24"/>
                <w:szCs w:val="24"/>
                <w:lang w:eastAsia="en-GB"/>
              </w:rPr>
            </w:pPr>
          </w:p>
        </w:tc>
      </w:tr>
      <w:tr w:rsidR="00712828" w:rsidRPr="00E5405C" w:rsidTr="00E5405C">
        <w:tc>
          <w:tcPr>
            <w:tcW w:w="9242" w:type="dxa"/>
          </w:tcPr>
          <w:p w:rsidR="00712828" w:rsidRPr="00E5405C" w:rsidRDefault="00712828" w:rsidP="00E5405C">
            <w:pPr>
              <w:spacing w:after="0" w:line="240" w:lineRule="auto"/>
              <w:rPr>
                <w:rFonts w:ascii="Arial" w:hAnsi="Arial" w:cs="Arial"/>
                <w:b/>
                <w:bCs/>
                <w:sz w:val="24"/>
                <w:szCs w:val="24"/>
                <w:lang w:eastAsia="en-GB"/>
              </w:rPr>
            </w:pPr>
          </w:p>
          <w:p w:rsidR="00712828" w:rsidRPr="00E5405C" w:rsidRDefault="00712828" w:rsidP="00E5405C">
            <w:pPr>
              <w:spacing w:after="0" w:line="240" w:lineRule="auto"/>
              <w:rPr>
                <w:rFonts w:ascii="Arial" w:hAnsi="Arial" w:cs="Arial"/>
                <w:b/>
                <w:bCs/>
                <w:sz w:val="24"/>
                <w:szCs w:val="24"/>
                <w:lang w:eastAsia="en-GB"/>
              </w:rPr>
            </w:pPr>
            <w:r w:rsidRPr="00E5405C">
              <w:rPr>
                <w:rFonts w:ascii="Arial" w:hAnsi="Arial" w:cs="Arial"/>
                <w:b/>
                <w:bCs/>
                <w:sz w:val="24"/>
                <w:szCs w:val="24"/>
                <w:lang w:eastAsia="en-GB"/>
              </w:rPr>
              <w:t>Sanctions</w:t>
            </w:r>
          </w:p>
          <w:p w:rsidR="00712828" w:rsidRPr="00E5405C" w:rsidRDefault="00712828" w:rsidP="00E5405C">
            <w:pPr>
              <w:pStyle w:val="ListParagraph"/>
              <w:numPr>
                <w:ilvl w:val="0"/>
                <w:numId w:val="10"/>
              </w:numPr>
              <w:spacing w:after="0" w:line="240" w:lineRule="auto"/>
              <w:rPr>
                <w:rFonts w:ascii="Arial" w:hAnsi="Arial" w:cs="Arial"/>
                <w:b/>
                <w:bCs/>
                <w:sz w:val="24"/>
                <w:szCs w:val="24"/>
                <w:lang w:eastAsia="en-GB"/>
              </w:rPr>
            </w:pPr>
            <w:r w:rsidRPr="00E5405C">
              <w:rPr>
                <w:rFonts w:ascii="Arial" w:hAnsi="Arial" w:cs="Arial"/>
                <w:bCs/>
                <w:sz w:val="24"/>
                <w:szCs w:val="24"/>
                <w:lang w:eastAsia="en-GB"/>
              </w:rPr>
              <w:t xml:space="preserve">The current sanctions against employers who fail to consult take the form of Protective Awards. Do you think these are proportionate, effective and dissuasive in the context of employers who are imminently facing, or have become insolvent? Is the situation different as it applies to directors and insolvency practitioners respectively?  </w:t>
            </w:r>
          </w:p>
          <w:p w:rsidR="00712828" w:rsidRDefault="00712828" w:rsidP="00E5405C">
            <w:pPr>
              <w:spacing w:after="0" w:line="240" w:lineRule="auto"/>
              <w:rPr>
                <w:rFonts w:ascii="Arial" w:hAnsi="Arial" w:cs="Arial"/>
                <w:bCs/>
                <w:sz w:val="24"/>
                <w:szCs w:val="24"/>
                <w:lang w:eastAsia="en-GB"/>
              </w:rPr>
            </w:pPr>
            <w:r w:rsidRPr="00E5405C">
              <w:rPr>
                <w:rFonts w:ascii="Arial" w:hAnsi="Arial" w:cs="Arial"/>
                <w:bCs/>
                <w:sz w:val="24"/>
                <w:szCs w:val="24"/>
                <w:lang w:eastAsia="en-GB"/>
              </w:rPr>
              <w:t>Do you think that the current sanctions for failing to meet the notification requirements are proportionate, dissuasive and effective?</w:t>
            </w:r>
          </w:p>
          <w:p w:rsidR="00712828" w:rsidRPr="00E5405C" w:rsidRDefault="00712828" w:rsidP="00E5405C">
            <w:pPr>
              <w:spacing w:after="0" w:line="240" w:lineRule="auto"/>
              <w:rPr>
                <w:rFonts w:ascii="Arial" w:hAnsi="Arial" w:cs="Arial"/>
                <w:b/>
                <w:bCs/>
                <w:sz w:val="24"/>
                <w:szCs w:val="24"/>
                <w:lang w:eastAsia="en-GB"/>
              </w:rPr>
            </w:pPr>
          </w:p>
        </w:tc>
      </w:tr>
      <w:tr w:rsidR="00712828" w:rsidRPr="00E5405C" w:rsidTr="00E5405C">
        <w:tc>
          <w:tcPr>
            <w:tcW w:w="9242" w:type="dxa"/>
            <w:shd w:val="clear" w:color="auto" w:fill="E6EED5"/>
          </w:tcPr>
          <w:p w:rsidR="00712828" w:rsidRPr="00E5405C" w:rsidRDefault="00712828" w:rsidP="00E5405C">
            <w:pPr>
              <w:spacing w:after="0" w:line="240" w:lineRule="auto"/>
              <w:rPr>
                <w:rFonts w:ascii="Arial" w:hAnsi="Arial" w:cs="Arial"/>
                <w:b/>
                <w:bCs/>
                <w:sz w:val="24"/>
                <w:szCs w:val="24"/>
                <w:lang w:eastAsia="en-GB"/>
              </w:rPr>
            </w:pPr>
          </w:p>
          <w:p w:rsidR="00712828" w:rsidRPr="00E5405C" w:rsidRDefault="00712828" w:rsidP="00E5405C">
            <w:pPr>
              <w:spacing w:after="0" w:line="240" w:lineRule="auto"/>
              <w:rPr>
                <w:rFonts w:ascii="Arial" w:hAnsi="Arial" w:cs="Arial"/>
                <w:b/>
                <w:bCs/>
                <w:sz w:val="24"/>
                <w:szCs w:val="24"/>
                <w:lang w:eastAsia="en-GB"/>
              </w:rPr>
            </w:pPr>
            <w:r w:rsidRPr="00E5405C">
              <w:rPr>
                <w:rFonts w:ascii="Arial" w:hAnsi="Arial" w:cs="Arial"/>
                <w:b/>
                <w:bCs/>
                <w:sz w:val="24"/>
                <w:szCs w:val="24"/>
                <w:lang w:eastAsia="en-GB"/>
              </w:rPr>
              <w:t xml:space="preserve">Memorandum of Understanding </w:t>
            </w:r>
            <w:r w:rsidRPr="00E5405C">
              <w:rPr>
                <w:rStyle w:val="FootnoteReference"/>
                <w:rFonts w:ascii="Arial" w:hAnsi="Arial" w:cs="Arial"/>
                <w:b/>
                <w:bCs/>
                <w:sz w:val="24"/>
                <w:szCs w:val="24"/>
                <w:lang w:eastAsia="en-GB"/>
              </w:rPr>
              <w:footnoteReference w:id="7"/>
            </w:r>
          </w:p>
          <w:p w:rsidR="00712828" w:rsidRPr="00E5405C" w:rsidRDefault="00712828" w:rsidP="00E5405C">
            <w:pPr>
              <w:pStyle w:val="ListParagraph"/>
              <w:numPr>
                <w:ilvl w:val="0"/>
                <w:numId w:val="10"/>
              </w:numPr>
              <w:spacing w:after="0" w:line="240" w:lineRule="auto"/>
              <w:rPr>
                <w:rFonts w:ascii="Arial" w:hAnsi="Arial" w:cs="Arial"/>
                <w:b/>
                <w:bCs/>
                <w:sz w:val="24"/>
                <w:szCs w:val="24"/>
                <w:lang w:eastAsia="en-GB"/>
              </w:rPr>
            </w:pPr>
            <w:r w:rsidRPr="00E5405C">
              <w:rPr>
                <w:rFonts w:ascii="Arial" w:hAnsi="Arial" w:cs="Arial"/>
                <w:bCs/>
                <w:sz w:val="24"/>
                <w:szCs w:val="24"/>
                <w:lang w:eastAsia="en-GB"/>
              </w:rPr>
              <w:t xml:space="preserve">How well is the memorandum of understanding between R3, Job Centre Plus and the Insolvency Service working? </w:t>
            </w:r>
            <w:r w:rsidRPr="00E5405C">
              <w:rPr>
                <w:rFonts w:ascii="Arial" w:hAnsi="Arial" w:cs="Arial"/>
                <w:b/>
                <w:bCs/>
                <w:sz w:val="24"/>
                <w:szCs w:val="24"/>
                <w:lang w:eastAsia="en-GB"/>
              </w:rPr>
              <w:t xml:space="preserve"> </w:t>
            </w:r>
          </w:p>
        </w:tc>
      </w:tr>
    </w:tbl>
    <w:p w:rsidR="00712828" w:rsidRPr="007C41A6" w:rsidRDefault="00712828" w:rsidP="00D42A76">
      <w:pPr>
        <w:rPr>
          <w:rFonts w:ascii="Arial" w:hAnsi="Arial" w:cs="Arial"/>
          <w:lang w:eastAsia="en-GB"/>
        </w:rPr>
      </w:pPr>
    </w:p>
    <w:sectPr w:rsidR="00712828" w:rsidRPr="007C41A6" w:rsidSect="0093495E">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828" w:rsidRDefault="00712828" w:rsidP="002E3652">
      <w:pPr>
        <w:spacing w:after="0" w:line="240" w:lineRule="auto"/>
      </w:pPr>
      <w:r>
        <w:separator/>
      </w:r>
    </w:p>
  </w:endnote>
  <w:endnote w:type="continuationSeparator" w:id="0">
    <w:p w:rsidR="00712828" w:rsidRDefault="00712828" w:rsidP="002E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828" w:rsidRDefault="00712828">
    <w:pPr>
      <w:pStyle w:val="Footer"/>
      <w:jc w:val="right"/>
    </w:pPr>
    <w:fldSimple w:instr=" PAGE   \* MERGEFORMAT ">
      <w:r>
        <w:rPr>
          <w:noProof/>
        </w:rPr>
        <w:t>4</w:t>
      </w:r>
    </w:fldSimple>
  </w:p>
  <w:p w:rsidR="00712828" w:rsidRDefault="007128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828" w:rsidRDefault="00712828" w:rsidP="002E3652">
      <w:pPr>
        <w:spacing w:after="0" w:line="240" w:lineRule="auto"/>
      </w:pPr>
      <w:r>
        <w:separator/>
      </w:r>
    </w:p>
  </w:footnote>
  <w:footnote w:type="continuationSeparator" w:id="0">
    <w:p w:rsidR="00712828" w:rsidRDefault="00712828" w:rsidP="002E3652">
      <w:pPr>
        <w:spacing w:after="0" w:line="240" w:lineRule="auto"/>
      </w:pPr>
      <w:r>
        <w:continuationSeparator/>
      </w:r>
    </w:p>
  </w:footnote>
  <w:footnote w:id="1">
    <w:p w:rsidR="00712828" w:rsidRDefault="00712828">
      <w:pPr>
        <w:pStyle w:val="FootnoteText"/>
      </w:pPr>
      <w:r w:rsidRPr="00ED25BF">
        <w:rPr>
          <w:rStyle w:val="FootnoteReference"/>
          <w:sz w:val="18"/>
          <w:szCs w:val="18"/>
        </w:rPr>
        <w:footnoteRef/>
      </w:r>
      <w:r w:rsidRPr="00ED25BF">
        <w:rPr>
          <w:sz w:val="18"/>
          <w:szCs w:val="18"/>
        </w:rPr>
        <w:t xml:space="preserve"> </w:t>
      </w:r>
      <w:hyperlink r:id="rId1" w:history="1">
        <w:r w:rsidRPr="00ED25BF">
          <w:rPr>
            <w:rStyle w:val="Hyperlink"/>
            <w:sz w:val="18"/>
            <w:szCs w:val="18"/>
          </w:rPr>
          <w:t>http://eur-lex.europa.eu/legal-content/EN/TXT/?qid=1416497123394&amp;uri=CELEX:31998L0059</w:t>
        </w:r>
      </w:hyperlink>
      <w:r w:rsidRPr="00ED25BF">
        <w:rPr>
          <w:sz w:val="18"/>
          <w:szCs w:val="18"/>
        </w:rPr>
        <w:t xml:space="preserve">  </w:t>
      </w:r>
    </w:p>
  </w:footnote>
  <w:footnote w:id="2">
    <w:p w:rsidR="00712828" w:rsidRDefault="00712828">
      <w:pPr>
        <w:pStyle w:val="FootnoteText"/>
      </w:pPr>
      <w:r>
        <w:rPr>
          <w:rStyle w:val="FootnoteReference"/>
        </w:rPr>
        <w:footnoteRef/>
      </w:r>
      <w:r>
        <w:t xml:space="preserve"> Articles 33, 39, 40 and 44 under Chapter 11 of Dear IP, range from December 2008, Issue 38, to October 2010, Issue 47. Can be accessed via: </w:t>
      </w:r>
      <w:hyperlink r:id="rId2" w:history="1">
        <w:r w:rsidRPr="00ED25BF">
          <w:rPr>
            <w:rStyle w:val="Hyperlink"/>
            <w:color w:val="4F81BD"/>
            <w:sz w:val="18"/>
            <w:szCs w:val="18"/>
          </w:rPr>
          <w:t>https://www.insolvencydirect.bis.gov.uk/insolvencyprofessionandlegislation/dearip/dearipindex.htm</w:t>
        </w:r>
      </w:hyperlink>
      <w:r w:rsidRPr="00ED25BF">
        <w:rPr>
          <w:color w:val="4F81BD"/>
          <w:sz w:val="18"/>
          <w:szCs w:val="18"/>
        </w:rPr>
        <w:t xml:space="preserve"> </w:t>
      </w:r>
    </w:p>
  </w:footnote>
  <w:footnote w:id="3">
    <w:p w:rsidR="00712828" w:rsidRDefault="00712828">
      <w:pPr>
        <w:pStyle w:val="FootnoteText"/>
      </w:pPr>
      <w:r w:rsidRPr="00ED25BF">
        <w:rPr>
          <w:rStyle w:val="FootnoteReference"/>
          <w:sz w:val="18"/>
          <w:szCs w:val="18"/>
        </w:rPr>
        <w:footnoteRef/>
      </w:r>
      <w:r w:rsidRPr="00ED25BF">
        <w:rPr>
          <w:sz w:val="18"/>
          <w:szCs w:val="18"/>
        </w:rPr>
        <w:t xml:space="preserve"> </w:t>
      </w:r>
      <w:r w:rsidRPr="00ED25BF">
        <w:rPr>
          <w:color w:val="4F81BD"/>
          <w:sz w:val="18"/>
          <w:szCs w:val="18"/>
        </w:rPr>
        <w:t xml:space="preserve"> </w:t>
      </w:r>
      <w:hyperlink r:id="rId3" w:history="1">
        <w:r w:rsidRPr="00ED25BF">
          <w:rPr>
            <w:rStyle w:val="Hyperlink"/>
            <w:color w:val="4F81BD"/>
            <w:sz w:val="18"/>
            <w:szCs w:val="18"/>
          </w:rPr>
          <w:t>https://www.gov.uk/government/publications/workers-of-companies-facing-closure-memorandum-of-understanding</w:t>
        </w:r>
      </w:hyperlink>
      <w:r w:rsidRPr="00ED25BF">
        <w:rPr>
          <w:color w:val="4F81BD"/>
          <w:sz w:val="18"/>
          <w:szCs w:val="18"/>
        </w:rPr>
        <w:t xml:space="preserve"> </w:t>
      </w:r>
    </w:p>
  </w:footnote>
  <w:footnote w:id="4">
    <w:p w:rsidR="00712828" w:rsidRDefault="00712828">
      <w:pPr>
        <w:pStyle w:val="FootnoteText"/>
      </w:pPr>
      <w:r w:rsidRPr="00ED25BF">
        <w:rPr>
          <w:rStyle w:val="FootnoteReference"/>
          <w:sz w:val="18"/>
          <w:szCs w:val="18"/>
        </w:rPr>
        <w:footnoteRef/>
      </w:r>
      <w:r w:rsidRPr="00ED25BF">
        <w:rPr>
          <w:sz w:val="18"/>
          <w:szCs w:val="18"/>
        </w:rPr>
        <w:t xml:space="preserve"> </w:t>
      </w:r>
      <w:hyperlink r:id="rId4" w:history="1">
        <w:r w:rsidRPr="00ED25BF">
          <w:rPr>
            <w:rStyle w:val="Hyperlink"/>
            <w:color w:val="4F81BD"/>
            <w:sz w:val="18"/>
            <w:szCs w:val="18"/>
          </w:rPr>
          <w:t>https://www.gov.uk/government/consultations/call-for-evidence-uo-collective-redundancy-consultation-rules</w:t>
        </w:r>
      </w:hyperlink>
      <w:r w:rsidRPr="00ED25BF">
        <w:rPr>
          <w:color w:val="4F81BD"/>
          <w:sz w:val="18"/>
          <w:szCs w:val="18"/>
        </w:rPr>
        <w:t xml:space="preserve"> </w:t>
      </w:r>
    </w:p>
  </w:footnote>
  <w:footnote w:id="5">
    <w:p w:rsidR="00712828" w:rsidRDefault="00712828">
      <w:pPr>
        <w:pStyle w:val="FootnoteText"/>
      </w:pPr>
      <w:r w:rsidRPr="00ED25BF">
        <w:rPr>
          <w:rStyle w:val="FootnoteReference"/>
          <w:sz w:val="18"/>
          <w:szCs w:val="18"/>
        </w:rPr>
        <w:footnoteRef/>
      </w:r>
      <w:r w:rsidRPr="00ED25BF">
        <w:rPr>
          <w:sz w:val="18"/>
          <w:szCs w:val="18"/>
        </w:rPr>
        <w:t xml:space="preserve"> </w:t>
      </w:r>
      <w:hyperlink r:id="rId5" w:history="1">
        <w:r w:rsidRPr="00ED25BF">
          <w:rPr>
            <w:rStyle w:val="Hyperlink"/>
            <w:color w:val="4F81BD"/>
            <w:sz w:val="18"/>
            <w:szCs w:val="18"/>
          </w:rPr>
          <w:t>https://www.gov.uk/government/consultations/collective-redundancies-consultation-on-changes-to-the-rules</w:t>
        </w:r>
      </w:hyperlink>
      <w:r w:rsidRPr="00ED25BF">
        <w:rPr>
          <w:color w:val="4F81BD"/>
          <w:sz w:val="18"/>
          <w:szCs w:val="18"/>
        </w:rPr>
        <w:t xml:space="preserve"> </w:t>
      </w:r>
    </w:p>
  </w:footnote>
  <w:footnote w:id="6">
    <w:p w:rsidR="00712828" w:rsidRDefault="00712828">
      <w:pPr>
        <w:pStyle w:val="FootnoteText"/>
      </w:pPr>
      <w:r w:rsidRPr="00ED25BF">
        <w:rPr>
          <w:rStyle w:val="FootnoteReference"/>
          <w:sz w:val="18"/>
          <w:szCs w:val="18"/>
        </w:rPr>
        <w:footnoteRef/>
      </w:r>
      <w:r w:rsidRPr="00ED25BF">
        <w:rPr>
          <w:sz w:val="18"/>
          <w:szCs w:val="18"/>
        </w:rPr>
        <w:t xml:space="preserve"> </w:t>
      </w:r>
      <w:hyperlink r:id="rId6" w:history="1">
        <w:r w:rsidRPr="00ED25BF">
          <w:rPr>
            <w:rStyle w:val="Hyperlink"/>
            <w:color w:val="4F81BD"/>
            <w:sz w:val="18"/>
            <w:szCs w:val="18"/>
          </w:rPr>
          <w:t>http://www.acas.org.uk/media/pdf/h/3/Handling-large-scale-collective-redundancies-advisory-booklet.pdf</w:t>
        </w:r>
      </w:hyperlink>
      <w:r w:rsidRPr="00FF3FB6">
        <w:rPr>
          <w:color w:val="4F81BD"/>
        </w:rPr>
        <w:t xml:space="preserve"> </w:t>
      </w:r>
    </w:p>
  </w:footnote>
  <w:footnote w:id="7">
    <w:p w:rsidR="00712828" w:rsidRDefault="00712828">
      <w:pPr>
        <w:pStyle w:val="FootnoteText"/>
      </w:pPr>
      <w:r w:rsidRPr="00ED25BF">
        <w:rPr>
          <w:rStyle w:val="FootnoteReference"/>
          <w:sz w:val="18"/>
          <w:szCs w:val="18"/>
        </w:rPr>
        <w:footnoteRef/>
      </w:r>
      <w:r w:rsidRPr="00ED25BF">
        <w:rPr>
          <w:sz w:val="18"/>
          <w:szCs w:val="18"/>
        </w:rPr>
        <w:t xml:space="preserve"> </w:t>
      </w:r>
      <w:hyperlink r:id="rId7" w:history="1">
        <w:r w:rsidRPr="00ED25BF">
          <w:rPr>
            <w:rStyle w:val="Hyperlink"/>
            <w:color w:val="4F81BD"/>
            <w:sz w:val="18"/>
            <w:szCs w:val="18"/>
          </w:rPr>
          <w:t>https://www.gov.uk/government/publications/workers-of-companies-facing-closure-memorandum-of-understanding</w:t>
        </w:r>
      </w:hyperlink>
      <w:r w:rsidRPr="00ED25BF">
        <w:rPr>
          <w:color w:val="4F81BD"/>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CAE03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27227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B8AA9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6F29A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E82CA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9E73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34DB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A896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0E67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66D14A"/>
    <w:lvl w:ilvl="0">
      <w:start w:val="1"/>
      <w:numFmt w:val="bullet"/>
      <w:lvlText w:val=""/>
      <w:lvlJc w:val="left"/>
      <w:pPr>
        <w:tabs>
          <w:tab w:val="num" w:pos="360"/>
        </w:tabs>
        <w:ind w:left="360" w:hanging="360"/>
      </w:pPr>
      <w:rPr>
        <w:rFonts w:ascii="Symbol" w:hAnsi="Symbol" w:hint="default"/>
      </w:rPr>
    </w:lvl>
  </w:abstractNum>
  <w:abstractNum w:abstractNumId="10">
    <w:nsid w:val="03B744A4"/>
    <w:multiLevelType w:val="hybridMultilevel"/>
    <w:tmpl w:val="ABBCC326"/>
    <w:lvl w:ilvl="0" w:tplc="FF5E442C">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4415A4"/>
    <w:multiLevelType w:val="hybridMultilevel"/>
    <w:tmpl w:val="41A495AE"/>
    <w:lvl w:ilvl="0" w:tplc="D716E634">
      <w:start w:val="1"/>
      <w:numFmt w:val="decimal"/>
      <w:lvlText w:val="%1)"/>
      <w:lvlJc w:val="left"/>
      <w:pPr>
        <w:ind w:left="720" w:hanging="360"/>
      </w:pPr>
      <w:rPr>
        <w:rFonts w:ascii="Calibri" w:hAnsi="Calibri" w:cs="Times New Roman" w:hint="default"/>
        <w:b/>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F152EDD"/>
    <w:multiLevelType w:val="hybridMultilevel"/>
    <w:tmpl w:val="47560B18"/>
    <w:lvl w:ilvl="0" w:tplc="C63C669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A12E2E"/>
    <w:multiLevelType w:val="hybridMultilevel"/>
    <w:tmpl w:val="CDE2DACE"/>
    <w:lvl w:ilvl="0" w:tplc="D716E634">
      <w:start w:val="1"/>
      <w:numFmt w:val="decimal"/>
      <w:lvlText w:val="%1)"/>
      <w:lvlJc w:val="left"/>
      <w:pPr>
        <w:ind w:left="720" w:hanging="360"/>
      </w:pPr>
      <w:rPr>
        <w:rFonts w:ascii="Calibri" w:hAnsi="Calibri" w:cs="Times New Roman" w:hint="default"/>
        <w:b/>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2D70F61"/>
    <w:multiLevelType w:val="hybridMultilevel"/>
    <w:tmpl w:val="2BC484A0"/>
    <w:lvl w:ilvl="0" w:tplc="7AFC7802">
      <w:start w:val="3"/>
      <w:numFmt w:val="decimal"/>
      <w:lvlText w:val="%1)"/>
      <w:lvlJc w:val="left"/>
      <w:pPr>
        <w:ind w:left="720" w:hanging="360"/>
      </w:pPr>
      <w:rPr>
        <w:rFonts w:ascii="Calibri" w:hAnsi="Calibri" w:cs="Times New Roman" w:hint="default"/>
        <w:b/>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72404E6"/>
    <w:multiLevelType w:val="hybridMultilevel"/>
    <w:tmpl w:val="6F9878EE"/>
    <w:lvl w:ilvl="0" w:tplc="D716E634">
      <w:start w:val="1"/>
      <w:numFmt w:val="decimal"/>
      <w:lvlText w:val="%1)"/>
      <w:lvlJc w:val="left"/>
      <w:pPr>
        <w:ind w:left="720" w:hanging="360"/>
      </w:pPr>
      <w:rPr>
        <w:rFonts w:ascii="Calibri" w:hAnsi="Calibri" w:cs="Times New Roman" w:hint="default"/>
        <w:b/>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8EB25F3"/>
    <w:multiLevelType w:val="hybridMultilevel"/>
    <w:tmpl w:val="1FA6A24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15C7C70"/>
    <w:multiLevelType w:val="hybridMultilevel"/>
    <w:tmpl w:val="350A4A66"/>
    <w:lvl w:ilvl="0" w:tplc="C63C669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D2516B"/>
    <w:multiLevelType w:val="hybridMultilevel"/>
    <w:tmpl w:val="CDE2DACE"/>
    <w:lvl w:ilvl="0" w:tplc="D716E634">
      <w:start w:val="1"/>
      <w:numFmt w:val="decimal"/>
      <w:lvlText w:val="%1)"/>
      <w:lvlJc w:val="left"/>
      <w:pPr>
        <w:ind w:left="720" w:hanging="360"/>
      </w:pPr>
      <w:rPr>
        <w:rFonts w:ascii="Calibri" w:hAnsi="Calibri" w:cs="Times New Roman" w:hint="default"/>
        <w:b/>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E370A6D"/>
    <w:multiLevelType w:val="hybridMultilevel"/>
    <w:tmpl w:val="BF9EC8BE"/>
    <w:lvl w:ilvl="0" w:tplc="006C9E48">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10"/>
  </w:num>
  <w:num w:numId="3">
    <w:abstractNumId w:val="16"/>
  </w:num>
  <w:num w:numId="4">
    <w:abstractNumId w:val="12"/>
  </w:num>
  <w:num w:numId="5">
    <w:abstractNumId w:val="19"/>
  </w:num>
  <w:num w:numId="6">
    <w:abstractNumId w:val="15"/>
  </w:num>
  <w:num w:numId="7">
    <w:abstractNumId w:val="11"/>
  </w:num>
  <w:num w:numId="8">
    <w:abstractNumId w:val="18"/>
  </w:num>
  <w:num w:numId="9">
    <w:abstractNumId w:val="13"/>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652"/>
    <w:rsid w:val="00053D65"/>
    <w:rsid w:val="00085221"/>
    <w:rsid w:val="000C0DFC"/>
    <w:rsid w:val="000F19A1"/>
    <w:rsid w:val="001036F5"/>
    <w:rsid w:val="00130F8A"/>
    <w:rsid w:val="001524A6"/>
    <w:rsid w:val="00195772"/>
    <w:rsid w:val="001B41E1"/>
    <w:rsid w:val="001C6590"/>
    <w:rsid w:val="001E76C3"/>
    <w:rsid w:val="00200062"/>
    <w:rsid w:val="00206313"/>
    <w:rsid w:val="00231931"/>
    <w:rsid w:val="00246EBA"/>
    <w:rsid w:val="00256B26"/>
    <w:rsid w:val="00264113"/>
    <w:rsid w:val="002979A2"/>
    <w:rsid w:val="002C3D59"/>
    <w:rsid w:val="002C6C82"/>
    <w:rsid w:val="002E3652"/>
    <w:rsid w:val="002E5B95"/>
    <w:rsid w:val="003013B6"/>
    <w:rsid w:val="0030568F"/>
    <w:rsid w:val="00332D88"/>
    <w:rsid w:val="00360E1B"/>
    <w:rsid w:val="0038267D"/>
    <w:rsid w:val="003A42FE"/>
    <w:rsid w:val="003D4AD9"/>
    <w:rsid w:val="003D7035"/>
    <w:rsid w:val="00400F72"/>
    <w:rsid w:val="00425008"/>
    <w:rsid w:val="00437F1D"/>
    <w:rsid w:val="00474EAD"/>
    <w:rsid w:val="00477118"/>
    <w:rsid w:val="0049260D"/>
    <w:rsid w:val="004A0596"/>
    <w:rsid w:val="004B3DA1"/>
    <w:rsid w:val="004B46F5"/>
    <w:rsid w:val="004C1133"/>
    <w:rsid w:val="004D0038"/>
    <w:rsid w:val="00502FAF"/>
    <w:rsid w:val="0050723A"/>
    <w:rsid w:val="00522CBA"/>
    <w:rsid w:val="00526F02"/>
    <w:rsid w:val="00556405"/>
    <w:rsid w:val="00571A63"/>
    <w:rsid w:val="00572776"/>
    <w:rsid w:val="00573817"/>
    <w:rsid w:val="005968B1"/>
    <w:rsid w:val="005F34FF"/>
    <w:rsid w:val="006102BC"/>
    <w:rsid w:val="00655BF5"/>
    <w:rsid w:val="006576F9"/>
    <w:rsid w:val="00667112"/>
    <w:rsid w:val="006A5067"/>
    <w:rsid w:val="006A62B5"/>
    <w:rsid w:val="006D7620"/>
    <w:rsid w:val="00703C4C"/>
    <w:rsid w:val="00705F5D"/>
    <w:rsid w:val="00712828"/>
    <w:rsid w:val="00715D5F"/>
    <w:rsid w:val="00773CD9"/>
    <w:rsid w:val="00787499"/>
    <w:rsid w:val="007B3D1B"/>
    <w:rsid w:val="007C41A6"/>
    <w:rsid w:val="007C6E85"/>
    <w:rsid w:val="007F5DE4"/>
    <w:rsid w:val="00815F5B"/>
    <w:rsid w:val="008412D0"/>
    <w:rsid w:val="00861133"/>
    <w:rsid w:val="00885E01"/>
    <w:rsid w:val="008B6782"/>
    <w:rsid w:val="008C65E4"/>
    <w:rsid w:val="008E2103"/>
    <w:rsid w:val="008F2018"/>
    <w:rsid w:val="009122AD"/>
    <w:rsid w:val="009168DE"/>
    <w:rsid w:val="00931FB5"/>
    <w:rsid w:val="0093495E"/>
    <w:rsid w:val="009542EB"/>
    <w:rsid w:val="00992816"/>
    <w:rsid w:val="009A0691"/>
    <w:rsid w:val="009A4985"/>
    <w:rsid w:val="009C342C"/>
    <w:rsid w:val="00A21871"/>
    <w:rsid w:val="00A45E57"/>
    <w:rsid w:val="00A6083D"/>
    <w:rsid w:val="00A702C1"/>
    <w:rsid w:val="00A746ED"/>
    <w:rsid w:val="00A82B63"/>
    <w:rsid w:val="00A91D86"/>
    <w:rsid w:val="00AA1779"/>
    <w:rsid w:val="00AA71FC"/>
    <w:rsid w:val="00AF5787"/>
    <w:rsid w:val="00AF5AD7"/>
    <w:rsid w:val="00B23579"/>
    <w:rsid w:val="00B57E47"/>
    <w:rsid w:val="00B742C2"/>
    <w:rsid w:val="00B84410"/>
    <w:rsid w:val="00B869E6"/>
    <w:rsid w:val="00BB3010"/>
    <w:rsid w:val="00BF1238"/>
    <w:rsid w:val="00C46ACD"/>
    <w:rsid w:val="00C641C3"/>
    <w:rsid w:val="00C80182"/>
    <w:rsid w:val="00C80D62"/>
    <w:rsid w:val="00CA222D"/>
    <w:rsid w:val="00CB2F98"/>
    <w:rsid w:val="00CB5BB6"/>
    <w:rsid w:val="00CD1C7A"/>
    <w:rsid w:val="00D34D29"/>
    <w:rsid w:val="00D42A76"/>
    <w:rsid w:val="00D5524C"/>
    <w:rsid w:val="00D77F89"/>
    <w:rsid w:val="00D81D48"/>
    <w:rsid w:val="00D8237C"/>
    <w:rsid w:val="00D82C5B"/>
    <w:rsid w:val="00DB463C"/>
    <w:rsid w:val="00DC3EC9"/>
    <w:rsid w:val="00DE31C5"/>
    <w:rsid w:val="00DE692C"/>
    <w:rsid w:val="00E01551"/>
    <w:rsid w:val="00E040CB"/>
    <w:rsid w:val="00E51905"/>
    <w:rsid w:val="00E5405C"/>
    <w:rsid w:val="00E642D9"/>
    <w:rsid w:val="00E9622B"/>
    <w:rsid w:val="00EB2155"/>
    <w:rsid w:val="00EC676C"/>
    <w:rsid w:val="00ED25BF"/>
    <w:rsid w:val="00EE50C7"/>
    <w:rsid w:val="00EF27DC"/>
    <w:rsid w:val="00EF6B36"/>
    <w:rsid w:val="00F0329A"/>
    <w:rsid w:val="00F463A8"/>
    <w:rsid w:val="00F65983"/>
    <w:rsid w:val="00F80CAC"/>
    <w:rsid w:val="00FC571B"/>
    <w:rsid w:val="00FE2010"/>
    <w:rsid w:val="00FF3FB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D4AD9"/>
    <w:pPr>
      <w:spacing w:after="200" w:line="276" w:lineRule="auto"/>
    </w:pPr>
    <w:rPr>
      <w:lang w:eastAsia="en-US"/>
    </w:rPr>
  </w:style>
  <w:style w:type="paragraph" w:styleId="Heading1">
    <w:name w:val="heading 1"/>
    <w:basedOn w:val="Normal"/>
    <w:next w:val="Normal"/>
    <w:link w:val="Heading1Char"/>
    <w:uiPriority w:val="99"/>
    <w:qFormat/>
    <w:rsid w:val="003D7035"/>
    <w:pPr>
      <w:outlineLvl w:val="0"/>
    </w:pPr>
    <w:rPr>
      <w:color w:val="1F497D"/>
      <w:sz w:val="32"/>
      <w:lang w:eastAsia="en-GB"/>
    </w:rPr>
  </w:style>
  <w:style w:type="paragraph" w:styleId="Heading2">
    <w:name w:val="heading 2"/>
    <w:basedOn w:val="Heading1"/>
    <w:next w:val="Normal"/>
    <w:link w:val="Heading2Char"/>
    <w:uiPriority w:val="99"/>
    <w:qFormat/>
    <w:rsid w:val="00D82C5B"/>
    <w:pPr>
      <w:outlineLvl w:val="1"/>
    </w:pPr>
  </w:style>
  <w:style w:type="paragraph" w:styleId="Heading3">
    <w:name w:val="heading 3"/>
    <w:basedOn w:val="Normal"/>
    <w:next w:val="Normal"/>
    <w:link w:val="Heading3Char"/>
    <w:uiPriority w:val="99"/>
    <w:qFormat/>
    <w:rsid w:val="00CB2F98"/>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7035"/>
    <w:rPr>
      <w:rFonts w:cs="Times New Roman"/>
      <w:color w:val="1F497D"/>
      <w:sz w:val="32"/>
      <w:lang w:eastAsia="en-GB"/>
    </w:rPr>
  </w:style>
  <w:style w:type="character" w:customStyle="1" w:styleId="Heading2Char">
    <w:name w:val="Heading 2 Char"/>
    <w:basedOn w:val="DefaultParagraphFont"/>
    <w:link w:val="Heading2"/>
    <w:uiPriority w:val="99"/>
    <w:locked/>
    <w:rsid w:val="00D82C5B"/>
    <w:rPr>
      <w:rFonts w:cs="Times New Roman"/>
      <w:color w:val="1F497D"/>
      <w:sz w:val="32"/>
      <w:lang w:eastAsia="en-GB"/>
    </w:rPr>
  </w:style>
  <w:style w:type="character" w:customStyle="1" w:styleId="Heading3Char">
    <w:name w:val="Heading 3 Char"/>
    <w:basedOn w:val="DefaultParagraphFont"/>
    <w:link w:val="Heading3"/>
    <w:uiPriority w:val="99"/>
    <w:locked/>
    <w:rsid w:val="00CB2F98"/>
    <w:rPr>
      <w:rFonts w:ascii="Cambria" w:hAnsi="Cambria" w:cs="Times New Roman"/>
      <w:b/>
      <w:bCs/>
      <w:color w:val="4F81BD"/>
    </w:rPr>
  </w:style>
  <w:style w:type="paragraph" w:styleId="BalloonText">
    <w:name w:val="Balloon Text"/>
    <w:basedOn w:val="Normal"/>
    <w:link w:val="BalloonTextChar"/>
    <w:uiPriority w:val="99"/>
    <w:semiHidden/>
    <w:rsid w:val="002E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652"/>
    <w:rPr>
      <w:rFonts w:ascii="Tahoma" w:hAnsi="Tahoma" w:cs="Tahoma"/>
      <w:sz w:val="16"/>
      <w:szCs w:val="16"/>
    </w:rPr>
  </w:style>
  <w:style w:type="paragraph" w:styleId="Header">
    <w:name w:val="header"/>
    <w:basedOn w:val="Normal"/>
    <w:link w:val="HeaderChar"/>
    <w:uiPriority w:val="99"/>
    <w:rsid w:val="002E365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E3652"/>
    <w:rPr>
      <w:rFonts w:cs="Times New Roman"/>
    </w:rPr>
  </w:style>
  <w:style w:type="paragraph" w:styleId="Footer">
    <w:name w:val="footer"/>
    <w:basedOn w:val="Normal"/>
    <w:link w:val="FooterChar"/>
    <w:uiPriority w:val="99"/>
    <w:rsid w:val="002E365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E3652"/>
    <w:rPr>
      <w:rFonts w:cs="Times New Roman"/>
    </w:rPr>
  </w:style>
  <w:style w:type="paragraph" w:styleId="Title">
    <w:name w:val="Title"/>
    <w:basedOn w:val="Normal"/>
    <w:next w:val="Normal"/>
    <w:link w:val="TitleChar"/>
    <w:uiPriority w:val="99"/>
    <w:qFormat/>
    <w:rsid w:val="001036F5"/>
    <w:rPr>
      <w:rFonts w:ascii="Century Gothic" w:hAnsi="Century Gothic"/>
      <w:noProof/>
      <w:color w:val="1F497D"/>
      <w:sz w:val="72"/>
      <w:szCs w:val="72"/>
      <w:lang w:eastAsia="en-GB"/>
    </w:rPr>
  </w:style>
  <w:style w:type="character" w:customStyle="1" w:styleId="TitleChar">
    <w:name w:val="Title Char"/>
    <w:basedOn w:val="DefaultParagraphFont"/>
    <w:link w:val="Title"/>
    <w:uiPriority w:val="99"/>
    <w:locked/>
    <w:rsid w:val="001036F5"/>
    <w:rPr>
      <w:rFonts w:ascii="Century Gothic" w:hAnsi="Century Gothic" w:cs="Times New Roman"/>
      <w:noProof/>
      <w:color w:val="1F497D"/>
      <w:sz w:val="72"/>
      <w:szCs w:val="72"/>
      <w:lang w:eastAsia="en-GB"/>
    </w:rPr>
  </w:style>
  <w:style w:type="paragraph" w:styleId="TOCHeading">
    <w:name w:val="TOC Heading"/>
    <w:basedOn w:val="Heading1"/>
    <w:next w:val="Normal"/>
    <w:uiPriority w:val="99"/>
    <w:qFormat/>
    <w:rsid w:val="00DC3EC9"/>
    <w:pPr>
      <w:outlineLvl w:val="9"/>
    </w:pPr>
    <w:rPr>
      <w:lang w:val="en-US" w:eastAsia="ja-JP"/>
    </w:rPr>
  </w:style>
  <w:style w:type="paragraph" w:styleId="TOC1">
    <w:name w:val="toc 1"/>
    <w:basedOn w:val="Normal"/>
    <w:next w:val="Normal"/>
    <w:autoRedefine/>
    <w:uiPriority w:val="99"/>
    <w:rsid w:val="00DC3EC9"/>
    <w:pPr>
      <w:spacing w:after="100"/>
    </w:pPr>
  </w:style>
  <w:style w:type="character" w:styleId="Hyperlink">
    <w:name w:val="Hyperlink"/>
    <w:basedOn w:val="DefaultParagraphFont"/>
    <w:uiPriority w:val="99"/>
    <w:rsid w:val="00DC3EC9"/>
    <w:rPr>
      <w:rFonts w:cs="Times New Roman"/>
      <w:color w:val="0000FF"/>
      <w:u w:val="single"/>
    </w:rPr>
  </w:style>
  <w:style w:type="paragraph" w:styleId="ListParagraph">
    <w:name w:val="List Paragraph"/>
    <w:basedOn w:val="Normal"/>
    <w:uiPriority w:val="99"/>
    <w:qFormat/>
    <w:rsid w:val="00F65983"/>
    <w:pPr>
      <w:ind w:left="720"/>
      <w:contextualSpacing/>
    </w:pPr>
  </w:style>
  <w:style w:type="table" w:styleId="LightGrid-Accent3">
    <w:name w:val="Light Grid Accent 3"/>
    <w:basedOn w:val="TableNormal"/>
    <w:uiPriority w:val="99"/>
    <w:rsid w:val="003D7035"/>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FootnoteText">
    <w:name w:val="footnote text"/>
    <w:basedOn w:val="Normal"/>
    <w:link w:val="FootnoteTextChar"/>
    <w:uiPriority w:val="99"/>
    <w:semiHidden/>
    <w:rsid w:val="0023193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31931"/>
    <w:rPr>
      <w:rFonts w:cs="Times New Roman"/>
      <w:sz w:val="20"/>
      <w:szCs w:val="20"/>
    </w:rPr>
  </w:style>
  <w:style w:type="character" w:styleId="FootnoteReference">
    <w:name w:val="footnote reference"/>
    <w:basedOn w:val="DefaultParagraphFont"/>
    <w:uiPriority w:val="99"/>
    <w:semiHidden/>
    <w:rsid w:val="00231931"/>
    <w:rPr>
      <w:rFonts w:cs="Times New Roman"/>
      <w:vertAlign w:val="superscript"/>
    </w:rPr>
  </w:style>
  <w:style w:type="paragraph" w:styleId="TOC2">
    <w:name w:val="toc 2"/>
    <w:basedOn w:val="Normal"/>
    <w:next w:val="Normal"/>
    <w:autoRedefine/>
    <w:uiPriority w:val="99"/>
    <w:rsid w:val="00D82C5B"/>
    <w:pPr>
      <w:spacing w:after="100"/>
      <w:ind w:left="220"/>
    </w:pPr>
  </w:style>
  <w:style w:type="table" w:styleId="TableGrid">
    <w:name w:val="Table Grid"/>
    <w:basedOn w:val="TableNormal"/>
    <w:uiPriority w:val="99"/>
    <w:rsid w:val="003056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99"/>
    <w:rsid w:val="0030568F"/>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LightGrid-Accent31">
    <w:name w:val="Light Grid - Accent 31"/>
    <w:uiPriority w:val="99"/>
    <w:rsid w:val="003D4AD9"/>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FollowedHyperlink">
    <w:name w:val="FollowedHyperlink"/>
    <w:basedOn w:val="DefaultParagraphFont"/>
    <w:uiPriority w:val="99"/>
    <w:semiHidden/>
    <w:rsid w:val="00195772"/>
    <w:rPr>
      <w:rFonts w:cs="Times New Roman"/>
      <w:color w:val="800080"/>
      <w:u w:val="single"/>
    </w:rPr>
  </w:style>
  <w:style w:type="character" w:styleId="CommentReference">
    <w:name w:val="annotation reference"/>
    <w:basedOn w:val="DefaultParagraphFont"/>
    <w:uiPriority w:val="99"/>
    <w:semiHidden/>
    <w:rsid w:val="007C6E85"/>
    <w:rPr>
      <w:rFonts w:cs="Times New Roman"/>
      <w:sz w:val="16"/>
      <w:szCs w:val="16"/>
    </w:rPr>
  </w:style>
  <w:style w:type="paragraph" w:styleId="CommentText">
    <w:name w:val="annotation text"/>
    <w:basedOn w:val="Normal"/>
    <w:link w:val="CommentTextChar"/>
    <w:uiPriority w:val="99"/>
    <w:rsid w:val="007C6E85"/>
    <w:pPr>
      <w:spacing w:line="240" w:lineRule="auto"/>
    </w:pPr>
    <w:rPr>
      <w:sz w:val="20"/>
      <w:szCs w:val="20"/>
    </w:rPr>
  </w:style>
  <w:style w:type="character" w:customStyle="1" w:styleId="CommentTextChar">
    <w:name w:val="Comment Text Char"/>
    <w:basedOn w:val="DefaultParagraphFont"/>
    <w:link w:val="CommentText"/>
    <w:uiPriority w:val="99"/>
    <w:locked/>
    <w:rsid w:val="007C6E85"/>
    <w:rPr>
      <w:rFonts w:cs="Times New Roman"/>
      <w:sz w:val="20"/>
      <w:szCs w:val="20"/>
    </w:rPr>
  </w:style>
  <w:style w:type="paragraph" w:styleId="CommentSubject">
    <w:name w:val="annotation subject"/>
    <w:basedOn w:val="CommentText"/>
    <w:next w:val="CommentText"/>
    <w:link w:val="CommentSubjectChar"/>
    <w:uiPriority w:val="99"/>
    <w:semiHidden/>
    <w:rsid w:val="007C6E85"/>
    <w:rPr>
      <w:b/>
      <w:bCs/>
    </w:rPr>
  </w:style>
  <w:style w:type="character" w:customStyle="1" w:styleId="CommentSubjectChar">
    <w:name w:val="Comment Subject Char"/>
    <w:basedOn w:val="CommentTextChar"/>
    <w:link w:val="CommentSubject"/>
    <w:uiPriority w:val="99"/>
    <w:semiHidden/>
    <w:locked/>
    <w:rsid w:val="007C6E85"/>
    <w:rPr>
      <w:b/>
      <w:bCs/>
    </w:rPr>
  </w:style>
  <w:style w:type="paragraph" w:customStyle="1" w:styleId="TitleArial">
    <w:name w:val="Title + Arial"/>
    <w:basedOn w:val="Normal"/>
    <w:link w:val="TitleArialChar"/>
    <w:uiPriority w:val="99"/>
    <w:rsid w:val="00ED25BF"/>
  </w:style>
  <w:style w:type="character" w:customStyle="1" w:styleId="TitleArialChar">
    <w:name w:val="Title + Arial Char"/>
    <w:basedOn w:val="DefaultParagraphFont"/>
    <w:link w:val="TitleArial"/>
    <w:uiPriority w:val="99"/>
    <w:locked/>
    <w:rsid w:val="00ED25BF"/>
    <w:rPr>
      <w:rFonts w:ascii="Calibri" w:hAnsi="Calibri" w:cs="Times New Roman"/>
      <w:sz w:val="22"/>
      <w:szCs w:val="22"/>
      <w:lang w:val="en-GB" w:eastAsia="en-US" w:bidi="ar-SA"/>
    </w:rPr>
  </w:style>
  <w:style w:type="paragraph" w:customStyle="1" w:styleId="NormalArial">
    <w:name w:val="Normal + Arial"/>
    <w:basedOn w:val="Normal"/>
    <w:uiPriority w:val="99"/>
    <w:rsid w:val="00ED25BF"/>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gislation.gov.uk/ukpga/1992/52/part/IV/chapter/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bitar.Powar@insolvency.gsi.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licy.unit@insolvency.gsi.gov.uk" TargetMode="External"/><Relationship Id="rId4" Type="http://schemas.openxmlformats.org/officeDocument/2006/relationships/webSettings" Target="webSettings.xml"/><Relationship Id="rId9" Type="http://schemas.openxmlformats.org/officeDocument/2006/relationships/hyperlink" Target="https://www.gov.uk/government/consultations/collective-redundancy-consultation-for-employers-facing-insolvency"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workers-of-companies-facing-closure-memorandum-of-understanding" TargetMode="External"/><Relationship Id="rId7" Type="http://schemas.openxmlformats.org/officeDocument/2006/relationships/hyperlink" Target="https://www.gov.uk/government/publications/workers-of-companies-facing-closure-memorandum-of-understanding" TargetMode="External"/><Relationship Id="rId2" Type="http://schemas.openxmlformats.org/officeDocument/2006/relationships/hyperlink" Target="https://www.insolvencydirect.bis.gov.uk/insolvencyprofessionandlegislation/dearip/dearipindex.htm" TargetMode="External"/><Relationship Id="rId1" Type="http://schemas.openxmlformats.org/officeDocument/2006/relationships/hyperlink" Target="http://eur-lex.europa.eu/legal-content/EN/TXT/?qid=1416497123394&amp;uri=CELEX:31998L0059" TargetMode="External"/><Relationship Id="rId6" Type="http://schemas.openxmlformats.org/officeDocument/2006/relationships/hyperlink" Target="http://www.acas.org.uk/media/pdf/h/3/Handling-large-scale-collective-redundancies-advisory-booklet.pdf" TargetMode="External"/><Relationship Id="rId5" Type="http://schemas.openxmlformats.org/officeDocument/2006/relationships/hyperlink" Target="https://www.gov.uk/government/consultations/collective-redundancies-consultation-on-changes-to-the-rules" TargetMode="External"/><Relationship Id="rId4" Type="http://schemas.openxmlformats.org/officeDocument/2006/relationships/hyperlink" Target="https://www.gov.uk/government/consultations/call-for-evidence-uo-collective-redundancy-consultatio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13</Pages>
  <Words>2921</Words>
  <Characters>16652</Characters>
  <Application>Microsoft Office Outlook</Application>
  <DocSecurity>0</DocSecurity>
  <Lines>0</Lines>
  <Paragraphs>0</Paragraphs>
  <ScaleCrop>false</ScaleCrop>
  <Company>INSS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 Matanky-Becker</dc:creator>
  <cp:keywords/>
  <dc:description/>
  <cp:lastModifiedBy>Communications</cp:lastModifiedBy>
  <cp:revision>2</cp:revision>
  <cp:lastPrinted>2015-03-20T13:50:00Z</cp:lastPrinted>
  <dcterms:created xsi:type="dcterms:W3CDTF">2015-03-20T13:55:00Z</dcterms:created>
  <dcterms:modified xsi:type="dcterms:W3CDTF">2015-03-20T13:55:00Z</dcterms:modified>
</cp:coreProperties>
</file>