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B6" w:rsidRDefault="00350C99" w:rsidP="00B25FE8">
      <w:pPr>
        <w:pStyle w:val="BodyText"/>
        <w:pBdr>
          <w:bottom w:val="single" w:sz="4" w:space="1" w:color="auto"/>
        </w:pBdr>
        <w:rPr>
          <w:rFonts w:ascii="Arial" w:eastAsia="Arial" w:hAnsi="Arial" w:cs="Arial"/>
          <w:b w:val="0"/>
          <w:bCs w:val="0"/>
          <w:color w:val="808080"/>
          <w:sz w:val="48"/>
          <w:szCs w:val="48"/>
          <w:u w:color="808080"/>
        </w:rPr>
      </w:pPr>
      <w:bookmarkStart w:id="0" w:name="_GoBack"/>
      <w:bookmarkEnd w:id="0"/>
      <w:r>
        <w:rPr>
          <w:rFonts w:ascii="Arial" w:eastAsia="Arial" w:hAnsi="Arial" w:cs="Arial"/>
          <w:b w:val="0"/>
          <w:bCs w:val="0"/>
          <w:color w:val="808080"/>
          <w:sz w:val="48"/>
          <w:szCs w:val="48"/>
          <w:u w:color="808080"/>
        </w:rPr>
        <w:t xml:space="preserve">Submission to DCMS TV licence enforcement </w:t>
      </w:r>
      <w:r w:rsidR="00EF3C6D">
        <w:rPr>
          <w:rFonts w:ascii="Arial" w:eastAsia="Arial" w:hAnsi="Arial" w:cs="Arial"/>
          <w:b w:val="0"/>
          <w:bCs w:val="0"/>
          <w:color w:val="808080"/>
          <w:sz w:val="48"/>
          <w:szCs w:val="48"/>
          <w:u w:color="808080"/>
        </w:rPr>
        <w:t>review</w:t>
      </w:r>
    </w:p>
    <w:p w:rsidR="00A961B6" w:rsidRDefault="00402729" w:rsidP="00B25FE8">
      <w:pPr>
        <w:pStyle w:val="Body"/>
        <w:pBdr>
          <w:bottom w:val="single" w:sz="4" w:space="1" w:color="auto"/>
        </w:pBdr>
        <w:spacing w:after="0"/>
        <w:ind w:left="284" w:hanging="284"/>
        <w:rPr>
          <w:rFonts w:ascii="Arial" w:eastAsia="Arial" w:hAnsi="Arial" w:cs="Arial"/>
          <w:color w:val="666699"/>
          <w:u w:color="666699"/>
        </w:rPr>
      </w:pPr>
      <w:r>
        <w:rPr>
          <w:rFonts w:ascii="Arial" w:eastAsia="Arial" w:hAnsi="Arial" w:cs="Arial"/>
          <w:noProof/>
          <w:color w:val="666699"/>
          <w:u w:color="666699"/>
        </w:rPr>
        <w:drawing>
          <wp:inline distT="0" distB="0" distL="0" distR="0" wp14:anchorId="6CED5BC7" wp14:editId="68E6C9D1">
            <wp:extent cx="2575560" cy="109728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rotWithShape="1">
                    <a:blip r:embed="rId8">
                      <a:extLst/>
                    </a:blip>
                    <a:srcRect/>
                    <a:stretch>
                      <a:fillRect/>
                    </a:stretch>
                  </pic:blipFill>
                  <pic:spPr>
                    <a:xfrm>
                      <a:off x="0" y="0"/>
                      <a:ext cx="2575560" cy="1097280"/>
                    </a:xfrm>
                    <a:prstGeom prst="rect">
                      <a:avLst/>
                    </a:prstGeom>
                    <a:noFill/>
                    <a:ln>
                      <a:noFill/>
                    </a:ln>
                    <a:effectLst/>
                    <a:extLst/>
                  </pic:spPr>
                </pic:pic>
              </a:graphicData>
            </a:graphic>
          </wp:inline>
        </w:drawing>
      </w: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ind w:left="284" w:hanging="284"/>
        <w:rPr>
          <w:rFonts w:ascii="Arial" w:eastAsia="Arial" w:hAnsi="Arial" w:cs="Arial"/>
          <w:color w:val="666699"/>
          <w:u w:color="666699"/>
        </w:rPr>
      </w:pPr>
    </w:p>
    <w:p w:rsidR="00A961B6" w:rsidRDefault="00A961B6" w:rsidP="00B25FE8">
      <w:pPr>
        <w:pStyle w:val="Body"/>
        <w:pBdr>
          <w:bottom w:val="single" w:sz="4" w:space="1" w:color="auto"/>
        </w:pBdr>
        <w:spacing w:after="0"/>
        <w:rPr>
          <w:rFonts w:ascii="Arial" w:eastAsia="Arial" w:hAnsi="Arial" w:cs="Arial"/>
          <w:color w:val="666699"/>
          <w:sz w:val="48"/>
          <w:szCs w:val="48"/>
          <w:u w:color="666699"/>
        </w:rPr>
      </w:pPr>
    </w:p>
    <w:p w:rsidR="00A961B6" w:rsidRDefault="00A961B6" w:rsidP="00B25FE8">
      <w:pPr>
        <w:pStyle w:val="Body"/>
        <w:pBdr>
          <w:bottom w:val="single" w:sz="4" w:space="1" w:color="auto"/>
        </w:pBdr>
        <w:spacing w:after="0"/>
        <w:rPr>
          <w:rFonts w:ascii="Arial" w:eastAsia="Arial" w:hAnsi="Arial" w:cs="Arial"/>
          <w:color w:val="666699"/>
          <w:sz w:val="48"/>
          <w:szCs w:val="48"/>
          <w:u w:color="666699"/>
        </w:rPr>
      </w:pPr>
    </w:p>
    <w:p w:rsidR="00A961B6" w:rsidRDefault="00A961B6" w:rsidP="00B25FE8">
      <w:pPr>
        <w:pStyle w:val="Body"/>
        <w:pBdr>
          <w:bottom w:val="single" w:sz="4" w:space="1" w:color="auto"/>
        </w:pBdr>
        <w:spacing w:after="0"/>
        <w:rPr>
          <w:rFonts w:ascii="Arial" w:eastAsia="Arial" w:hAnsi="Arial" w:cs="Arial"/>
          <w:color w:val="666699"/>
          <w:sz w:val="48"/>
          <w:szCs w:val="48"/>
          <w:u w:color="666699"/>
        </w:rPr>
      </w:pPr>
    </w:p>
    <w:p w:rsidR="00A961B6" w:rsidRDefault="00A961B6" w:rsidP="00B25FE8">
      <w:pPr>
        <w:pStyle w:val="Body"/>
        <w:pBdr>
          <w:bottom w:val="single" w:sz="4" w:space="1" w:color="auto"/>
        </w:pBdr>
        <w:spacing w:after="0"/>
        <w:rPr>
          <w:rFonts w:ascii="Arial" w:eastAsia="Arial" w:hAnsi="Arial" w:cs="Arial"/>
          <w:color w:val="666699"/>
          <w:sz w:val="48"/>
          <w:szCs w:val="48"/>
          <w:u w:color="666699"/>
        </w:rPr>
      </w:pPr>
    </w:p>
    <w:p w:rsidR="00A961B6" w:rsidRDefault="00A961B6" w:rsidP="00B25FE8">
      <w:pPr>
        <w:pStyle w:val="Body"/>
        <w:pBdr>
          <w:bottom w:val="single" w:sz="4" w:space="1" w:color="auto"/>
        </w:pBdr>
        <w:spacing w:after="0"/>
        <w:rPr>
          <w:rFonts w:ascii="Arial" w:eastAsia="Arial" w:hAnsi="Arial" w:cs="Arial"/>
          <w:color w:val="666699"/>
          <w:sz w:val="48"/>
          <w:szCs w:val="48"/>
          <w:u w:color="666699"/>
        </w:rPr>
      </w:pPr>
    </w:p>
    <w:p w:rsidR="00A961B6" w:rsidRDefault="00A961B6" w:rsidP="00B25FE8">
      <w:pPr>
        <w:pStyle w:val="Body"/>
        <w:pBdr>
          <w:bottom w:val="single" w:sz="4" w:space="1" w:color="auto"/>
        </w:pBdr>
        <w:spacing w:after="0"/>
        <w:rPr>
          <w:rFonts w:ascii="Arial" w:eastAsia="Arial" w:hAnsi="Arial" w:cs="Arial"/>
          <w:sz w:val="48"/>
          <w:szCs w:val="48"/>
        </w:rPr>
      </w:pPr>
    </w:p>
    <w:p w:rsidR="00A961B6" w:rsidRDefault="00A961B6" w:rsidP="00B25FE8">
      <w:pPr>
        <w:pStyle w:val="Body"/>
        <w:pBdr>
          <w:bottom w:val="single" w:sz="4" w:space="1" w:color="auto"/>
        </w:pBdr>
        <w:spacing w:after="0"/>
        <w:rPr>
          <w:rFonts w:ascii="Arial" w:eastAsia="Arial" w:hAnsi="Arial" w:cs="Arial"/>
          <w:sz w:val="48"/>
          <w:szCs w:val="48"/>
        </w:rPr>
      </w:pPr>
    </w:p>
    <w:p w:rsidR="00A961B6" w:rsidRDefault="00A961B6" w:rsidP="00B25FE8">
      <w:pPr>
        <w:pStyle w:val="Body"/>
        <w:pBdr>
          <w:bottom w:val="single" w:sz="4" w:space="1" w:color="auto"/>
        </w:pBdr>
        <w:spacing w:after="0"/>
        <w:rPr>
          <w:rFonts w:ascii="Arial" w:eastAsia="Arial" w:hAnsi="Arial" w:cs="Arial"/>
          <w:sz w:val="48"/>
          <w:szCs w:val="48"/>
        </w:rPr>
      </w:pPr>
    </w:p>
    <w:p w:rsidR="00B25FE8" w:rsidRDefault="00B25FE8" w:rsidP="00B25FE8">
      <w:pPr>
        <w:pStyle w:val="BodyText"/>
        <w:pBdr>
          <w:bottom w:val="single" w:sz="4" w:space="1" w:color="auto"/>
        </w:pBdr>
        <w:spacing w:line="276" w:lineRule="auto"/>
        <w:rPr>
          <w:rFonts w:ascii="Arial"/>
          <w:b w:val="0"/>
          <w:bCs w:val="0"/>
          <w:color w:val="808080"/>
          <w:sz w:val="48"/>
          <w:szCs w:val="48"/>
          <w:u w:color="808080"/>
        </w:rPr>
      </w:pPr>
    </w:p>
    <w:p w:rsidR="00B25FE8" w:rsidRDefault="00B25FE8" w:rsidP="00B25FE8">
      <w:pPr>
        <w:pStyle w:val="BodyText"/>
        <w:pBdr>
          <w:bottom w:val="single" w:sz="4" w:space="1" w:color="auto"/>
        </w:pBdr>
        <w:spacing w:line="276" w:lineRule="auto"/>
        <w:rPr>
          <w:rFonts w:ascii="Arial"/>
          <w:b w:val="0"/>
          <w:bCs w:val="0"/>
          <w:color w:val="808080"/>
          <w:sz w:val="48"/>
          <w:szCs w:val="48"/>
          <w:u w:color="808080"/>
        </w:rPr>
      </w:pPr>
    </w:p>
    <w:p w:rsidR="00A961B6" w:rsidRDefault="000816FD" w:rsidP="0076404C">
      <w:pPr>
        <w:pStyle w:val="BodyText"/>
        <w:pBdr>
          <w:top w:val="none" w:sz="0" w:space="0" w:color="auto"/>
          <w:bottom w:val="single" w:sz="4" w:space="1" w:color="auto"/>
        </w:pBdr>
        <w:spacing w:line="276" w:lineRule="auto"/>
        <w:rPr>
          <w:rFonts w:ascii="Arial" w:eastAsia="Arial" w:hAnsi="Arial" w:cs="Arial"/>
          <w:b w:val="0"/>
          <w:bCs w:val="0"/>
          <w:color w:val="808080"/>
          <w:sz w:val="48"/>
          <w:szCs w:val="48"/>
          <w:u w:color="808080"/>
        </w:rPr>
      </w:pPr>
      <w:r>
        <w:rPr>
          <w:rFonts w:ascii="Arial"/>
          <w:b w:val="0"/>
          <w:bCs w:val="0"/>
          <w:color w:val="808080"/>
          <w:sz w:val="48"/>
          <w:szCs w:val="48"/>
          <w:u w:color="808080"/>
        </w:rPr>
        <w:t>April 2015</w:t>
      </w:r>
    </w:p>
    <w:p w:rsidR="00A961B6" w:rsidRDefault="00A961B6">
      <w:pPr>
        <w:pStyle w:val="Body"/>
        <w:spacing w:after="0"/>
        <w:rPr>
          <w:rFonts w:ascii="Arial" w:eastAsia="Arial" w:hAnsi="Arial" w:cs="Arial"/>
          <w:sz w:val="24"/>
          <w:szCs w:val="24"/>
        </w:rPr>
      </w:pPr>
    </w:p>
    <w:p w:rsidR="00B10722" w:rsidRDefault="00B10722" w:rsidP="00EF3C6D">
      <w:pPr>
        <w:pStyle w:val="Body"/>
        <w:spacing w:after="0" w:line="240" w:lineRule="auto"/>
        <w:rPr>
          <w:rFonts w:ascii="Arial Bold"/>
          <w:sz w:val="24"/>
          <w:szCs w:val="24"/>
        </w:rPr>
      </w:pPr>
    </w:p>
    <w:p w:rsidR="00A961B6" w:rsidRPr="00EF3C6D" w:rsidRDefault="00402729" w:rsidP="00EF3C6D">
      <w:pPr>
        <w:pStyle w:val="Body"/>
        <w:spacing w:after="0" w:line="240" w:lineRule="auto"/>
      </w:pPr>
      <w:r w:rsidRPr="00BE6AEB">
        <w:rPr>
          <w:rFonts w:ascii="Arial Bold"/>
          <w:sz w:val="24"/>
          <w:szCs w:val="24"/>
        </w:rPr>
        <w:t>Introduction</w:t>
      </w:r>
    </w:p>
    <w:p w:rsidR="00A961B6" w:rsidRDefault="00A961B6">
      <w:pPr>
        <w:pStyle w:val="Body"/>
        <w:spacing w:after="0"/>
        <w:rPr>
          <w:rFonts w:ascii="Arial" w:eastAsia="Arial" w:hAnsi="Arial" w:cs="Arial"/>
        </w:rPr>
      </w:pPr>
    </w:p>
    <w:p w:rsidR="00A961B6" w:rsidRPr="00B25FE8" w:rsidRDefault="00402729">
      <w:pPr>
        <w:pStyle w:val="ListParagraph"/>
        <w:numPr>
          <w:ilvl w:val="0"/>
          <w:numId w:val="3"/>
        </w:numPr>
        <w:tabs>
          <w:tab w:val="clear" w:pos="720"/>
          <w:tab w:val="num" w:pos="690"/>
        </w:tabs>
        <w:spacing w:after="0"/>
        <w:ind w:left="690" w:hanging="330"/>
        <w:rPr>
          <w:rFonts w:ascii="Arial" w:eastAsia="Arial" w:hAnsi="Arial" w:cs="Arial"/>
          <w:sz w:val="24"/>
          <w:szCs w:val="24"/>
        </w:rPr>
      </w:pPr>
      <w:r w:rsidRPr="00B25FE8">
        <w:rPr>
          <w:rFonts w:ascii="Arial" w:hAnsi="Arial" w:cs="Arial"/>
          <w:sz w:val="24"/>
          <w:szCs w:val="24"/>
        </w:rPr>
        <w:t>Pact is the UK trade association representing and promoting the commercial interests of independent feature film, television, digital, children's and animation media companies.</w:t>
      </w:r>
    </w:p>
    <w:p w:rsidR="00A961B6" w:rsidRPr="00B25FE8" w:rsidRDefault="00A961B6">
      <w:pPr>
        <w:pStyle w:val="Body"/>
        <w:spacing w:after="0"/>
        <w:rPr>
          <w:rFonts w:ascii="Arial" w:eastAsia="Arial" w:hAnsi="Arial" w:cs="Arial"/>
          <w:sz w:val="24"/>
          <w:szCs w:val="24"/>
        </w:rPr>
      </w:pPr>
    </w:p>
    <w:p w:rsidR="00A961B6" w:rsidRPr="00B25FE8" w:rsidRDefault="00402729" w:rsidP="00B25FE8">
      <w:pPr>
        <w:pStyle w:val="ListParagraph"/>
        <w:numPr>
          <w:ilvl w:val="0"/>
          <w:numId w:val="3"/>
        </w:numPr>
        <w:tabs>
          <w:tab w:val="clear" w:pos="720"/>
          <w:tab w:val="num" w:pos="690"/>
        </w:tabs>
        <w:spacing w:after="0"/>
        <w:ind w:left="690" w:hanging="330"/>
        <w:rPr>
          <w:rFonts w:ascii="Arial" w:eastAsia="Arial" w:hAnsi="Arial" w:cs="Arial"/>
          <w:sz w:val="24"/>
          <w:szCs w:val="24"/>
        </w:rPr>
      </w:pPr>
      <w:r w:rsidRPr="00B25FE8">
        <w:rPr>
          <w:rFonts w:ascii="Arial" w:hAnsi="Arial" w:cs="Arial"/>
          <w:sz w:val="24"/>
          <w:szCs w:val="24"/>
        </w:rPr>
        <w:t>The UK independent television sector is one of the biggest in the world. Despite the difficult economic climate, independent television sector revenues have grown from £1.3 billion in 2005 to nearly £</w:t>
      </w:r>
      <w:r w:rsidR="009427C3">
        <w:rPr>
          <w:rFonts w:ascii="Arial" w:hAnsi="Arial" w:cs="Arial"/>
          <w:sz w:val="24"/>
          <w:szCs w:val="24"/>
        </w:rPr>
        <w:t>3.1</w:t>
      </w:r>
      <w:r w:rsidRPr="00B25FE8">
        <w:rPr>
          <w:rFonts w:ascii="Arial" w:hAnsi="Arial" w:cs="Arial"/>
          <w:sz w:val="24"/>
          <w:szCs w:val="24"/>
        </w:rPr>
        <w:t xml:space="preserve"> billion in 201</w:t>
      </w:r>
      <w:r w:rsidR="009427C3">
        <w:rPr>
          <w:rFonts w:ascii="Arial" w:hAnsi="Arial" w:cs="Arial"/>
          <w:sz w:val="24"/>
          <w:szCs w:val="24"/>
        </w:rPr>
        <w:t>3</w:t>
      </w:r>
      <w:r w:rsidRPr="00B25FE8">
        <w:rPr>
          <w:rFonts w:ascii="Arial" w:hAnsi="Arial" w:cs="Arial"/>
          <w:sz w:val="24"/>
          <w:szCs w:val="24"/>
        </w:rPr>
        <w:t>.</w:t>
      </w:r>
      <w:r w:rsidRPr="00B25FE8">
        <w:rPr>
          <w:rFonts w:ascii="Arial" w:eastAsia="Arial" w:hAnsi="Arial" w:cs="Arial"/>
          <w:sz w:val="24"/>
          <w:szCs w:val="24"/>
          <w:vertAlign w:val="superscript"/>
        </w:rPr>
        <w:footnoteReference w:id="2"/>
      </w:r>
    </w:p>
    <w:p w:rsidR="00B25FE8" w:rsidRPr="00B25FE8" w:rsidRDefault="00B25FE8" w:rsidP="00B25FE8">
      <w:pPr>
        <w:rPr>
          <w:rFonts w:ascii="Arial" w:eastAsia="Arial" w:hAnsi="Arial" w:cs="Arial"/>
        </w:rPr>
      </w:pPr>
    </w:p>
    <w:p w:rsidR="00A961B6" w:rsidRPr="00B25FE8" w:rsidRDefault="00402729" w:rsidP="00B25FE8">
      <w:pPr>
        <w:pStyle w:val="ListParagraph"/>
        <w:numPr>
          <w:ilvl w:val="0"/>
          <w:numId w:val="3"/>
        </w:numPr>
        <w:tabs>
          <w:tab w:val="clear" w:pos="720"/>
          <w:tab w:val="num" w:pos="690"/>
        </w:tabs>
        <w:spacing w:after="0"/>
        <w:ind w:left="690" w:hanging="330"/>
        <w:rPr>
          <w:rFonts w:ascii="Arial" w:eastAsia="Arial" w:hAnsi="Arial" w:cs="Arial"/>
          <w:sz w:val="24"/>
          <w:szCs w:val="24"/>
        </w:rPr>
      </w:pPr>
      <w:r w:rsidRPr="00B25FE8">
        <w:rPr>
          <w:rFonts w:ascii="Arial" w:hAnsi="Arial" w:cs="Arial"/>
          <w:sz w:val="24"/>
          <w:szCs w:val="24"/>
        </w:rPr>
        <w:t>In 201</w:t>
      </w:r>
      <w:r w:rsidR="009427C3">
        <w:rPr>
          <w:rFonts w:ascii="Arial" w:hAnsi="Arial" w:cs="Arial"/>
          <w:sz w:val="24"/>
          <w:szCs w:val="24"/>
        </w:rPr>
        <w:t>3</w:t>
      </w:r>
      <w:r w:rsidRPr="00B25FE8">
        <w:rPr>
          <w:rFonts w:ascii="Arial" w:hAnsi="Arial" w:cs="Arial"/>
          <w:sz w:val="24"/>
          <w:szCs w:val="24"/>
        </w:rPr>
        <w:t>, the BBC spent £</w:t>
      </w:r>
      <w:r w:rsidR="009427C3">
        <w:rPr>
          <w:rFonts w:ascii="Arial" w:hAnsi="Arial" w:cs="Arial"/>
          <w:sz w:val="24"/>
          <w:szCs w:val="24"/>
        </w:rPr>
        <w:t>476</w:t>
      </w:r>
      <w:r w:rsidRPr="00B25FE8">
        <w:rPr>
          <w:rFonts w:ascii="Arial" w:hAnsi="Arial" w:cs="Arial"/>
          <w:sz w:val="24"/>
          <w:szCs w:val="24"/>
        </w:rPr>
        <w:t xml:space="preserve"> million on commissions from UK independent producers. This was </w:t>
      </w:r>
      <w:r w:rsidR="009427C3">
        <w:rPr>
          <w:rFonts w:ascii="Arial" w:hAnsi="Arial" w:cs="Arial"/>
          <w:sz w:val="24"/>
          <w:szCs w:val="24"/>
        </w:rPr>
        <w:t>a decrease from £507m in 2012</w:t>
      </w:r>
      <w:r w:rsidRPr="00B25FE8">
        <w:rPr>
          <w:rFonts w:ascii="Arial" w:eastAsia="Arial" w:hAnsi="Arial" w:cs="Arial"/>
          <w:sz w:val="24"/>
          <w:szCs w:val="24"/>
          <w:vertAlign w:val="superscript"/>
        </w:rPr>
        <w:footnoteReference w:id="3"/>
      </w:r>
      <w:r w:rsidRPr="00B25FE8">
        <w:rPr>
          <w:rFonts w:ascii="Arial" w:hAnsi="Arial" w:cs="Arial"/>
          <w:sz w:val="24"/>
          <w:szCs w:val="24"/>
        </w:rPr>
        <w:t>. The BBC commissioned 36% of eligible television content from external producers</w:t>
      </w:r>
      <w:r w:rsidRPr="00B25FE8">
        <w:rPr>
          <w:rFonts w:ascii="Arial" w:eastAsia="Arial" w:hAnsi="Arial" w:cs="Arial"/>
          <w:sz w:val="24"/>
          <w:szCs w:val="24"/>
          <w:vertAlign w:val="superscript"/>
        </w:rPr>
        <w:footnoteReference w:id="4"/>
      </w:r>
      <w:r w:rsidR="00B25FE8">
        <w:rPr>
          <w:rFonts w:ascii="Arial" w:hAnsi="Arial" w:cs="Arial"/>
          <w:sz w:val="24"/>
          <w:szCs w:val="24"/>
        </w:rPr>
        <w:t>.</w:t>
      </w:r>
    </w:p>
    <w:p w:rsidR="00A961B6" w:rsidRPr="00B25FE8" w:rsidRDefault="00A961B6">
      <w:pPr>
        <w:pStyle w:val="Body"/>
        <w:spacing w:after="0"/>
        <w:rPr>
          <w:rFonts w:ascii="Arial" w:eastAsia="Arial" w:hAnsi="Arial" w:cs="Arial"/>
          <w:sz w:val="24"/>
          <w:szCs w:val="24"/>
        </w:rPr>
      </w:pPr>
    </w:p>
    <w:p w:rsidR="00A961B6" w:rsidRPr="00EF3C6D" w:rsidRDefault="00402729" w:rsidP="0038440A">
      <w:pPr>
        <w:pStyle w:val="ListParagraph"/>
        <w:numPr>
          <w:ilvl w:val="0"/>
          <w:numId w:val="3"/>
        </w:numPr>
        <w:tabs>
          <w:tab w:val="clear" w:pos="720"/>
          <w:tab w:val="num" w:pos="690"/>
        </w:tabs>
        <w:spacing w:after="0"/>
        <w:ind w:left="690" w:hanging="330"/>
        <w:rPr>
          <w:rFonts w:ascii="Arial" w:eastAsia="Arial" w:hAnsi="Arial" w:cs="Arial"/>
          <w:sz w:val="24"/>
          <w:szCs w:val="24"/>
        </w:rPr>
      </w:pPr>
      <w:r w:rsidRPr="00B25FE8">
        <w:rPr>
          <w:rFonts w:ascii="Arial" w:hAnsi="Arial" w:cs="Arial"/>
          <w:sz w:val="24"/>
          <w:szCs w:val="24"/>
        </w:rPr>
        <w:t>Pact is a supporter of the licence fee and recognises the important role that the BBC</w:t>
      </w:r>
      <w:r w:rsidR="00653AC3">
        <w:rPr>
          <w:rFonts w:ascii="Arial" w:hAnsi="Arial" w:cs="Arial"/>
          <w:sz w:val="24"/>
          <w:szCs w:val="24"/>
        </w:rPr>
        <w:t xml:space="preserve"> plays in British broadcasting.</w:t>
      </w:r>
    </w:p>
    <w:p w:rsidR="00EF3C6D" w:rsidRPr="00EF3C6D" w:rsidRDefault="00EF3C6D" w:rsidP="00EF3C6D">
      <w:pPr>
        <w:rPr>
          <w:rFonts w:ascii="Arial" w:eastAsia="Arial" w:hAnsi="Arial" w:cs="Arial"/>
        </w:rPr>
      </w:pPr>
    </w:p>
    <w:p w:rsidR="00EF3C6D" w:rsidRDefault="00EF3C6D" w:rsidP="00EF3C6D">
      <w:pPr>
        <w:pStyle w:val="ListParagraph"/>
        <w:numPr>
          <w:ilvl w:val="0"/>
          <w:numId w:val="3"/>
        </w:numPr>
        <w:tabs>
          <w:tab w:val="clear" w:pos="720"/>
          <w:tab w:val="num" w:pos="690"/>
        </w:tabs>
        <w:spacing w:after="0"/>
        <w:ind w:left="690" w:hanging="330"/>
        <w:rPr>
          <w:rFonts w:ascii="Arial" w:eastAsia="Arial" w:hAnsi="Arial" w:cs="Arial"/>
          <w:sz w:val="24"/>
          <w:szCs w:val="24"/>
        </w:rPr>
      </w:pPr>
      <w:r>
        <w:rPr>
          <w:rFonts w:ascii="Arial" w:eastAsia="Arial" w:hAnsi="Arial" w:cs="Arial"/>
          <w:sz w:val="24"/>
          <w:szCs w:val="24"/>
        </w:rPr>
        <w:t xml:space="preserve">It is therefore extremely </w:t>
      </w:r>
      <w:r w:rsidR="00E05A40">
        <w:rPr>
          <w:rFonts w:ascii="Arial" w:eastAsia="Arial" w:hAnsi="Arial" w:cs="Arial"/>
          <w:sz w:val="24"/>
          <w:szCs w:val="24"/>
        </w:rPr>
        <w:t xml:space="preserve">important </w:t>
      </w:r>
      <w:r>
        <w:rPr>
          <w:rFonts w:ascii="Arial" w:eastAsia="Arial" w:hAnsi="Arial" w:cs="Arial"/>
          <w:sz w:val="24"/>
          <w:szCs w:val="24"/>
        </w:rPr>
        <w:t>that the BBC continues to be properly funded in the future.</w:t>
      </w:r>
    </w:p>
    <w:p w:rsidR="00EF3C6D" w:rsidRPr="00EF3C6D" w:rsidRDefault="00EF3C6D" w:rsidP="00EF3C6D">
      <w:pPr>
        <w:rPr>
          <w:rFonts w:ascii="Arial" w:eastAsia="Arial" w:hAnsi="Arial" w:cs="Arial"/>
        </w:rPr>
      </w:pPr>
    </w:p>
    <w:p w:rsidR="00A961B6" w:rsidRDefault="00EF3C6D" w:rsidP="00EF3C6D">
      <w:pPr>
        <w:pStyle w:val="ListParagraph"/>
        <w:numPr>
          <w:ilvl w:val="0"/>
          <w:numId w:val="3"/>
        </w:numPr>
        <w:tabs>
          <w:tab w:val="clear" w:pos="720"/>
          <w:tab w:val="num" w:pos="690"/>
        </w:tabs>
        <w:spacing w:after="0"/>
        <w:ind w:left="690" w:hanging="330"/>
        <w:rPr>
          <w:rFonts w:ascii="Arial" w:eastAsia="Arial" w:hAnsi="Arial" w:cs="Arial"/>
          <w:sz w:val="24"/>
          <w:szCs w:val="24"/>
        </w:rPr>
      </w:pPr>
      <w:r>
        <w:rPr>
          <w:rFonts w:ascii="Arial" w:eastAsia="Arial" w:hAnsi="Arial" w:cs="Arial"/>
          <w:sz w:val="24"/>
          <w:szCs w:val="24"/>
        </w:rPr>
        <w:t>Pact would welcome the BBC</w:t>
      </w:r>
      <w:r w:rsidR="00E05A40">
        <w:rPr>
          <w:rFonts w:ascii="Arial" w:eastAsia="Arial" w:hAnsi="Arial" w:cs="Arial"/>
          <w:sz w:val="24"/>
          <w:szCs w:val="24"/>
        </w:rPr>
        <w:t xml:space="preserve"> licence fee</w:t>
      </w:r>
      <w:r>
        <w:rPr>
          <w:rFonts w:ascii="Arial" w:eastAsia="Arial" w:hAnsi="Arial" w:cs="Arial"/>
          <w:sz w:val="24"/>
          <w:szCs w:val="24"/>
        </w:rPr>
        <w:t xml:space="preserve"> being tied to inflation at the time of the next settlement. Anything less would result in a further real-terms decline in what is already a stretched BBC content budget.</w:t>
      </w:r>
    </w:p>
    <w:p w:rsidR="00EF3C6D" w:rsidRPr="00EF3C6D" w:rsidRDefault="00EF3C6D" w:rsidP="00EF3C6D">
      <w:pPr>
        <w:rPr>
          <w:rFonts w:ascii="Arial" w:eastAsia="Arial" w:hAnsi="Arial" w:cs="Arial"/>
        </w:rPr>
      </w:pPr>
    </w:p>
    <w:p w:rsidR="00EF3C6D" w:rsidRDefault="00EF3C6D" w:rsidP="00EF3C6D">
      <w:pPr>
        <w:pStyle w:val="ListParagraph"/>
        <w:numPr>
          <w:ilvl w:val="0"/>
          <w:numId w:val="3"/>
        </w:numPr>
        <w:tabs>
          <w:tab w:val="clear" w:pos="720"/>
          <w:tab w:val="num" w:pos="690"/>
        </w:tabs>
        <w:spacing w:after="0"/>
        <w:ind w:left="690" w:hanging="330"/>
        <w:rPr>
          <w:rFonts w:ascii="Arial" w:eastAsia="Arial" w:hAnsi="Arial" w:cs="Arial"/>
          <w:sz w:val="24"/>
          <w:szCs w:val="24"/>
        </w:rPr>
      </w:pPr>
      <w:r>
        <w:rPr>
          <w:rFonts w:ascii="Arial" w:eastAsia="Arial" w:hAnsi="Arial" w:cs="Arial"/>
          <w:sz w:val="24"/>
          <w:szCs w:val="24"/>
        </w:rPr>
        <w:t>We understand and support the Government’s decision to comm</w:t>
      </w:r>
      <w:r w:rsidR="00687F92">
        <w:rPr>
          <w:rFonts w:ascii="Arial" w:eastAsia="Arial" w:hAnsi="Arial" w:cs="Arial"/>
          <w:sz w:val="24"/>
          <w:szCs w:val="24"/>
        </w:rPr>
        <w:t>ission</w:t>
      </w:r>
      <w:r w:rsidR="00624F9A">
        <w:rPr>
          <w:rFonts w:ascii="Arial" w:eastAsia="Arial" w:hAnsi="Arial" w:cs="Arial"/>
          <w:sz w:val="24"/>
          <w:szCs w:val="24"/>
        </w:rPr>
        <w:t xml:space="preserve"> an </w:t>
      </w:r>
      <w:r w:rsidR="00687F92">
        <w:rPr>
          <w:rFonts w:ascii="Arial" w:eastAsia="Arial" w:hAnsi="Arial" w:cs="Arial"/>
          <w:sz w:val="24"/>
          <w:szCs w:val="24"/>
        </w:rPr>
        <w:t xml:space="preserve">independent review </w:t>
      </w:r>
      <w:r>
        <w:rPr>
          <w:rFonts w:ascii="Arial" w:eastAsia="Arial" w:hAnsi="Arial" w:cs="Arial"/>
          <w:sz w:val="24"/>
          <w:szCs w:val="24"/>
        </w:rPr>
        <w:t>by David Perry QC in order to consider whether the sanctions currently in place for failure to hold a TV licence are appropriate and fair, and whether the current regime represents value for money for licence fee payers.</w:t>
      </w:r>
    </w:p>
    <w:p w:rsidR="00EF3C6D" w:rsidRPr="00EF3C6D" w:rsidRDefault="00EF3C6D" w:rsidP="00EF3C6D">
      <w:pPr>
        <w:rPr>
          <w:rFonts w:ascii="Arial" w:eastAsia="Arial" w:hAnsi="Arial" w:cs="Arial"/>
        </w:rPr>
      </w:pPr>
    </w:p>
    <w:p w:rsidR="00EF3C6D" w:rsidRPr="00EF3C6D" w:rsidRDefault="00624F9A" w:rsidP="00EF3C6D">
      <w:pPr>
        <w:pStyle w:val="ListParagraph"/>
        <w:numPr>
          <w:ilvl w:val="0"/>
          <w:numId w:val="3"/>
        </w:numPr>
        <w:tabs>
          <w:tab w:val="clear" w:pos="720"/>
          <w:tab w:val="num" w:pos="690"/>
        </w:tabs>
        <w:spacing w:after="0"/>
        <w:ind w:left="690" w:hanging="330"/>
        <w:rPr>
          <w:rFonts w:ascii="Arial" w:eastAsia="Arial" w:hAnsi="Arial" w:cs="Arial"/>
          <w:sz w:val="24"/>
          <w:szCs w:val="24"/>
        </w:rPr>
      </w:pPr>
      <w:r>
        <w:rPr>
          <w:rFonts w:ascii="Arial" w:eastAsia="Arial" w:hAnsi="Arial" w:cs="Arial"/>
          <w:sz w:val="24"/>
          <w:szCs w:val="24"/>
        </w:rPr>
        <w:t xml:space="preserve">Pact wishes to highlight the importance of also considering the </w:t>
      </w:r>
      <w:r w:rsidR="00EF3C6D">
        <w:rPr>
          <w:rFonts w:ascii="Arial" w:eastAsia="Arial" w:hAnsi="Arial" w:cs="Arial"/>
          <w:sz w:val="24"/>
          <w:szCs w:val="24"/>
        </w:rPr>
        <w:t xml:space="preserve">potential impact of any proposed changes on the BBC’s ability to continue to invest in high-quality, original, public service content. </w:t>
      </w:r>
    </w:p>
    <w:p w:rsidR="00EF3C6D" w:rsidRPr="00EF3C6D" w:rsidRDefault="00EF3C6D" w:rsidP="00EF3C6D">
      <w:pPr>
        <w:rPr>
          <w:rFonts w:ascii="Arial" w:eastAsia="Arial" w:hAnsi="Arial" w:cs="Arial"/>
        </w:rPr>
      </w:pPr>
    </w:p>
    <w:p w:rsidR="00A961B6" w:rsidRPr="00B25FE8" w:rsidRDefault="00402729">
      <w:pPr>
        <w:pStyle w:val="ListParagraph"/>
        <w:numPr>
          <w:ilvl w:val="0"/>
          <w:numId w:val="3"/>
        </w:numPr>
        <w:tabs>
          <w:tab w:val="clear" w:pos="720"/>
          <w:tab w:val="num" w:pos="690"/>
        </w:tabs>
        <w:ind w:left="690" w:hanging="330"/>
        <w:rPr>
          <w:rFonts w:ascii="Arial" w:eastAsia="Arial" w:hAnsi="Arial" w:cs="Arial"/>
          <w:sz w:val="24"/>
          <w:szCs w:val="24"/>
        </w:rPr>
      </w:pPr>
      <w:r w:rsidRPr="00B25FE8">
        <w:rPr>
          <w:rFonts w:ascii="Arial" w:hAnsi="Arial" w:cs="Arial"/>
          <w:sz w:val="24"/>
          <w:szCs w:val="24"/>
        </w:rPr>
        <w:t xml:space="preserve">For further information, please contact Pact’s Head of Policy, </w:t>
      </w:r>
      <w:r w:rsidR="00D126B7">
        <w:rPr>
          <w:rFonts w:ascii="Arial" w:hAnsi="Arial" w:cs="Arial"/>
          <w:sz w:val="24"/>
          <w:szCs w:val="24"/>
        </w:rPr>
        <w:t>Emily Davidson</w:t>
      </w:r>
      <w:r w:rsidR="00B87196">
        <w:rPr>
          <w:rFonts w:ascii="Arial" w:hAnsi="Arial" w:cs="Arial"/>
          <w:sz w:val="24"/>
          <w:szCs w:val="24"/>
        </w:rPr>
        <w:t xml:space="preserve">, at </w:t>
      </w:r>
      <w:hyperlink r:id="rId9" w:history="1">
        <w:r w:rsidR="00B87196" w:rsidRPr="0003498E">
          <w:rPr>
            <w:rStyle w:val="Hyperlink"/>
            <w:rFonts w:ascii="Arial" w:hAnsi="Arial" w:cs="Arial"/>
            <w:sz w:val="24"/>
            <w:szCs w:val="24"/>
          </w:rPr>
          <w:t>emily@pact.co.uk</w:t>
        </w:r>
      </w:hyperlink>
      <w:r w:rsidR="00B87196">
        <w:rPr>
          <w:rFonts w:ascii="Arial" w:hAnsi="Arial" w:cs="Arial"/>
          <w:sz w:val="24"/>
          <w:szCs w:val="24"/>
        </w:rPr>
        <w:t xml:space="preserve"> </w:t>
      </w:r>
      <w:r w:rsidRPr="00B25FE8">
        <w:rPr>
          <w:rFonts w:ascii="Arial" w:hAnsi="Arial" w:cs="Arial"/>
          <w:sz w:val="24"/>
          <w:szCs w:val="24"/>
        </w:rPr>
        <w:t>or on 020 7380 8232.</w:t>
      </w:r>
    </w:p>
    <w:p w:rsidR="00A961B6" w:rsidRDefault="00A961B6">
      <w:pPr>
        <w:pStyle w:val="Body"/>
        <w:spacing w:after="0"/>
        <w:rPr>
          <w:rFonts w:ascii="Arial" w:eastAsia="Arial" w:hAnsi="Arial" w:cs="Arial"/>
          <w:sz w:val="24"/>
          <w:szCs w:val="24"/>
        </w:rPr>
      </w:pPr>
    </w:p>
    <w:p w:rsidR="00804B71" w:rsidRDefault="00804B71" w:rsidP="00804B71">
      <w:pPr>
        <w:pStyle w:val="Body"/>
        <w:spacing w:after="0"/>
        <w:rPr>
          <w:rFonts w:ascii="Arial Bold"/>
        </w:rPr>
      </w:pPr>
    </w:p>
    <w:p w:rsidR="006B5E82" w:rsidRPr="00C6551F" w:rsidRDefault="006B5E82" w:rsidP="00804B71">
      <w:pPr>
        <w:pStyle w:val="Body"/>
        <w:spacing w:after="0"/>
        <w:rPr>
          <w:rFonts w:ascii="Arial Bold"/>
          <w:sz w:val="24"/>
          <w:szCs w:val="24"/>
        </w:rPr>
      </w:pPr>
      <w:r w:rsidRPr="00C6551F">
        <w:rPr>
          <w:rFonts w:ascii="Arial Bold"/>
          <w:sz w:val="24"/>
          <w:szCs w:val="24"/>
        </w:rPr>
        <w:lastRenderedPageBreak/>
        <w:t>Pact is a strong supporter of the BBC licence fee</w:t>
      </w:r>
    </w:p>
    <w:p w:rsidR="006B5E82" w:rsidRPr="00C6551F" w:rsidRDefault="006B5E82" w:rsidP="00804B71">
      <w:pPr>
        <w:pStyle w:val="Body"/>
        <w:spacing w:after="0"/>
        <w:rPr>
          <w:rFonts w:ascii="Arial Bold"/>
          <w:sz w:val="24"/>
          <w:szCs w:val="24"/>
        </w:rPr>
      </w:pPr>
    </w:p>
    <w:p w:rsidR="006B5E82" w:rsidRDefault="006B5E82" w:rsidP="003876FD">
      <w:pPr>
        <w:pStyle w:val="Body"/>
        <w:numPr>
          <w:ilvl w:val="1"/>
          <w:numId w:val="10"/>
        </w:numPr>
        <w:rPr>
          <w:rFonts w:ascii="Arial" w:hAnsi="Arial" w:cs="Arial"/>
          <w:sz w:val="24"/>
          <w:szCs w:val="24"/>
        </w:rPr>
      </w:pPr>
      <w:r w:rsidRPr="00C6551F">
        <w:rPr>
          <w:rFonts w:ascii="Arial" w:hAnsi="Arial" w:cs="Arial"/>
          <w:sz w:val="24"/>
          <w:szCs w:val="24"/>
        </w:rPr>
        <w:t>The BBC – as the UK’s largest public service broadcaster – plays an important</w:t>
      </w:r>
      <w:r>
        <w:rPr>
          <w:rFonts w:ascii="Arial" w:hAnsi="Arial" w:cs="Arial"/>
          <w:sz w:val="24"/>
          <w:szCs w:val="24"/>
        </w:rPr>
        <w:t xml:space="preserve"> role in our broadcasting ecology.</w:t>
      </w:r>
    </w:p>
    <w:p w:rsidR="006B5E82" w:rsidRDefault="006B5E82" w:rsidP="003876FD">
      <w:pPr>
        <w:pStyle w:val="Body"/>
        <w:numPr>
          <w:ilvl w:val="1"/>
          <w:numId w:val="10"/>
        </w:numPr>
        <w:rPr>
          <w:rFonts w:ascii="Arial" w:hAnsi="Arial" w:cs="Arial"/>
          <w:sz w:val="24"/>
          <w:szCs w:val="24"/>
        </w:rPr>
      </w:pPr>
      <w:r>
        <w:rPr>
          <w:rFonts w:ascii="Arial" w:hAnsi="Arial" w:cs="Arial"/>
          <w:sz w:val="24"/>
          <w:szCs w:val="24"/>
        </w:rPr>
        <w:t>At £145</w:t>
      </w:r>
      <w:r w:rsidR="003B27AD">
        <w:rPr>
          <w:rFonts w:ascii="Arial" w:hAnsi="Arial" w:cs="Arial"/>
          <w:sz w:val="24"/>
          <w:szCs w:val="24"/>
        </w:rPr>
        <w:t>.50</w:t>
      </w:r>
      <w:r>
        <w:rPr>
          <w:rFonts w:ascii="Arial" w:hAnsi="Arial" w:cs="Arial"/>
          <w:sz w:val="24"/>
          <w:szCs w:val="24"/>
        </w:rPr>
        <w:t xml:space="preserve"> per year, the licence fee helps to fund a wide range of</w:t>
      </w:r>
      <w:r w:rsidR="003B27AD">
        <w:rPr>
          <w:rFonts w:ascii="Arial" w:hAnsi="Arial" w:cs="Arial"/>
          <w:sz w:val="24"/>
          <w:szCs w:val="24"/>
        </w:rPr>
        <w:t xml:space="preserve"> public service</w:t>
      </w:r>
      <w:r>
        <w:rPr>
          <w:rFonts w:ascii="Arial" w:hAnsi="Arial" w:cs="Arial"/>
          <w:sz w:val="24"/>
          <w:szCs w:val="24"/>
        </w:rPr>
        <w:t xml:space="preserve"> content across the BBC’s television, radio and digital services.</w:t>
      </w:r>
    </w:p>
    <w:p w:rsidR="003876FD" w:rsidRDefault="006B5E82" w:rsidP="003876FD">
      <w:pPr>
        <w:pStyle w:val="Body"/>
        <w:numPr>
          <w:ilvl w:val="1"/>
          <w:numId w:val="10"/>
        </w:numPr>
        <w:rPr>
          <w:rFonts w:ascii="Arial" w:hAnsi="Arial" w:cs="Arial"/>
          <w:sz w:val="24"/>
          <w:szCs w:val="24"/>
        </w:rPr>
      </w:pPr>
      <w:r>
        <w:rPr>
          <w:rFonts w:ascii="Arial" w:hAnsi="Arial" w:cs="Arial"/>
          <w:sz w:val="24"/>
          <w:szCs w:val="24"/>
        </w:rPr>
        <w:t xml:space="preserve">  The BBC is an important commissioner of external content, as well as producing content in-house via its production entity.</w:t>
      </w:r>
    </w:p>
    <w:p w:rsidR="00DA5A3B" w:rsidRDefault="003B27AD" w:rsidP="006B5E82">
      <w:pPr>
        <w:pStyle w:val="Body"/>
        <w:numPr>
          <w:ilvl w:val="1"/>
          <w:numId w:val="10"/>
        </w:numPr>
        <w:rPr>
          <w:rFonts w:ascii="Arial" w:hAnsi="Arial" w:cs="Arial"/>
          <w:sz w:val="24"/>
          <w:szCs w:val="24"/>
        </w:rPr>
      </w:pPr>
      <w:r>
        <w:rPr>
          <w:rFonts w:ascii="Arial" w:hAnsi="Arial" w:cs="Arial"/>
          <w:sz w:val="24"/>
          <w:szCs w:val="24"/>
        </w:rPr>
        <w:t>In 2013, the BBC spent</w:t>
      </w:r>
      <w:r w:rsidR="006B5E82">
        <w:rPr>
          <w:rFonts w:ascii="Arial" w:hAnsi="Arial" w:cs="Arial"/>
          <w:sz w:val="24"/>
          <w:szCs w:val="24"/>
        </w:rPr>
        <w:t xml:space="preserve"> £476 million on commissions from UK independent </w:t>
      </w:r>
      <w:r>
        <w:rPr>
          <w:rFonts w:ascii="Arial" w:hAnsi="Arial" w:cs="Arial"/>
          <w:sz w:val="24"/>
          <w:szCs w:val="24"/>
        </w:rPr>
        <w:t xml:space="preserve">television </w:t>
      </w:r>
      <w:r w:rsidR="006B5E82">
        <w:rPr>
          <w:rFonts w:ascii="Arial" w:hAnsi="Arial" w:cs="Arial"/>
          <w:sz w:val="24"/>
          <w:szCs w:val="24"/>
        </w:rPr>
        <w:t xml:space="preserve">producers (less than in 2012). </w:t>
      </w:r>
    </w:p>
    <w:p w:rsidR="006B5E82" w:rsidRDefault="006B5E82" w:rsidP="006B5E82">
      <w:pPr>
        <w:pStyle w:val="Body"/>
        <w:numPr>
          <w:ilvl w:val="1"/>
          <w:numId w:val="10"/>
        </w:numPr>
        <w:rPr>
          <w:rFonts w:ascii="Arial" w:hAnsi="Arial" w:cs="Arial"/>
          <w:sz w:val="24"/>
          <w:szCs w:val="24"/>
        </w:rPr>
      </w:pPr>
      <w:r>
        <w:rPr>
          <w:rFonts w:ascii="Arial" w:hAnsi="Arial" w:cs="Arial"/>
          <w:sz w:val="24"/>
          <w:szCs w:val="24"/>
        </w:rPr>
        <w:t>The BBC is unique in that it is funded by the licence fee, which is set periodically following a review between the BBC Trust, the BBC Executive and the UK Government.</w:t>
      </w:r>
    </w:p>
    <w:p w:rsidR="003B27AD" w:rsidRDefault="006B5E82" w:rsidP="003B27AD">
      <w:pPr>
        <w:pStyle w:val="Body"/>
        <w:numPr>
          <w:ilvl w:val="1"/>
          <w:numId w:val="10"/>
        </w:numPr>
        <w:rPr>
          <w:rFonts w:ascii="Arial" w:hAnsi="Arial" w:cs="Arial"/>
          <w:sz w:val="24"/>
          <w:szCs w:val="24"/>
        </w:rPr>
      </w:pPr>
      <w:r>
        <w:rPr>
          <w:rFonts w:ascii="Arial" w:hAnsi="Arial" w:cs="Arial"/>
          <w:sz w:val="24"/>
          <w:szCs w:val="24"/>
        </w:rPr>
        <w:t>Pact is</w:t>
      </w:r>
      <w:r w:rsidR="009B616C">
        <w:rPr>
          <w:rFonts w:ascii="Arial" w:hAnsi="Arial" w:cs="Arial"/>
          <w:sz w:val="24"/>
          <w:szCs w:val="24"/>
        </w:rPr>
        <w:t xml:space="preserve"> concerned</w:t>
      </w:r>
      <w:r>
        <w:rPr>
          <w:rFonts w:ascii="Arial" w:hAnsi="Arial" w:cs="Arial"/>
          <w:sz w:val="24"/>
          <w:szCs w:val="24"/>
        </w:rPr>
        <w:t xml:space="preserve"> </w:t>
      </w:r>
      <w:r w:rsidR="00970B9F">
        <w:rPr>
          <w:rFonts w:ascii="Arial" w:hAnsi="Arial" w:cs="Arial"/>
          <w:sz w:val="24"/>
          <w:szCs w:val="24"/>
        </w:rPr>
        <w:t xml:space="preserve">that the last licence fee settlement led to </w:t>
      </w:r>
      <w:r w:rsidR="003B27AD">
        <w:rPr>
          <w:rFonts w:ascii="Arial" w:hAnsi="Arial" w:cs="Arial"/>
          <w:sz w:val="24"/>
          <w:szCs w:val="24"/>
        </w:rPr>
        <w:t>a decrease of the BBC licence fee</w:t>
      </w:r>
      <w:r w:rsidR="00935D28">
        <w:rPr>
          <w:rFonts w:ascii="Arial" w:hAnsi="Arial" w:cs="Arial"/>
          <w:sz w:val="24"/>
          <w:szCs w:val="24"/>
        </w:rPr>
        <w:t xml:space="preserve"> over five years in real terms </w:t>
      </w:r>
      <w:r w:rsidR="003B27AD">
        <w:rPr>
          <w:rFonts w:ascii="Arial" w:hAnsi="Arial" w:cs="Arial"/>
          <w:sz w:val="24"/>
          <w:szCs w:val="24"/>
        </w:rPr>
        <w:t>and</w:t>
      </w:r>
      <w:r w:rsidR="00935D28">
        <w:rPr>
          <w:rFonts w:ascii="Arial" w:hAnsi="Arial" w:cs="Arial"/>
          <w:sz w:val="24"/>
          <w:szCs w:val="24"/>
        </w:rPr>
        <w:t xml:space="preserve"> to</w:t>
      </w:r>
      <w:r w:rsidR="003B27AD">
        <w:rPr>
          <w:rFonts w:ascii="Arial" w:hAnsi="Arial" w:cs="Arial"/>
          <w:sz w:val="24"/>
          <w:szCs w:val="24"/>
        </w:rPr>
        <w:t xml:space="preserve"> top-slicing of funding away from BBC core-services towards </w:t>
      </w:r>
      <w:r w:rsidR="00646044">
        <w:rPr>
          <w:rFonts w:ascii="Arial" w:hAnsi="Arial" w:cs="Arial"/>
          <w:sz w:val="24"/>
          <w:szCs w:val="24"/>
        </w:rPr>
        <w:t xml:space="preserve">non-TV services such as </w:t>
      </w:r>
      <w:r w:rsidR="003B27AD">
        <w:rPr>
          <w:rFonts w:ascii="Arial" w:hAnsi="Arial" w:cs="Arial"/>
          <w:sz w:val="24"/>
          <w:szCs w:val="24"/>
        </w:rPr>
        <w:t>funding broadband roll-out</w:t>
      </w:r>
      <w:r w:rsidR="00646044">
        <w:rPr>
          <w:rFonts w:ascii="Arial" w:hAnsi="Arial" w:cs="Arial"/>
          <w:sz w:val="24"/>
          <w:szCs w:val="24"/>
        </w:rPr>
        <w:t>.</w:t>
      </w:r>
    </w:p>
    <w:p w:rsidR="009B616C" w:rsidRDefault="009B616C" w:rsidP="003B27AD">
      <w:pPr>
        <w:pStyle w:val="Body"/>
        <w:numPr>
          <w:ilvl w:val="1"/>
          <w:numId w:val="10"/>
        </w:numPr>
        <w:rPr>
          <w:rFonts w:ascii="Arial" w:hAnsi="Arial" w:cs="Arial"/>
          <w:sz w:val="24"/>
          <w:szCs w:val="24"/>
        </w:rPr>
      </w:pPr>
      <w:r>
        <w:rPr>
          <w:rFonts w:ascii="Arial" w:hAnsi="Arial" w:cs="Arial"/>
          <w:sz w:val="24"/>
          <w:szCs w:val="24"/>
        </w:rPr>
        <w:t>This decrease in the BBC’s ability to invest in high-quality original content has been countered through increased efficiencies and independent producers bringing deficit funding to the table by generating revenues through secondary sales.</w:t>
      </w:r>
    </w:p>
    <w:p w:rsidR="003B27AD" w:rsidRDefault="009B616C" w:rsidP="009B616C">
      <w:pPr>
        <w:pStyle w:val="Body"/>
        <w:numPr>
          <w:ilvl w:val="1"/>
          <w:numId w:val="10"/>
        </w:numPr>
        <w:rPr>
          <w:rFonts w:ascii="Arial" w:hAnsi="Arial" w:cs="Arial"/>
          <w:sz w:val="24"/>
          <w:szCs w:val="24"/>
        </w:rPr>
      </w:pPr>
      <w:r>
        <w:rPr>
          <w:rFonts w:ascii="Arial" w:hAnsi="Arial" w:cs="Arial"/>
          <w:sz w:val="24"/>
          <w:szCs w:val="24"/>
        </w:rPr>
        <w:t xml:space="preserve">However, a further decrease in the BBC’s content budget would have serious consequences for the broadcaster’s ability to continue to invest in UK original content. </w:t>
      </w:r>
    </w:p>
    <w:p w:rsidR="003B27AD" w:rsidRDefault="009B616C" w:rsidP="003B27AD">
      <w:pPr>
        <w:pStyle w:val="Body"/>
        <w:numPr>
          <w:ilvl w:val="1"/>
          <w:numId w:val="10"/>
        </w:numPr>
        <w:rPr>
          <w:rFonts w:ascii="Arial" w:hAnsi="Arial" w:cs="Arial"/>
          <w:sz w:val="24"/>
          <w:szCs w:val="24"/>
        </w:rPr>
      </w:pPr>
      <w:r>
        <w:rPr>
          <w:rFonts w:ascii="Arial" w:hAnsi="Arial" w:cs="Arial"/>
          <w:sz w:val="24"/>
          <w:szCs w:val="24"/>
        </w:rPr>
        <w:t>Therefore, in</w:t>
      </w:r>
      <w:r w:rsidR="003B27AD">
        <w:rPr>
          <w:rFonts w:ascii="Arial" w:hAnsi="Arial" w:cs="Arial"/>
          <w:sz w:val="24"/>
          <w:szCs w:val="24"/>
        </w:rPr>
        <w:t xml:space="preserve"> order to sustain the high-level of investment in original UK content, it is important that the BBC licence fee is tied to inflation for the next licence fee period.  Anything less than this would lead to a reduction in the BBC’s budget which could have far reaching implications both on and off screen.</w:t>
      </w:r>
    </w:p>
    <w:p w:rsidR="003B27AD" w:rsidRPr="003B27AD" w:rsidRDefault="003B27AD" w:rsidP="003B27AD">
      <w:pPr>
        <w:pStyle w:val="Body"/>
        <w:rPr>
          <w:rFonts w:ascii="Arial" w:hAnsi="Arial" w:cs="Arial"/>
          <w:b/>
          <w:sz w:val="24"/>
          <w:szCs w:val="24"/>
        </w:rPr>
      </w:pPr>
      <w:r w:rsidRPr="003B27AD">
        <w:rPr>
          <w:rFonts w:ascii="Arial" w:hAnsi="Arial" w:cs="Arial"/>
          <w:b/>
          <w:sz w:val="24"/>
          <w:szCs w:val="24"/>
        </w:rPr>
        <w:t>Pact supports a proportionate approach to TV licence enforcement, provided that it does not lead to any reduction in the BBC’s licence fee income</w:t>
      </w:r>
    </w:p>
    <w:p w:rsidR="003B27AD" w:rsidRDefault="00A968E0" w:rsidP="003B27AD">
      <w:pPr>
        <w:pStyle w:val="Body"/>
        <w:numPr>
          <w:ilvl w:val="1"/>
          <w:numId w:val="10"/>
        </w:numPr>
        <w:rPr>
          <w:rFonts w:ascii="Arial" w:hAnsi="Arial" w:cs="Arial"/>
          <w:sz w:val="24"/>
          <w:szCs w:val="24"/>
        </w:rPr>
      </w:pPr>
      <w:r>
        <w:rPr>
          <w:rFonts w:ascii="Arial" w:hAnsi="Arial" w:cs="Arial"/>
          <w:sz w:val="24"/>
          <w:szCs w:val="24"/>
        </w:rPr>
        <w:t>Pact, like the BBC, wants a licence fee enforcement system that maximises licence fee income in the public interest, to support public service broadcasting, whilst being proportionate to the offence.</w:t>
      </w:r>
    </w:p>
    <w:p w:rsidR="00A968E0" w:rsidRDefault="00A968E0" w:rsidP="003B27AD">
      <w:pPr>
        <w:pStyle w:val="Body"/>
        <w:numPr>
          <w:ilvl w:val="1"/>
          <w:numId w:val="10"/>
        </w:numPr>
        <w:rPr>
          <w:rFonts w:ascii="Arial" w:hAnsi="Arial" w:cs="Arial"/>
          <w:sz w:val="24"/>
          <w:szCs w:val="24"/>
        </w:rPr>
      </w:pPr>
      <w:r>
        <w:rPr>
          <w:rFonts w:ascii="Arial" w:hAnsi="Arial" w:cs="Arial"/>
          <w:sz w:val="24"/>
          <w:szCs w:val="24"/>
        </w:rPr>
        <w:t>Given that the level of licence fee evasion in the UK is relatively low by international standards (5%), the current system appears to be working with regards to securing the lowest possible level of evasion.</w:t>
      </w:r>
    </w:p>
    <w:p w:rsidR="00A34710" w:rsidRDefault="00A968E0" w:rsidP="003B27AD">
      <w:pPr>
        <w:pStyle w:val="Body"/>
        <w:numPr>
          <w:ilvl w:val="1"/>
          <w:numId w:val="10"/>
        </w:numPr>
        <w:rPr>
          <w:rFonts w:ascii="Arial" w:hAnsi="Arial" w:cs="Arial"/>
          <w:sz w:val="24"/>
          <w:szCs w:val="24"/>
        </w:rPr>
      </w:pPr>
      <w:r>
        <w:rPr>
          <w:rFonts w:ascii="Arial" w:hAnsi="Arial" w:cs="Arial"/>
          <w:sz w:val="24"/>
          <w:szCs w:val="24"/>
        </w:rPr>
        <w:lastRenderedPageBreak/>
        <w:t>Under the existing system, the BBC lo</w:t>
      </w:r>
      <w:r w:rsidR="00E44229">
        <w:rPr>
          <w:rFonts w:ascii="Arial" w:hAnsi="Arial" w:cs="Arial"/>
          <w:sz w:val="24"/>
          <w:szCs w:val="24"/>
        </w:rPr>
        <w:t>o</w:t>
      </w:r>
      <w:r>
        <w:rPr>
          <w:rFonts w:ascii="Arial" w:hAnsi="Arial" w:cs="Arial"/>
          <w:sz w:val="24"/>
          <w:szCs w:val="24"/>
        </w:rPr>
        <w:t xml:space="preserve">ses approximately £200 million per annum from non-payment of the licence fee. </w:t>
      </w:r>
    </w:p>
    <w:p w:rsidR="004A369F" w:rsidRDefault="00A968E0" w:rsidP="003B27AD">
      <w:pPr>
        <w:pStyle w:val="Body"/>
        <w:numPr>
          <w:ilvl w:val="1"/>
          <w:numId w:val="10"/>
        </w:numPr>
        <w:rPr>
          <w:rFonts w:ascii="Arial" w:hAnsi="Arial" w:cs="Arial"/>
          <w:sz w:val="24"/>
          <w:szCs w:val="24"/>
        </w:rPr>
      </w:pPr>
      <w:r>
        <w:rPr>
          <w:rFonts w:ascii="Arial" w:hAnsi="Arial" w:cs="Arial"/>
          <w:sz w:val="24"/>
          <w:szCs w:val="24"/>
        </w:rPr>
        <w:t xml:space="preserve">Should evasion rates rise to closer to 9% under a civil model, as predicted by the BBC, this could have a severe impact on the BBC’s ability to invest in high-quality original UK content. </w:t>
      </w:r>
    </w:p>
    <w:p w:rsidR="00A968E0" w:rsidRDefault="00A968E0" w:rsidP="003B27AD">
      <w:pPr>
        <w:pStyle w:val="Body"/>
        <w:numPr>
          <w:ilvl w:val="1"/>
          <w:numId w:val="10"/>
        </w:numPr>
        <w:rPr>
          <w:rFonts w:ascii="Arial" w:hAnsi="Arial" w:cs="Arial"/>
          <w:sz w:val="24"/>
          <w:szCs w:val="24"/>
        </w:rPr>
      </w:pPr>
      <w:r>
        <w:rPr>
          <w:rFonts w:ascii="Arial" w:hAnsi="Arial" w:cs="Arial"/>
          <w:sz w:val="24"/>
          <w:szCs w:val="24"/>
        </w:rPr>
        <w:t>This would have a negative effect on the whole of the UK broadcasting ecology.  Licence fee payers would be unlikely to receive the same level of content on-screen,</w:t>
      </w:r>
      <w:r w:rsidR="000B6270">
        <w:rPr>
          <w:rFonts w:ascii="Arial" w:hAnsi="Arial" w:cs="Arial"/>
          <w:sz w:val="24"/>
          <w:szCs w:val="24"/>
        </w:rPr>
        <w:t xml:space="preserve"> on radio or on digital devices</w:t>
      </w:r>
      <w:r>
        <w:rPr>
          <w:rFonts w:ascii="Arial" w:hAnsi="Arial" w:cs="Arial"/>
          <w:sz w:val="24"/>
          <w:szCs w:val="24"/>
        </w:rPr>
        <w:t xml:space="preserve"> and the BBC would not be able to invest in creative businesses in the external market at current levels.</w:t>
      </w:r>
    </w:p>
    <w:p w:rsidR="00A968E0" w:rsidRDefault="00A968E0" w:rsidP="003B27AD">
      <w:pPr>
        <w:pStyle w:val="Body"/>
        <w:numPr>
          <w:ilvl w:val="1"/>
          <w:numId w:val="10"/>
        </w:numPr>
        <w:rPr>
          <w:rFonts w:ascii="Arial" w:hAnsi="Arial" w:cs="Arial"/>
          <w:sz w:val="24"/>
          <w:szCs w:val="24"/>
        </w:rPr>
      </w:pPr>
      <w:r>
        <w:rPr>
          <w:rFonts w:ascii="Arial" w:hAnsi="Arial" w:cs="Arial"/>
          <w:sz w:val="24"/>
          <w:szCs w:val="24"/>
        </w:rPr>
        <w:t>Furthermore, Ofcom recently found in its public service broadcasting consultation that ITV 1’s level of investment in original U</w:t>
      </w:r>
      <w:r w:rsidR="000B6270">
        <w:rPr>
          <w:rFonts w:ascii="Arial" w:hAnsi="Arial" w:cs="Arial"/>
          <w:sz w:val="24"/>
          <w:szCs w:val="24"/>
        </w:rPr>
        <w:t>K content is tied to that of it</w:t>
      </w:r>
      <w:r>
        <w:rPr>
          <w:rFonts w:ascii="Arial" w:hAnsi="Arial" w:cs="Arial"/>
          <w:sz w:val="24"/>
          <w:szCs w:val="24"/>
        </w:rPr>
        <w:t xml:space="preserve">s main competitor, BBC One. Therefore, should the BBC reduce its content budget on BBC One as a result of higher licence fee evasion rates, this is likely to have a negative effect across all UK PSB </w:t>
      </w:r>
      <w:r w:rsidR="00E44229">
        <w:rPr>
          <w:rFonts w:ascii="Arial" w:hAnsi="Arial" w:cs="Arial"/>
          <w:sz w:val="24"/>
          <w:szCs w:val="24"/>
        </w:rPr>
        <w:t>investment.</w:t>
      </w:r>
    </w:p>
    <w:p w:rsidR="00A968E0" w:rsidRDefault="00A968E0" w:rsidP="003B27AD">
      <w:pPr>
        <w:pStyle w:val="Body"/>
        <w:numPr>
          <w:ilvl w:val="1"/>
          <w:numId w:val="10"/>
        </w:numPr>
        <w:rPr>
          <w:rFonts w:ascii="Arial" w:hAnsi="Arial" w:cs="Arial"/>
          <w:sz w:val="24"/>
          <w:szCs w:val="24"/>
        </w:rPr>
      </w:pPr>
      <w:r>
        <w:rPr>
          <w:rFonts w:ascii="Arial" w:hAnsi="Arial" w:cs="Arial"/>
          <w:sz w:val="24"/>
          <w:szCs w:val="24"/>
        </w:rPr>
        <w:t xml:space="preserve">A reduction in BBC commissioning budgets would also harm a thriving £3 billion UK independent production sector which employs </w:t>
      </w:r>
      <w:r w:rsidR="000B6270">
        <w:rPr>
          <w:rFonts w:ascii="Arial" w:hAnsi="Arial" w:cs="Arial"/>
          <w:sz w:val="24"/>
          <w:szCs w:val="24"/>
        </w:rPr>
        <w:t>more</w:t>
      </w:r>
      <w:r>
        <w:rPr>
          <w:rFonts w:ascii="Arial" w:hAnsi="Arial" w:cs="Arial"/>
          <w:sz w:val="24"/>
          <w:szCs w:val="24"/>
        </w:rPr>
        <w:t xml:space="preserve"> people </w:t>
      </w:r>
      <w:r w:rsidR="000B6270">
        <w:rPr>
          <w:rFonts w:ascii="Arial" w:hAnsi="Arial" w:cs="Arial"/>
          <w:sz w:val="24"/>
          <w:szCs w:val="24"/>
        </w:rPr>
        <w:t xml:space="preserve">than the UK PSBs combined </w:t>
      </w:r>
      <w:r>
        <w:rPr>
          <w:rFonts w:ascii="Arial" w:hAnsi="Arial" w:cs="Arial"/>
          <w:sz w:val="24"/>
          <w:szCs w:val="24"/>
        </w:rPr>
        <w:t xml:space="preserve">and </w:t>
      </w:r>
      <w:r w:rsidR="000B6270">
        <w:rPr>
          <w:rFonts w:ascii="Arial" w:hAnsi="Arial" w:cs="Arial"/>
          <w:sz w:val="24"/>
          <w:szCs w:val="24"/>
        </w:rPr>
        <w:t xml:space="preserve">– with sector revenues over £3 billion - </w:t>
      </w:r>
      <w:r>
        <w:rPr>
          <w:rFonts w:ascii="Arial" w:hAnsi="Arial" w:cs="Arial"/>
          <w:sz w:val="24"/>
          <w:szCs w:val="24"/>
        </w:rPr>
        <w:t xml:space="preserve">generates significant </w:t>
      </w:r>
      <w:r w:rsidR="000B6270">
        <w:rPr>
          <w:rFonts w:ascii="Arial" w:hAnsi="Arial" w:cs="Arial"/>
          <w:sz w:val="24"/>
          <w:szCs w:val="24"/>
        </w:rPr>
        <w:t xml:space="preserve">income </w:t>
      </w:r>
      <w:r>
        <w:rPr>
          <w:rFonts w:ascii="Arial" w:hAnsi="Arial" w:cs="Arial"/>
          <w:sz w:val="24"/>
          <w:szCs w:val="24"/>
        </w:rPr>
        <w:t>for the UK Treasury.</w:t>
      </w:r>
    </w:p>
    <w:p w:rsidR="00A968E0" w:rsidRDefault="00A968E0" w:rsidP="003B27AD">
      <w:pPr>
        <w:pStyle w:val="Body"/>
        <w:numPr>
          <w:ilvl w:val="1"/>
          <w:numId w:val="10"/>
        </w:numPr>
        <w:rPr>
          <w:rFonts w:ascii="Arial" w:hAnsi="Arial" w:cs="Arial"/>
          <w:sz w:val="24"/>
          <w:szCs w:val="24"/>
        </w:rPr>
      </w:pPr>
      <w:r>
        <w:rPr>
          <w:rFonts w:ascii="Arial" w:hAnsi="Arial" w:cs="Arial"/>
          <w:sz w:val="24"/>
          <w:szCs w:val="24"/>
        </w:rPr>
        <w:t>In light of the potential risk to the BBC licence fee income if the current system were to be changed, Pact supports the r</w:t>
      </w:r>
      <w:r w:rsidR="00810199">
        <w:rPr>
          <w:rFonts w:ascii="Arial" w:hAnsi="Arial" w:cs="Arial"/>
          <w:sz w:val="24"/>
          <w:szCs w:val="24"/>
        </w:rPr>
        <w:t xml:space="preserve">etention of the current system, </w:t>
      </w:r>
      <w:r>
        <w:rPr>
          <w:rFonts w:ascii="Arial" w:hAnsi="Arial" w:cs="Arial"/>
          <w:sz w:val="24"/>
          <w:szCs w:val="24"/>
        </w:rPr>
        <w:t>either in its current form or under op</w:t>
      </w:r>
      <w:r w:rsidR="00810199">
        <w:rPr>
          <w:rFonts w:ascii="Arial" w:hAnsi="Arial" w:cs="Arial"/>
          <w:sz w:val="24"/>
          <w:szCs w:val="24"/>
        </w:rPr>
        <w:t>tion 2, with additional reforms</w:t>
      </w:r>
      <w:r>
        <w:rPr>
          <w:rFonts w:ascii="Arial" w:hAnsi="Arial" w:cs="Arial"/>
          <w:sz w:val="24"/>
          <w:szCs w:val="24"/>
        </w:rPr>
        <w:t>.</w:t>
      </w:r>
    </w:p>
    <w:p w:rsidR="00A968E0" w:rsidRDefault="00810199" w:rsidP="00A968E0">
      <w:pPr>
        <w:pStyle w:val="Body"/>
        <w:numPr>
          <w:ilvl w:val="1"/>
          <w:numId w:val="10"/>
        </w:numPr>
        <w:rPr>
          <w:rFonts w:ascii="Arial" w:hAnsi="Arial" w:cs="Arial"/>
          <w:sz w:val="24"/>
          <w:szCs w:val="24"/>
        </w:rPr>
      </w:pPr>
      <w:r>
        <w:rPr>
          <w:rFonts w:ascii="Arial" w:hAnsi="Arial" w:cs="Arial"/>
          <w:sz w:val="24"/>
          <w:szCs w:val="24"/>
        </w:rPr>
        <w:t xml:space="preserve">Pact looks forward to </w:t>
      </w:r>
      <w:r w:rsidR="00A968E0">
        <w:rPr>
          <w:rFonts w:ascii="Arial" w:hAnsi="Arial" w:cs="Arial"/>
          <w:sz w:val="24"/>
          <w:szCs w:val="24"/>
        </w:rPr>
        <w:t>reading the findings of David Perry QC’s review. Should evidence show that the licence fee system could be revised to an alternative criminal enforcement method, or to a civil enforcement option, in a way which would secure a low rate of evasion, then we would welcome a further discussion about how this option could be pursued in a way which would not harm the ability of the BBC to invest in high-quality, original, PSB content.</w:t>
      </w:r>
    </w:p>
    <w:p w:rsidR="003B27AD" w:rsidRPr="003B27AD" w:rsidRDefault="003B27AD" w:rsidP="003B27AD">
      <w:pPr>
        <w:pStyle w:val="Body"/>
        <w:ind w:left="360"/>
        <w:rPr>
          <w:rFonts w:ascii="Arial" w:hAnsi="Arial" w:cs="Arial"/>
          <w:sz w:val="24"/>
          <w:szCs w:val="24"/>
        </w:rPr>
      </w:pPr>
    </w:p>
    <w:sectPr w:rsidR="003B27AD" w:rsidRPr="003B27AD">
      <w:headerReference w:type="default" r:id="rId10"/>
      <w:footerReference w:type="default" r:id="rId11"/>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ACE" w:rsidRDefault="006C7ACE">
      <w:r>
        <w:separator/>
      </w:r>
    </w:p>
  </w:endnote>
  <w:endnote w:type="continuationSeparator" w:id="0">
    <w:p w:rsidR="006C7ACE" w:rsidRDefault="006C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B6" w:rsidRDefault="00402729">
    <w:pPr>
      <w:pStyle w:val="Footer"/>
      <w:tabs>
        <w:tab w:val="clear" w:pos="9026"/>
        <w:tab w:val="right" w:pos="9000"/>
      </w:tabs>
      <w:jc w:val="right"/>
    </w:pPr>
    <w:r>
      <w:fldChar w:fldCharType="begin"/>
    </w:r>
    <w:r>
      <w:instrText xml:space="preserve"> PAGE </w:instrText>
    </w:r>
    <w:r>
      <w:fldChar w:fldCharType="separate"/>
    </w:r>
    <w:r w:rsidR="00BA34E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ACE" w:rsidRDefault="006C7ACE">
      <w:r>
        <w:separator/>
      </w:r>
    </w:p>
  </w:footnote>
  <w:footnote w:type="continuationSeparator" w:id="0">
    <w:p w:rsidR="006C7ACE" w:rsidRDefault="006C7ACE">
      <w:r>
        <w:continuationSeparator/>
      </w:r>
    </w:p>
  </w:footnote>
  <w:footnote w:type="continuationNotice" w:id="1">
    <w:p w:rsidR="006C7ACE" w:rsidRDefault="006C7ACE"/>
  </w:footnote>
  <w:footnote w:id="2">
    <w:p w:rsidR="00A961B6" w:rsidRDefault="00402729">
      <w:pPr>
        <w:pStyle w:val="FootnoteText"/>
      </w:pPr>
      <w:r>
        <w:rPr>
          <w:rFonts w:ascii="Arial" w:eastAsia="Arial" w:hAnsi="Arial" w:cs="Arial"/>
          <w:sz w:val="24"/>
          <w:szCs w:val="24"/>
          <w:vertAlign w:val="superscript"/>
        </w:rPr>
        <w:footnoteRef/>
      </w:r>
      <w:r>
        <w:rPr>
          <w:rFonts w:ascii="Arial"/>
          <w:sz w:val="18"/>
          <w:szCs w:val="18"/>
        </w:rPr>
        <w:t xml:space="preserve"> Pact Census Independent Production Sector Financial Census and Survey 2013, by Oliver &amp; O</w:t>
      </w:r>
      <w:r w:rsidR="009427C3">
        <w:rPr>
          <w:rFonts w:ascii="Arial"/>
          <w:sz w:val="18"/>
          <w:szCs w:val="18"/>
        </w:rPr>
        <w:t>hlbaum Associates Ltd (July 2014</w:t>
      </w:r>
      <w:r>
        <w:rPr>
          <w:rFonts w:ascii="Arial"/>
          <w:sz w:val="18"/>
          <w:szCs w:val="18"/>
        </w:rPr>
        <w:t>)</w:t>
      </w:r>
    </w:p>
  </w:footnote>
  <w:footnote w:id="3">
    <w:p w:rsidR="00A961B6" w:rsidRDefault="00402729">
      <w:pPr>
        <w:pStyle w:val="FootnoteText"/>
      </w:pPr>
      <w:r>
        <w:rPr>
          <w:rFonts w:ascii="Arial" w:eastAsia="Arial" w:hAnsi="Arial" w:cs="Arial"/>
          <w:sz w:val="24"/>
          <w:szCs w:val="24"/>
          <w:vertAlign w:val="superscript"/>
        </w:rPr>
        <w:footnoteRef/>
      </w:r>
      <w:r>
        <w:rPr>
          <w:rFonts w:ascii="Arial"/>
          <w:sz w:val="18"/>
          <w:szCs w:val="18"/>
        </w:rPr>
        <w:t xml:space="preserve"> Pact Census Independent Production Sector Financial Census and Survey 2013, by Oliver &amp; Ohlbaum Associates Limited (</w:t>
      </w:r>
      <w:r w:rsidR="009427C3">
        <w:rPr>
          <w:rFonts w:ascii="Arial"/>
          <w:sz w:val="18"/>
          <w:szCs w:val="18"/>
        </w:rPr>
        <w:t>July 2014)</w:t>
      </w:r>
    </w:p>
  </w:footnote>
  <w:footnote w:id="4">
    <w:p w:rsidR="00A961B6" w:rsidRDefault="00402729">
      <w:pPr>
        <w:pStyle w:val="FootnoteText"/>
      </w:pPr>
      <w:r>
        <w:rPr>
          <w:rFonts w:ascii="Arial" w:eastAsia="Arial" w:hAnsi="Arial" w:cs="Arial"/>
          <w:sz w:val="24"/>
          <w:szCs w:val="24"/>
          <w:vertAlign w:val="superscript"/>
        </w:rPr>
        <w:footnoteRef/>
      </w:r>
      <w:r>
        <w:rPr>
          <w:rFonts w:ascii="Arial"/>
          <w:sz w:val="18"/>
          <w:szCs w:val="18"/>
        </w:rPr>
        <w:t xml:space="preserve"> BBC Annual Report </w:t>
      </w:r>
      <w:r w:rsidR="00316648">
        <w:rPr>
          <w:rFonts w:ascii="Arial"/>
          <w:sz w:val="18"/>
          <w:szCs w:val="18"/>
        </w:rPr>
        <w:t>2013-14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B6" w:rsidRDefault="00402729" w:rsidP="00EF3C6D">
    <w:pPr>
      <w:pStyle w:val="HeaderFooter"/>
      <w:tabs>
        <w:tab w:val="clear" w:pos="9020"/>
        <w:tab w:val="left" w:pos="5220"/>
        <w:tab w:val="left" w:pos="7380"/>
      </w:tabs>
    </w:pPr>
    <w:r>
      <w:rPr>
        <w:noProof/>
      </w:rPr>
      <mc:AlternateContent>
        <mc:Choice Requires="wps">
          <w:drawing>
            <wp:anchor distT="152400" distB="152400" distL="152400" distR="152400" simplePos="0" relativeHeight="251658240" behindDoc="1" locked="0" layoutInCell="1" allowOverlap="1" wp14:anchorId="59239692" wp14:editId="45543309">
              <wp:simplePos x="0" y="0"/>
              <wp:positionH relativeFrom="page">
                <wp:posOffset>914400</wp:posOffset>
              </wp:positionH>
              <wp:positionV relativeFrom="page">
                <wp:posOffset>449580</wp:posOffset>
              </wp:positionV>
              <wp:extent cx="587756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77560" cy="2286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925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6"/>
                            <w:gridCol w:w="1310"/>
                          </w:tblGrid>
                          <w:tr w:rsidR="00A961B6">
                            <w:trPr>
                              <w:trHeight w:val="128"/>
                            </w:trPr>
                            <w:tc>
                              <w:tcPr>
                                <w:tcW w:w="7946" w:type="dxa"/>
                                <w:tcBorders>
                                  <w:top w:val="nil"/>
                                  <w:left w:val="nil"/>
                                  <w:bottom w:val="single" w:sz="18" w:space="0" w:color="808080"/>
                                  <w:right w:val="single" w:sz="18" w:space="0" w:color="808080"/>
                                </w:tcBorders>
                                <w:shd w:val="clear" w:color="auto" w:fill="auto"/>
                                <w:tcMar>
                                  <w:top w:w="80" w:type="dxa"/>
                                  <w:left w:w="80" w:type="dxa"/>
                                  <w:bottom w:w="80" w:type="dxa"/>
                                  <w:right w:w="80" w:type="dxa"/>
                                </w:tcMar>
                              </w:tcPr>
                              <w:p w:rsidR="00A961B6" w:rsidRDefault="00EF3C6D" w:rsidP="00EF3C6D">
                                <w:pPr>
                                  <w:pStyle w:val="Header"/>
                                  <w:tabs>
                                    <w:tab w:val="clear" w:pos="9026"/>
                                    <w:tab w:val="right" w:pos="9000"/>
                                  </w:tabs>
                                </w:pPr>
                                <w:r>
                                  <w:rPr>
                                    <w:rFonts w:ascii="Arial"/>
                                    <w:sz w:val="24"/>
                                    <w:szCs w:val="24"/>
                                  </w:rPr>
                                  <w:t xml:space="preserve"> DCMS TV Licence Enforcement Review</w:t>
                                </w:r>
                              </w:p>
                            </w:tc>
                            <w:tc>
                              <w:tcPr>
                                <w:tcW w:w="1310" w:type="dxa"/>
                                <w:tcBorders>
                                  <w:top w:val="nil"/>
                                  <w:left w:val="single" w:sz="18" w:space="0" w:color="808080"/>
                                  <w:bottom w:val="single" w:sz="18" w:space="0" w:color="808080"/>
                                  <w:right w:val="nil"/>
                                </w:tcBorders>
                                <w:shd w:val="clear" w:color="auto" w:fill="auto"/>
                                <w:tcMar>
                                  <w:top w:w="80" w:type="dxa"/>
                                  <w:left w:w="80" w:type="dxa"/>
                                  <w:bottom w:w="80" w:type="dxa"/>
                                  <w:right w:w="80" w:type="dxa"/>
                                </w:tcMar>
                              </w:tcPr>
                              <w:p w:rsidR="00A961B6" w:rsidRDefault="00A961B6"/>
                            </w:tc>
                          </w:tr>
                        </w:tbl>
                        <w:p w:rsidR="00AE321D" w:rsidRDefault="00AE321D"/>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w14:anchorId="59239692" id="officeArt object" o:spid="_x0000_s1026" style="position:absolute;margin-left:1in;margin-top:35.4pt;width:462.8pt;height:1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" filled="f" stroked="f">
              <v:textbox style="mso-fit-shape-to-text:t" inset="0,0,0,0">
                <w:txbxContent>
                  <w:tbl>
                    <w:tblPr>
                      <w:tblW w:w="925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6"/>
                      <w:gridCol w:w="1310"/>
                    </w:tblGrid>
                    <w:tr w:rsidR="00A961B6">
                      <w:trPr>
                        <w:trHeight w:val="128"/>
                      </w:trPr>
                      <w:tc>
                        <w:tcPr>
                          <w:tcW w:w="7946" w:type="dxa"/>
                          <w:tcBorders>
                            <w:top w:val="nil"/>
                            <w:left w:val="nil"/>
                            <w:bottom w:val="single" w:sz="18" w:space="0" w:color="808080"/>
                            <w:right w:val="single" w:sz="18" w:space="0" w:color="808080"/>
                          </w:tcBorders>
                          <w:shd w:val="clear" w:color="auto" w:fill="auto"/>
                          <w:tcMar>
                            <w:top w:w="80" w:type="dxa"/>
                            <w:left w:w="80" w:type="dxa"/>
                            <w:bottom w:w="80" w:type="dxa"/>
                            <w:right w:w="80" w:type="dxa"/>
                          </w:tcMar>
                        </w:tcPr>
                        <w:p w:rsidR="00A961B6" w:rsidRDefault="00EF3C6D" w:rsidP="00EF3C6D">
                          <w:pPr>
                            <w:pStyle w:val="Header"/>
                            <w:tabs>
                              <w:tab w:val="clear" w:pos="9026"/>
                              <w:tab w:val="right" w:pos="9000"/>
                            </w:tabs>
                          </w:pPr>
                          <w:r>
                            <w:rPr>
                              <w:rFonts w:ascii="Arial"/>
                              <w:sz w:val="24"/>
                              <w:szCs w:val="24"/>
                            </w:rPr>
                            <w:t xml:space="preserve"> DCMS TV Licence Enforcement Review</w:t>
                          </w:r>
                        </w:p>
                      </w:tc>
                      <w:tc>
                        <w:tcPr>
                          <w:tcW w:w="1310" w:type="dxa"/>
                          <w:tcBorders>
                            <w:top w:val="nil"/>
                            <w:left w:val="single" w:sz="18" w:space="0" w:color="808080"/>
                            <w:bottom w:val="single" w:sz="18" w:space="0" w:color="808080"/>
                            <w:right w:val="nil"/>
                          </w:tcBorders>
                          <w:shd w:val="clear" w:color="auto" w:fill="auto"/>
                          <w:tcMar>
                            <w:top w:w="80" w:type="dxa"/>
                            <w:left w:w="80" w:type="dxa"/>
                            <w:bottom w:w="80" w:type="dxa"/>
                            <w:right w:w="80" w:type="dxa"/>
                          </w:tcMar>
                        </w:tcPr>
                        <w:p w:rsidR="00A961B6" w:rsidRDefault="00A961B6"/>
                      </w:tc>
                    </w:tr>
                  </w:tbl>
                  <w:p w:rsidR="00AE321D" w:rsidRDefault="00AE321D"/>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A07"/>
    <w:multiLevelType w:val="hybridMultilevel"/>
    <w:tmpl w:val="81425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471FD"/>
    <w:multiLevelType w:val="multilevel"/>
    <w:tmpl w:val="AA24DA34"/>
    <w:lvl w:ilvl="0">
      <w:start w:val="4"/>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1080" w:hanging="108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440" w:hanging="144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800" w:hanging="180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2" w15:restartNumberingAfterBreak="0">
    <w:nsid w:val="10BF1D7A"/>
    <w:multiLevelType w:val="multilevel"/>
    <w:tmpl w:val="215AF140"/>
    <w:lvl w:ilvl="0">
      <w:start w:val="1"/>
      <w:numFmt w:val="bullet"/>
      <w:lvlText w:val="•"/>
      <w:lvlJc w:val="left"/>
      <w:pPr>
        <w:tabs>
          <w:tab w:val="num" w:pos="720"/>
        </w:tabs>
        <w:ind w:left="720" w:hanging="360"/>
      </w:pPr>
      <w:rPr>
        <w:rFonts w:ascii="Arial Bold" w:eastAsia="Arial Bold" w:hAnsi="Arial Bold" w:cs="Arial Bold"/>
        <w:position w:val="0"/>
        <w:sz w:val="24"/>
        <w:szCs w:val="24"/>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 w15:restartNumberingAfterBreak="0">
    <w:nsid w:val="11B03BFC"/>
    <w:multiLevelType w:val="multilevel"/>
    <w:tmpl w:val="0A8CDB9E"/>
    <w:lvl w:ilvl="0">
      <w:start w:val="3"/>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1080" w:hanging="108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440" w:hanging="144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800" w:hanging="180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4" w15:restartNumberingAfterBreak="0">
    <w:nsid w:val="2F4E6E51"/>
    <w:multiLevelType w:val="multilevel"/>
    <w:tmpl w:val="CE424476"/>
    <w:lvl w:ilvl="0">
      <w:start w:val="2"/>
      <w:numFmt w:val="decimal"/>
      <w:lvlText w:val="%1"/>
      <w:lvlJc w:val="left"/>
      <w:pPr>
        <w:ind w:left="360" w:hanging="360"/>
      </w:pPr>
      <w:rPr>
        <w:rFonts w:eastAsia="Arial Unicode MS" w:hAnsi="Arial Unicode MS" w:cs="Arial Unicode MS" w:hint="default"/>
      </w:rPr>
    </w:lvl>
    <w:lvl w:ilvl="1">
      <w:start w:val="1"/>
      <w:numFmt w:val="decimal"/>
      <w:lvlText w:val="%1.%2"/>
      <w:lvlJc w:val="left"/>
      <w:pPr>
        <w:ind w:left="360" w:hanging="36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1080" w:hanging="108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440" w:hanging="144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800" w:hanging="180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5" w15:restartNumberingAfterBreak="0">
    <w:nsid w:val="2F8370BB"/>
    <w:multiLevelType w:val="multilevel"/>
    <w:tmpl w:val="2FC87C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30CC4DED"/>
    <w:multiLevelType w:val="multilevel"/>
    <w:tmpl w:val="A7666FE8"/>
    <w:lvl w:ilvl="0">
      <w:start w:val="1"/>
      <w:numFmt w:val="decimal"/>
      <w:lvlText w:val="%1"/>
      <w:lvlJc w:val="left"/>
      <w:pPr>
        <w:ind w:left="360" w:hanging="360"/>
      </w:pPr>
      <w:rPr>
        <w:rFonts w:hint="default"/>
        <w:color w:val="000000"/>
        <w:u w:val="single"/>
      </w:rPr>
    </w:lvl>
    <w:lvl w:ilvl="1">
      <w:start w:val="1"/>
      <w:numFmt w:val="decimal"/>
      <w:lvlText w:val="%1.%2"/>
      <w:lvlJc w:val="left"/>
      <w:pPr>
        <w:ind w:left="360" w:hanging="360"/>
      </w:pPr>
      <w:rPr>
        <w:rFonts w:hint="default"/>
        <w:b w:val="0"/>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7" w15:restartNumberingAfterBreak="0">
    <w:nsid w:val="33993693"/>
    <w:multiLevelType w:val="multilevel"/>
    <w:tmpl w:val="E8603470"/>
    <w:styleLink w:val="List21"/>
    <w:lvl w:ilvl="0">
      <w:start w:val="1"/>
      <w:numFmt w:val="bullet"/>
      <w:lvlText w:val="•"/>
      <w:lvlJc w:val="left"/>
      <w:pPr>
        <w:tabs>
          <w:tab w:val="num" w:pos="720"/>
        </w:tabs>
        <w:ind w:left="720" w:hanging="360"/>
      </w:pPr>
      <w:rPr>
        <w:rFonts w:ascii="Arial Bold" w:eastAsia="Arial Bold" w:hAnsi="Arial Bold" w:cs="Arial Bold"/>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8" w15:restartNumberingAfterBreak="0">
    <w:nsid w:val="381F2C1E"/>
    <w:multiLevelType w:val="hybridMultilevel"/>
    <w:tmpl w:val="ED34A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F07697"/>
    <w:multiLevelType w:val="multilevel"/>
    <w:tmpl w:val="AE5EF4D0"/>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0" w15:restartNumberingAfterBreak="0">
    <w:nsid w:val="441066C7"/>
    <w:multiLevelType w:val="multilevel"/>
    <w:tmpl w:val="7DE2B13E"/>
    <w:styleLink w:val="List1"/>
    <w:lvl w:ilvl="0">
      <w:start w:val="1"/>
      <w:numFmt w:val="decimal"/>
      <w:lvlText w:val="%1."/>
      <w:lvlJc w:val="left"/>
      <w:pPr>
        <w:tabs>
          <w:tab w:val="num" w:pos="720"/>
        </w:tabs>
        <w:ind w:left="720" w:hanging="360"/>
      </w:pPr>
      <w:rPr>
        <w:rFonts w:ascii="Arial Bold" w:eastAsia="Arial Bold" w:hAnsi="Arial Bold" w:cs="Arial Bold"/>
        <w:position w:val="0"/>
        <w:sz w:val="24"/>
        <w:szCs w:val="24"/>
        <w:u w:val="single"/>
      </w:rPr>
    </w:lvl>
    <w:lvl w:ilvl="1">
      <w:start w:val="1"/>
      <w:numFmt w:val="decimal"/>
      <w:lvlText w:val="%1.%2."/>
      <w:lvlJc w:val="left"/>
      <w:pPr>
        <w:tabs>
          <w:tab w:val="num" w:pos="765"/>
        </w:tabs>
        <w:ind w:left="765" w:hanging="405"/>
      </w:pPr>
      <w:rPr>
        <w:rFonts w:ascii="Arial" w:eastAsia="Arial" w:hAnsi="Arial" w:cs="Arial"/>
        <w:position w:val="0"/>
        <w:sz w:val="24"/>
        <w:szCs w:val="24"/>
        <w:u w:val="single"/>
      </w:rPr>
    </w:lvl>
    <w:lvl w:ilvl="2">
      <w:start w:val="1"/>
      <w:numFmt w:val="decimal"/>
      <w:lvlText w:val="%1.%2.%3."/>
      <w:lvlJc w:val="left"/>
      <w:pPr>
        <w:tabs>
          <w:tab w:val="num" w:pos="1080"/>
        </w:tabs>
        <w:ind w:left="1080" w:hanging="720"/>
      </w:pPr>
      <w:rPr>
        <w:rFonts w:ascii="Arial Bold" w:eastAsia="Arial Bold" w:hAnsi="Arial Bold" w:cs="Arial Bold"/>
        <w:position w:val="0"/>
        <w:sz w:val="24"/>
        <w:szCs w:val="24"/>
        <w:u w:val="single"/>
      </w:rPr>
    </w:lvl>
    <w:lvl w:ilvl="3">
      <w:start w:val="1"/>
      <w:numFmt w:val="decimal"/>
      <w:lvlText w:val="%1.%2.%3.%4."/>
      <w:lvlJc w:val="left"/>
      <w:pPr>
        <w:tabs>
          <w:tab w:val="num" w:pos="1440"/>
        </w:tabs>
        <w:ind w:left="1440" w:hanging="1080"/>
      </w:pPr>
      <w:rPr>
        <w:rFonts w:ascii="Arial Bold" w:eastAsia="Arial Bold" w:hAnsi="Arial Bold" w:cs="Arial Bold"/>
        <w:position w:val="0"/>
        <w:sz w:val="24"/>
        <w:szCs w:val="24"/>
        <w:u w:val="single"/>
      </w:rPr>
    </w:lvl>
    <w:lvl w:ilvl="4">
      <w:start w:val="1"/>
      <w:numFmt w:val="decimal"/>
      <w:lvlText w:val="%1.%2.%3.%4.%5."/>
      <w:lvlJc w:val="left"/>
      <w:pPr>
        <w:tabs>
          <w:tab w:val="num" w:pos="1440"/>
        </w:tabs>
        <w:ind w:left="1440" w:hanging="1080"/>
      </w:pPr>
      <w:rPr>
        <w:rFonts w:ascii="Arial Bold" w:eastAsia="Arial Bold" w:hAnsi="Arial Bold" w:cs="Arial Bold"/>
        <w:position w:val="0"/>
        <w:sz w:val="24"/>
        <w:szCs w:val="24"/>
        <w:u w:val="single"/>
      </w:rPr>
    </w:lvl>
    <w:lvl w:ilvl="5">
      <w:start w:val="1"/>
      <w:numFmt w:val="decimal"/>
      <w:lvlText w:val="%1.%2.%3.%4.%5.%6."/>
      <w:lvlJc w:val="left"/>
      <w:pPr>
        <w:tabs>
          <w:tab w:val="num" w:pos="1800"/>
        </w:tabs>
        <w:ind w:left="1800" w:hanging="1440"/>
      </w:pPr>
      <w:rPr>
        <w:rFonts w:ascii="Arial Bold" w:eastAsia="Arial Bold" w:hAnsi="Arial Bold" w:cs="Arial Bold"/>
        <w:position w:val="0"/>
        <w:sz w:val="24"/>
        <w:szCs w:val="24"/>
        <w:u w:val="single"/>
      </w:rPr>
    </w:lvl>
    <w:lvl w:ilvl="6">
      <w:start w:val="1"/>
      <w:numFmt w:val="decimal"/>
      <w:lvlText w:val="%1.%2.%3.%4.%5.%6.%7."/>
      <w:lvlJc w:val="left"/>
      <w:pPr>
        <w:tabs>
          <w:tab w:val="num" w:pos="1800"/>
        </w:tabs>
        <w:ind w:left="1800" w:hanging="1440"/>
      </w:pPr>
      <w:rPr>
        <w:rFonts w:ascii="Arial Bold" w:eastAsia="Arial Bold" w:hAnsi="Arial Bold" w:cs="Arial Bold"/>
        <w:position w:val="0"/>
        <w:sz w:val="24"/>
        <w:szCs w:val="24"/>
        <w:u w:val="single"/>
      </w:rPr>
    </w:lvl>
    <w:lvl w:ilvl="7">
      <w:start w:val="1"/>
      <w:numFmt w:val="decimal"/>
      <w:lvlText w:val="%1.%2.%3.%4.%5.%6.%7.%8."/>
      <w:lvlJc w:val="left"/>
      <w:pPr>
        <w:tabs>
          <w:tab w:val="num" w:pos="2160"/>
        </w:tabs>
        <w:ind w:left="2160" w:hanging="1800"/>
      </w:pPr>
      <w:rPr>
        <w:rFonts w:ascii="Arial Bold" w:eastAsia="Arial Bold" w:hAnsi="Arial Bold" w:cs="Arial Bold"/>
        <w:position w:val="0"/>
        <w:sz w:val="24"/>
        <w:szCs w:val="24"/>
        <w:u w:val="single"/>
      </w:rPr>
    </w:lvl>
    <w:lvl w:ilvl="8">
      <w:start w:val="1"/>
      <w:numFmt w:val="decimal"/>
      <w:lvlText w:val="%1.%2.%3.%4.%5.%6.%7.%8.%9."/>
      <w:lvlJc w:val="left"/>
      <w:pPr>
        <w:tabs>
          <w:tab w:val="num" w:pos="2160"/>
        </w:tabs>
        <w:ind w:left="2160" w:hanging="1800"/>
      </w:pPr>
      <w:rPr>
        <w:rFonts w:ascii="Arial Bold" w:eastAsia="Arial Bold" w:hAnsi="Arial Bold" w:cs="Arial Bold"/>
        <w:position w:val="0"/>
        <w:sz w:val="24"/>
        <w:szCs w:val="24"/>
        <w:u w:val="single"/>
      </w:rPr>
    </w:lvl>
  </w:abstractNum>
  <w:abstractNum w:abstractNumId="11" w15:restartNumberingAfterBreak="0">
    <w:nsid w:val="44E37F75"/>
    <w:multiLevelType w:val="multilevel"/>
    <w:tmpl w:val="E7AC75D4"/>
    <w:lvl w:ilvl="0">
      <w:start w:val="1"/>
      <w:numFmt w:val="decimal"/>
      <w:lvlText w:val="%1."/>
      <w:lvlJc w:val="left"/>
      <w:pPr>
        <w:tabs>
          <w:tab w:val="num" w:pos="720"/>
        </w:tabs>
        <w:ind w:left="720" w:hanging="360"/>
      </w:pPr>
      <w:rPr>
        <w:rFonts w:ascii="Arial Bold" w:eastAsia="Arial Bold" w:hAnsi="Arial Bold" w:cs="Arial Bold"/>
        <w:position w:val="0"/>
        <w:sz w:val="24"/>
        <w:szCs w:val="24"/>
        <w:u w:val="single"/>
      </w:rPr>
    </w:lvl>
    <w:lvl w:ilvl="1">
      <w:start w:val="1"/>
      <w:numFmt w:val="decimal"/>
      <w:lvlText w:val="%1.%2."/>
      <w:lvlJc w:val="left"/>
      <w:pPr>
        <w:tabs>
          <w:tab w:val="num" w:pos="765"/>
        </w:tabs>
        <w:ind w:left="765" w:hanging="405"/>
      </w:pPr>
      <w:rPr>
        <w:rFonts w:ascii="Arial Bold" w:eastAsia="Arial Bold" w:hAnsi="Arial Bold" w:cs="Arial Bold"/>
        <w:position w:val="0"/>
        <w:sz w:val="24"/>
        <w:szCs w:val="24"/>
        <w:u w:val="single"/>
      </w:rPr>
    </w:lvl>
    <w:lvl w:ilvl="2">
      <w:start w:val="1"/>
      <w:numFmt w:val="decimal"/>
      <w:lvlText w:val="%1.%2.%3."/>
      <w:lvlJc w:val="left"/>
      <w:pPr>
        <w:tabs>
          <w:tab w:val="num" w:pos="1080"/>
        </w:tabs>
        <w:ind w:left="1080" w:hanging="720"/>
      </w:pPr>
      <w:rPr>
        <w:rFonts w:ascii="Arial Bold" w:eastAsia="Arial Bold" w:hAnsi="Arial Bold" w:cs="Arial Bold"/>
        <w:position w:val="0"/>
        <w:sz w:val="24"/>
        <w:szCs w:val="24"/>
        <w:u w:val="single"/>
      </w:rPr>
    </w:lvl>
    <w:lvl w:ilvl="3">
      <w:start w:val="1"/>
      <w:numFmt w:val="decimal"/>
      <w:lvlText w:val="%1.%2.%3.%4."/>
      <w:lvlJc w:val="left"/>
      <w:pPr>
        <w:tabs>
          <w:tab w:val="num" w:pos="1440"/>
        </w:tabs>
        <w:ind w:left="1440" w:hanging="1080"/>
      </w:pPr>
      <w:rPr>
        <w:rFonts w:ascii="Arial Bold" w:eastAsia="Arial Bold" w:hAnsi="Arial Bold" w:cs="Arial Bold"/>
        <w:position w:val="0"/>
        <w:sz w:val="24"/>
        <w:szCs w:val="24"/>
        <w:u w:val="single"/>
      </w:rPr>
    </w:lvl>
    <w:lvl w:ilvl="4">
      <w:start w:val="1"/>
      <w:numFmt w:val="decimal"/>
      <w:lvlText w:val="%1.%2.%3.%4.%5."/>
      <w:lvlJc w:val="left"/>
      <w:pPr>
        <w:tabs>
          <w:tab w:val="num" w:pos="1440"/>
        </w:tabs>
        <w:ind w:left="1440" w:hanging="1080"/>
      </w:pPr>
      <w:rPr>
        <w:rFonts w:ascii="Arial Bold" w:eastAsia="Arial Bold" w:hAnsi="Arial Bold" w:cs="Arial Bold"/>
        <w:position w:val="0"/>
        <w:sz w:val="24"/>
        <w:szCs w:val="24"/>
        <w:u w:val="single"/>
      </w:rPr>
    </w:lvl>
    <w:lvl w:ilvl="5">
      <w:start w:val="1"/>
      <w:numFmt w:val="decimal"/>
      <w:lvlText w:val="%1.%2.%3.%4.%5.%6."/>
      <w:lvlJc w:val="left"/>
      <w:pPr>
        <w:tabs>
          <w:tab w:val="num" w:pos="1800"/>
        </w:tabs>
        <w:ind w:left="1800" w:hanging="1440"/>
      </w:pPr>
      <w:rPr>
        <w:rFonts w:ascii="Arial Bold" w:eastAsia="Arial Bold" w:hAnsi="Arial Bold" w:cs="Arial Bold"/>
        <w:position w:val="0"/>
        <w:sz w:val="24"/>
        <w:szCs w:val="24"/>
        <w:u w:val="single"/>
      </w:rPr>
    </w:lvl>
    <w:lvl w:ilvl="6">
      <w:start w:val="1"/>
      <w:numFmt w:val="decimal"/>
      <w:lvlText w:val="%1.%2.%3.%4.%5.%6.%7."/>
      <w:lvlJc w:val="left"/>
      <w:pPr>
        <w:tabs>
          <w:tab w:val="num" w:pos="1800"/>
        </w:tabs>
        <w:ind w:left="1800" w:hanging="1440"/>
      </w:pPr>
      <w:rPr>
        <w:rFonts w:ascii="Arial Bold" w:eastAsia="Arial Bold" w:hAnsi="Arial Bold" w:cs="Arial Bold"/>
        <w:position w:val="0"/>
        <w:sz w:val="24"/>
        <w:szCs w:val="24"/>
        <w:u w:val="single"/>
      </w:rPr>
    </w:lvl>
    <w:lvl w:ilvl="7">
      <w:start w:val="1"/>
      <w:numFmt w:val="decimal"/>
      <w:lvlText w:val="%1.%2.%3.%4.%5.%6.%7.%8."/>
      <w:lvlJc w:val="left"/>
      <w:pPr>
        <w:tabs>
          <w:tab w:val="num" w:pos="2160"/>
        </w:tabs>
        <w:ind w:left="2160" w:hanging="1800"/>
      </w:pPr>
      <w:rPr>
        <w:rFonts w:ascii="Arial Bold" w:eastAsia="Arial Bold" w:hAnsi="Arial Bold" w:cs="Arial Bold"/>
        <w:position w:val="0"/>
        <w:sz w:val="24"/>
        <w:szCs w:val="24"/>
        <w:u w:val="single"/>
      </w:rPr>
    </w:lvl>
    <w:lvl w:ilvl="8">
      <w:start w:val="1"/>
      <w:numFmt w:val="decimal"/>
      <w:lvlText w:val="%1.%2.%3.%4.%5.%6.%7.%8.%9."/>
      <w:lvlJc w:val="left"/>
      <w:pPr>
        <w:tabs>
          <w:tab w:val="num" w:pos="2160"/>
        </w:tabs>
        <w:ind w:left="2160" w:hanging="1800"/>
      </w:pPr>
      <w:rPr>
        <w:rFonts w:ascii="Arial Bold" w:eastAsia="Arial Bold" w:hAnsi="Arial Bold" w:cs="Arial Bold"/>
        <w:position w:val="0"/>
        <w:sz w:val="24"/>
        <w:szCs w:val="24"/>
        <w:u w:val="single"/>
      </w:rPr>
    </w:lvl>
  </w:abstractNum>
  <w:abstractNum w:abstractNumId="12" w15:restartNumberingAfterBreak="0">
    <w:nsid w:val="50260CEA"/>
    <w:multiLevelType w:val="multilevel"/>
    <w:tmpl w:val="4F96B16E"/>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3" w15:restartNumberingAfterBreak="0">
    <w:nsid w:val="5CBC61BC"/>
    <w:multiLevelType w:val="multilevel"/>
    <w:tmpl w:val="44C6D4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68932278"/>
    <w:multiLevelType w:val="multilevel"/>
    <w:tmpl w:val="00DA11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E00C26"/>
    <w:multiLevelType w:val="multilevel"/>
    <w:tmpl w:val="94BEE320"/>
    <w:lvl w:ilvl="0">
      <w:start w:val="5"/>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1080" w:hanging="108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440" w:hanging="144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800" w:hanging="180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16" w15:restartNumberingAfterBreak="0">
    <w:nsid w:val="6FF43ECF"/>
    <w:multiLevelType w:val="multilevel"/>
    <w:tmpl w:val="79C275D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num w:numId="1">
    <w:abstractNumId w:val="12"/>
  </w:num>
  <w:num w:numId="2">
    <w:abstractNumId w:val="5"/>
  </w:num>
  <w:num w:numId="3">
    <w:abstractNumId w:val="9"/>
  </w:num>
  <w:num w:numId="4">
    <w:abstractNumId w:val="11"/>
  </w:num>
  <w:num w:numId="5">
    <w:abstractNumId w:val="16"/>
  </w:num>
  <w:num w:numId="6">
    <w:abstractNumId w:val="10"/>
  </w:num>
  <w:num w:numId="7">
    <w:abstractNumId w:val="2"/>
  </w:num>
  <w:num w:numId="8">
    <w:abstractNumId w:val="13"/>
  </w:num>
  <w:num w:numId="9">
    <w:abstractNumId w:val="7"/>
  </w:num>
  <w:num w:numId="10">
    <w:abstractNumId w:val="6"/>
  </w:num>
  <w:num w:numId="11">
    <w:abstractNumId w:val="8"/>
  </w:num>
  <w:num w:numId="12">
    <w:abstractNumId w:val="4"/>
  </w:num>
  <w:num w:numId="13">
    <w:abstractNumId w:val="3"/>
  </w:num>
  <w:num w:numId="14">
    <w:abstractNumId w:val="1"/>
  </w:num>
  <w:num w:numId="15">
    <w:abstractNumId w:val="1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B6"/>
    <w:rsid w:val="000028B9"/>
    <w:rsid w:val="000112E9"/>
    <w:rsid w:val="00051336"/>
    <w:rsid w:val="00074190"/>
    <w:rsid w:val="000816FD"/>
    <w:rsid w:val="00084812"/>
    <w:rsid w:val="000958A7"/>
    <w:rsid w:val="000B6270"/>
    <w:rsid w:val="000C33E5"/>
    <w:rsid w:val="00110B86"/>
    <w:rsid w:val="00130FB6"/>
    <w:rsid w:val="0016459A"/>
    <w:rsid w:val="00185059"/>
    <w:rsid w:val="00195F06"/>
    <w:rsid w:val="001D78EB"/>
    <w:rsid w:val="001F1D96"/>
    <w:rsid w:val="00213917"/>
    <w:rsid w:val="00242B33"/>
    <w:rsid w:val="002A61BC"/>
    <w:rsid w:val="00307311"/>
    <w:rsid w:val="00316648"/>
    <w:rsid w:val="00350C99"/>
    <w:rsid w:val="00350E48"/>
    <w:rsid w:val="003648FC"/>
    <w:rsid w:val="0038440A"/>
    <w:rsid w:val="003876FD"/>
    <w:rsid w:val="00391648"/>
    <w:rsid w:val="00394831"/>
    <w:rsid w:val="003B27AD"/>
    <w:rsid w:val="00401ED0"/>
    <w:rsid w:val="00402729"/>
    <w:rsid w:val="004511DE"/>
    <w:rsid w:val="00453C4A"/>
    <w:rsid w:val="00453D20"/>
    <w:rsid w:val="00472877"/>
    <w:rsid w:val="00484B84"/>
    <w:rsid w:val="004A369F"/>
    <w:rsid w:val="004A6C03"/>
    <w:rsid w:val="004C2A1D"/>
    <w:rsid w:val="004E4522"/>
    <w:rsid w:val="00531D27"/>
    <w:rsid w:val="00536784"/>
    <w:rsid w:val="00571CB7"/>
    <w:rsid w:val="005D101A"/>
    <w:rsid w:val="005E1BD8"/>
    <w:rsid w:val="00624F9A"/>
    <w:rsid w:val="00646044"/>
    <w:rsid w:val="00653AC3"/>
    <w:rsid w:val="0067485E"/>
    <w:rsid w:val="00687F92"/>
    <w:rsid w:val="00697C5E"/>
    <w:rsid w:val="006B5E82"/>
    <w:rsid w:val="006C7ACE"/>
    <w:rsid w:val="007442AF"/>
    <w:rsid w:val="0076404C"/>
    <w:rsid w:val="00785569"/>
    <w:rsid w:val="007A5C76"/>
    <w:rsid w:val="007E6C08"/>
    <w:rsid w:val="00800BEA"/>
    <w:rsid w:val="00804B71"/>
    <w:rsid w:val="00810199"/>
    <w:rsid w:val="00834BE8"/>
    <w:rsid w:val="00845149"/>
    <w:rsid w:val="00862A22"/>
    <w:rsid w:val="00864664"/>
    <w:rsid w:val="008D6A87"/>
    <w:rsid w:val="008F7F68"/>
    <w:rsid w:val="00911AC3"/>
    <w:rsid w:val="00934540"/>
    <w:rsid w:val="00935D28"/>
    <w:rsid w:val="009427C3"/>
    <w:rsid w:val="00970B9F"/>
    <w:rsid w:val="009847DF"/>
    <w:rsid w:val="009904C5"/>
    <w:rsid w:val="009A18A8"/>
    <w:rsid w:val="009A2458"/>
    <w:rsid w:val="009B616C"/>
    <w:rsid w:val="009D308C"/>
    <w:rsid w:val="00A34710"/>
    <w:rsid w:val="00A623A2"/>
    <w:rsid w:val="00A961B6"/>
    <w:rsid w:val="00A968E0"/>
    <w:rsid w:val="00AA0D32"/>
    <w:rsid w:val="00AE321D"/>
    <w:rsid w:val="00B01487"/>
    <w:rsid w:val="00B10722"/>
    <w:rsid w:val="00B25FE8"/>
    <w:rsid w:val="00B34F08"/>
    <w:rsid w:val="00B7299C"/>
    <w:rsid w:val="00B87196"/>
    <w:rsid w:val="00BA34E4"/>
    <w:rsid w:val="00BE6AEB"/>
    <w:rsid w:val="00C51820"/>
    <w:rsid w:val="00C63245"/>
    <w:rsid w:val="00C6551F"/>
    <w:rsid w:val="00C76BB2"/>
    <w:rsid w:val="00CE00AB"/>
    <w:rsid w:val="00D126B7"/>
    <w:rsid w:val="00D14AC4"/>
    <w:rsid w:val="00D159A7"/>
    <w:rsid w:val="00D7680E"/>
    <w:rsid w:val="00D87D02"/>
    <w:rsid w:val="00DA14AA"/>
    <w:rsid w:val="00DA5A3B"/>
    <w:rsid w:val="00DC020F"/>
    <w:rsid w:val="00E05A40"/>
    <w:rsid w:val="00E134F9"/>
    <w:rsid w:val="00E44229"/>
    <w:rsid w:val="00E80A97"/>
    <w:rsid w:val="00EA6985"/>
    <w:rsid w:val="00ED3454"/>
    <w:rsid w:val="00EF3C6D"/>
    <w:rsid w:val="00F874F1"/>
    <w:rsid w:val="00FF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C0D04-CAB6-4DDE-8E12-45FE384D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spacing w:before="240" w:after="60"/>
      <w:outlineLvl w:val="2"/>
    </w:pPr>
    <w:rPr>
      <w:rFonts w:ascii="Cambria" w:eastAsia="Cambria" w:hAnsi="Cambria" w:cs="Cambria"/>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513"/>
        <w:tab w:val="right" w:pos="9026"/>
      </w:tabs>
      <w:spacing w:after="200" w:line="276" w:lineRule="auto"/>
    </w:pPr>
    <w:rPr>
      <w:rFonts w:ascii="Trebuchet MS" w:hAnsi="Arial Unicode MS" w:cs="Arial Unicode MS"/>
      <w:color w:val="000000"/>
      <w:sz w:val="22"/>
      <w:szCs w:val="22"/>
      <w:u w:color="000000"/>
      <w:lang w:val="en-US"/>
    </w:rPr>
  </w:style>
  <w:style w:type="paragraph" w:styleId="Footer">
    <w:name w:val="footer"/>
    <w:pPr>
      <w:tabs>
        <w:tab w:val="center" w:pos="4513"/>
        <w:tab w:val="right" w:pos="9026"/>
      </w:tabs>
      <w:spacing w:after="200" w:line="276" w:lineRule="auto"/>
    </w:pPr>
    <w:rPr>
      <w:rFonts w:ascii="Trebuchet MS" w:eastAsia="Trebuchet MS" w:hAnsi="Trebuchet MS" w:cs="Trebuchet MS"/>
      <w:color w:val="000000"/>
      <w:sz w:val="22"/>
      <w:szCs w:val="22"/>
      <w:u w:color="000000"/>
      <w:lang w:val="en-US"/>
    </w:rPr>
  </w:style>
  <w:style w:type="paragraph" w:styleId="BodyText">
    <w:name w:val="Body Text"/>
    <w:rPr>
      <w:rFonts w:ascii="Lucida Grande" w:eastAsia="Lucida Grande" w:hAnsi="Lucida Grande" w:cs="Lucida Grande"/>
      <w:b/>
      <w:bCs/>
      <w:color w:val="000000"/>
      <w:sz w:val="26"/>
      <w:szCs w:val="26"/>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Trebuchet MS"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ascii="Times" w:eastAsia="Times" w:hAnsi="Times" w:cs="Time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BodyA">
    <w:name w:val="Body A"/>
    <w:pPr>
      <w:spacing w:after="200" w:line="276" w:lineRule="auto"/>
    </w:pPr>
    <w:rPr>
      <w:rFonts w:ascii="Trebuchet MS" w:hAnsi="Arial Unicode MS" w:cs="Arial Unicode MS"/>
      <w:color w:val="000000"/>
      <w:sz w:val="22"/>
      <w:szCs w:val="22"/>
      <w:u w:color="000000"/>
      <w:lang w:val="en-US"/>
    </w:rPr>
  </w:style>
  <w:style w:type="paragraph" w:styleId="NoSpacing">
    <w:name w:val="No Spacing"/>
    <w:pPr>
      <w:spacing w:after="200" w:line="276" w:lineRule="auto"/>
    </w:pPr>
    <w:rPr>
      <w:rFonts w:ascii="Trebuchet MS" w:eastAsia="Trebuchet MS" w:hAnsi="Trebuchet MS" w:cs="Trebuchet MS"/>
      <w:color w:val="000000"/>
      <w:sz w:val="22"/>
      <w:szCs w:val="22"/>
      <w:u w:color="000000"/>
      <w:lang w:val="en-US"/>
    </w:rPr>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Hyperlink1">
    <w:name w:val="Hyperlink.1"/>
    <w:basedOn w:val="Link"/>
    <w:rPr>
      <w:rFonts w:ascii="Arial" w:eastAsia="Arial" w:hAnsi="Arial" w:cs="Arial"/>
      <w:color w:val="0000FF"/>
      <w:sz w:val="18"/>
      <w:szCs w:val="18"/>
      <w:u w:val="single" w:color="0000FF"/>
    </w:rPr>
  </w:style>
  <w:style w:type="character" w:customStyle="1" w:styleId="None">
    <w:name w:val="None"/>
  </w:style>
  <w:style w:type="character" w:customStyle="1" w:styleId="Hyperlink2">
    <w:name w:val="Hyperlink.2"/>
    <w:basedOn w:val="None"/>
    <w:rPr>
      <w:rFonts w:ascii="Arial" w:eastAsia="Arial" w:hAnsi="Arial" w:cs="Arial"/>
      <w:color w:val="0000FF"/>
      <w:sz w:val="18"/>
      <w:szCs w:val="18"/>
      <w:u w:val="single" w:color="0000FF"/>
    </w:rPr>
  </w:style>
  <w:style w:type="paragraph" w:styleId="BalloonText">
    <w:name w:val="Balloon Text"/>
    <w:basedOn w:val="Normal"/>
    <w:link w:val="BalloonTextChar"/>
    <w:uiPriority w:val="99"/>
    <w:semiHidden/>
    <w:unhideWhenUsed/>
    <w:rsid w:val="004C2A1D"/>
    <w:rPr>
      <w:rFonts w:ascii="Tahoma" w:hAnsi="Tahoma" w:cs="Tahoma"/>
      <w:sz w:val="16"/>
      <w:szCs w:val="16"/>
    </w:rPr>
  </w:style>
  <w:style w:type="character" w:customStyle="1" w:styleId="BalloonTextChar">
    <w:name w:val="Balloon Text Char"/>
    <w:basedOn w:val="DefaultParagraphFont"/>
    <w:link w:val="BalloonText"/>
    <w:uiPriority w:val="99"/>
    <w:semiHidden/>
    <w:rsid w:val="004C2A1D"/>
    <w:rPr>
      <w:rFonts w:ascii="Tahoma" w:hAnsi="Tahoma" w:cs="Tahoma"/>
      <w:sz w:val="16"/>
      <w:szCs w:val="16"/>
      <w:lang w:val="en-US" w:eastAsia="en-US"/>
    </w:rPr>
  </w:style>
  <w:style w:type="character" w:styleId="FootnoteReference">
    <w:name w:val="footnote reference"/>
    <w:basedOn w:val="DefaultParagraphFont"/>
    <w:uiPriority w:val="99"/>
    <w:semiHidden/>
    <w:unhideWhenUsed/>
    <w:rsid w:val="00DC0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168">
      <w:bodyDiv w:val="1"/>
      <w:marLeft w:val="0"/>
      <w:marRight w:val="0"/>
      <w:marTop w:val="0"/>
      <w:marBottom w:val="0"/>
      <w:divBdr>
        <w:top w:val="none" w:sz="0" w:space="0" w:color="auto"/>
        <w:left w:val="none" w:sz="0" w:space="0" w:color="auto"/>
        <w:bottom w:val="none" w:sz="0" w:space="0" w:color="auto"/>
        <w:right w:val="none" w:sz="0" w:space="0" w:color="auto"/>
      </w:divBdr>
    </w:div>
    <w:div w:id="105200953">
      <w:bodyDiv w:val="1"/>
      <w:marLeft w:val="0"/>
      <w:marRight w:val="0"/>
      <w:marTop w:val="0"/>
      <w:marBottom w:val="0"/>
      <w:divBdr>
        <w:top w:val="none" w:sz="0" w:space="0" w:color="auto"/>
        <w:left w:val="none" w:sz="0" w:space="0" w:color="auto"/>
        <w:bottom w:val="none" w:sz="0" w:space="0" w:color="auto"/>
        <w:right w:val="none" w:sz="0" w:space="0" w:color="auto"/>
      </w:divBdr>
    </w:div>
    <w:div w:id="107283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pa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E84E-B02E-4506-82CA-E06E30D5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Rosina Robson</dc:creator>
  <cp:lastModifiedBy>Ellen Mackrill</cp:lastModifiedBy>
  <cp:revision>2</cp:revision>
  <cp:lastPrinted>2014-09-08T15:47:00Z</cp:lastPrinted>
  <dcterms:created xsi:type="dcterms:W3CDTF">2015-07-16T10:28:00Z</dcterms:created>
  <dcterms:modified xsi:type="dcterms:W3CDTF">2015-07-16T10:28:00Z</dcterms:modified>
</cp:coreProperties>
</file>