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20" w:rsidRDefault="001716C6" w:rsidP="00970672">
      <w:pPr>
        <w:ind w:left="2160" w:firstLine="72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Department for International De</w:t>
      </w:r>
      <w:r w:rsidR="00DC3C48">
        <w:rPr>
          <w:b/>
          <w:sz w:val="28"/>
          <w:szCs w:val="28"/>
          <w:u w:val="single"/>
        </w:rPr>
        <w:t>velopment’s</w:t>
      </w:r>
      <w:r w:rsidR="0076282F" w:rsidRPr="004C4013">
        <w:rPr>
          <w:b/>
          <w:sz w:val="28"/>
          <w:szCs w:val="28"/>
          <w:u w:val="single"/>
        </w:rPr>
        <w:t xml:space="preserve"> </w:t>
      </w:r>
      <w:proofErr w:type="gramStart"/>
      <w:r w:rsidR="00E46FCC">
        <w:rPr>
          <w:b/>
          <w:sz w:val="28"/>
          <w:szCs w:val="28"/>
          <w:u w:val="single"/>
        </w:rPr>
        <w:t xml:space="preserve">Annual </w:t>
      </w:r>
      <w:r w:rsidR="0049230F">
        <w:rPr>
          <w:b/>
          <w:sz w:val="28"/>
          <w:szCs w:val="28"/>
          <w:u w:val="single"/>
        </w:rPr>
        <w:t xml:space="preserve"> Status</w:t>
      </w:r>
      <w:proofErr w:type="gramEnd"/>
      <w:r w:rsidR="0049230F">
        <w:rPr>
          <w:b/>
          <w:sz w:val="28"/>
          <w:szCs w:val="28"/>
          <w:u w:val="single"/>
        </w:rPr>
        <w:t xml:space="preserve"> </w:t>
      </w:r>
      <w:r w:rsidR="00E46FCC">
        <w:rPr>
          <w:b/>
          <w:sz w:val="28"/>
          <w:szCs w:val="28"/>
          <w:u w:val="single"/>
        </w:rPr>
        <w:t>Report</w:t>
      </w:r>
      <w:r w:rsidR="0049230F">
        <w:rPr>
          <w:b/>
          <w:sz w:val="28"/>
          <w:szCs w:val="28"/>
          <w:u w:val="single"/>
        </w:rPr>
        <w:t xml:space="preserve"> on Customer Service Lines</w:t>
      </w:r>
    </w:p>
    <w:p w:rsidR="00530F44" w:rsidRDefault="00031EBF" w:rsidP="00530F44">
      <w:pPr>
        <w:ind w:left="5760" w:firstLine="720"/>
        <w:rPr>
          <w:b/>
          <w:sz w:val="24"/>
          <w:szCs w:val="24"/>
        </w:rPr>
      </w:pPr>
      <w:r w:rsidRPr="00E02214">
        <w:rPr>
          <w:b/>
          <w:sz w:val="24"/>
          <w:szCs w:val="24"/>
        </w:rPr>
        <w:t>Nov</w:t>
      </w:r>
      <w:r w:rsidR="00970672" w:rsidRPr="00E02214">
        <w:rPr>
          <w:b/>
          <w:sz w:val="24"/>
          <w:szCs w:val="24"/>
        </w:rPr>
        <w:t>ember 2014</w:t>
      </w:r>
    </w:p>
    <w:p w:rsidR="0049230F" w:rsidRDefault="006B566C" w:rsidP="0049230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243840</wp:posOffset>
                </wp:positionV>
                <wp:extent cx="9925050" cy="226822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226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C9" w:rsidRPr="00EE33D9" w:rsidRDefault="008406BD">
                            <w:r w:rsidRPr="008406BD">
                              <w:t xml:space="preserve">The Department for International Development (DFID) has 5 public facing telephone numbers which are displayed on the DFID website. All of these numbers comply with the </w:t>
                            </w:r>
                            <w:r w:rsidR="007347C9" w:rsidRPr="008406BD">
                              <w:t xml:space="preserve">HMG Guidance on Customer Service </w:t>
                            </w:r>
                            <w:r w:rsidR="007347C9" w:rsidRPr="00EE33D9">
                              <w:t xml:space="preserve">Lines. </w:t>
                            </w:r>
                            <w:r w:rsidR="00EE33D9" w:rsidRPr="00EE33D9">
                              <w:t xml:space="preserve"> DFID has no 08 prefixed numbers.</w:t>
                            </w:r>
                            <w:r w:rsidR="005A776E">
                              <w:t xml:space="preserve"> The 0845 number which was previously used for the Public Enquiry Point was migrated to </w:t>
                            </w:r>
                            <w:proofErr w:type="gramStart"/>
                            <w:r w:rsidR="005A776E">
                              <w:t>an</w:t>
                            </w:r>
                            <w:proofErr w:type="gramEnd"/>
                            <w:r w:rsidR="005A776E">
                              <w:t xml:space="preserve"> 03 number at the start of October, 2014.</w:t>
                            </w:r>
                          </w:p>
                          <w:p w:rsidR="008406BD" w:rsidRDefault="008406BD">
                            <w:r>
                              <w:t xml:space="preserve">Call volumes per annum relating to these numbers are as follows: – </w:t>
                            </w:r>
                          </w:p>
                          <w:p w:rsidR="008406BD" w:rsidRPr="008406BD" w:rsidRDefault="008406BD">
                            <w:r>
                              <w:t xml:space="preserve">Public Enquiry Point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300C4">
                              <w:tab/>
                            </w:r>
                            <w:r w:rsidR="003300C4">
                              <w:tab/>
                            </w:r>
                            <w:r>
                              <w:t>140</w:t>
                            </w:r>
                            <w:r>
                              <w:br/>
                              <w:t>Press Office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300C4">
                              <w:tab/>
                            </w:r>
                            <w:r w:rsidR="003300C4">
                              <w:tab/>
                            </w:r>
                            <w:r>
                              <w:t xml:space="preserve">3,900 </w:t>
                            </w:r>
                            <w:r>
                              <w:br/>
                              <w:t xml:space="preserve">Counter </w:t>
                            </w:r>
                            <w:r w:rsidR="00B0513E">
                              <w:t>Fraud and</w:t>
                            </w:r>
                            <w:r w:rsidR="003300C4">
                              <w:t xml:space="preserve"> Whistleblowing</w:t>
                            </w:r>
                            <w:r w:rsidR="003300C4">
                              <w:tab/>
                            </w:r>
                            <w:r w:rsidR="003300C4">
                              <w:tab/>
                            </w:r>
                            <w:r w:rsidR="003300C4">
                              <w:tab/>
                              <w:t>25</w:t>
                            </w:r>
                            <w:r w:rsidR="003300C4">
                              <w:br/>
                              <w:t xml:space="preserve">Main Office Switchboard (2 x geographic number) </w:t>
                            </w:r>
                            <w:r w:rsidR="003300C4">
                              <w:tab/>
                            </w:r>
                            <w:r>
                              <w:t>20,000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19.2pt;width:781.5pt;height:17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">
                <v:textbox>
                  <w:txbxContent>
                    <w:p w:rsidR="007347C9" w:rsidRPr="00EE33D9" w:rsidRDefault="008406BD">
                      <w:r w:rsidRPr="008406BD">
                        <w:t xml:space="preserve">The Department for International Development (DFID) has 5 public facing telephone numbers which are displayed on the DFID website. All of these numbers comply with the </w:t>
                      </w:r>
                      <w:r w:rsidR="007347C9" w:rsidRPr="008406BD">
                        <w:t xml:space="preserve">HMG Guidance on Customer Service </w:t>
                      </w:r>
                      <w:r w:rsidR="007347C9" w:rsidRPr="00EE33D9">
                        <w:t xml:space="preserve">Lines. </w:t>
                      </w:r>
                      <w:r w:rsidR="00EE33D9" w:rsidRPr="00EE33D9">
                        <w:t xml:space="preserve"> DFID has no 08 prefixed numbers.</w:t>
                      </w:r>
                      <w:r w:rsidR="005A776E">
                        <w:t xml:space="preserve"> The 0845 number which was previously used for the Public Enquiry Point was migrated to </w:t>
                      </w:r>
                      <w:proofErr w:type="gramStart"/>
                      <w:r w:rsidR="005A776E">
                        <w:t>an</w:t>
                      </w:r>
                      <w:proofErr w:type="gramEnd"/>
                      <w:r w:rsidR="005A776E">
                        <w:t xml:space="preserve"> 03 number at the start of October, 2014.</w:t>
                      </w:r>
                      <w:bookmarkStart w:id="1" w:name="_GoBack"/>
                      <w:bookmarkEnd w:id="1"/>
                    </w:p>
                    <w:p w:rsidR="008406BD" w:rsidRDefault="008406BD">
                      <w:r>
                        <w:t xml:space="preserve">Call volumes per annum relating to these numbers are as follows: – </w:t>
                      </w:r>
                    </w:p>
                    <w:p w:rsidR="008406BD" w:rsidRPr="008406BD" w:rsidRDefault="008406BD">
                      <w:r>
                        <w:t xml:space="preserve">Public Enquiry Point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300C4">
                        <w:tab/>
                      </w:r>
                      <w:r w:rsidR="003300C4">
                        <w:tab/>
                      </w:r>
                      <w:r>
                        <w:t>140</w:t>
                      </w:r>
                      <w:r>
                        <w:br/>
                        <w:t>Press Office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300C4">
                        <w:tab/>
                      </w:r>
                      <w:r w:rsidR="003300C4">
                        <w:tab/>
                      </w:r>
                      <w:r>
                        <w:t xml:space="preserve">3,900 </w:t>
                      </w:r>
                      <w:r>
                        <w:br/>
                        <w:t xml:space="preserve">Counter </w:t>
                      </w:r>
                      <w:r w:rsidR="00B0513E">
                        <w:t>Fraud and</w:t>
                      </w:r>
                      <w:r w:rsidR="003300C4">
                        <w:t xml:space="preserve"> Whistleblowing</w:t>
                      </w:r>
                      <w:r w:rsidR="003300C4">
                        <w:tab/>
                      </w:r>
                      <w:r w:rsidR="003300C4">
                        <w:tab/>
                      </w:r>
                      <w:r w:rsidR="003300C4">
                        <w:tab/>
                        <w:t>25</w:t>
                      </w:r>
                      <w:r w:rsidR="003300C4">
                        <w:br/>
                        <w:t xml:space="preserve">Main Office Switchboard (2 x geographic number) </w:t>
                      </w:r>
                      <w:r w:rsidR="003300C4">
                        <w:tab/>
                      </w:r>
                      <w:r>
                        <w:t>20,000</w:t>
                      </w:r>
                    </w:p>
                  </w:txbxContent>
                </v:textbox>
              </v:shape>
            </w:pict>
          </mc:Fallback>
        </mc:AlternateContent>
      </w:r>
      <w:r w:rsidR="0049230F" w:rsidRPr="002229A9">
        <w:rPr>
          <w:b/>
        </w:rPr>
        <w:t>A</w:t>
      </w:r>
      <w:r w:rsidR="00A85F61" w:rsidRPr="00A85F61">
        <w:rPr>
          <w:b/>
        </w:rPr>
        <w:t xml:space="preserve">  </w:t>
      </w:r>
      <w:r w:rsidR="00A85F61">
        <w:rPr>
          <w:b/>
          <w:u w:val="single"/>
        </w:rPr>
        <w:t>Summary of Department’s Numbering Policy</w:t>
      </w:r>
    </w:p>
    <w:p w:rsidR="00BA61AC" w:rsidRPr="004C4013" w:rsidRDefault="0084651C" w:rsidP="00BA61AC">
      <w:r w:rsidRPr="0084651C">
        <w:rPr>
          <w:b/>
        </w:rPr>
        <w:t>A</w:t>
      </w:r>
    </w:p>
    <w:p w:rsidR="0076282F" w:rsidRDefault="0076282F"/>
    <w:p w:rsidR="0076282F" w:rsidRDefault="0076282F"/>
    <w:p w:rsidR="0076282F" w:rsidRDefault="0076282F"/>
    <w:p w:rsidR="00DD2031" w:rsidRDefault="00DD2031">
      <w:pPr>
        <w:rPr>
          <w:b/>
          <w:u w:val="single"/>
        </w:rPr>
      </w:pPr>
    </w:p>
    <w:p w:rsidR="00530F44" w:rsidRDefault="00530F44" w:rsidP="00FE1CEB">
      <w:pPr>
        <w:spacing w:after="0" w:line="240" w:lineRule="auto"/>
        <w:rPr>
          <w:b/>
        </w:rPr>
      </w:pPr>
    </w:p>
    <w:p w:rsidR="007347C9" w:rsidRDefault="007347C9" w:rsidP="00FE1CEB">
      <w:pPr>
        <w:spacing w:after="0" w:line="240" w:lineRule="auto"/>
        <w:rPr>
          <w:b/>
        </w:rPr>
      </w:pPr>
    </w:p>
    <w:p w:rsidR="007347C9" w:rsidRDefault="007347C9" w:rsidP="00FE1CEB">
      <w:pPr>
        <w:spacing w:after="0" w:line="240" w:lineRule="auto"/>
        <w:rPr>
          <w:b/>
        </w:rPr>
      </w:pPr>
    </w:p>
    <w:p w:rsidR="007347C9" w:rsidRDefault="007347C9" w:rsidP="00FE1CEB">
      <w:pPr>
        <w:spacing w:after="0" w:line="240" w:lineRule="auto"/>
        <w:rPr>
          <w:b/>
        </w:rPr>
      </w:pPr>
    </w:p>
    <w:p w:rsidR="007347C9" w:rsidRDefault="007347C9" w:rsidP="00FE1CEB">
      <w:pPr>
        <w:spacing w:after="0" w:line="240" w:lineRule="auto"/>
        <w:rPr>
          <w:b/>
        </w:rPr>
      </w:pPr>
    </w:p>
    <w:p w:rsidR="007770B7" w:rsidRDefault="00970672" w:rsidP="00FE1CEB">
      <w:pPr>
        <w:spacing w:after="0" w:line="240" w:lineRule="auto"/>
        <w:rPr>
          <w:u w:val="single"/>
        </w:rPr>
      </w:pPr>
      <w:r w:rsidRPr="0084651C">
        <w:rPr>
          <w:b/>
        </w:rPr>
        <w:t>B</w:t>
      </w:r>
      <w:r>
        <w:rPr>
          <w:b/>
        </w:rPr>
        <w:t xml:space="preserve"> </w:t>
      </w:r>
      <w:r w:rsidRPr="00A85F61">
        <w:rPr>
          <w:b/>
          <w:u w:val="single"/>
        </w:rPr>
        <w:t>Departmental Customer Service Lines: Telephone Number Prefixes</w:t>
      </w:r>
    </w:p>
    <w:tbl>
      <w:tblPr>
        <w:tblpPr w:leftFromText="180" w:rightFromText="180" w:vertAnchor="text" w:horzAnchor="margin" w:tblpXSpec="center" w:tblpY="32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781"/>
        <w:gridCol w:w="1730"/>
        <w:gridCol w:w="1701"/>
        <w:gridCol w:w="1701"/>
        <w:gridCol w:w="1417"/>
        <w:gridCol w:w="1418"/>
        <w:gridCol w:w="1388"/>
        <w:gridCol w:w="1588"/>
        <w:gridCol w:w="1560"/>
      </w:tblGrid>
      <w:tr w:rsidR="00970672" w:rsidRPr="000D7620" w:rsidTr="00390759">
        <w:tc>
          <w:tcPr>
            <w:tcW w:w="1446" w:type="dxa"/>
            <w:shd w:val="clear" w:color="auto" w:fill="B8CCE4" w:themeFill="accent1" w:themeFillTint="66"/>
          </w:tcPr>
          <w:p w:rsidR="00970672" w:rsidRPr="00970672" w:rsidRDefault="00970672" w:rsidP="00970672">
            <w:pPr>
              <w:spacing w:after="0" w:line="240" w:lineRule="auto"/>
              <w:rPr>
                <w:b/>
              </w:rPr>
            </w:pPr>
            <w:r w:rsidRPr="00970672">
              <w:rPr>
                <w:b/>
              </w:rPr>
              <w:t>Lines</w:t>
            </w:r>
          </w:p>
        </w:tc>
        <w:tc>
          <w:tcPr>
            <w:tcW w:w="1781" w:type="dxa"/>
            <w:shd w:val="clear" w:color="auto" w:fill="B8CCE4" w:themeFill="accent1" w:themeFillTint="66"/>
          </w:tcPr>
          <w:p w:rsidR="00970672" w:rsidRPr="000D7620" w:rsidRDefault="00970672" w:rsidP="009706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0843/0844/0845</w:t>
            </w:r>
          </w:p>
        </w:tc>
        <w:tc>
          <w:tcPr>
            <w:tcW w:w="1730" w:type="dxa"/>
            <w:shd w:val="clear" w:color="auto" w:fill="B8CCE4" w:themeFill="accent1" w:themeFillTint="66"/>
          </w:tcPr>
          <w:p w:rsidR="00970672" w:rsidRPr="000D7620" w:rsidRDefault="00970672" w:rsidP="00D76980">
            <w:pPr>
              <w:spacing w:after="0" w:line="240" w:lineRule="auto"/>
              <w:jc w:val="center"/>
              <w:rPr>
                <w:b/>
              </w:rPr>
            </w:pPr>
            <w:r w:rsidRPr="00721C96">
              <w:rPr>
                <w:b/>
              </w:rPr>
              <w:t xml:space="preserve">Dual Numbering </w:t>
            </w:r>
            <w:r>
              <w:rPr>
                <w:b/>
              </w:rPr>
              <w:t>with 084</w:t>
            </w:r>
            <w:r w:rsidR="00D76980">
              <w:rPr>
                <w:b/>
              </w:rPr>
              <w:t>3/4/5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970672" w:rsidRPr="000D7620" w:rsidRDefault="00970672" w:rsidP="00D76980">
            <w:pPr>
              <w:spacing w:after="0" w:line="240" w:lineRule="auto"/>
              <w:jc w:val="center"/>
              <w:rPr>
                <w:b/>
              </w:rPr>
            </w:pPr>
            <w:r w:rsidRPr="000D7620">
              <w:rPr>
                <w:b/>
              </w:rPr>
              <w:t xml:space="preserve">03 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970672" w:rsidRPr="000D7620" w:rsidRDefault="00970672" w:rsidP="009706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Other Geographic 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970672" w:rsidRPr="000D7620" w:rsidRDefault="00970672" w:rsidP="00970672">
            <w:pPr>
              <w:spacing w:after="0" w:line="240" w:lineRule="auto"/>
              <w:jc w:val="center"/>
              <w:rPr>
                <w:b/>
              </w:rPr>
            </w:pPr>
            <w:r w:rsidRPr="000D7620">
              <w:rPr>
                <w:b/>
              </w:rPr>
              <w:t>0800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970672" w:rsidRPr="000D7620" w:rsidRDefault="00970672" w:rsidP="009706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0870</w:t>
            </w:r>
          </w:p>
        </w:tc>
        <w:tc>
          <w:tcPr>
            <w:tcW w:w="1388" w:type="dxa"/>
            <w:shd w:val="clear" w:color="auto" w:fill="B8CCE4" w:themeFill="accent1" w:themeFillTint="66"/>
          </w:tcPr>
          <w:p w:rsidR="00970672" w:rsidRPr="000D7620" w:rsidRDefault="00970672" w:rsidP="009706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:rsidR="00970672" w:rsidRPr="000D7620" w:rsidRDefault="00970672" w:rsidP="009706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970672" w:rsidRPr="000D7620" w:rsidRDefault="00970672" w:rsidP="009706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Lines closed</w:t>
            </w:r>
          </w:p>
        </w:tc>
      </w:tr>
      <w:tr w:rsidR="009B3D45" w:rsidRPr="000D7620" w:rsidTr="00DC3C48">
        <w:trPr>
          <w:trHeight w:val="495"/>
        </w:trPr>
        <w:tc>
          <w:tcPr>
            <w:tcW w:w="1446" w:type="dxa"/>
          </w:tcPr>
          <w:p w:rsidR="009B3D45" w:rsidRPr="00C742DE" w:rsidRDefault="009B3D45" w:rsidP="00970672">
            <w:pPr>
              <w:spacing w:after="0" w:line="240" w:lineRule="auto"/>
              <w:rPr>
                <w:b/>
              </w:rPr>
            </w:pPr>
            <w:r w:rsidRPr="00C742DE">
              <w:rPr>
                <w:b/>
              </w:rPr>
              <w:t>Total</w:t>
            </w:r>
            <w:r>
              <w:rPr>
                <w:b/>
              </w:rPr>
              <w:t xml:space="preserve"> at November 2013</w:t>
            </w:r>
          </w:p>
        </w:tc>
        <w:tc>
          <w:tcPr>
            <w:tcW w:w="1781" w:type="dxa"/>
            <w:vAlign w:val="center"/>
          </w:tcPr>
          <w:p w:rsidR="009B3D45" w:rsidRPr="00097378" w:rsidRDefault="009B3D45" w:rsidP="00DC3C48">
            <w:pPr>
              <w:spacing w:after="0" w:line="240" w:lineRule="auto"/>
              <w:jc w:val="center"/>
              <w:rPr>
                <w:highlight w:val="yellow"/>
              </w:rPr>
            </w:pPr>
            <w:r>
              <w:t>0845 x</w:t>
            </w:r>
            <w:r w:rsidR="00DC3C48">
              <w:t xml:space="preserve"> 1</w:t>
            </w:r>
          </w:p>
        </w:tc>
        <w:tc>
          <w:tcPr>
            <w:tcW w:w="1730" w:type="dxa"/>
          </w:tcPr>
          <w:p w:rsidR="009B3D45" w:rsidRPr="000D7620" w:rsidRDefault="009B3D45" w:rsidP="00970672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9B3D45" w:rsidRPr="000D7620" w:rsidRDefault="005A776E" w:rsidP="00DC3C4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B3D45" w:rsidRPr="000D7620" w:rsidRDefault="00DC3C48" w:rsidP="00DC3C4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B3D45" w:rsidRPr="000D7620" w:rsidRDefault="009B3D45" w:rsidP="00970672">
            <w:pPr>
              <w:spacing w:after="0" w:line="240" w:lineRule="auto"/>
            </w:pPr>
          </w:p>
        </w:tc>
        <w:tc>
          <w:tcPr>
            <w:tcW w:w="1418" w:type="dxa"/>
          </w:tcPr>
          <w:p w:rsidR="009B3D45" w:rsidRPr="000D7620" w:rsidRDefault="009B3D45" w:rsidP="00970672">
            <w:pPr>
              <w:spacing w:after="0" w:line="240" w:lineRule="auto"/>
            </w:pPr>
          </w:p>
        </w:tc>
        <w:tc>
          <w:tcPr>
            <w:tcW w:w="1388" w:type="dxa"/>
          </w:tcPr>
          <w:p w:rsidR="009B3D45" w:rsidRPr="000D7620" w:rsidRDefault="009B3D45" w:rsidP="00970672">
            <w:pPr>
              <w:spacing w:after="0" w:line="240" w:lineRule="auto"/>
            </w:pPr>
          </w:p>
        </w:tc>
        <w:tc>
          <w:tcPr>
            <w:tcW w:w="1588" w:type="dxa"/>
          </w:tcPr>
          <w:p w:rsidR="009B3D45" w:rsidRPr="000D7620" w:rsidRDefault="009B3D45" w:rsidP="00970672">
            <w:pPr>
              <w:spacing w:after="0" w:line="240" w:lineRule="auto"/>
            </w:pPr>
          </w:p>
        </w:tc>
        <w:tc>
          <w:tcPr>
            <w:tcW w:w="1560" w:type="dxa"/>
          </w:tcPr>
          <w:p w:rsidR="009B3D45" w:rsidRPr="000D7620" w:rsidRDefault="009B3D45" w:rsidP="00970672">
            <w:pPr>
              <w:spacing w:after="0" w:line="240" w:lineRule="auto"/>
            </w:pPr>
          </w:p>
        </w:tc>
      </w:tr>
      <w:tr w:rsidR="009B3D45" w:rsidRPr="000D7620" w:rsidTr="005A776E">
        <w:trPr>
          <w:trHeight w:val="70"/>
        </w:trPr>
        <w:tc>
          <w:tcPr>
            <w:tcW w:w="1446" w:type="dxa"/>
          </w:tcPr>
          <w:p w:rsidR="009B3D45" w:rsidRPr="00721C96" w:rsidRDefault="009B3D45" w:rsidP="00692277">
            <w:pPr>
              <w:spacing w:after="0" w:line="240" w:lineRule="auto"/>
              <w:rPr>
                <w:b/>
              </w:rPr>
            </w:pPr>
            <w:r w:rsidRPr="00721C96">
              <w:rPr>
                <w:b/>
              </w:rPr>
              <w:t xml:space="preserve">Total at </w:t>
            </w:r>
            <w:r>
              <w:rPr>
                <w:b/>
              </w:rPr>
              <w:t>Octob</w:t>
            </w:r>
            <w:r w:rsidRPr="00721C96">
              <w:rPr>
                <w:b/>
              </w:rPr>
              <w:t>er 2014</w:t>
            </w:r>
          </w:p>
        </w:tc>
        <w:tc>
          <w:tcPr>
            <w:tcW w:w="1781" w:type="dxa"/>
            <w:vAlign w:val="center"/>
          </w:tcPr>
          <w:p w:rsidR="009B3D45" w:rsidRDefault="009B3D45" w:rsidP="005A776E">
            <w:pPr>
              <w:spacing w:after="0" w:line="240" w:lineRule="auto"/>
              <w:jc w:val="center"/>
            </w:pPr>
          </w:p>
          <w:p w:rsidR="009B3D45" w:rsidRPr="00097378" w:rsidRDefault="005A776E" w:rsidP="005A776E">
            <w:pPr>
              <w:spacing w:after="0" w:line="240" w:lineRule="auto"/>
              <w:jc w:val="center"/>
              <w:rPr>
                <w:highlight w:val="yellow"/>
              </w:rPr>
            </w:pPr>
            <w:r w:rsidRPr="005A776E">
              <w:t>0</w:t>
            </w:r>
          </w:p>
        </w:tc>
        <w:tc>
          <w:tcPr>
            <w:tcW w:w="1730" w:type="dxa"/>
          </w:tcPr>
          <w:p w:rsidR="009B3D45" w:rsidRPr="000D7620" w:rsidRDefault="009B3D45" w:rsidP="00970672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9B3D45" w:rsidRPr="000D7620" w:rsidRDefault="00DC3C48" w:rsidP="00DC3C4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9B3D45" w:rsidRPr="000D7620" w:rsidRDefault="00DC3C48" w:rsidP="00DC3C4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B3D45" w:rsidRPr="000D7620" w:rsidRDefault="009B3D45" w:rsidP="00970672">
            <w:pPr>
              <w:spacing w:after="0" w:line="240" w:lineRule="auto"/>
            </w:pPr>
          </w:p>
        </w:tc>
        <w:tc>
          <w:tcPr>
            <w:tcW w:w="1418" w:type="dxa"/>
          </w:tcPr>
          <w:p w:rsidR="009B3D45" w:rsidRPr="000D7620" w:rsidRDefault="009B3D45" w:rsidP="00970672">
            <w:pPr>
              <w:spacing w:after="0" w:line="240" w:lineRule="auto"/>
            </w:pPr>
          </w:p>
        </w:tc>
        <w:tc>
          <w:tcPr>
            <w:tcW w:w="1388" w:type="dxa"/>
          </w:tcPr>
          <w:p w:rsidR="009B3D45" w:rsidRPr="000D7620" w:rsidRDefault="009B3D45" w:rsidP="00970672">
            <w:pPr>
              <w:spacing w:after="0" w:line="240" w:lineRule="auto"/>
            </w:pPr>
          </w:p>
        </w:tc>
        <w:tc>
          <w:tcPr>
            <w:tcW w:w="1588" w:type="dxa"/>
          </w:tcPr>
          <w:p w:rsidR="009B3D45" w:rsidRPr="000D7620" w:rsidRDefault="009B3D45" w:rsidP="00970672">
            <w:pPr>
              <w:spacing w:after="0" w:line="240" w:lineRule="auto"/>
            </w:pPr>
          </w:p>
        </w:tc>
        <w:tc>
          <w:tcPr>
            <w:tcW w:w="1560" w:type="dxa"/>
          </w:tcPr>
          <w:p w:rsidR="009B3D45" w:rsidRPr="000D7620" w:rsidRDefault="009B3D45" w:rsidP="00970672">
            <w:pPr>
              <w:spacing w:after="0" w:line="240" w:lineRule="auto"/>
            </w:pPr>
          </w:p>
        </w:tc>
      </w:tr>
    </w:tbl>
    <w:p w:rsidR="005A776E" w:rsidRDefault="005A776E">
      <w:pPr>
        <w:rPr>
          <w:b/>
        </w:rPr>
      </w:pPr>
    </w:p>
    <w:p w:rsidR="000D7620" w:rsidRDefault="00B73CE7">
      <w:pPr>
        <w:rPr>
          <w:b/>
          <w:u w:val="single"/>
        </w:rPr>
      </w:pPr>
      <w:r>
        <w:rPr>
          <w:b/>
        </w:rPr>
        <w:lastRenderedPageBreak/>
        <w:t>C</w:t>
      </w:r>
      <w:r w:rsidR="00A85F61" w:rsidRPr="00B73CE7">
        <w:rPr>
          <w:b/>
        </w:rPr>
        <w:t xml:space="preserve">  </w:t>
      </w:r>
      <w:r w:rsidR="00A85F61">
        <w:rPr>
          <w:b/>
          <w:u w:val="single"/>
        </w:rPr>
        <w:t>Revenue Generation</w:t>
      </w:r>
    </w:p>
    <w:p w:rsidR="00B73CE7" w:rsidRPr="00A85F61" w:rsidRDefault="006B566C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174625</wp:posOffset>
                </wp:positionV>
                <wp:extent cx="10029825" cy="17335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8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C9" w:rsidRDefault="001716C6" w:rsidP="0076282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Does DFID </w:t>
                            </w:r>
                            <w:r w:rsidR="007347C9">
                              <w:rPr>
                                <w:b/>
                                <w:u w:val="single"/>
                              </w:rPr>
                              <w:t xml:space="preserve">comply with the principles set out on revenue generation in the HMG Guidance on Customer Service Lines?  </w:t>
                            </w:r>
                            <w:r w:rsidR="007347C9">
                              <w:tab/>
                            </w:r>
                            <w:r w:rsidR="007347C9" w:rsidRPr="0076282F">
                              <w:rPr>
                                <w:i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8.75pt;margin-top:13.75pt;width:789.7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">
                <v:textbox>
                  <w:txbxContent>
                    <w:p w:rsidR="007347C9" w:rsidRDefault="001716C6" w:rsidP="0076282F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Does DFID </w:t>
                      </w:r>
                      <w:r w:rsidR="007347C9">
                        <w:rPr>
                          <w:b/>
                          <w:u w:val="single"/>
                        </w:rPr>
                        <w:t xml:space="preserve">comply with the principles set out on revenue generation in the HMG Guidance on Customer Service Lines?  </w:t>
                      </w:r>
                      <w:r w:rsidR="007347C9">
                        <w:tab/>
                      </w:r>
                      <w:r w:rsidR="007347C9" w:rsidRPr="0076282F">
                        <w:rPr>
                          <w:i/>
                        </w:rP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</w:p>
    <w:p w:rsidR="0076282F" w:rsidRPr="0076282F" w:rsidRDefault="0076282F">
      <w:pPr>
        <w:rPr>
          <w:b/>
          <w:u w:val="single"/>
        </w:rPr>
      </w:pPr>
    </w:p>
    <w:p w:rsidR="000D7620" w:rsidRDefault="000D7620"/>
    <w:sectPr w:rsidR="000D7620" w:rsidSect="000D7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57" w:rsidRDefault="00126357" w:rsidP="000D7620">
      <w:pPr>
        <w:spacing w:after="0" w:line="240" w:lineRule="auto"/>
      </w:pPr>
      <w:r>
        <w:separator/>
      </w:r>
    </w:p>
  </w:endnote>
  <w:endnote w:type="continuationSeparator" w:id="0">
    <w:p w:rsidR="00126357" w:rsidRDefault="00126357" w:rsidP="000D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C9" w:rsidRDefault="0089453F" w:rsidP="000D7620">
    <w:pPr>
      <w:pStyle w:val="Footer"/>
      <w:jc w:val="center"/>
    </w:pPr>
    <w:r>
      <w:fldChar w:fldCharType="begin"/>
    </w:r>
    <w:r w:rsidR="007347C9" w:rsidRPr="00F23369">
      <w:rPr>
        <w:color w:val="000000"/>
      </w:rPr>
      <w:instrText xml:space="preserve"> DOCPROPERTY  bjDocumentSecurityLabel"  \* MERGEFORMAT </w:instrText>
    </w:r>
    <w:r>
      <w:fldChar w:fldCharType="separate"/>
    </w:r>
    <w:r w:rsidR="007347C9">
      <w:rPr>
        <w:color w:val="000000"/>
      </w:rPr>
      <w:t>UNCLASSIFIED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C9" w:rsidRDefault="005A776E" w:rsidP="000D7620">
    <w:pPr>
      <w:pStyle w:val="Footer"/>
      <w:jc w:val="center"/>
    </w:pPr>
    <w:r>
      <w:t>OFFICIAL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C9" w:rsidRDefault="0089453F" w:rsidP="000D7620">
    <w:pPr>
      <w:pStyle w:val="Footer"/>
      <w:jc w:val="center"/>
    </w:pPr>
    <w:r>
      <w:fldChar w:fldCharType="begin"/>
    </w:r>
    <w:r w:rsidR="007347C9" w:rsidRPr="00F23369">
      <w:rPr>
        <w:color w:val="000000"/>
      </w:rPr>
      <w:instrText xml:space="preserve"> DOCPROPERTY  bjDocumentSecurityLabel"  \* MERGEFORMAT </w:instrText>
    </w:r>
    <w:r>
      <w:fldChar w:fldCharType="separate"/>
    </w:r>
    <w:r w:rsidR="007347C9">
      <w:rPr>
        <w:color w:val="000000"/>
      </w:rPr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57" w:rsidRDefault="00126357" w:rsidP="000D7620">
      <w:pPr>
        <w:spacing w:after="0" w:line="240" w:lineRule="auto"/>
      </w:pPr>
      <w:r>
        <w:separator/>
      </w:r>
    </w:p>
  </w:footnote>
  <w:footnote w:type="continuationSeparator" w:id="0">
    <w:p w:rsidR="00126357" w:rsidRDefault="00126357" w:rsidP="000D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C9" w:rsidRDefault="0089453F" w:rsidP="000D7620">
    <w:pPr>
      <w:pStyle w:val="Header"/>
      <w:jc w:val="center"/>
    </w:pPr>
    <w:r>
      <w:fldChar w:fldCharType="begin"/>
    </w:r>
    <w:r w:rsidR="007347C9" w:rsidRPr="00F23369">
      <w:rPr>
        <w:color w:val="000000"/>
      </w:rPr>
      <w:instrText xml:space="preserve"> DOCPROPERTY  bjDocumentSecurityLabel"  \* MERGEFORMAT </w:instrText>
    </w:r>
    <w:r>
      <w:fldChar w:fldCharType="separate"/>
    </w:r>
    <w:r w:rsidR="007347C9">
      <w:rPr>
        <w:color w:val="000000"/>
      </w:rPr>
      <w:t>UNCLASSIFIED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C9" w:rsidRDefault="005A776E" w:rsidP="000D7620">
    <w:pPr>
      <w:pStyle w:val="Header"/>
      <w:jc w:val="center"/>
    </w:pPr>
    <w:r>
      <w:t>OFFICIAL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C9" w:rsidRDefault="0089453F" w:rsidP="000D7620">
    <w:pPr>
      <w:pStyle w:val="Header"/>
      <w:jc w:val="center"/>
    </w:pPr>
    <w:r>
      <w:fldChar w:fldCharType="begin"/>
    </w:r>
    <w:r w:rsidR="007347C9" w:rsidRPr="00F23369">
      <w:rPr>
        <w:color w:val="000000"/>
      </w:rPr>
      <w:instrText xml:space="preserve"> DOCPROPERTY  bjDocumentSecurityLabel"  \* MERGEFORMAT </w:instrText>
    </w:r>
    <w:r>
      <w:fldChar w:fldCharType="separate"/>
    </w:r>
    <w:r w:rsidR="007347C9">
      <w:rPr>
        <w:color w:val="000000"/>
      </w:rPr>
      <w:t>UNCLASSIFIED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64CD"/>
    <w:multiLevelType w:val="hybridMultilevel"/>
    <w:tmpl w:val="48206FB4"/>
    <w:lvl w:ilvl="0" w:tplc="20526C5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F2070"/>
    <w:multiLevelType w:val="hybridMultilevel"/>
    <w:tmpl w:val="A9C8EA00"/>
    <w:lvl w:ilvl="0" w:tplc="A3F809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01333"/>
    <w:multiLevelType w:val="hybridMultilevel"/>
    <w:tmpl w:val="FF16B1DE"/>
    <w:lvl w:ilvl="0" w:tplc="5FAA96F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20"/>
    <w:rsid w:val="00014A15"/>
    <w:rsid w:val="00017CAF"/>
    <w:rsid w:val="00031EBF"/>
    <w:rsid w:val="00054A6F"/>
    <w:rsid w:val="00054CEF"/>
    <w:rsid w:val="00072D3C"/>
    <w:rsid w:val="00097378"/>
    <w:rsid w:val="000C3AAC"/>
    <w:rsid w:val="000D7620"/>
    <w:rsid w:val="00125AB8"/>
    <w:rsid w:val="00126357"/>
    <w:rsid w:val="00146A71"/>
    <w:rsid w:val="0016642A"/>
    <w:rsid w:val="001716C6"/>
    <w:rsid w:val="0020088E"/>
    <w:rsid w:val="00222203"/>
    <w:rsid w:val="002229A9"/>
    <w:rsid w:val="00224897"/>
    <w:rsid w:val="00271713"/>
    <w:rsid w:val="0027343B"/>
    <w:rsid w:val="00297CFB"/>
    <w:rsid w:val="002A5891"/>
    <w:rsid w:val="002B1E4C"/>
    <w:rsid w:val="003300C4"/>
    <w:rsid w:val="00341D3E"/>
    <w:rsid w:val="0034272A"/>
    <w:rsid w:val="00390759"/>
    <w:rsid w:val="00453812"/>
    <w:rsid w:val="00456012"/>
    <w:rsid w:val="00465BDD"/>
    <w:rsid w:val="00474D90"/>
    <w:rsid w:val="0049230F"/>
    <w:rsid w:val="004A6406"/>
    <w:rsid w:val="004B09FF"/>
    <w:rsid w:val="004C4013"/>
    <w:rsid w:val="004E16E5"/>
    <w:rsid w:val="004F7B70"/>
    <w:rsid w:val="00511354"/>
    <w:rsid w:val="0051552B"/>
    <w:rsid w:val="00530F44"/>
    <w:rsid w:val="005A776E"/>
    <w:rsid w:val="005C48AC"/>
    <w:rsid w:val="005F42DF"/>
    <w:rsid w:val="00692277"/>
    <w:rsid w:val="006B566C"/>
    <w:rsid w:val="00721C96"/>
    <w:rsid w:val="007347C9"/>
    <w:rsid w:val="0076282F"/>
    <w:rsid w:val="007770B7"/>
    <w:rsid w:val="00783C4C"/>
    <w:rsid w:val="007A4FEF"/>
    <w:rsid w:val="007E4356"/>
    <w:rsid w:val="00801611"/>
    <w:rsid w:val="008406BD"/>
    <w:rsid w:val="0084651C"/>
    <w:rsid w:val="00861CE1"/>
    <w:rsid w:val="008670D5"/>
    <w:rsid w:val="0087374E"/>
    <w:rsid w:val="00886E20"/>
    <w:rsid w:val="0089453F"/>
    <w:rsid w:val="008C1833"/>
    <w:rsid w:val="00910D9C"/>
    <w:rsid w:val="00920EC8"/>
    <w:rsid w:val="009246BA"/>
    <w:rsid w:val="00930D94"/>
    <w:rsid w:val="009647E2"/>
    <w:rsid w:val="00970672"/>
    <w:rsid w:val="009A2467"/>
    <w:rsid w:val="009A385A"/>
    <w:rsid w:val="009B3D45"/>
    <w:rsid w:val="009B3DFE"/>
    <w:rsid w:val="00A05174"/>
    <w:rsid w:val="00A15B15"/>
    <w:rsid w:val="00A16EE0"/>
    <w:rsid w:val="00A25037"/>
    <w:rsid w:val="00A50A1F"/>
    <w:rsid w:val="00A85F61"/>
    <w:rsid w:val="00AD00F3"/>
    <w:rsid w:val="00B0513E"/>
    <w:rsid w:val="00B600F8"/>
    <w:rsid w:val="00B73CE7"/>
    <w:rsid w:val="00BA61AC"/>
    <w:rsid w:val="00BC4B46"/>
    <w:rsid w:val="00BC7F1A"/>
    <w:rsid w:val="00BD1A7B"/>
    <w:rsid w:val="00BF64EE"/>
    <w:rsid w:val="00C25CC6"/>
    <w:rsid w:val="00C63E59"/>
    <w:rsid w:val="00C742DE"/>
    <w:rsid w:val="00C778BF"/>
    <w:rsid w:val="00CB0795"/>
    <w:rsid w:val="00CB2285"/>
    <w:rsid w:val="00CB6858"/>
    <w:rsid w:val="00CB7514"/>
    <w:rsid w:val="00D531E0"/>
    <w:rsid w:val="00D76980"/>
    <w:rsid w:val="00DC3C48"/>
    <w:rsid w:val="00DD2031"/>
    <w:rsid w:val="00DE28F7"/>
    <w:rsid w:val="00E02214"/>
    <w:rsid w:val="00E17056"/>
    <w:rsid w:val="00E3169A"/>
    <w:rsid w:val="00E37C85"/>
    <w:rsid w:val="00E46FCC"/>
    <w:rsid w:val="00E5576D"/>
    <w:rsid w:val="00E620B0"/>
    <w:rsid w:val="00E913F4"/>
    <w:rsid w:val="00EB426B"/>
    <w:rsid w:val="00EE33D9"/>
    <w:rsid w:val="00F123D7"/>
    <w:rsid w:val="00F23369"/>
    <w:rsid w:val="00F23ADA"/>
    <w:rsid w:val="00F52217"/>
    <w:rsid w:val="00F6445A"/>
    <w:rsid w:val="00F97CED"/>
    <w:rsid w:val="00FC3CE5"/>
    <w:rsid w:val="00FE1CEB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620"/>
  </w:style>
  <w:style w:type="paragraph" w:styleId="Footer">
    <w:name w:val="footer"/>
    <w:basedOn w:val="Normal"/>
    <w:link w:val="FooterChar"/>
    <w:uiPriority w:val="99"/>
    <w:semiHidden/>
    <w:unhideWhenUsed/>
    <w:rsid w:val="000D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620"/>
  </w:style>
  <w:style w:type="table" w:styleId="TableGrid">
    <w:name w:val="Table Grid"/>
    <w:basedOn w:val="TableNormal"/>
    <w:uiPriority w:val="59"/>
    <w:rsid w:val="000D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0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01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0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031"/>
  </w:style>
  <w:style w:type="character" w:styleId="FootnoteReference">
    <w:name w:val="footnote reference"/>
    <w:basedOn w:val="DefaultParagraphFont"/>
    <w:uiPriority w:val="99"/>
    <w:semiHidden/>
    <w:unhideWhenUsed/>
    <w:rsid w:val="00DD20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5F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5F61"/>
  </w:style>
  <w:style w:type="character" w:styleId="EndnoteReference">
    <w:name w:val="endnote reference"/>
    <w:basedOn w:val="DefaultParagraphFont"/>
    <w:uiPriority w:val="99"/>
    <w:semiHidden/>
    <w:unhideWhenUsed/>
    <w:rsid w:val="00A85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620"/>
  </w:style>
  <w:style w:type="paragraph" w:styleId="Footer">
    <w:name w:val="footer"/>
    <w:basedOn w:val="Normal"/>
    <w:link w:val="FooterChar"/>
    <w:uiPriority w:val="99"/>
    <w:semiHidden/>
    <w:unhideWhenUsed/>
    <w:rsid w:val="000D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620"/>
  </w:style>
  <w:style w:type="table" w:styleId="TableGrid">
    <w:name w:val="Table Grid"/>
    <w:basedOn w:val="TableNormal"/>
    <w:uiPriority w:val="59"/>
    <w:rsid w:val="000D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0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01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0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031"/>
  </w:style>
  <w:style w:type="character" w:styleId="FootnoteReference">
    <w:name w:val="footnote reference"/>
    <w:basedOn w:val="DefaultParagraphFont"/>
    <w:uiPriority w:val="99"/>
    <w:semiHidden/>
    <w:unhideWhenUsed/>
    <w:rsid w:val="00DD20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5F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5F61"/>
  </w:style>
  <w:style w:type="character" w:styleId="EndnoteReference">
    <w:name w:val="endnote reference"/>
    <w:basedOn w:val="DefaultParagraphFont"/>
    <w:uiPriority w:val="99"/>
    <w:semiHidden/>
    <w:unhideWhenUsed/>
    <w:rsid w:val="00A85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2E052-388F-408D-AB0D-5FE9912F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2014-11-26T12:06:00Z</dcterms:created>
  <dcterms:modified xsi:type="dcterms:W3CDTF">2014-11-27T09:45:00Z</dcterms:modified>
</cp:coreProperties>
</file>