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70C" w:rsidRDefault="00B730F0" w:rsidP="00235DEB">
      <w:pPr>
        <w:rPr>
          <w:rFonts w:ascii="Arial" w:hAnsi="Arial" w:cs="Arial"/>
          <w:b/>
          <w:bCs/>
          <w:color w:val="000000"/>
          <w:sz w:val="23"/>
          <w:szCs w:val="23"/>
        </w:rPr>
      </w:pPr>
      <w:bookmarkStart w:id="0" w:name="_GoBack"/>
      <w:bookmarkEnd w:id="0"/>
      <w:r w:rsidRPr="00B730F0">
        <w:rPr>
          <w:rFonts w:ascii="Arial" w:hAnsi="Arial" w:cs="Arial"/>
          <w:b/>
          <w:bCs/>
          <w:color w:val="000000"/>
          <w:sz w:val="23"/>
          <w:szCs w:val="23"/>
        </w:rPr>
        <w:t>Comparison of Current Affordable Homes Programme standards and Housing Standards Review proposals</w:t>
      </w:r>
    </w:p>
    <w:p w:rsidR="0094070C" w:rsidRDefault="0094070C" w:rsidP="00235DEB">
      <w:pPr>
        <w:rPr>
          <w:rFonts w:ascii="Arial" w:hAnsi="Arial" w:cs="Arial"/>
          <w:color w:val="000000"/>
        </w:rPr>
      </w:pPr>
    </w:p>
    <w:tbl>
      <w:tblPr>
        <w:tblStyle w:val="TableGrid"/>
        <w:tblW w:w="9416" w:type="dxa"/>
        <w:tblLayout w:type="fixed"/>
        <w:tblLook w:val="04A0" w:firstRow="1" w:lastRow="0" w:firstColumn="1" w:lastColumn="0" w:noHBand="0" w:noVBand="1"/>
      </w:tblPr>
      <w:tblGrid>
        <w:gridCol w:w="2802"/>
        <w:gridCol w:w="2551"/>
        <w:gridCol w:w="2977"/>
        <w:gridCol w:w="1086"/>
      </w:tblGrid>
      <w:tr w:rsidR="0094070C" w:rsidTr="00C6238F">
        <w:trPr>
          <w:trHeight w:val="1134"/>
        </w:trPr>
        <w:tc>
          <w:tcPr>
            <w:tcW w:w="2802" w:type="dxa"/>
          </w:tcPr>
          <w:p w:rsidR="0094070C" w:rsidRPr="00CC6FB2" w:rsidRDefault="00452138" w:rsidP="00235DEB">
            <w:pPr>
              <w:rPr>
                <w:rFonts w:ascii="Arial" w:hAnsi="Arial" w:cs="Arial"/>
                <w:b/>
                <w:bCs/>
                <w:color w:val="000000"/>
                <w:sz w:val="23"/>
                <w:szCs w:val="23"/>
              </w:rPr>
            </w:pPr>
            <w:r>
              <w:rPr>
                <w:rFonts w:ascii="Arial" w:hAnsi="Arial" w:cs="Arial"/>
                <w:b/>
                <w:bCs/>
                <w:color w:val="000000"/>
                <w:sz w:val="23"/>
                <w:szCs w:val="23"/>
              </w:rPr>
              <w:t>Issue</w:t>
            </w:r>
          </w:p>
        </w:tc>
        <w:tc>
          <w:tcPr>
            <w:tcW w:w="2551" w:type="dxa"/>
          </w:tcPr>
          <w:p w:rsidR="0094070C" w:rsidRDefault="0094070C" w:rsidP="00235DEB">
            <w:r w:rsidRPr="00CC6FB2">
              <w:rPr>
                <w:rFonts w:ascii="Arial" w:hAnsi="Arial" w:cs="Arial"/>
                <w:b/>
                <w:bCs/>
                <w:color w:val="000000"/>
                <w:sz w:val="23"/>
                <w:szCs w:val="23"/>
              </w:rPr>
              <w:t>Current</w:t>
            </w:r>
            <w:r w:rsidR="00452138">
              <w:rPr>
                <w:rFonts w:ascii="Arial" w:hAnsi="Arial" w:cs="Arial"/>
                <w:b/>
                <w:bCs/>
                <w:color w:val="000000"/>
                <w:sz w:val="23"/>
                <w:szCs w:val="23"/>
              </w:rPr>
              <w:t xml:space="preserve"> AHP 2011-15 housing standards</w:t>
            </w:r>
          </w:p>
        </w:tc>
        <w:tc>
          <w:tcPr>
            <w:tcW w:w="2977" w:type="dxa"/>
            <w:shd w:val="clear" w:color="auto" w:fill="auto"/>
          </w:tcPr>
          <w:p w:rsidR="0094070C" w:rsidRDefault="0094070C" w:rsidP="00235DEB">
            <w:r w:rsidRPr="00CC6FB2">
              <w:rPr>
                <w:rFonts w:ascii="Arial" w:hAnsi="Arial" w:cs="Arial"/>
                <w:b/>
                <w:bCs/>
                <w:color w:val="000000"/>
                <w:sz w:val="23"/>
                <w:szCs w:val="23"/>
              </w:rPr>
              <w:t>2015-18 AHP</w:t>
            </w:r>
            <w:r w:rsidR="00B97275">
              <w:rPr>
                <w:rFonts w:ascii="Arial" w:hAnsi="Arial" w:cs="Arial"/>
                <w:b/>
                <w:bCs/>
                <w:color w:val="000000"/>
                <w:sz w:val="23"/>
                <w:szCs w:val="23"/>
              </w:rPr>
              <w:t xml:space="preserve"> (HSR technical consultation)</w:t>
            </w:r>
          </w:p>
        </w:tc>
        <w:tc>
          <w:tcPr>
            <w:tcW w:w="1086" w:type="dxa"/>
            <w:textDirection w:val="btLr"/>
          </w:tcPr>
          <w:p w:rsidR="0094070C" w:rsidRDefault="0094070C" w:rsidP="0094070C">
            <w:pPr>
              <w:ind w:left="113" w:right="113"/>
            </w:pPr>
          </w:p>
        </w:tc>
      </w:tr>
      <w:tr w:rsidR="0094070C" w:rsidRPr="0094070C" w:rsidTr="00C6238F">
        <w:tc>
          <w:tcPr>
            <w:tcW w:w="2802" w:type="dxa"/>
          </w:tcPr>
          <w:p w:rsidR="0094070C" w:rsidRPr="0094070C" w:rsidRDefault="0094070C" w:rsidP="0094070C">
            <w:pPr>
              <w:rPr>
                <w:rFonts w:ascii="Arial" w:hAnsi="Arial" w:cs="Arial"/>
                <w:b/>
                <w:color w:val="000000"/>
                <w:sz w:val="23"/>
                <w:szCs w:val="23"/>
              </w:rPr>
            </w:pPr>
            <w:r w:rsidRPr="0094070C">
              <w:rPr>
                <w:rFonts w:ascii="Arial" w:hAnsi="Arial" w:cs="Arial"/>
                <w:b/>
                <w:color w:val="000000"/>
                <w:sz w:val="23"/>
                <w:szCs w:val="23"/>
              </w:rPr>
              <w:t>Energy Efficiency</w:t>
            </w:r>
          </w:p>
        </w:tc>
        <w:tc>
          <w:tcPr>
            <w:tcW w:w="2551" w:type="dxa"/>
          </w:tcPr>
          <w:p w:rsidR="0094070C" w:rsidRPr="0094070C" w:rsidRDefault="0094070C" w:rsidP="005577FD">
            <w:pPr>
              <w:rPr>
                <w:rFonts w:ascii="Arial" w:hAnsi="Arial" w:cs="Arial"/>
              </w:rPr>
            </w:pPr>
            <w:r w:rsidRPr="0094070C">
              <w:rPr>
                <w:rFonts w:ascii="Arial" w:hAnsi="Arial" w:cs="Arial"/>
                <w:color w:val="000000"/>
                <w:sz w:val="23"/>
                <w:szCs w:val="23"/>
              </w:rPr>
              <w:t>Code for Sustainable Homes Level 3</w:t>
            </w:r>
            <w:r w:rsidR="005577FD">
              <w:rPr>
                <w:rFonts w:ascii="Arial" w:hAnsi="Arial" w:cs="Arial"/>
                <w:color w:val="000000"/>
                <w:sz w:val="23"/>
                <w:szCs w:val="23"/>
              </w:rPr>
              <w:t xml:space="preserve"> </w:t>
            </w:r>
          </w:p>
        </w:tc>
        <w:tc>
          <w:tcPr>
            <w:tcW w:w="2977" w:type="dxa"/>
            <w:shd w:val="clear" w:color="auto" w:fill="auto"/>
          </w:tcPr>
          <w:p w:rsidR="0094070C" w:rsidRPr="0094070C" w:rsidRDefault="0094070C" w:rsidP="00235DEB">
            <w:pPr>
              <w:rPr>
                <w:rFonts w:ascii="Arial" w:hAnsi="Arial" w:cs="Arial"/>
              </w:rPr>
            </w:pPr>
            <w:r w:rsidRPr="0094070C">
              <w:rPr>
                <w:rFonts w:ascii="Arial" w:hAnsi="Arial" w:cs="Arial"/>
                <w:color w:val="000000"/>
                <w:sz w:val="23"/>
                <w:szCs w:val="23"/>
              </w:rPr>
              <w:t xml:space="preserve">Building regulation Part L only. (Code phased out from </w:t>
            </w:r>
            <w:r w:rsidR="005577FD">
              <w:rPr>
                <w:rFonts w:ascii="Arial" w:hAnsi="Arial" w:cs="Arial"/>
                <w:color w:val="000000"/>
                <w:sz w:val="23"/>
                <w:szCs w:val="23"/>
              </w:rPr>
              <w:t xml:space="preserve">early </w:t>
            </w:r>
            <w:r w:rsidRPr="0094070C">
              <w:rPr>
                <w:rFonts w:ascii="Arial" w:hAnsi="Arial" w:cs="Arial"/>
                <w:color w:val="000000"/>
                <w:sz w:val="23"/>
                <w:szCs w:val="23"/>
              </w:rPr>
              <w:t>2015)</w:t>
            </w:r>
            <w:r w:rsidR="00FB3657">
              <w:rPr>
                <w:rFonts w:ascii="Arial" w:hAnsi="Arial" w:cs="Arial"/>
                <w:color w:val="000000"/>
                <w:sz w:val="18"/>
                <w:szCs w:val="18"/>
                <w:vertAlign w:val="superscript"/>
              </w:rPr>
              <w:t>1</w:t>
            </w:r>
          </w:p>
        </w:tc>
        <w:tc>
          <w:tcPr>
            <w:tcW w:w="1086" w:type="dxa"/>
            <w:vMerge w:val="restart"/>
            <w:textDirection w:val="btLr"/>
          </w:tcPr>
          <w:p w:rsidR="0094070C" w:rsidRDefault="0094070C" w:rsidP="0094070C">
            <w:pPr>
              <w:spacing w:after="200" w:line="276" w:lineRule="auto"/>
              <w:ind w:left="113" w:right="113"/>
              <w:rPr>
                <w:rFonts w:ascii="Arial" w:hAnsi="Arial" w:cs="Arial"/>
              </w:rPr>
            </w:pPr>
            <w:r w:rsidRPr="00651B7A">
              <w:rPr>
                <w:rFonts w:ascii="Arial" w:hAnsi="Arial" w:cs="Arial"/>
                <w:color w:val="000000"/>
                <w:sz w:val="20"/>
                <w:szCs w:val="20"/>
              </w:rPr>
              <w:t>Building Regulation</w:t>
            </w:r>
          </w:p>
          <w:p w:rsidR="0094070C" w:rsidRDefault="0094070C" w:rsidP="0094070C">
            <w:pPr>
              <w:spacing w:after="200" w:line="276" w:lineRule="auto"/>
              <w:ind w:left="113" w:right="113"/>
              <w:rPr>
                <w:rFonts w:ascii="Arial" w:hAnsi="Arial" w:cs="Arial"/>
              </w:rPr>
            </w:pPr>
          </w:p>
          <w:p w:rsidR="0094070C" w:rsidRDefault="0094070C" w:rsidP="0094070C">
            <w:pPr>
              <w:spacing w:after="200" w:line="276" w:lineRule="auto"/>
              <w:ind w:left="113" w:right="113"/>
              <w:rPr>
                <w:rFonts w:ascii="Arial" w:hAnsi="Arial" w:cs="Arial"/>
              </w:rPr>
            </w:pPr>
          </w:p>
          <w:p w:rsidR="0094070C" w:rsidRPr="0094070C" w:rsidRDefault="0094070C" w:rsidP="0094070C">
            <w:pPr>
              <w:ind w:left="113" w:right="113"/>
              <w:rPr>
                <w:rFonts w:ascii="Arial" w:hAnsi="Arial" w:cs="Arial"/>
              </w:rPr>
            </w:pPr>
          </w:p>
        </w:tc>
      </w:tr>
      <w:tr w:rsidR="0094070C" w:rsidRPr="0094070C" w:rsidTr="00C6238F">
        <w:tc>
          <w:tcPr>
            <w:tcW w:w="2802" w:type="dxa"/>
          </w:tcPr>
          <w:p w:rsidR="0094070C" w:rsidRPr="0094070C" w:rsidRDefault="0094070C" w:rsidP="0094070C">
            <w:pPr>
              <w:rPr>
                <w:rFonts w:ascii="Arial" w:hAnsi="Arial" w:cs="Arial"/>
                <w:b/>
                <w:color w:val="000000"/>
                <w:sz w:val="23"/>
                <w:szCs w:val="23"/>
              </w:rPr>
            </w:pPr>
            <w:r w:rsidRPr="0094070C">
              <w:rPr>
                <w:rFonts w:ascii="Arial" w:hAnsi="Arial" w:cs="Arial"/>
                <w:b/>
                <w:color w:val="000000"/>
                <w:sz w:val="23"/>
                <w:szCs w:val="23"/>
              </w:rPr>
              <w:t>Security</w:t>
            </w:r>
          </w:p>
        </w:tc>
        <w:tc>
          <w:tcPr>
            <w:tcW w:w="2551" w:type="dxa"/>
          </w:tcPr>
          <w:p w:rsidR="0094070C" w:rsidRPr="0094070C" w:rsidRDefault="0094070C" w:rsidP="00DC2AAD">
            <w:pPr>
              <w:rPr>
                <w:rFonts w:ascii="Arial" w:hAnsi="Arial" w:cs="Arial"/>
              </w:rPr>
            </w:pPr>
            <w:r w:rsidRPr="0094070C">
              <w:rPr>
                <w:rFonts w:ascii="Arial" w:hAnsi="Arial" w:cs="Arial"/>
                <w:color w:val="000000"/>
                <w:sz w:val="23"/>
                <w:szCs w:val="23"/>
              </w:rPr>
              <w:t>Secured By Design physical elements</w:t>
            </w:r>
            <w:r w:rsidR="005577FD">
              <w:rPr>
                <w:rFonts w:ascii="Arial" w:hAnsi="Arial" w:cs="Arial"/>
                <w:color w:val="000000"/>
                <w:sz w:val="23"/>
                <w:szCs w:val="23"/>
              </w:rPr>
              <w:t xml:space="preserve"> (part 2)</w:t>
            </w:r>
            <w:r w:rsidR="00FB3657">
              <w:rPr>
                <w:rFonts w:ascii="Arial" w:hAnsi="Arial" w:cs="Arial"/>
                <w:color w:val="000000"/>
                <w:sz w:val="18"/>
                <w:szCs w:val="18"/>
                <w:vertAlign w:val="superscript"/>
              </w:rPr>
              <w:t>2</w:t>
            </w:r>
            <w:r w:rsidRPr="00B6741F">
              <w:rPr>
                <w:rFonts w:ascii="Arial" w:hAnsi="Arial" w:cs="Arial"/>
                <w:color w:val="000000"/>
                <w:sz w:val="18"/>
                <w:szCs w:val="18"/>
              </w:rPr>
              <w:t xml:space="preserve"> </w:t>
            </w:r>
          </w:p>
        </w:tc>
        <w:tc>
          <w:tcPr>
            <w:tcW w:w="2977" w:type="dxa"/>
            <w:shd w:val="clear" w:color="auto" w:fill="auto"/>
          </w:tcPr>
          <w:p w:rsidR="0094070C" w:rsidRPr="0094070C" w:rsidRDefault="0094070C" w:rsidP="007240EE">
            <w:pPr>
              <w:rPr>
                <w:rFonts w:ascii="Arial" w:hAnsi="Arial" w:cs="Arial"/>
              </w:rPr>
            </w:pPr>
            <w:r w:rsidRPr="0094070C">
              <w:rPr>
                <w:rFonts w:ascii="Arial" w:hAnsi="Arial" w:cs="Arial"/>
                <w:color w:val="000000"/>
                <w:sz w:val="23"/>
                <w:szCs w:val="23"/>
              </w:rPr>
              <w:t>PAS 24: 2012</w:t>
            </w:r>
            <w:r w:rsidR="00FB3657">
              <w:rPr>
                <w:rFonts w:ascii="Arial" w:hAnsi="Arial" w:cs="Arial"/>
                <w:color w:val="000000"/>
                <w:sz w:val="18"/>
                <w:szCs w:val="18"/>
                <w:vertAlign w:val="superscript"/>
              </w:rPr>
              <w:t>3</w:t>
            </w:r>
            <w:r w:rsidRPr="0094070C">
              <w:rPr>
                <w:rFonts w:ascii="Arial" w:hAnsi="Arial" w:cs="Arial"/>
                <w:color w:val="000000"/>
                <w:sz w:val="23"/>
                <w:szCs w:val="23"/>
              </w:rPr>
              <w:t xml:space="preserve"> doors and windows.</w:t>
            </w:r>
            <w:r w:rsidR="00EC2DF7">
              <w:rPr>
                <w:rFonts w:ascii="Arial" w:hAnsi="Arial" w:cs="Arial"/>
                <w:color w:val="000000"/>
                <w:sz w:val="23"/>
                <w:szCs w:val="23"/>
              </w:rPr>
              <w:t xml:space="preserve"> </w:t>
            </w:r>
            <w:r w:rsidRPr="0094070C">
              <w:rPr>
                <w:rFonts w:ascii="Arial" w:hAnsi="Arial" w:cs="Arial"/>
                <w:color w:val="000000"/>
                <w:sz w:val="23"/>
                <w:szCs w:val="23"/>
              </w:rPr>
              <w:t>(New regulation Part Q)</w:t>
            </w:r>
          </w:p>
        </w:tc>
        <w:tc>
          <w:tcPr>
            <w:tcW w:w="1086" w:type="dxa"/>
            <w:vMerge/>
            <w:textDirection w:val="btLr"/>
          </w:tcPr>
          <w:p w:rsidR="0094070C" w:rsidRPr="0094070C" w:rsidRDefault="0094070C" w:rsidP="0094070C">
            <w:pPr>
              <w:ind w:left="113" w:right="113"/>
              <w:rPr>
                <w:rFonts w:ascii="Arial" w:hAnsi="Arial" w:cs="Arial"/>
              </w:rPr>
            </w:pPr>
          </w:p>
        </w:tc>
      </w:tr>
      <w:tr w:rsidR="0094070C" w:rsidRPr="0094070C" w:rsidTr="00C6238F">
        <w:tc>
          <w:tcPr>
            <w:tcW w:w="2802" w:type="dxa"/>
          </w:tcPr>
          <w:p w:rsidR="0094070C" w:rsidRPr="0094070C" w:rsidRDefault="0094070C" w:rsidP="005577FD">
            <w:pPr>
              <w:rPr>
                <w:rFonts w:ascii="Arial" w:hAnsi="Arial" w:cs="Arial"/>
                <w:b/>
                <w:color w:val="000000"/>
                <w:sz w:val="23"/>
                <w:szCs w:val="23"/>
              </w:rPr>
            </w:pPr>
            <w:r w:rsidRPr="0094070C">
              <w:rPr>
                <w:rFonts w:ascii="Arial" w:hAnsi="Arial" w:cs="Arial"/>
                <w:b/>
                <w:color w:val="000000"/>
                <w:sz w:val="23"/>
                <w:szCs w:val="23"/>
              </w:rPr>
              <w:t>Waste</w:t>
            </w:r>
          </w:p>
          <w:p w:rsidR="0094070C" w:rsidRPr="0094070C" w:rsidRDefault="0094070C" w:rsidP="005577FD">
            <w:pPr>
              <w:rPr>
                <w:rFonts w:ascii="Arial" w:hAnsi="Arial" w:cs="Arial"/>
                <w:color w:val="000000"/>
                <w:sz w:val="23"/>
                <w:szCs w:val="23"/>
              </w:rPr>
            </w:pPr>
          </w:p>
        </w:tc>
        <w:tc>
          <w:tcPr>
            <w:tcW w:w="2551" w:type="dxa"/>
          </w:tcPr>
          <w:p w:rsidR="0094070C" w:rsidRPr="0094070C" w:rsidRDefault="0094070C" w:rsidP="005577FD">
            <w:pPr>
              <w:rPr>
                <w:rFonts w:ascii="Arial" w:hAnsi="Arial" w:cs="Arial"/>
              </w:rPr>
            </w:pPr>
            <w:r w:rsidRPr="0094070C">
              <w:rPr>
                <w:rFonts w:ascii="Arial" w:hAnsi="Arial" w:cs="Arial"/>
                <w:color w:val="000000"/>
                <w:sz w:val="23"/>
                <w:szCs w:val="23"/>
              </w:rPr>
              <w:t>Building regulation Part H</w:t>
            </w:r>
          </w:p>
        </w:tc>
        <w:tc>
          <w:tcPr>
            <w:tcW w:w="2977" w:type="dxa"/>
            <w:shd w:val="clear" w:color="auto" w:fill="auto"/>
          </w:tcPr>
          <w:p w:rsidR="0094070C" w:rsidRPr="0094070C" w:rsidRDefault="0094070C" w:rsidP="005577FD">
            <w:pPr>
              <w:rPr>
                <w:rFonts w:ascii="Arial" w:hAnsi="Arial" w:cs="Arial"/>
                <w:color w:val="000000"/>
                <w:sz w:val="23"/>
                <w:szCs w:val="23"/>
              </w:rPr>
            </w:pPr>
            <w:r w:rsidRPr="0094070C">
              <w:rPr>
                <w:rFonts w:ascii="Arial" w:hAnsi="Arial" w:cs="Arial"/>
                <w:color w:val="000000"/>
                <w:sz w:val="23"/>
                <w:szCs w:val="23"/>
              </w:rPr>
              <w:t>Building regulation Part H</w:t>
            </w:r>
          </w:p>
          <w:p w:rsidR="0094070C" w:rsidRPr="0094070C" w:rsidRDefault="0094070C" w:rsidP="00960597">
            <w:pPr>
              <w:rPr>
                <w:rFonts w:ascii="Arial" w:hAnsi="Arial" w:cs="Arial"/>
              </w:rPr>
            </w:pPr>
            <w:r w:rsidRPr="0094070C">
              <w:rPr>
                <w:rFonts w:ascii="Arial" w:hAnsi="Arial" w:cs="Arial"/>
                <w:color w:val="000000"/>
                <w:sz w:val="23"/>
                <w:szCs w:val="23"/>
              </w:rPr>
              <w:t xml:space="preserve">(added amenity </w:t>
            </w:r>
            <w:r w:rsidR="005577FD">
              <w:rPr>
                <w:rFonts w:ascii="Arial" w:hAnsi="Arial" w:cs="Arial"/>
                <w:color w:val="000000"/>
                <w:sz w:val="23"/>
                <w:szCs w:val="23"/>
              </w:rPr>
              <w:t>clarification</w:t>
            </w:r>
            <w:r w:rsidRPr="0094070C">
              <w:rPr>
                <w:rFonts w:ascii="Arial" w:hAnsi="Arial" w:cs="Arial"/>
                <w:color w:val="000000"/>
                <w:sz w:val="23"/>
                <w:szCs w:val="23"/>
              </w:rPr>
              <w:t>)</w:t>
            </w:r>
          </w:p>
        </w:tc>
        <w:tc>
          <w:tcPr>
            <w:tcW w:w="1086" w:type="dxa"/>
            <w:vMerge/>
            <w:textDirection w:val="btLr"/>
          </w:tcPr>
          <w:p w:rsidR="0094070C" w:rsidRPr="0094070C" w:rsidRDefault="0094070C" w:rsidP="0094070C">
            <w:pPr>
              <w:ind w:left="113" w:right="113"/>
              <w:rPr>
                <w:rFonts w:ascii="Arial" w:hAnsi="Arial" w:cs="Arial"/>
              </w:rPr>
            </w:pPr>
          </w:p>
        </w:tc>
      </w:tr>
      <w:tr w:rsidR="0094070C" w:rsidRPr="0094070C" w:rsidTr="00C6238F">
        <w:tc>
          <w:tcPr>
            <w:tcW w:w="2802" w:type="dxa"/>
          </w:tcPr>
          <w:p w:rsidR="0094070C" w:rsidRPr="0094070C" w:rsidRDefault="0094070C" w:rsidP="005577FD">
            <w:pPr>
              <w:rPr>
                <w:rFonts w:ascii="Arial" w:hAnsi="Arial" w:cs="Arial"/>
                <w:b/>
                <w:color w:val="000000"/>
                <w:sz w:val="23"/>
                <w:szCs w:val="23"/>
              </w:rPr>
            </w:pPr>
            <w:r w:rsidRPr="0094070C">
              <w:rPr>
                <w:rFonts w:ascii="Arial" w:hAnsi="Arial" w:cs="Arial"/>
                <w:b/>
                <w:color w:val="000000"/>
                <w:sz w:val="23"/>
                <w:szCs w:val="23"/>
              </w:rPr>
              <w:t>Accessibility</w:t>
            </w:r>
          </w:p>
          <w:p w:rsidR="0094070C" w:rsidRPr="0094070C" w:rsidRDefault="0094070C" w:rsidP="005577FD">
            <w:pPr>
              <w:rPr>
                <w:rFonts w:ascii="Arial" w:hAnsi="Arial" w:cs="Arial"/>
                <w:color w:val="000000"/>
                <w:sz w:val="23"/>
                <w:szCs w:val="23"/>
              </w:rPr>
            </w:pPr>
          </w:p>
        </w:tc>
        <w:tc>
          <w:tcPr>
            <w:tcW w:w="2551" w:type="dxa"/>
          </w:tcPr>
          <w:p w:rsidR="0094070C" w:rsidRPr="0094070C" w:rsidRDefault="0094070C" w:rsidP="005577FD">
            <w:pPr>
              <w:rPr>
                <w:rFonts w:ascii="Arial" w:hAnsi="Arial" w:cs="Arial"/>
              </w:rPr>
            </w:pPr>
            <w:r w:rsidRPr="0094070C">
              <w:rPr>
                <w:rFonts w:ascii="Arial" w:hAnsi="Arial" w:cs="Arial"/>
                <w:color w:val="000000"/>
                <w:sz w:val="23"/>
                <w:szCs w:val="23"/>
              </w:rPr>
              <w:t>Building regulation Part M</w:t>
            </w:r>
          </w:p>
        </w:tc>
        <w:tc>
          <w:tcPr>
            <w:tcW w:w="2977" w:type="dxa"/>
            <w:shd w:val="clear" w:color="auto" w:fill="auto"/>
          </w:tcPr>
          <w:p w:rsidR="0094070C" w:rsidRPr="0094070C" w:rsidRDefault="0094070C" w:rsidP="00DC2AAD">
            <w:pPr>
              <w:rPr>
                <w:rFonts w:ascii="Arial" w:hAnsi="Arial" w:cs="Arial"/>
              </w:rPr>
            </w:pPr>
            <w:r w:rsidRPr="0094070C">
              <w:rPr>
                <w:rFonts w:ascii="Arial" w:hAnsi="Arial" w:cs="Arial"/>
                <w:color w:val="000000"/>
                <w:sz w:val="23"/>
                <w:szCs w:val="23"/>
              </w:rPr>
              <w:t>Building regulation Part M</w:t>
            </w:r>
            <w:r w:rsidR="004A6348">
              <w:rPr>
                <w:rFonts w:ascii="Arial" w:hAnsi="Arial" w:cs="Arial"/>
                <w:color w:val="000000"/>
                <w:sz w:val="23"/>
                <w:szCs w:val="23"/>
              </w:rPr>
              <w:t>: O</w:t>
            </w:r>
            <w:r w:rsidRPr="0094070C">
              <w:rPr>
                <w:rFonts w:ascii="Arial" w:hAnsi="Arial" w:cs="Arial"/>
                <w:color w:val="000000"/>
                <w:sz w:val="23"/>
                <w:szCs w:val="23"/>
              </w:rPr>
              <w:t xml:space="preserve">ptional </w:t>
            </w:r>
            <w:r w:rsidR="005577FD">
              <w:rPr>
                <w:rFonts w:ascii="Arial" w:hAnsi="Arial" w:cs="Arial"/>
                <w:color w:val="000000"/>
                <w:sz w:val="23"/>
                <w:szCs w:val="23"/>
              </w:rPr>
              <w:t>requirements for category 2 and 3</w:t>
            </w:r>
            <w:r w:rsidR="00FB3657">
              <w:rPr>
                <w:rFonts w:ascii="Arial" w:hAnsi="Arial" w:cs="Arial"/>
                <w:color w:val="000000"/>
                <w:sz w:val="18"/>
                <w:szCs w:val="18"/>
                <w:vertAlign w:val="superscript"/>
              </w:rPr>
              <w:t>4</w:t>
            </w:r>
          </w:p>
        </w:tc>
        <w:tc>
          <w:tcPr>
            <w:tcW w:w="1086" w:type="dxa"/>
            <w:vMerge w:val="restart"/>
            <w:textDirection w:val="btLr"/>
          </w:tcPr>
          <w:p w:rsidR="0094070C" w:rsidRDefault="0094070C" w:rsidP="0094070C">
            <w:pPr>
              <w:spacing w:after="200" w:line="276" w:lineRule="auto"/>
              <w:ind w:left="113" w:right="113"/>
              <w:rPr>
                <w:rFonts w:ascii="Arial" w:hAnsi="Arial" w:cs="Arial"/>
              </w:rPr>
            </w:pPr>
            <w:r w:rsidRPr="00651B7A">
              <w:rPr>
                <w:rFonts w:ascii="Arial" w:hAnsi="Arial" w:cs="Arial"/>
                <w:color w:val="000000"/>
                <w:sz w:val="20"/>
                <w:szCs w:val="20"/>
              </w:rPr>
              <w:t>Building Regulation Optional</w:t>
            </w:r>
          </w:p>
          <w:p w:rsidR="0094070C" w:rsidRPr="0094070C" w:rsidRDefault="0094070C" w:rsidP="0094070C">
            <w:pPr>
              <w:ind w:left="113" w:right="113"/>
              <w:rPr>
                <w:rFonts w:ascii="Arial" w:hAnsi="Arial" w:cs="Arial"/>
              </w:rPr>
            </w:pPr>
          </w:p>
        </w:tc>
      </w:tr>
      <w:tr w:rsidR="0094070C" w:rsidRPr="0094070C" w:rsidTr="00C6238F">
        <w:tc>
          <w:tcPr>
            <w:tcW w:w="2802" w:type="dxa"/>
            <w:tcBorders>
              <w:bottom w:val="single" w:sz="4" w:space="0" w:color="auto"/>
            </w:tcBorders>
          </w:tcPr>
          <w:p w:rsidR="0094070C" w:rsidRPr="0094070C" w:rsidRDefault="0094070C" w:rsidP="00235DEB">
            <w:pPr>
              <w:rPr>
                <w:rFonts w:ascii="Arial" w:hAnsi="Arial" w:cs="Arial"/>
                <w:b/>
                <w:color w:val="000000"/>
                <w:sz w:val="23"/>
                <w:szCs w:val="23"/>
              </w:rPr>
            </w:pPr>
            <w:r w:rsidRPr="0094070C">
              <w:rPr>
                <w:rFonts w:ascii="Arial" w:hAnsi="Arial" w:cs="Arial"/>
                <w:b/>
                <w:color w:val="000000"/>
                <w:sz w:val="23"/>
                <w:szCs w:val="23"/>
              </w:rPr>
              <w:t>Water Efficiency</w:t>
            </w:r>
          </w:p>
        </w:tc>
        <w:tc>
          <w:tcPr>
            <w:tcW w:w="2551" w:type="dxa"/>
            <w:tcBorders>
              <w:bottom w:val="single" w:sz="4" w:space="0" w:color="auto"/>
            </w:tcBorders>
          </w:tcPr>
          <w:p w:rsidR="0094070C" w:rsidRPr="0094070C" w:rsidRDefault="0094070C" w:rsidP="00235DEB">
            <w:pPr>
              <w:rPr>
                <w:rFonts w:ascii="Arial" w:hAnsi="Arial" w:cs="Arial"/>
              </w:rPr>
            </w:pPr>
            <w:r w:rsidRPr="0094070C">
              <w:rPr>
                <w:rFonts w:ascii="Arial" w:hAnsi="Arial" w:cs="Arial"/>
                <w:color w:val="000000"/>
                <w:sz w:val="23"/>
                <w:szCs w:val="23"/>
              </w:rPr>
              <w:t>105l/p /day (litres per person per day)</w:t>
            </w:r>
            <w:r w:rsidR="005577FD">
              <w:rPr>
                <w:rFonts w:ascii="Arial" w:hAnsi="Arial" w:cs="Arial"/>
                <w:color w:val="000000"/>
                <w:sz w:val="23"/>
                <w:szCs w:val="23"/>
              </w:rPr>
              <w:t xml:space="preserve"> within CSH level 3</w:t>
            </w:r>
          </w:p>
        </w:tc>
        <w:tc>
          <w:tcPr>
            <w:tcW w:w="2977" w:type="dxa"/>
            <w:tcBorders>
              <w:bottom w:val="single" w:sz="4" w:space="0" w:color="auto"/>
            </w:tcBorders>
            <w:shd w:val="clear" w:color="auto" w:fill="auto"/>
          </w:tcPr>
          <w:p w:rsidR="0094070C" w:rsidRPr="0094070C" w:rsidRDefault="004A6348">
            <w:pPr>
              <w:rPr>
                <w:rFonts w:ascii="Arial" w:hAnsi="Arial" w:cs="Arial"/>
              </w:rPr>
            </w:pPr>
            <w:r>
              <w:rPr>
                <w:rFonts w:ascii="Arial" w:hAnsi="Arial" w:cs="Arial"/>
                <w:color w:val="000000"/>
                <w:sz w:val="23"/>
                <w:szCs w:val="23"/>
              </w:rPr>
              <w:t xml:space="preserve">Building regulation part G, </w:t>
            </w:r>
            <w:r w:rsidR="0094070C" w:rsidRPr="0094070C">
              <w:rPr>
                <w:rFonts w:ascii="Arial" w:hAnsi="Arial" w:cs="Arial"/>
                <w:color w:val="000000"/>
                <w:sz w:val="23"/>
                <w:szCs w:val="23"/>
              </w:rPr>
              <w:t>125</w:t>
            </w:r>
            <w:r>
              <w:rPr>
                <w:rFonts w:ascii="Arial" w:hAnsi="Arial" w:cs="Arial"/>
                <w:color w:val="000000"/>
                <w:sz w:val="23"/>
                <w:szCs w:val="23"/>
              </w:rPr>
              <w:t xml:space="preserve">l/p/day: Optional requirement of </w:t>
            </w:r>
            <w:r w:rsidR="0094070C" w:rsidRPr="0094070C">
              <w:rPr>
                <w:rFonts w:ascii="Arial" w:hAnsi="Arial" w:cs="Arial"/>
                <w:color w:val="000000"/>
                <w:sz w:val="23"/>
                <w:szCs w:val="23"/>
              </w:rPr>
              <w:t>110 l/p /day</w:t>
            </w:r>
            <w:r w:rsidR="00FB3657">
              <w:rPr>
                <w:rFonts w:ascii="Arial" w:hAnsi="Arial" w:cs="Arial"/>
                <w:color w:val="000000"/>
                <w:sz w:val="18"/>
                <w:szCs w:val="18"/>
                <w:vertAlign w:val="superscript"/>
              </w:rPr>
              <w:t>5</w:t>
            </w:r>
          </w:p>
        </w:tc>
        <w:tc>
          <w:tcPr>
            <w:tcW w:w="1086" w:type="dxa"/>
            <w:vMerge/>
            <w:tcBorders>
              <w:bottom w:val="single" w:sz="4" w:space="0" w:color="auto"/>
            </w:tcBorders>
            <w:textDirection w:val="btLr"/>
          </w:tcPr>
          <w:p w:rsidR="0094070C" w:rsidRPr="0094070C" w:rsidRDefault="0094070C" w:rsidP="0094070C">
            <w:pPr>
              <w:ind w:left="113" w:right="113"/>
              <w:rPr>
                <w:rFonts w:ascii="Arial" w:hAnsi="Arial" w:cs="Arial"/>
              </w:rPr>
            </w:pPr>
          </w:p>
        </w:tc>
      </w:tr>
      <w:tr w:rsidR="0094070C" w:rsidRPr="0094070C" w:rsidTr="00C6238F">
        <w:trPr>
          <w:trHeight w:val="1134"/>
        </w:trPr>
        <w:tc>
          <w:tcPr>
            <w:tcW w:w="2802" w:type="dxa"/>
            <w:tcBorders>
              <w:bottom w:val="single" w:sz="4" w:space="0" w:color="auto"/>
            </w:tcBorders>
          </w:tcPr>
          <w:p w:rsidR="0094070C" w:rsidRPr="0094070C" w:rsidRDefault="0094070C" w:rsidP="00235DEB">
            <w:pPr>
              <w:rPr>
                <w:rFonts w:ascii="Arial" w:hAnsi="Arial" w:cs="Arial"/>
                <w:b/>
                <w:color w:val="000000"/>
                <w:sz w:val="23"/>
                <w:szCs w:val="23"/>
              </w:rPr>
            </w:pPr>
            <w:r w:rsidRPr="0094070C">
              <w:rPr>
                <w:rFonts w:ascii="Arial" w:hAnsi="Arial" w:cs="Arial"/>
                <w:b/>
                <w:color w:val="000000"/>
                <w:sz w:val="23"/>
                <w:szCs w:val="23"/>
              </w:rPr>
              <w:t>Space Standards</w:t>
            </w:r>
          </w:p>
        </w:tc>
        <w:tc>
          <w:tcPr>
            <w:tcW w:w="2551" w:type="dxa"/>
            <w:tcBorders>
              <w:bottom w:val="single" w:sz="4" w:space="0" w:color="auto"/>
            </w:tcBorders>
          </w:tcPr>
          <w:p w:rsidR="0094070C" w:rsidRPr="0094070C" w:rsidRDefault="0094070C" w:rsidP="00235DEB">
            <w:pPr>
              <w:rPr>
                <w:rFonts w:ascii="Arial" w:hAnsi="Arial" w:cs="Arial"/>
              </w:rPr>
            </w:pPr>
            <w:r w:rsidRPr="0094070C">
              <w:rPr>
                <w:rFonts w:ascii="Arial" w:hAnsi="Arial" w:cs="Arial"/>
                <w:color w:val="000000"/>
                <w:sz w:val="23"/>
                <w:szCs w:val="23"/>
              </w:rPr>
              <w:t>Required</w:t>
            </w:r>
            <w:r w:rsidR="005577FD">
              <w:rPr>
                <w:rFonts w:ascii="Arial" w:hAnsi="Arial" w:cs="Arial"/>
                <w:color w:val="000000"/>
                <w:sz w:val="23"/>
                <w:szCs w:val="23"/>
              </w:rPr>
              <w:t xml:space="preserve"> through HQI</w:t>
            </w:r>
          </w:p>
        </w:tc>
        <w:tc>
          <w:tcPr>
            <w:tcW w:w="2977" w:type="dxa"/>
            <w:tcBorders>
              <w:bottom w:val="single" w:sz="4" w:space="0" w:color="auto"/>
            </w:tcBorders>
            <w:shd w:val="clear" w:color="auto" w:fill="auto"/>
          </w:tcPr>
          <w:p w:rsidR="00B730F0" w:rsidRPr="00452138" w:rsidRDefault="00E570EC" w:rsidP="00DC2AAD">
            <w:pPr>
              <w:rPr>
                <w:rFonts w:ascii="Arial" w:hAnsi="Arial" w:cs="Arial"/>
                <w:color w:val="000000"/>
                <w:sz w:val="18"/>
                <w:szCs w:val="18"/>
                <w:vertAlign w:val="superscript"/>
              </w:rPr>
            </w:pPr>
            <w:r>
              <w:rPr>
                <w:rFonts w:ascii="Arial" w:hAnsi="Arial" w:cs="Arial"/>
                <w:color w:val="000000"/>
                <w:sz w:val="23"/>
                <w:szCs w:val="23"/>
              </w:rPr>
              <w:t>HCA benchmarking</w:t>
            </w:r>
            <w:r w:rsidR="00FB3657">
              <w:rPr>
                <w:rFonts w:ascii="Arial" w:hAnsi="Arial" w:cs="Arial"/>
                <w:color w:val="000000"/>
                <w:sz w:val="18"/>
                <w:szCs w:val="18"/>
                <w:vertAlign w:val="superscript"/>
              </w:rPr>
              <w:t>6</w:t>
            </w:r>
          </w:p>
        </w:tc>
        <w:tc>
          <w:tcPr>
            <w:tcW w:w="1086" w:type="dxa"/>
            <w:textDirection w:val="btLr"/>
          </w:tcPr>
          <w:p w:rsidR="0094070C" w:rsidRPr="0094070C" w:rsidRDefault="0094070C" w:rsidP="0094070C">
            <w:pPr>
              <w:ind w:left="113" w:right="113"/>
              <w:rPr>
                <w:rFonts w:ascii="Arial" w:hAnsi="Arial" w:cs="Arial"/>
              </w:rPr>
            </w:pPr>
            <w:r w:rsidRPr="00651B7A">
              <w:rPr>
                <w:rFonts w:ascii="Arial" w:hAnsi="Arial" w:cs="Arial"/>
                <w:color w:val="000000"/>
                <w:sz w:val="20"/>
                <w:szCs w:val="20"/>
              </w:rPr>
              <w:t>Nationally described standard</w:t>
            </w:r>
          </w:p>
        </w:tc>
      </w:tr>
      <w:tr w:rsidR="00D76323" w:rsidRPr="0094070C" w:rsidTr="00C6238F">
        <w:tc>
          <w:tcPr>
            <w:tcW w:w="9416" w:type="dxa"/>
            <w:gridSpan w:val="4"/>
            <w:shd w:val="clear" w:color="auto" w:fill="auto"/>
          </w:tcPr>
          <w:p w:rsidR="00D76323" w:rsidRPr="00651B7A" w:rsidRDefault="00D76323" w:rsidP="0094070C">
            <w:pPr>
              <w:ind w:left="113" w:right="113"/>
              <w:rPr>
                <w:rFonts w:ascii="Arial" w:hAnsi="Arial" w:cs="Arial"/>
                <w:color w:val="000000"/>
                <w:sz w:val="20"/>
                <w:szCs w:val="20"/>
              </w:rPr>
            </w:pPr>
          </w:p>
        </w:tc>
      </w:tr>
      <w:tr w:rsidR="0094070C" w:rsidRPr="0094070C" w:rsidTr="00C6238F">
        <w:tc>
          <w:tcPr>
            <w:tcW w:w="2802" w:type="dxa"/>
          </w:tcPr>
          <w:p w:rsidR="0094070C" w:rsidRPr="0094070C" w:rsidRDefault="0094070C" w:rsidP="00235DEB">
            <w:pPr>
              <w:rPr>
                <w:rFonts w:ascii="Arial" w:hAnsi="Arial" w:cs="Arial"/>
                <w:color w:val="000000"/>
                <w:sz w:val="23"/>
                <w:szCs w:val="23"/>
              </w:rPr>
            </w:pPr>
            <w:r w:rsidRPr="0094070C">
              <w:rPr>
                <w:rFonts w:ascii="Arial" w:hAnsi="Arial" w:cs="Arial"/>
                <w:b/>
                <w:color w:val="000000"/>
                <w:sz w:val="23"/>
                <w:szCs w:val="23"/>
              </w:rPr>
              <w:t>Internal layout requirements</w:t>
            </w:r>
            <w:r w:rsidRPr="0094070C">
              <w:rPr>
                <w:rFonts w:ascii="Arial" w:hAnsi="Arial" w:cs="Arial"/>
                <w:color w:val="000000"/>
                <w:sz w:val="23"/>
                <w:szCs w:val="23"/>
              </w:rPr>
              <w:t xml:space="preserve"> such as furniture layouts and storage</w:t>
            </w:r>
          </w:p>
        </w:tc>
        <w:tc>
          <w:tcPr>
            <w:tcW w:w="2551" w:type="dxa"/>
          </w:tcPr>
          <w:p w:rsidR="0094070C" w:rsidRPr="0094070C" w:rsidRDefault="0094070C" w:rsidP="00235DEB">
            <w:pPr>
              <w:rPr>
                <w:rFonts w:ascii="Arial" w:hAnsi="Arial" w:cs="Arial"/>
              </w:rPr>
            </w:pPr>
            <w:r w:rsidRPr="0094070C">
              <w:rPr>
                <w:rFonts w:ascii="Arial" w:hAnsi="Arial" w:cs="Arial"/>
                <w:color w:val="000000"/>
                <w:sz w:val="23"/>
                <w:szCs w:val="23"/>
              </w:rPr>
              <w:t>Required</w:t>
            </w:r>
            <w:r w:rsidR="005577FD">
              <w:rPr>
                <w:rFonts w:ascii="Arial" w:hAnsi="Arial" w:cs="Arial"/>
                <w:color w:val="000000"/>
                <w:sz w:val="23"/>
                <w:szCs w:val="23"/>
              </w:rPr>
              <w:t xml:space="preserve"> through HQI</w:t>
            </w:r>
          </w:p>
        </w:tc>
        <w:tc>
          <w:tcPr>
            <w:tcW w:w="2977" w:type="dxa"/>
            <w:shd w:val="clear" w:color="auto" w:fill="auto"/>
          </w:tcPr>
          <w:p w:rsidR="0094070C" w:rsidRPr="0094070C" w:rsidRDefault="0094070C" w:rsidP="00235DEB">
            <w:pPr>
              <w:rPr>
                <w:rFonts w:ascii="Arial" w:hAnsi="Arial" w:cs="Arial"/>
              </w:rPr>
            </w:pPr>
            <w:r w:rsidRPr="0094070C">
              <w:rPr>
                <w:rFonts w:ascii="Arial" w:hAnsi="Arial" w:cs="Arial"/>
                <w:color w:val="000000"/>
                <w:sz w:val="23"/>
                <w:szCs w:val="23"/>
              </w:rPr>
              <w:t>HCA will gather data at detailed scheme submission stage on bedroom sizes and storage space</w:t>
            </w:r>
          </w:p>
        </w:tc>
        <w:tc>
          <w:tcPr>
            <w:tcW w:w="1086" w:type="dxa"/>
            <w:vMerge w:val="restart"/>
            <w:textDirection w:val="btLr"/>
          </w:tcPr>
          <w:p w:rsidR="0094070C" w:rsidRPr="0094070C" w:rsidRDefault="0094070C" w:rsidP="0094070C">
            <w:pPr>
              <w:ind w:left="113" w:right="113"/>
              <w:rPr>
                <w:rFonts w:ascii="Arial" w:hAnsi="Arial" w:cs="Arial"/>
              </w:rPr>
            </w:pPr>
            <w:r w:rsidRPr="00651B7A">
              <w:rPr>
                <w:rFonts w:ascii="Arial" w:hAnsi="Arial" w:cs="Arial"/>
                <w:color w:val="000000"/>
                <w:sz w:val="20"/>
                <w:szCs w:val="20"/>
              </w:rPr>
              <w:t>HCA bidding data submission only</w:t>
            </w:r>
          </w:p>
        </w:tc>
      </w:tr>
      <w:tr w:rsidR="0094070C" w:rsidRPr="0094070C" w:rsidTr="00C6238F">
        <w:tc>
          <w:tcPr>
            <w:tcW w:w="2802" w:type="dxa"/>
          </w:tcPr>
          <w:p w:rsidR="0094070C" w:rsidRPr="0094070C" w:rsidRDefault="0094070C" w:rsidP="00235DEB">
            <w:pPr>
              <w:rPr>
                <w:rFonts w:ascii="Arial" w:hAnsi="Arial" w:cs="Arial"/>
                <w:color w:val="000000"/>
                <w:sz w:val="23"/>
                <w:szCs w:val="23"/>
              </w:rPr>
            </w:pPr>
            <w:r w:rsidRPr="0094070C">
              <w:rPr>
                <w:rFonts w:ascii="Arial" w:hAnsi="Arial" w:cs="Arial"/>
                <w:b/>
                <w:color w:val="000000"/>
                <w:sz w:val="23"/>
                <w:szCs w:val="23"/>
              </w:rPr>
              <w:t>External elements</w:t>
            </w:r>
            <w:r w:rsidRPr="0094070C">
              <w:rPr>
                <w:rFonts w:ascii="Arial" w:hAnsi="Arial" w:cs="Arial"/>
                <w:color w:val="000000"/>
                <w:sz w:val="23"/>
                <w:szCs w:val="23"/>
              </w:rPr>
              <w:t xml:space="preserve"> – location, visual impact, open space, routes and movements.</w:t>
            </w:r>
          </w:p>
        </w:tc>
        <w:tc>
          <w:tcPr>
            <w:tcW w:w="2551" w:type="dxa"/>
          </w:tcPr>
          <w:p w:rsidR="0094070C" w:rsidRPr="0094070C" w:rsidRDefault="0094070C" w:rsidP="00235DEB">
            <w:pPr>
              <w:rPr>
                <w:rFonts w:ascii="Arial" w:hAnsi="Arial" w:cs="Arial"/>
              </w:rPr>
            </w:pPr>
            <w:r w:rsidRPr="0094070C">
              <w:rPr>
                <w:rFonts w:ascii="Arial" w:hAnsi="Arial" w:cs="Arial"/>
                <w:color w:val="000000"/>
                <w:sz w:val="23"/>
                <w:szCs w:val="23"/>
              </w:rPr>
              <w:t>Required (through Building for Life minimum scores)</w:t>
            </w:r>
          </w:p>
        </w:tc>
        <w:tc>
          <w:tcPr>
            <w:tcW w:w="2977" w:type="dxa"/>
            <w:shd w:val="clear" w:color="auto" w:fill="auto"/>
          </w:tcPr>
          <w:p w:rsidR="0094070C" w:rsidRPr="0094070C" w:rsidRDefault="0094070C" w:rsidP="00235DEB">
            <w:pPr>
              <w:rPr>
                <w:rFonts w:ascii="Arial" w:hAnsi="Arial" w:cs="Arial"/>
              </w:rPr>
            </w:pPr>
            <w:r w:rsidRPr="0094070C">
              <w:rPr>
                <w:rFonts w:ascii="Arial" w:hAnsi="Arial" w:cs="Arial"/>
                <w:color w:val="000000"/>
                <w:sz w:val="23"/>
                <w:szCs w:val="23"/>
              </w:rPr>
              <w:t>Report score achieved against Building for Life 12 (Red / Amber/Green)</w:t>
            </w:r>
          </w:p>
        </w:tc>
        <w:tc>
          <w:tcPr>
            <w:tcW w:w="1086" w:type="dxa"/>
            <w:vMerge/>
          </w:tcPr>
          <w:p w:rsidR="0094070C" w:rsidRPr="0094070C" w:rsidRDefault="0094070C" w:rsidP="00235DEB">
            <w:pPr>
              <w:rPr>
                <w:rFonts w:ascii="Arial" w:hAnsi="Arial" w:cs="Arial"/>
              </w:rPr>
            </w:pPr>
          </w:p>
        </w:tc>
      </w:tr>
    </w:tbl>
    <w:p w:rsidR="00E570EC" w:rsidRDefault="00E570EC" w:rsidP="00235DEB">
      <w:pPr>
        <w:rPr>
          <w:rFonts w:ascii="Arial" w:hAnsi="Arial" w:cs="Arial"/>
        </w:rPr>
      </w:pPr>
    </w:p>
    <w:p w:rsidR="00EC2DF7" w:rsidRPr="005949FD" w:rsidRDefault="00FB3657" w:rsidP="00B6741F">
      <w:pPr>
        <w:ind w:left="720" w:hanging="720"/>
        <w:rPr>
          <w:rFonts w:ascii="Arial" w:hAnsi="Arial" w:cs="Arial"/>
          <w:sz w:val="18"/>
          <w:szCs w:val="18"/>
        </w:rPr>
      </w:pPr>
      <w:r w:rsidRPr="00DC2AAD">
        <w:rPr>
          <w:rFonts w:ascii="Arial" w:hAnsi="Arial" w:cs="Arial"/>
          <w:sz w:val="18"/>
          <w:szCs w:val="18"/>
          <w:vertAlign w:val="superscript"/>
        </w:rPr>
        <w:t>1</w:t>
      </w:r>
      <w:r w:rsidR="00EC2DF7" w:rsidRPr="007240EE">
        <w:rPr>
          <w:rFonts w:ascii="Arial" w:hAnsi="Arial" w:cs="Arial"/>
          <w:sz w:val="18"/>
          <w:szCs w:val="18"/>
        </w:rPr>
        <w:tab/>
      </w:r>
      <w:r w:rsidR="00147A2A" w:rsidRPr="005949FD">
        <w:rPr>
          <w:rFonts w:ascii="Arial" w:hAnsi="Arial" w:cs="Arial"/>
          <w:sz w:val="20"/>
          <w:szCs w:val="20"/>
        </w:rPr>
        <w:t xml:space="preserve">Intention to set on site minimum energy requirements for new buildings at Level 4 of CSH in </w:t>
      </w:r>
      <w:r w:rsidR="00147A2A" w:rsidRPr="007240EE">
        <w:rPr>
          <w:rFonts w:ascii="Arial" w:hAnsi="Arial" w:cs="Arial"/>
          <w:sz w:val="20"/>
          <w:szCs w:val="20"/>
        </w:rPr>
        <w:t>2016 with remaining carbon to be abated through allowable solutions (see section below for more detail)</w:t>
      </w:r>
    </w:p>
    <w:p w:rsidR="005577FD" w:rsidRPr="005949FD" w:rsidRDefault="00FB3657" w:rsidP="00B6741F">
      <w:pPr>
        <w:ind w:left="720" w:hanging="720"/>
        <w:rPr>
          <w:rFonts w:ascii="Arial" w:hAnsi="Arial" w:cs="Arial"/>
          <w:sz w:val="18"/>
          <w:szCs w:val="18"/>
        </w:rPr>
      </w:pPr>
      <w:r w:rsidRPr="005949FD">
        <w:rPr>
          <w:rFonts w:ascii="Arial" w:hAnsi="Arial" w:cs="Arial"/>
          <w:sz w:val="18"/>
          <w:szCs w:val="18"/>
          <w:vertAlign w:val="superscript"/>
        </w:rPr>
        <w:t>2</w:t>
      </w:r>
      <w:r w:rsidR="00147A2A" w:rsidRPr="007240EE">
        <w:rPr>
          <w:rFonts w:ascii="Arial" w:hAnsi="Arial" w:cs="Arial"/>
          <w:sz w:val="18"/>
          <w:szCs w:val="18"/>
        </w:rPr>
        <w:tab/>
      </w:r>
      <w:r w:rsidR="005577FD" w:rsidRPr="007240EE">
        <w:rPr>
          <w:rFonts w:ascii="Arial" w:hAnsi="Arial" w:cs="Arial"/>
          <w:sz w:val="20"/>
          <w:szCs w:val="20"/>
        </w:rPr>
        <w:t>Through mandatory points for security contained within the Code for Sustainable Homes. Equivalent to PAS 24:2012 requirements</w:t>
      </w:r>
      <w:r w:rsidR="005577FD" w:rsidRPr="005949FD">
        <w:rPr>
          <w:rFonts w:ascii="Arial" w:hAnsi="Arial" w:cs="Arial"/>
          <w:sz w:val="18"/>
          <w:szCs w:val="18"/>
        </w:rPr>
        <w:t>)</w:t>
      </w:r>
    </w:p>
    <w:p w:rsidR="00634611" w:rsidRPr="007240EE" w:rsidRDefault="00FB3657" w:rsidP="00634611">
      <w:pPr>
        <w:rPr>
          <w:rFonts w:ascii="Arial" w:hAnsi="Arial" w:cs="Arial"/>
          <w:color w:val="000000"/>
          <w:sz w:val="20"/>
          <w:szCs w:val="20"/>
          <w:vertAlign w:val="superscript"/>
        </w:rPr>
      </w:pPr>
      <w:r w:rsidRPr="005949FD">
        <w:rPr>
          <w:rFonts w:ascii="Arial" w:hAnsi="Arial" w:cs="Arial"/>
          <w:color w:val="000000"/>
          <w:sz w:val="18"/>
          <w:szCs w:val="18"/>
          <w:vertAlign w:val="superscript"/>
        </w:rPr>
        <w:t>3</w:t>
      </w:r>
      <w:r w:rsidR="005577FD" w:rsidRPr="007240EE">
        <w:rPr>
          <w:rFonts w:ascii="Arial" w:hAnsi="Arial" w:cs="Arial"/>
          <w:color w:val="000000"/>
          <w:sz w:val="18"/>
          <w:szCs w:val="18"/>
          <w:vertAlign w:val="superscript"/>
        </w:rPr>
        <w:tab/>
      </w:r>
      <w:r w:rsidR="005577FD" w:rsidRPr="007240EE">
        <w:rPr>
          <w:rFonts w:ascii="Arial" w:hAnsi="Arial" w:cs="Arial"/>
          <w:color w:val="000000"/>
          <w:sz w:val="20"/>
          <w:szCs w:val="20"/>
        </w:rPr>
        <w:t>Publically Available Specification</w:t>
      </w:r>
    </w:p>
    <w:p w:rsidR="00B66EA4" w:rsidRPr="00DC2AAD" w:rsidRDefault="00FB3657" w:rsidP="00B6741F">
      <w:pPr>
        <w:ind w:left="720" w:hanging="720"/>
        <w:rPr>
          <w:rFonts w:ascii="Arial" w:hAnsi="Arial" w:cs="Arial"/>
          <w:color w:val="000000"/>
          <w:sz w:val="18"/>
          <w:szCs w:val="18"/>
        </w:rPr>
      </w:pPr>
      <w:r w:rsidRPr="005949FD">
        <w:rPr>
          <w:rFonts w:ascii="Arial" w:hAnsi="Arial" w:cs="Arial"/>
          <w:color w:val="000000"/>
          <w:sz w:val="18"/>
          <w:szCs w:val="18"/>
          <w:vertAlign w:val="superscript"/>
        </w:rPr>
        <w:t>4</w:t>
      </w:r>
      <w:r w:rsidR="005577FD" w:rsidRPr="005949FD">
        <w:rPr>
          <w:rFonts w:ascii="Arial" w:hAnsi="Arial" w:cs="Arial"/>
          <w:color w:val="000000"/>
          <w:sz w:val="18"/>
          <w:szCs w:val="18"/>
        </w:rPr>
        <w:tab/>
      </w:r>
      <w:r w:rsidR="004A6348" w:rsidRPr="007240EE">
        <w:rPr>
          <w:rFonts w:ascii="Arial" w:hAnsi="Arial" w:cs="Arial"/>
          <w:color w:val="000000"/>
          <w:sz w:val="20"/>
          <w:szCs w:val="20"/>
        </w:rPr>
        <w:t>Categories 2 and 3 broadly equivalent to previous Lifetime Homes and Wheel</w:t>
      </w:r>
      <w:r w:rsidR="00B6741F" w:rsidRPr="007240EE">
        <w:rPr>
          <w:rFonts w:ascii="Arial" w:hAnsi="Arial" w:cs="Arial"/>
          <w:color w:val="000000"/>
          <w:sz w:val="20"/>
          <w:szCs w:val="20"/>
        </w:rPr>
        <w:t>chair standards. Category 3 option to condition accessible (where allocation policies apply or adaptable (</w:t>
      </w:r>
      <w:proofErr w:type="spellStart"/>
      <w:r w:rsidR="00B6741F" w:rsidRPr="007240EE">
        <w:rPr>
          <w:rFonts w:ascii="Arial" w:hAnsi="Arial" w:cs="Arial"/>
          <w:color w:val="000000"/>
          <w:sz w:val="20"/>
          <w:szCs w:val="20"/>
        </w:rPr>
        <w:t>ie</w:t>
      </w:r>
      <w:proofErr w:type="spellEnd"/>
      <w:r w:rsidR="00B6741F" w:rsidRPr="007240EE">
        <w:rPr>
          <w:rFonts w:ascii="Arial" w:hAnsi="Arial" w:cs="Arial"/>
          <w:color w:val="000000"/>
          <w:sz w:val="20"/>
          <w:szCs w:val="20"/>
        </w:rPr>
        <w:t xml:space="preserve"> private housing)</w:t>
      </w:r>
    </w:p>
    <w:p w:rsidR="004A6348" w:rsidRPr="007240EE" w:rsidRDefault="00FB3657" w:rsidP="004A6348">
      <w:pPr>
        <w:ind w:left="720" w:hanging="720"/>
        <w:rPr>
          <w:rFonts w:ascii="Arial" w:hAnsi="Arial" w:cs="Arial"/>
          <w:color w:val="000000"/>
          <w:sz w:val="20"/>
          <w:szCs w:val="20"/>
        </w:rPr>
      </w:pPr>
      <w:r w:rsidRPr="00DC2AAD">
        <w:rPr>
          <w:rFonts w:ascii="Arial" w:hAnsi="Arial" w:cs="Arial"/>
          <w:color w:val="000000"/>
          <w:sz w:val="18"/>
          <w:szCs w:val="18"/>
          <w:vertAlign w:val="superscript"/>
        </w:rPr>
        <w:t>5</w:t>
      </w:r>
      <w:r w:rsidR="004A6348" w:rsidRPr="005949FD">
        <w:rPr>
          <w:rFonts w:ascii="Arial" w:hAnsi="Arial" w:cs="Arial"/>
          <w:color w:val="000000"/>
          <w:sz w:val="18"/>
          <w:szCs w:val="18"/>
        </w:rPr>
        <w:tab/>
      </w:r>
      <w:r w:rsidR="004A6348" w:rsidRPr="007240EE">
        <w:rPr>
          <w:rFonts w:ascii="Arial" w:hAnsi="Arial" w:cs="Arial"/>
          <w:color w:val="000000"/>
          <w:sz w:val="20"/>
          <w:szCs w:val="20"/>
        </w:rPr>
        <w:t>Includes 5l/p/d external use so equivalent to CSH level 3 105l/p/d which covers internal use only</w:t>
      </w:r>
      <w:r w:rsidR="00FE0F79" w:rsidRPr="007240EE">
        <w:rPr>
          <w:rFonts w:ascii="Arial" w:hAnsi="Arial" w:cs="Arial"/>
          <w:color w:val="000000"/>
          <w:sz w:val="20"/>
          <w:szCs w:val="20"/>
        </w:rPr>
        <w:t xml:space="preserve"> </w:t>
      </w:r>
    </w:p>
    <w:p w:rsidR="00FE0F79" w:rsidRDefault="00FB3657" w:rsidP="007240EE">
      <w:pPr>
        <w:ind w:left="720" w:hanging="720"/>
        <w:rPr>
          <w:rFonts w:ascii="Arial" w:hAnsi="Arial" w:cs="Arial"/>
          <w:b/>
          <w:color w:val="000000"/>
          <w:sz w:val="23"/>
          <w:szCs w:val="23"/>
        </w:rPr>
      </w:pPr>
      <w:r w:rsidRPr="00DC2AAD">
        <w:rPr>
          <w:rFonts w:ascii="Arial" w:hAnsi="Arial" w:cs="Arial"/>
          <w:sz w:val="18"/>
          <w:szCs w:val="18"/>
          <w:vertAlign w:val="superscript"/>
        </w:rPr>
        <w:t>6</w:t>
      </w:r>
      <w:r w:rsidRPr="007240EE">
        <w:rPr>
          <w:rFonts w:ascii="Arial" w:hAnsi="Arial" w:cs="Arial"/>
          <w:sz w:val="18"/>
          <w:szCs w:val="18"/>
        </w:rPr>
        <w:tab/>
      </w:r>
      <w:r w:rsidRPr="00DC2AAD">
        <w:rPr>
          <w:rFonts w:ascii="Arial" w:hAnsi="Arial" w:cs="Arial"/>
          <w:sz w:val="20"/>
          <w:szCs w:val="20"/>
        </w:rPr>
        <w:t>Homes and Communities Agency (HCA) will benchmark proposals against Nationally Described space standard</w:t>
      </w:r>
    </w:p>
    <w:p w:rsidR="00FB3657" w:rsidRDefault="00FB3657">
      <w:pPr>
        <w:spacing w:after="200" w:line="276" w:lineRule="auto"/>
        <w:rPr>
          <w:rFonts w:ascii="Arial" w:hAnsi="Arial" w:cs="Arial"/>
          <w:b/>
          <w:color w:val="000000"/>
          <w:sz w:val="28"/>
          <w:szCs w:val="28"/>
        </w:rPr>
      </w:pPr>
      <w:r>
        <w:rPr>
          <w:rFonts w:ascii="Arial" w:hAnsi="Arial" w:cs="Arial"/>
          <w:b/>
          <w:color w:val="000000"/>
          <w:sz w:val="28"/>
          <w:szCs w:val="28"/>
        </w:rPr>
        <w:br w:type="page"/>
      </w:r>
    </w:p>
    <w:p w:rsidR="00FE0F79" w:rsidRPr="00452138" w:rsidRDefault="00FE0F79" w:rsidP="00634611">
      <w:pPr>
        <w:rPr>
          <w:rFonts w:ascii="Arial" w:hAnsi="Arial" w:cs="Arial"/>
          <w:b/>
          <w:color w:val="000000"/>
          <w:sz w:val="28"/>
          <w:szCs w:val="28"/>
        </w:rPr>
      </w:pPr>
      <w:r w:rsidRPr="00452138">
        <w:rPr>
          <w:rFonts w:ascii="Arial" w:hAnsi="Arial" w:cs="Arial"/>
          <w:b/>
          <w:color w:val="000000"/>
          <w:sz w:val="28"/>
          <w:szCs w:val="28"/>
        </w:rPr>
        <w:lastRenderedPageBreak/>
        <w:t>Q: What does this mean for the HCA?</w:t>
      </w:r>
    </w:p>
    <w:p w:rsidR="00FE0F79" w:rsidRDefault="00FE0F79" w:rsidP="00634611">
      <w:pPr>
        <w:rPr>
          <w:rFonts w:ascii="Arial" w:hAnsi="Arial" w:cs="Arial"/>
          <w:b/>
          <w:color w:val="000000"/>
          <w:sz w:val="23"/>
          <w:szCs w:val="23"/>
        </w:rPr>
      </w:pPr>
      <w:r>
        <w:rPr>
          <w:rFonts w:ascii="Arial" w:hAnsi="Arial" w:cs="Arial"/>
          <w:b/>
          <w:color w:val="000000"/>
          <w:sz w:val="23"/>
          <w:szCs w:val="23"/>
        </w:rPr>
        <w:t xml:space="preserve">A: </w:t>
      </w:r>
    </w:p>
    <w:p w:rsidR="00FE0F79" w:rsidRPr="008E2B30" w:rsidRDefault="00FE0F79" w:rsidP="00452138">
      <w:pPr>
        <w:pStyle w:val="ListParagraph"/>
        <w:numPr>
          <w:ilvl w:val="0"/>
          <w:numId w:val="10"/>
        </w:numPr>
        <w:rPr>
          <w:rFonts w:ascii="Arial" w:hAnsi="Arial" w:cs="Arial"/>
          <w:color w:val="000000"/>
        </w:rPr>
      </w:pPr>
      <w:r w:rsidRPr="008E2B30">
        <w:rPr>
          <w:rFonts w:ascii="Arial" w:hAnsi="Arial" w:cs="Arial"/>
          <w:color w:val="000000"/>
        </w:rPr>
        <w:t>The HCA will no longer require specific design and sustainability standards as a condition of funding.</w:t>
      </w:r>
    </w:p>
    <w:p w:rsidR="00FE0F79" w:rsidRPr="008E2B30" w:rsidRDefault="00FE0F79" w:rsidP="00452138">
      <w:pPr>
        <w:pStyle w:val="ListParagraph"/>
        <w:numPr>
          <w:ilvl w:val="0"/>
          <w:numId w:val="10"/>
        </w:numPr>
        <w:rPr>
          <w:rFonts w:ascii="Arial" w:hAnsi="Arial" w:cs="Arial"/>
          <w:color w:val="000000"/>
        </w:rPr>
      </w:pPr>
      <w:r w:rsidRPr="008E2B30">
        <w:rPr>
          <w:rFonts w:ascii="Arial" w:hAnsi="Arial" w:cs="Arial"/>
          <w:color w:val="000000"/>
        </w:rPr>
        <w:t>Standards will be applied through the Building Regulations</w:t>
      </w:r>
      <w:r w:rsidR="008E2B30" w:rsidRPr="008E2B30">
        <w:rPr>
          <w:rFonts w:ascii="Arial" w:hAnsi="Arial" w:cs="Arial"/>
          <w:color w:val="000000"/>
        </w:rPr>
        <w:t xml:space="preserve"> (BR)</w:t>
      </w:r>
      <w:r w:rsidR="0001054F" w:rsidRPr="008E2B30">
        <w:rPr>
          <w:rFonts w:ascii="Arial" w:hAnsi="Arial" w:cs="Arial"/>
          <w:color w:val="000000"/>
        </w:rPr>
        <w:t xml:space="preserve"> (for energy, security, waste) with optional requirements being introduced in the Building Regulations for the first time (accessibility and water efficiency)</w:t>
      </w:r>
      <w:r w:rsidR="007240EE" w:rsidRPr="008E2B30">
        <w:rPr>
          <w:rFonts w:ascii="Arial" w:hAnsi="Arial" w:cs="Arial"/>
          <w:color w:val="000000"/>
        </w:rPr>
        <w:t>.</w:t>
      </w:r>
    </w:p>
    <w:p w:rsidR="0001054F" w:rsidRPr="008E2B30" w:rsidRDefault="0001054F" w:rsidP="00452138">
      <w:pPr>
        <w:pStyle w:val="ListParagraph"/>
        <w:numPr>
          <w:ilvl w:val="0"/>
          <w:numId w:val="10"/>
        </w:numPr>
        <w:rPr>
          <w:rFonts w:ascii="Arial" w:hAnsi="Arial" w:cs="Arial"/>
          <w:color w:val="000000"/>
        </w:rPr>
      </w:pPr>
      <w:r w:rsidRPr="008E2B30">
        <w:rPr>
          <w:rFonts w:ascii="Arial" w:hAnsi="Arial" w:cs="Arial"/>
          <w:color w:val="000000"/>
        </w:rPr>
        <w:t>HCA will monitor partners’ performance on space, internal and external layouts through IM</w:t>
      </w:r>
      <w:r w:rsidR="007240EE" w:rsidRPr="008E2B30">
        <w:rPr>
          <w:rFonts w:ascii="Arial" w:hAnsi="Arial" w:cs="Arial"/>
          <w:color w:val="000000"/>
        </w:rPr>
        <w:t>S</w:t>
      </w:r>
      <w:r w:rsidRPr="008E2B30">
        <w:rPr>
          <w:rFonts w:ascii="Arial" w:hAnsi="Arial" w:cs="Arial"/>
          <w:color w:val="000000"/>
        </w:rPr>
        <w:t xml:space="preserve"> data returns</w:t>
      </w:r>
      <w:r w:rsidR="007240EE" w:rsidRPr="008E2B30">
        <w:rPr>
          <w:rFonts w:ascii="Arial" w:hAnsi="Arial" w:cs="Arial"/>
          <w:color w:val="000000"/>
        </w:rPr>
        <w:t>.</w:t>
      </w:r>
    </w:p>
    <w:p w:rsidR="00FE0F79" w:rsidRDefault="00FE0F79" w:rsidP="00634611">
      <w:pPr>
        <w:rPr>
          <w:rFonts w:ascii="Arial" w:hAnsi="Arial" w:cs="Arial"/>
          <w:b/>
          <w:color w:val="000000"/>
          <w:sz w:val="23"/>
          <w:szCs w:val="23"/>
        </w:rPr>
      </w:pPr>
    </w:p>
    <w:p w:rsidR="00FE0F79" w:rsidRPr="00BE0BE6" w:rsidRDefault="00FE0F79" w:rsidP="00FE0F79">
      <w:pPr>
        <w:rPr>
          <w:rFonts w:ascii="Arial" w:hAnsi="Arial" w:cs="Arial"/>
          <w:b/>
          <w:color w:val="000000"/>
          <w:sz w:val="28"/>
          <w:szCs w:val="28"/>
        </w:rPr>
      </w:pPr>
      <w:r w:rsidRPr="00BE0BE6">
        <w:rPr>
          <w:rFonts w:ascii="Arial" w:hAnsi="Arial" w:cs="Arial"/>
          <w:b/>
          <w:color w:val="000000"/>
          <w:sz w:val="28"/>
          <w:szCs w:val="28"/>
        </w:rPr>
        <w:t>Q: What does this mean for HCA</w:t>
      </w:r>
      <w:r>
        <w:rPr>
          <w:rFonts w:ascii="Arial" w:hAnsi="Arial" w:cs="Arial"/>
          <w:b/>
          <w:color w:val="000000"/>
          <w:sz w:val="28"/>
          <w:szCs w:val="28"/>
        </w:rPr>
        <w:t xml:space="preserve"> Partners</w:t>
      </w:r>
      <w:r w:rsidRPr="00BE0BE6">
        <w:rPr>
          <w:rFonts w:ascii="Arial" w:hAnsi="Arial" w:cs="Arial"/>
          <w:b/>
          <w:color w:val="000000"/>
          <w:sz w:val="28"/>
          <w:szCs w:val="28"/>
        </w:rPr>
        <w:t>?</w:t>
      </w:r>
    </w:p>
    <w:p w:rsidR="00FE0F79" w:rsidRDefault="0001054F" w:rsidP="00634611">
      <w:pPr>
        <w:rPr>
          <w:rFonts w:ascii="Arial" w:hAnsi="Arial" w:cs="Arial"/>
          <w:b/>
          <w:color w:val="000000"/>
          <w:sz w:val="23"/>
          <w:szCs w:val="23"/>
        </w:rPr>
      </w:pPr>
      <w:r>
        <w:rPr>
          <w:rFonts w:ascii="Arial" w:hAnsi="Arial" w:cs="Arial"/>
          <w:b/>
          <w:color w:val="000000"/>
          <w:sz w:val="23"/>
          <w:szCs w:val="23"/>
        </w:rPr>
        <w:t>A:</w:t>
      </w:r>
    </w:p>
    <w:p w:rsidR="00FE0F79" w:rsidRPr="008E2B30" w:rsidRDefault="00FE0F79" w:rsidP="00FE0F79">
      <w:pPr>
        <w:pStyle w:val="ListParagraph"/>
        <w:numPr>
          <w:ilvl w:val="0"/>
          <w:numId w:val="10"/>
        </w:numPr>
        <w:rPr>
          <w:rFonts w:ascii="Arial" w:hAnsi="Arial" w:cs="Arial"/>
          <w:color w:val="000000"/>
        </w:rPr>
      </w:pPr>
      <w:r w:rsidRPr="008E2B30">
        <w:rPr>
          <w:rFonts w:ascii="Arial" w:hAnsi="Arial" w:cs="Arial"/>
          <w:color w:val="000000"/>
        </w:rPr>
        <w:t xml:space="preserve">Responsibility for </w:t>
      </w:r>
      <w:r w:rsidR="007240EE" w:rsidRPr="008E2B30">
        <w:rPr>
          <w:rFonts w:ascii="Arial" w:hAnsi="Arial" w:cs="Arial"/>
          <w:color w:val="000000"/>
        </w:rPr>
        <w:t xml:space="preserve">application of optional standards in the Building Regulations will pass to Local Authorities with responsibility for compliance passing to </w:t>
      </w:r>
      <w:r w:rsidR="0001054F" w:rsidRPr="008E2B30">
        <w:rPr>
          <w:rFonts w:ascii="Arial" w:hAnsi="Arial" w:cs="Arial"/>
          <w:color w:val="000000"/>
        </w:rPr>
        <w:t>Building Control</w:t>
      </w:r>
      <w:r w:rsidR="007240EE" w:rsidRPr="008E2B30">
        <w:rPr>
          <w:rFonts w:ascii="Arial" w:hAnsi="Arial" w:cs="Arial"/>
          <w:color w:val="000000"/>
        </w:rPr>
        <w:t>.</w:t>
      </w:r>
    </w:p>
    <w:p w:rsidR="0001054F" w:rsidRPr="008E2B30" w:rsidRDefault="0001054F" w:rsidP="00FE0F79">
      <w:pPr>
        <w:pStyle w:val="ListParagraph"/>
        <w:numPr>
          <w:ilvl w:val="0"/>
          <w:numId w:val="10"/>
        </w:numPr>
        <w:rPr>
          <w:rFonts w:ascii="Arial" w:hAnsi="Arial" w:cs="Arial"/>
          <w:color w:val="000000"/>
        </w:rPr>
      </w:pPr>
      <w:r w:rsidRPr="008E2B30">
        <w:rPr>
          <w:rFonts w:ascii="Arial" w:hAnsi="Arial" w:cs="Arial"/>
          <w:color w:val="000000"/>
        </w:rPr>
        <w:t xml:space="preserve">Responsibility for the Nationally Described </w:t>
      </w:r>
      <w:r w:rsidR="007240EE" w:rsidRPr="008E2B30">
        <w:rPr>
          <w:rFonts w:ascii="Arial" w:hAnsi="Arial" w:cs="Arial"/>
          <w:color w:val="000000"/>
        </w:rPr>
        <w:t xml:space="preserve">Space </w:t>
      </w:r>
      <w:r w:rsidRPr="008E2B30">
        <w:rPr>
          <w:rFonts w:ascii="Arial" w:hAnsi="Arial" w:cs="Arial"/>
          <w:color w:val="000000"/>
        </w:rPr>
        <w:t>Standard</w:t>
      </w:r>
      <w:r w:rsidR="008E2B30" w:rsidRPr="008E2B30">
        <w:rPr>
          <w:rFonts w:ascii="Arial" w:hAnsi="Arial" w:cs="Arial"/>
          <w:color w:val="000000"/>
        </w:rPr>
        <w:t xml:space="preserve"> (NDSS)</w:t>
      </w:r>
      <w:r w:rsidRPr="008E2B30">
        <w:rPr>
          <w:rFonts w:ascii="Arial" w:hAnsi="Arial" w:cs="Arial"/>
          <w:color w:val="000000"/>
        </w:rPr>
        <w:t xml:space="preserve"> will pass to Local Authorities</w:t>
      </w:r>
      <w:r w:rsidR="007240EE" w:rsidRPr="008E2B30">
        <w:rPr>
          <w:rFonts w:ascii="Arial" w:hAnsi="Arial" w:cs="Arial"/>
          <w:color w:val="000000"/>
        </w:rPr>
        <w:t>.</w:t>
      </w:r>
    </w:p>
    <w:p w:rsidR="0001054F" w:rsidRPr="008E2B30" w:rsidRDefault="0001054F" w:rsidP="00FE0F79">
      <w:pPr>
        <w:pStyle w:val="ListParagraph"/>
        <w:numPr>
          <w:ilvl w:val="0"/>
          <w:numId w:val="10"/>
        </w:numPr>
        <w:rPr>
          <w:rFonts w:ascii="Arial" w:hAnsi="Arial" w:cs="Arial"/>
          <w:color w:val="000000"/>
        </w:rPr>
      </w:pPr>
      <w:r w:rsidRPr="008E2B30">
        <w:rPr>
          <w:rFonts w:ascii="Arial" w:hAnsi="Arial" w:cs="Arial"/>
          <w:color w:val="000000"/>
        </w:rPr>
        <w:t xml:space="preserve">Local Authorities will </w:t>
      </w:r>
      <w:r w:rsidR="00AC7CA1" w:rsidRPr="008E2B30">
        <w:rPr>
          <w:rFonts w:ascii="Arial" w:hAnsi="Arial" w:cs="Arial"/>
          <w:color w:val="000000"/>
        </w:rPr>
        <w:t>not</w:t>
      </w:r>
      <w:r w:rsidRPr="008E2B30">
        <w:rPr>
          <w:rFonts w:ascii="Arial" w:hAnsi="Arial" w:cs="Arial"/>
          <w:color w:val="000000"/>
        </w:rPr>
        <w:t xml:space="preserve"> be able to require higher energy requirements than the B</w:t>
      </w:r>
      <w:r w:rsidR="00AC7CA1" w:rsidRPr="008E2B30">
        <w:rPr>
          <w:rFonts w:ascii="Arial" w:hAnsi="Arial" w:cs="Arial"/>
          <w:color w:val="000000"/>
        </w:rPr>
        <w:t xml:space="preserve">uilding Regulations </w:t>
      </w:r>
      <w:r w:rsidR="007240EE" w:rsidRPr="008E2B30">
        <w:rPr>
          <w:rFonts w:ascii="Arial" w:hAnsi="Arial" w:cs="Arial"/>
          <w:color w:val="000000"/>
        </w:rPr>
        <w:t>or though</w:t>
      </w:r>
      <w:r w:rsidR="00AC7CA1" w:rsidRPr="008E2B30">
        <w:rPr>
          <w:rFonts w:ascii="Arial" w:hAnsi="Arial" w:cs="Arial"/>
          <w:color w:val="000000"/>
        </w:rPr>
        <w:t xml:space="preserve"> the Code for Sustainable Homes (which will be wound down). This will take effect from the time that the Deregulation Bill is passed (expected early 2015).</w:t>
      </w:r>
    </w:p>
    <w:p w:rsidR="00FE0F79" w:rsidRDefault="00FE0F79" w:rsidP="00634611">
      <w:pPr>
        <w:rPr>
          <w:rFonts w:ascii="Arial" w:hAnsi="Arial" w:cs="Arial"/>
          <w:b/>
          <w:color w:val="000000"/>
          <w:sz w:val="23"/>
          <w:szCs w:val="23"/>
        </w:rPr>
      </w:pPr>
    </w:p>
    <w:p w:rsidR="0094070C" w:rsidRDefault="0094070C" w:rsidP="00634611">
      <w:pPr>
        <w:rPr>
          <w:rFonts w:ascii="Arial" w:hAnsi="Arial" w:cs="Arial"/>
          <w:b/>
          <w:color w:val="000000"/>
          <w:sz w:val="23"/>
          <w:szCs w:val="23"/>
        </w:rPr>
      </w:pPr>
      <w:r>
        <w:rPr>
          <w:rFonts w:ascii="Arial" w:hAnsi="Arial" w:cs="Arial"/>
          <w:b/>
          <w:color w:val="000000"/>
          <w:sz w:val="23"/>
          <w:szCs w:val="23"/>
        </w:rPr>
        <w:t>Background / Introduction</w:t>
      </w:r>
    </w:p>
    <w:p w:rsidR="0094070C" w:rsidRDefault="0094070C" w:rsidP="00634611">
      <w:pPr>
        <w:rPr>
          <w:rFonts w:ascii="Arial" w:hAnsi="Arial" w:cs="Arial"/>
          <w:b/>
          <w:color w:val="000000"/>
          <w:sz w:val="23"/>
          <w:szCs w:val="23"/>
        </w:rPr>
      </w:pPr>
    </w:p>
    <w:p w:rsidR="00B97275" w:rsidRPr="00147A2A" w:rsidRDefault="0094070C" w:rsidP="00B97275">
      <w:pPr>
        <w:autoSpaceDE w:val="0"/>
        <w:autoSpaceDN w:val="0"/>
        <w:adjustRightInd w:val="0"/>
        <w:rPr>
          <w:rFonts w:ascii="Arial" w:hAnsi="Arial" w:cs="Arial"/>
          <w:color w:val="000000"/>
        </w:rPr>
      </w:pPr>
      <w:r w:rsidRPr="00B6741F">
        <w:rPr>
          <w:rFonts w:ascii="Arial" w:hAnsi="Arial" w:cs="Arial"/>
          <w:color w:val="000000"/>
        </w:rPr>
        <w:t xml:space="preserve">The outcome of the first Housing Standards Review (HSR) consultation to streamline standards for new homes was published in a </w:t>
      </w:r>
      <w:hyperlink r:id="rId9" w:history="1">
        <w:r w:rsidRPr="00DC315A">
          <w:rPr>
            <w:rStyle w:val="Hyperlink"/>
            <w:rFonts w:ascii="Arial" w:hAnsi="Arial" w:cs="Arial"/>
          </w:rPr>
          <w:t>written Ministerial Statement</w:t>
        </w:r>
      </w:hyperlink>
      <w:r w:rsidRPr="00B6741F">
        <w:rPr>
          <w:rFonts w:ascii="Arial" w:hAnsi="Arial" w:cs="Arial"/>
          <w:color w:val="000000"/>
        </w:rPr>
        <w:t xml:space="preserve"> on 13 March 2014.</w:t>
      </w:r>
      <w:r w:rsidR="00B97275" w:rsidRPr="00B6741F">
        <w:rPr>
          <w:rFonts w:ascii="Arial" w:hAnsi="Arial" w:cs="Arial"/>
          <w:color w:val="000000"/>
        </w:rPr>
        <w:t xml:space="preserve"> This set out that the majority of proposals from the review are to become part of building regulations during the remaining period of this parliament.</w:t>
      </w:r>
      <w:r w:rsidR="00B97275" w:rsidRPr="00147A2A">
        <w:rPr>
          <w:rFonts w:ascii="Arial" w:hAnsi="Arial" w:cs="Arial"/>
          <w:color w:val="000000"/>
        </w:rPr>
        <w:t xml:space="preserve"> </w:t>
      </w:r>
    </w:p>
    <w:p w:rsidR="0094070C" w:rsidRPr="00B6741F" w:rsidRDefault="0094070C" w:rsidP="0094070C">
      <w:pPr>
        <w:autoSpaceDE w:val="0"/>
        <w:autoSpaceDN w:val="0"/>
        <w:adjustRightInd w:val="0"/>
        <w:rPr>
          <w:rFonts w:ascii="Arial" w:hAnsi="Arial" w:cs="Arial"/>
          <w:color w:val="000000"/>
        </w:rPr>
      </w:pPr>
    </w:p>
    <w:p w:rsidR="00B97275" w:rsidRDefault="00B97275" w:rsidP="00B97275">
      <w:pPr>
        <w:autoSpaceDE w:val="0"/>
        <w:autoSpaceDN w:val="0"/>
        <w:adjustRightInd w:val="0"/>
        <w:rPr>
          <w:rFonts w:ascii="Arial" w:hAnsi="Arial" w:cs="Arial"/>
          <w:color w:val="000000"/>
        </w:rPr>
      </w:pPr>
      <w:r w:rsidRPr="00235DEB">
        <w:rPr>
          <w:rFonts w:ascii="Arial" w:hAnsi="Arial" w:cs="Arial"/>
          <w:color w:val="000000"/>
        </w:rPr>
        <w:t xml:space="preserve">Following this announcement, the HCA published an addendum to the 2015-18 Affordable Homes Programme prospectus on our website which clarifies the technical requirements that bidders will be expected to meet or consider in submitting their bids. </w:t>
      </w:r>
      <w:hyperlink r:id="rId10" w:history="1">
        <w:r w:rsidRPr="00D34CD4">
          <w:rPr>
            <w:rStyle w:val="Hyperlink"/>
            <w:rFonts w:ascii="Arial" w:hAnsi="Arial" w:cs="Arial"/>
          </w:rPr>
          <w:t>http://www.homesandcommunities.co.uk/ourwork/affordable-homes-programme-2015-18</w:t>
        </w:r>
      </w:hyperlink>
      <w:r>
        <w:rPr>
          <w:rFonts w:ascii="Arial" w:hAnsi="Arial" w:cs="Arial"/>
          <w:color w:val="000000"/>
        </w:rPr>
        <w:t xml:space="preserve"> </w:t>
      </w:r>
    </w:p>
    <w:p w:rsidR="0094070C" w:rsidRPr="00F23A56" w:rsidRDefault="0094070C" w:rsidP="0094070C">
      <w:pPr>
        <w:autoSpaceDE w:val="0"/>
        <w:autoSpaceDN w:val="0"/>
        <w:adjustRightInd w:val="0"/>
        <w:rPr>
          <w:rFonts w:ascii="Arial" w:hAnsi="Arial" w:cs="Arial"/>
          <w:color w:val="000000"/>
          <w:highlight w:val="yellow"/>
        </w:rPr>
      </w:pPr>
    </w:p>
    <w:p w:rsidR="00960597" w:rsidRDefault="0094070C" w:rsidP="0094070C">
      <w:pPr>
        <w:autoSpaceDE w:val="0"/>
        <w:autoSpaceDN w:val="0"/>
        <w:adjustRightInd w:val="0"/>
        <w:rPr>
          <w:rFonts w:ascii="Arial" w:hAnsi="Arial" w:cs="Arial"/>
          <w:color w:val="000000"/>
        </w:rPr>
      </w:pPr>
      <w:r>
        <w:rPr>
          <w:rFonts w:ascii="Arial" w:hAnsi="Arial" w:cs="Arial"/>
          <w:color w:val="000000"/>
        </w:rPr>
        <w:t>A second HSR</w:t>
      </w:r>
      <w:r w:rsidRPr="00B6741F">
        <w:rPr>
          <w:rFonts w:ascii="Arial" w:hAnsi="Arial" w:cs="Arial"/>
          <w:b/>
          <w:color w:val="000000"/>
        </w:rPr>
        <w:t xml:space="preserve"> technical</w:t>
      </w:r>
      <w:r>
        <w:rPr>
          <w:rFonts w:ascii="Arial" w:hAnsi="Arial" w:cs="Arial"/>
          <w:color w:val="000000"/>
        </w:rPr>
        <w:t xml:space="preserve"> consultation was issued on Friday 12 September, with an accompanying </w:t>
      </w:r>
      <w:hyperlink r:id="rId11" w:history="1">
        <w:r w:rsidRPr="00DC315A">
          <w:rPr>
            <w:rStyle w:val="Hyperlink"/>
            <w:rFonts w:ascii="Arial" w:hAnsi="Arial" w:cs="Arial"/>
          </w:rPr>
          <w:t>written Ministerial Statement</w:t>
        </w:r>
      </w:hyperlink>
      <w:r>
        <w:rPr>
          <w:rFonts w:ascii="Arial" w:hAnsi="Arial" w:cs="Arial"/>
          <w:color w:val="000000"/>
        </w:rPr>
        <w:t xml:space="preserve"> and </w:t>
      </w:r>
      <w:hyperlink r:id="rId12" w:history="1">
        <w:r w:rsidRPr="00DC315A">
          <w:rPr>
            <w:rStyle w:val="Hyperlink"/>
            <w:rFonts w:ascii="Arial" w:hAnsi="Arial" w:cs="Arial"/>
          </w:rPr>
          <w:t>Press release</w:t>
        </w:r>
      </w:hyperlink>
      <w:r>
        <w:rPr>
          <w:rFonts w:ascii="Arial" w:hAnsi="Arial" w:cs="Arial"/>
          <w:color w:val="000000"/>
        </w:rPr>
        <w:t xml:space="preserve">, </w:t>
      </w:r>
      <w:r w:rsidRPr="00265BAF">
        <w:rPr>
          <w:rFonts w:ascii="Arial" w:hAnsi="Arial" w:cs="Arial"/>
          <w:b/>
          <w:color w:val="000000"/>
        </w:rPr>
        <w:t>and closes on 7 November 2014.</w:t>
      </w:r>
    </w:p>
    <w:p w:rsidR="00960597" w:rsidRDefault="00960597" w:rsidP="0094070C">
      <w:pPr>
        <w:autoSpaceDE w:val="0"/>
        <w:autoSpaceDN w:val="0"/>
        <w:adjustRightInd w:val="0"/>
        <w:rPr>
          <w:rFonts w:ascii="Arial" w:hAnsi="Arial" w:cs="Arial"/>
          <w:color w:val="000000"/>
        </w:rPr>
      </w:pPr>
    </w:p>
    <w:p w:rsidR="0069214B" w:rsidRDefault="0069214B" w:rsidP="0094070C">
      <w:pPr>
        <w:autoSpaceDE w:val="0"/>
        <w:autoSpaceDN w:val="0"/>
        <w:adjustRightInd w:val="0"/>
        <w:rPr>
          <w:rFonts w:ascii="Arial" w:hAnsi="Arial" w:cs="Arial"/>
          <w:color w:val="000000"/>
        </w:rPr>
      </w:pPr>
      <w:r>
        <w:rPr>
          <w:rFonts w:ascii="Arial" w:hAnsi="Arial" w:cs="Arial"/>
          <w:color w:val="000000"/>
        </w:rPr>
        <w:t>The consultation</w:t>
      </w:r>
      <w:r w:rsidR="00960597">
        <w:rPr>
          <w:rFonts w:ascii="Arial" w:hAnsi="Arial" w:cs="Arial"/>
          <w:color w:val="000000"/>
        </w:rPr>
        <w:t xml:space="preserve"> provides</w:t>
      </w:r>
      <w:r>
        <w:rPr>
          <w:rFonts w:ascii="Arial" w:hAnsi="Arial" w:cs="Arial"/>
          <w:color w:val="000000"/>
        </w:rPr>
        <w:t>:</w:t>
      </w:r>
    </w:p>
    <w:p w:rsidR="0069214B" w:rsidRDefault="0069214B" w:rsidP="0094070C">
      <w:pPr>
        <w:autoSpaceDE w:val="0"/>
        <w:autoSpaceDN w:val="0"/>
        <w:adjustRightInd w:val="0"/>
        <w:rPr>
          <w:rFonts w:ascii="Arial" w:hAnsi="Arial" w:cs="Arial"/>
          <w:color w:val="000000"/>
        </w:rPr>
      </w:pPr>
    </w:p>
    <w:p w:rsidR="00960597" w:rsidRPr="00B6741F" w:rsidRDefault="00960597" w:rsidP="00B6741F">
      <w:pPr>
        <w:pStyle w:val="ListParagraph"/>
        <w:numPr>
          <w:ilvl w:val="0"/>
          <w:numId w:val="8"/>
        </w:numPr>
        <w:autoSpaceDE w:val="0"/>
        <w:autoSpaceDN w:val="0"/>
        <w:adjustRightInd w:val="0"/>
        <w:rPr>
          <w:rFonts w:ascii="Arial" w:hAnsi="Arial" w:cs="Arial"/>
          <w:color w:val="000000"/>
        </w:rPr>
      </w:pPr>
      <w:r>
        <w:rPr>
          <w:rFonts w:ascii="Arial" w:hAnsi="Arial" w:cs="Arial"/>
          <w:color w:val="000000"/>
        </w:rPr>
        <w:t xml:space="preserve">An introduction to </w:t>
      </w:r>
      <w:r w:rsidRPr="00B6741F">
        <w:rPr>
          <w:rFonts w:ascii="Arial" w:hAnsi="Arial" w:cs="Arial"/>
          <w:color w:val="000000"/>
        </w:rPr>
        <w:t xml:space="preserve">the use of optional </w:t>
      </w:r>
      <w:r w:rsidR="00A61753">
        <w:rPr>
          <w:rFonts w:ascii="Arial" w:hAnsi="Arial" w:cs="Arial"/>
          <w:color w:val="000000"/>
        </w:rPr>
        <w:t xml:space="preserve">(non-mandatory) </w:t>
      </w:r>
      <w:r w:rsidRPr="00B6741F">
        <w:rPr>
          <w:rFonts w:ascii="Arial" w:hAnsi="Arial" w:cs="Arial"/>
          <w:color w:val="000000"/>
        </w:rPr>
        <w:t>requirements within building regulations</w:t>
      </w:r>
    </w:p>
    <w:p w:rsidR="00960597" w:rsidRPr="00B6741F" w:rsidRDefault="00960597" w:rsidP="00B6741F">
      <w:pPr>
        <w:pStyle w:val="ListParagraph"/>
        <w:numPr>
          <w:ilvl w:val="0"/>
          <w:numId w:val="8"/>
        </w:numPr>
        <w:autoSpaceDE w:val="0"/>
        <w:autoSpaceDN w:val="0"/>
        <w:adjustRightInd w:val="0"/>
        <w:rPr>
          <w:rFonts w:ascii="Arial" w:hAnsi="Arial" w:cs="Arial"/>
          <w:color w:val="000000"/>
        </w:rPr>
      </w:pPr>
      <w:r>
        <w:rPr>
          <w:rFonts w:ascii="Arial" w:hAnsi="Arial" w:cs="Arial"/>
          <w:color w:val="000000"/>
        </w:rPr>
        <w:t>D</w:t>
      </w:r>
      <w:r w:rsidRPr="00B6741F">
        <w:rPr>
          <w:rFonts w:ascii="Arial" w:hAnsi="Arial" w:cs="Arial"/>
          <w:color w:val="000000"/>
        </w:rPr>
        <w:t>raft updated building regulations in respect of accessibility, water efficiency and solid waste storage</w:t>
      </w:r>
    </w:p>
    <w:p w:rsidR="00960597" w:rsidRDefault="00960597" w:rsidP="00B6741F">
      <w:pPr>
        <w:pStyle w:val="ListParagraph"/>
        <w:numPr>
          <w:ilvl w:val="0"/>
          <w:numId w:val="8"/>
        </w:numPr>
        <w:autoSpaceDE w:val="0"/>
        <w:autoSpaceDN w:val="0"/>
        <w:adjustRightInd w:val="0"/>
        <w:rPr>
          <w:rFonts w:ascii="Arial" w:hAnsi="Arial" w:cs="Arial"/>
          <w:color w:val="000000"/>
        </w:rPr>
      </w:pPr>
      <w:r>
        <w:rPr>
          <w:rFonts w:ascii="Arial" w:hAnsi="Arial" w:cs="Arial"/>
          <w:color w:val="000000"/>
        </w:rPr>
        <w:t>A new building regulation covering security</w:t>
      </w:r>
    </w:p>
    <w:p w:rsidR="00960597" w:rsidRPr="00B6741F" w:rsidRDefault="00960597" w:rsidP="00B6741F">
      <w:pPr>
        <w:pStyle w:val="ListParagraph"/>
        <w:numPr>
          <w:ilvl w:val="0"/>
          <w:numId w:val="8"/>
        </w:numPr>
        <w:autoSpaceDE w:val="0"/>
        <w:autoSpaceDN w:val="0"/>
        <w:adjustRightInd w:val="0"/>
        <w:rPr>
          <w:rFonts w:ascii="Arial" w:hAnsi="Arial" w:cs="Arial"/>
          <w:color w:val="000000"/>
        </w:rPr>
      </w:pPr>
      <w:r>
        <w:rPr>
          <w:rFonts w:ascii="Arial" w:hAnsi="Arial" w:cs="Arial"/>
          <w:color w:val="000000"/>
        </w:rPr>
        <w:t>A</w:t>
      </w:r>
      <w:r w:rsidR="0069214B" w:rsidRPr="00B6741F">
        <w:rPr>
          <w:rFonts w:ascii="Arial" w:hAnsi="Arial" w:cs="Arial"/>
          <w:color w:val="000000"/>
        </w:rPr>
        <w:t xml:space="preserve"> nationally described space standard</w:t>
      </w:r>
    </w:p>
    <w:p w:rsidR="00960597" w:rsidRDefault="00147A2A" w:rsidP="00B6741F">
      <w:pPr>
        <w:pStyle w:val="ListParagraph"/>
        <w:numPr>
          <w:ilvl w:val="0"/>
          <w:numId w:val="8"/>
        </w:numPr>
        <w:autoSpaceDE w:val="0"/>
        <w:autoSpaceDN w:val="0"/>
        <w:adjustRightInd w:val="0"/>
        <w:rPr>
          <w:rFonts w:ascii="Arial" w:hAnsi="Arial" w:cs="Arial"/>
          <w:color w:val="000000"/>
        </w:rPr>
      </w:pPr>
      <w:r>
        <w:rPr>
          <w:rFonts w:ascii="Arial" w:hAnsi="Arial" w:cs="Arial"/>
          <w:color w:val="000000"/>
        </w:rPr>
        <w:t>Further c</w:t>
      </w:r>
      <w:r w:rsidR="00960597">
        <w:rPr>
          <w:rFonts w:ascii="Arial" w:hAnsi="Arial" w:cs="Arial"/>
          <w:color w:val="000000"/>
        </w:rPr>
        <w:t xml:space="preserve">larity regarding </w:t>
      </w:r>
      <w:r w:rsidR="0069214B" w:rsidRPr="00B6741F">
        <w:rPr>
          <w:rFonts w:ascii="Arial" w:hAnsi="Arial" w:cs="Arial"/>
          <w:color w:val="000000"/>
        </w:rPr>
        <w:t>energy efficiency</w:t>
      </w:r>
      <w:r>
        <w:rPr>
          <w:rFonts w:ascii="Arial" w:hAnsi="Arial" w:cs="Arial"/>
          <w:color w:val="000000"/>
        </w:rPr>
        <w:t xml:space="preserve"> in respect of zero carbon policy in 2016</w:t>
      </w:r>
    </w:p>
    <w:p w:rsidR="00A61753" w:rsidRDefault="00A61753" w:rsidP="00B6741F">
      <w:pPr>
        <w:pStyle w:val="ListParagraph"/>
        <w:numPr>
          <w:ilvl w:val="0"/>
          <w:numId w:val="8"/>
        </w:numPr>
        <w:autoSpaceDE w:val="0"/>
        <w:autoSpaceDN w:val="0"/>
        <w:adjustRightInd w:val="0"/>
        <w:rPr>
          <w:rFonts w:ascii="Arial" w:hAnsi="Arial" w:cs="Arial"/>
          <w:color w:val="000000"/>
        </w:rPr>
      </w:pPr>
      <w:r>
        <w:rPr>
          <w:rFonts w:ascii="Arial" w:hAnsi="Arial" w:cs="Arial"/>
          <w:color w:val="000000"/>
        </w:rPr>
        <w:t>Impact assessments and associated reports</w:t>
      </w:r>
    </w:p>
    <w:p w:rsidR="00960597" w:rsidRDefault="00960597" w:rsidP="00B6741F">
      <w:pPr>
        <w:pStyle w:val="ListParagraph"/>
        <w:numPr>
          <w:ilvl w:val="0"/>
          <w:numId w:val="8"/>
        </w:numPr>
        <w:autoSpaceDE w:val="0"/>
        <w:autoSpaceDN w:val="0"/>
        <w:adjustRightInd w:val="0"/>
        <w:rPr>
          <w:rFonts w:ascii="Arial" w:hAnsi="Arial" w:cs="Arial"/>
          <w:color w:val="000000"/>
        </w:rPr>
      </w:pPr>
      <w:r w:rsidRPr="00B6741F">
        <w:rPr>
          <w:rFonts w:ascii="Arial" w:hAnsi="Arial" w:cs="Arial"/>
          <w:color w:val="000000"/>
        </w:rPr>
        <w:t>P</w:t>
      </w:r>
      <w:r w:rsidR="00B97275" w:rsidRPr="00B6741F">
        <w:rPr>
          <w:rFonts w:ascii="Arial" w:hAnsi="Arial" w:cs="Arial"/>
          <w:color w:val="000000"/>
        </w:rPr>
        <w:t xml:space="preserve">rovides information regarding </w:t>
      </w:r>
      <w:r w:rsidRPr="00B6741F">
        <w:rPr>
          <w:rFonts w:ascii="Arial" w:hAnsi="Arial" w:cs="Arial"/>
          <w:color w:val="000000"/>
        </w:rPr>
        <w:t>changes in process and compliance</w:t>
      </w:r>
      <w:r w:rsidR="00B6741F">
        <w:rPr>
          <w:rFonts w:ascii="Arial" w:hAnsi="Arial" w:cs="Arial"/>
          <w:color w:val="000000"/>
        </w:rPr>
        <w:t xml:space="preserve"> (including the use of proposed documentation by planning authorities)</w:t>
      </w:r>
    </w:p>
    <w:p w:rsidR="00A61753" w:rsidRPr="00A61753" w:rsidRDefault="00A61753" w:rsidP="00A61753">
      <w:pPr>
        <w:pStyle w:val="ListParagraph"/>
        <w:numPr>
          <w:ilvl w:val="0"/>
          <w:numId w:val="8"/>
        </w:numPr>
        <w:autoSpaceDE w:val="0"/>
        <w:autoSpaceDN w:val="0"/>
        <w:adjustRightInd w:val="0"/>
        <w:rPr>
          <w:rFonts w:ascii="Arial" w:hAnsi="Arial" w:cs="Arial"/>
          <w:color w:val="000000"/>
        </w:rPr>
      </w:pPr>
      <w:r>
        <w:rPr>
          <w:rFonts w:ascii="Arial" w:hAnsi="Arial" w:cs="Arial"/>
          <w:color w:val="000000"/>
        </w:rPr>
        <w:lastRenderedPageBreak/>
        <w:t>Asks respondents</w:t>
      </w:r>
      <w:r w:rsidRPr="008D50B7">
        <w:rPr>
          <w:rFonts w:ascii="Arial" w:hAnsi="Arial" w:cs="Arial"/>
          <w:color w:val="000000"/>
        </w:rPr>
        <w:t xml:space="preserve"> to comment on the detail </w:t>
      </w:r>
      <w:r>
        <w:rPr>
          <w:rFonts w:ascii="Arial" w:hAnsi="Arial" w:cs="Arial"/>
          <w:color w:val="000000"/>
        </w:rPr>
        <w:t>contained within the draft building regulations, nationally described standard and proposed processes</w:t>
      </w:r>
      <w:r w:rsidR="003855DF">
        <w:rPr>
          <w:rFonts w:ascii="Arial" w:hAnsi="Arial" w:cs="Arial"/>
          <w:color w:val="000000"/>
        </w:rPr>
        <w:t xml:space="preserve"> including viability testing</w:t>
      </w:r>
    </w:p>
    <w:p w:rsidR="0094070C" w:rsidRPr="00B6741F" w:rsidRDefault="00960597" w:rsidP="00B6741F">
      <w:pPr>
        <w:pStyle w:val="ListParagraph"/>
        <w:numPr>
          <w:ilvl w:val="0"/>
          <w:numId w:val="8"/>
        </w:numPr>
        <w:autoSpaceDE w:val="0"/>
        <w:autoSpaceDN w:val="0"/>
        <w:adjustRightInd w:val="0"/>
        <w:rPr>
          <w:rFonts w:ascii="Arial" w:hAnsi="Arial" w:cs="Arial"/>
          <w:color w:val="000000"/>
        </w:rPr>
      </w:pPr>
      <w:r w:rsidRPr="00B6741F">
        <w:rPr>
          <w:rFonts w:ascii="Arial" w:hAnsi="Arial" w:cs="Arial"/>
          <w:color w:val="000000"/>
        </w:rPr>
        <w:t xml:space="preserve">Sets out </w:t>
      </w:r>
      <w:r w:rsidR="00B97275" w:rsidRPr="00B6741F">
        <w:rPr>
          <w:rFonts w:ascii="Arial" w:hAnsi="Arial" w:cs="Arial"/>
          <w:color w:val="000000"/>
        </w:rPr>
        <w:t>transitional arrangements.</w:t>
      </w:r>
    </w:p>
    <w:p w:rsidR="0094070C" w:rsidRDefault="0094070C" w:rsidP="0094070C">
      <w:pPr>
        <w:autoSpaceDE w:val="0"/>
        <w:autoSpaceDN w:val="0"/>
        <w:adjustRightInd w:val="0"/>
        <w:rPr>
          <w:rFonts w:ascii="Arial" w:hAnsi="Arial" w:cs="Arial"/>
          <w:color w:val="000000"/>
        </w:rPr>
      </w:pPr>
    </w:p>
    <w:p w:rsidR="0094070C" w:rsidRPr="004A6348" w:rsidRDefault="0094070C" w:rsidP="0094070C">
      <w:pPr>
        <w:rPr>
          <w:rFonts w:ascii="Arial" w:hAnsi="Arial" w:cstheme="minorBidi"/>
        </w:rPr>
      </w:pPr>
      <w:r w:rsidRPr="00B6741F">
        <w:rPr>
          <w:rFonts w:ascii="Arial" w:hAnsi="Arial" w:cstheme="minorBidi"/>
        </w:rPr>
        <w:t>While there may be some changes following consultation, our expectation is that the details published today represent the broad final shape of Housing Standards Review outcomes.</w:t>
      </w:r>
    </w:p>
    <w:p w:rsidR="0094070C" w:rsidRPr="004A6348" w:rsidRDefault="0094070C" w:rsidP="0094070C">
      <w:pPr>
        <w:rPr>
          <w:rFonts w:ascii="Arial" w:hAnsi="Arial" w:cstheme="minorBidi"/>
        </w:rPr>
      </w:pPr>
    </w:p>
    <w:p w:rsidR="0094070C" w:rsidRPr="00B65663" w:rsidRDefault="0094070C" w:rsidP="0094070C">
      <w:pPr>
        <w:rPr>
          <w:rFonts w:ascii="Arial" w:hAnsi="Arial" w:cs="Arial"/>
          <w:color w:val="000000"/>
        </w:rPr>
      </w:pPr>
      <w:r w:rsidRPr="004A6348">
        <w:rPr>
          <w:rFonts w:ascii="Arial" w:hAnsi="Arial" w:cstheme="minorBidi"/>
        </w:rPr>
        <w:t>There is no conflict with the approach set out in the addendum to the AHP 2015-18 Prospectus, with specific notes on the code for sustainable homes, energy performance, water efficiency, security, accessibility and space standards remaining current</w:t>
      </w:r>
      <w:r w:rsidR="00265BAF">
        <w:rPr>
          <w:rFonts w:ascii="Arial" w:hAnsi="Arial" w:cstheme="minorBidi"/>
        </w:rPr>
        <w:t xml:space="preserve"> (albeit with some specific references requiring an update)</w:t>
      </w:r>
      <w:r w:rsidRPr="004A6348">
        <w:rPr>
          <w:rFonts w:ascii="Arial" w:hAnsi="Arial" w:cstheme="minorBidi"/>
        </w:rPr>
        <w:t>. However th</w:t>
      </w:r>
      <w:r w:rsidR="004A6348" w:rsidRPr="00B6741F">
        <w:rPr>
          <w:rFonts w:ascii="Arial" w:hAnsi="Arial" w:cstheme="minorBidi"/>
        </w:rPr>
        <w:t>e</w:t>
      </w:r>
      <w:r w:rsidRPr="004A6348">
        <w:rPr>
          <w:rFonts w:ascii="Arial" w:hAnsi="Arial" w:cstheme="minorBidi"/>
        </w:rPr>
        <w:t xml:space="preserve"> set of FAQ </w:t>
      </w:r>
      <w:r w:rsidR="004A6348" w:rsidRPr="00B6741F">
        <w:rPr>
          <w:rFonts w:ascii="Arial" w:hAnsi="Arial" w:cstheme="minorBidi"/>
        </w:rPr>
        <w:t xml:space="preserve">produced following the first consultation </w:t>
      </w:r>
      <w:r w:rsidR="00175F51">
        <w:rPr>
          <w:rFonts w:ascii="Arial" w:hAnsi="Arial" w:cstheme="minorBidi"/>
        </w:rPr>
        <w:t>will be</w:t>
      </w:r>
      <w:r w:rsidR="004A6348" w:rsidRPr="00B6741F">
        <w:rPr>
          <w:rFonts w:ascii="Arial" w:hAnsi="Arial" w:cstheme="minorBidi"/>
        </w:rPr>
        <w:t xml:space="preserve"> updated to answer</w:t>
      </w:r>
      <w:r w:rsidRPr="004A6348">
        <w:rPr>
          <w:rFonts w:ascii="Arial" w:hAnsi="Arial" w:cstheme="minorBidi"/>
        </w:rPr>
        <w:t xml:space="preserve"> specific questions where information has been revised</w:t>
      </w:r>
      <w:r w:rsidR="004A6348" w:rsidRPr="00B6741F">
        <w:rPr>
          <w:rFonts w:ascii="Arial" w:hAnsi="Arial" w:cstheme="minorBidi"/>
        </w:rPr>
        <w:t xml:space="preserve"> or processes confirmed.</w:t>
      </w:r>
    </w:p>
    <w:p w:rsidR="0094070C" w:rsidRDefault="0094070C" w:rsidP="00634611">
      <w:pPr>
        <w:rPr>
          <w:rFonts w:ascii="Arial" w:hAnsi="Arial" w:cs="Arial"/>
          <w:b/>
          <w:color w:val="000000"/>
          <w:sz w:val="23"/>
          <w:szCs w:val="23"/>
        </w:rPr>
      </w:pPr>
    </w:p>
    <w:p w:rsidR="00A61753" w:rsidRDefault="00A61753" w:rsidP="00634611">
      <w:pPr>
        <w:rPr>
          <w:rFonts w:ascii="Arial" w:hAnsi="Arial" w:cs="Arial"/>
          <w:color w:val="000000"/>
          <w:sz w:val="23"/>
          <w:szCs w:val="23"/>
        </w:rPr>
      </w:pPr>
      <w:r w:rsidRPr="005445D6">
        <w:rPr>
          <w:rFonts w:ascii="Arial" w:hAnsi="Arial" w:cs="Arial"/>
          <w:color w:val="000000"/>
          <w:sz w:val="23"/>
          <w:szCs w:val="23"/>
        </w:rPr>
        <w:t>This consultation is being used to give developers, planning authorities and others early notice of Government intentions</w:t>
      </w:r>
      <w:r>
        <w:rPr>
          <w:rFonts w:ascii="Arial" w:hAnsi="Arial" w:cs="Arial"/>
          <w:color w:val="000000"/>
          <w:sz w:val="23"/>
          <w:szCs w:val="23"/>
        </w:rPr>
        <w:t xml:space="preserve"> to remove the overlap between planning policy and building regulations.</w:t>
      </w:r>
    </w:p>
    <w:p w:rsidR="00A61753" w:rsidRPr="005445D6" w:rsidRDefault="00A61753" w:rsidP="00634611">
      <w:pPr>
        <w:rPr>
          <w:rFonts w:ascii="Arial" w:hAnsi="Arial" w:cs="Arial"/>
          <w:color w:val="000000"/>
          <w:sz w:val="23"/>
          <w:szCs w:val="23"/>
        </w:rPr>
      </w:pPr>
    </w:p>
    <w:p w:rsidR="00A61753" w:rsidRDefault="00A61753" w:rsidP="00A61753">
      <w:pPr>
        <w:rPr>
          <w:rFonts w:ascii="Arial" w:hAnsi="Arial" w:cs="Arial"/>
          <w:color w:val="000000"/>
          <w:sz w:val="23"/>
          <w:szCs w:val="23"/>
        </w:rPr>
      </w:pPr>
      <w:r>
        <w:rPr>
          <w:rFonts w:ascii="Arial" w:hAnsi="Arial" w:cs="Arial"/>
          <w:color w:val="000000"/>
          <w:sz w:val="23"/>
          <w:szCs w:val="23"/>
        </w:rPr>
        <w:t>There will be a mechanism to limit planning authorities’ ability to impose technical standards beyond those which emerged from the HSR.</w:t>
      </w:r>
    </w:p>
    <w:p w:rsidR="003855DF" w:rsidRDefault="003855DF" w:rsidP="00A61753">
      <w:pPr>
        <w:rPr>
          <w:rFonts w:ascii="Arial" w:hAnsi="Arial" w:cs="Arial"/>
          <w:color w:val="000000"/>
          <w:sz w:val="23"/>
          <w:szCs w:val="23"/>
        </w:rPr>
      </w:pPr>
    </w:p>
    <w:p w:rsidR="00A61753" w:rsidRDefault="003855DF" w:rsidP="00634611">
      <w:pPr>
        <w:rPr>
          <w:rFonts w:ascii="Arial" w:hAnsi="Arial" w:cs="Arial"/>
          <w:b/>
          <w:color w:val="000000"/>
          <w:sz w:val="23"/>
          <w:szCs w:val="23"/>
        </w:rPr>
      </w:pPr>
      <w:r>
        <w:rPr>
          <w:rFonts w:ascii="Arial" w:hAnsi="Arial" w:cs="Arial"/>
          <w:color w:val="000000"/>
          <w:sz w:val="23"/>
          <w:szCs w:val="23"/>
        </w:rPr>
        <w:t xml:space="preserve">The circumstances where a local planning authority can apply an optional requirement or a nationally described standard are to be clearly set out in guidance set out by the Government and the setting of any such policy shall be subject to </w:t>
      </w:r>
      <w:r w:rsidR="005445D6">
        <w:rPr>
          <w:rFonts w:ascii="Arial" w:hAnsi="Arial" w:cs="Arial"/>
          <w:color w:val="000000"/>
          <w:sz w:val="23"/>
          <w:szCs w:val="23"/>
        </w:rPr>
        <w:t>appropriate needs tes</w:t>
      </w:r>
      <w:r w:rsidR="00990EED">
        <w:rPr>
          <w:rFonts w:ascii="Arial" w:hAnsi="Arial" w:cs="Arial"/>
          <w:color w:val="000000"/>
          <w:sz w:val="23"/>
          <w:szCs w:val="23"/>
        </w:rPr>
        <w:t>t</w:t>
      </w:r>
      <w:r w:rsidR="005445D6">
        <w:rPr>
          <w:rFonts w:ascii="Arial" w:hAnsi="Arial" w:cs="Arial"/>
          <w:color w:val="000000"/>
          <w:sz w:val="23"/>
          <w:szCs w:val="23"/>
        </w:rPr>
        <w:t xml:space="preserve">ing </w:t>
      </w:r>
      <w:r w:rsidR="00990EED">
        <w:rPr>
          <w:rFonts w:ascii="Arial" w:hAnsi="Arial" w:cs="Arial"/>
          <w:color w:val="000000"/>
          <w:sz w:val="23"/>
          <w:szCs w:val="23"/>
        </w:rPr>
        <w:t>and</w:t>
      </w:r>
      <w:r w:rsidR="005445D6">
        <w:rPr>
          <w:rFonts w:ascii="Arial" w:hAnsi="Arial" w:cs="Arial"/>
          <w:color w:val="000000"/>
          <w:sz w:val="23"/>
          <w:szCs w:val="23"/>
        </w:rPr>
        <w:t xml:space="preserve"> to </w:t>
      </w:r>
      <w:r>
        <w:rPr>
          <w:rFonts w:ascii="Arial" w:hAnsi="Arial" w:cs="Arial"/>
          <w:color w:val="000000"/>
          <w:sz w:val="23"/>
          <w:szCs w:val="23"/>
        </w:rPr>
        <w:t xml:space="preserve">the National Planning Policy Framework (NPPF) viability test. </w:t>
      </w:r>
    </w:p>
    <w:p w:rsidR="00A61753" w:rsidRDefault="00A61753" w:rsidP="00634611">
      <w:pPr>
        <w:rPr>
          <w:rFonts w:ascii="Arial" w:hAnsi="Arial" w:cs="Arial"/>
          <w:b/>
          <w:color w:val="000000"/>
          <w:sz w:val="23"/>
          <w:szCs w:val="23"/>
        </w:rPr>
      </w:pPr>
    </w:p>
    <w:p w:rsidR="0094070C" w:rsidRPr="00265BAF" w:rsidRDefault="00987B33" w:rsidP="0094070C">
      <w:pPr>
        <w:rPr>
          <w:rFonts w:ascii="Arial" w:hAnsi="Arial" w:cs="Arial"/>
          <w:b/>
          <w:color w:val="000000"/>
          <w:sz w:val="23"/>
          <w:szCs w:val="23"/>
          <w:u w:val="single"/>
        </w:rPr>
      </w:pPr>
      <w:r w:rsidRPr="00265BAF">
        <w:rPr>
          <w:rFonts w:ascii="Arial" w:hAnsi="Arial" w:cs="Arial"/>
          <w:b/>
          <w:color w:val="000000"/>
          <w:sz w:val="23"/>
          <w:szCs w:val="23"/>
          <w:u w:val="single"/>
        </w:rPr>
        <w:t xml:space="preserve">Timing and </w:t>
      </w:r>
      <w:r w:rsidR="0094070C" w:rsidRPr="00265BAF">
        <w:rPr>
          <w:rFonts w:ascii="Arial" w:hAnsi="Arial" w:cs="Arial"/>
          <w:b/>
          <w:color w:val="000000"/>
          <w:sz w:val="23"/>
          <w:szCs w:val="23"/>
          <w:u w:val="single"/>
        </w:rPr>
        <w:t>Transitional arrangement</w:t>
      </w:r>
      <w:r w:rsidRPr="00265BAF">
        <w:rPr>
          <w:rFonts w:ascii="Arial" w:hAnsi="Arial" w:cs="Arial"/>
          <w:b/>
          <w:color w:val="000000"/>
          <w:sz w:val="23"/>
          <w:szCs w:val="23"/>
          <w:u w:val="single"/>
        </w:rPr>
        <w:t>s</w:t>
      </w:r>
    </w:p>
    <w:p w:rsidR="0094070C" w:rsidRDefault="0094070C" w:rsidP="0094070C">
      <w:pPr>
        <w:rPr>
          <w:rFonts w:ascii="Arial" w:hAnsi="Arial" w:cs="Arial"/>
          <w:b/>
          <w:color w:val="000000"/>
          <w:sz w:val="23"/>
          <w:szCs w:val="23"/>
        </w:rPr>
      </w:pPr>
    </w:p>
    <w:p w:rsidR="004C4B05" w:rsidRPr="00265BAF" w:rsidRDefault="004C4B05" w:rsidP="004C4B05">
      <w:pPr>
        <w:rPr>
          <w:b/>
          <w:color w:val="FF0000"/>
        </w:rPr>
      </w:pPr>
      <w:r w:rsidRPr="00265BAF">
        <w:rPr>
          <w:rFonts w:ascii="Arial" w:hAnsi="Arial" w:cs="Arial"/>
          <w:b/>
          <w:color w:val="FF0000"/>
          <w:sz w:val="23"/>
          <w:szCs w:val="23"/>
        </w:rPr>
        <w:t xml:space="preserve">HCA investment partners should note that these changes to regulation, planning policy and transitional arrangements </w:t>
      </w:r>
      <w:r w:rsidRPr="00265BAF">
        <w:rPr>
          <w:rFonts w:ascii="Arial" w:hAnsi="Arial" w:cs="Arial"/>
          <w:b/>
          <w:color w:val="FF0000"/>
          <w:sz w:val="23"/>
          <w:szCs w:val="23"/>
          <w:u w:val="single"/>
        </w:rPr>
        <w:t>do not</w:t>
      </w:r>
      <w:r w:rsidRPr="00265BAF">
        <w:rPr>
          <w:rFonts w:ascii="Arial" w:hAnsi="Arial" w:cs="Arial"/>
          <w:b/>
          <w:color w:val="FF0000"/>
          <w:sz w:val="23"/>
          <w:szCs w:val="23"/>
        </w:rPr>
        <w:t xml:space="preserve"> remove any contractual commitments in respect of housing standards to be achieved as a condition of funding.</w:t>
      </w:r>
    </w:p>
    <w:p w:rsidR="004C4B05" w:rsidRDefault="004C4B05" w:rsidP="0094070C">
      <w:pPr>
        <w:rPr>
          <w:rFonts w:ascii="Arial" w:hAnsi="Arial" w:cs="Arial"/>
          <w:b/>
          <w:color w:val="000000"/>
          <w:sz w:val="23"/>
          <w:szCs w:val="23"/>
        </w:rPr>
      </w:pPr>
    </w:p>
    <w:p w:rsidR="00990EED" w:rsidRDefault="00990EED" w:rsidP="0094070C">
      <w:pPr>
        <w:rPr>
          <w:rFonts w:ascii="Arial" w:hAnsi="Arial" w:cs="Arial"/>
          <w:color w:val="000000"/>
          <w:sz w:val="23"/>
          <w:szCs w:val="23"/>
        </w:rPr>
      </w:pPr>
      <w:r>
        <w:rPr>
          <w:rFonts w:ascii="Arial" w:hAnsi="Arial" w:cs="Arial"/>
          <w:color w:val="000000"/>
          <w:sz w:val="23"/>
          <w:szCs w:val="23"/>
        </w:rPr>
        <w:t xml:space="preserve">Responses to this consultation will be considered and form a </w:t>
      </w:r>
      <w:r w:rsidRPr="00265BAF">
        <w:rPr>
          <w:rFonts w:ascii="Arial" w:hAnsi="Arial" w:cs="Arial"/>
          <w:b/>
          <w:color w:val="000000"/>
          <w:sz w:val="23"/>
          <w:szCs w:val="23"/>
        </w:rPr>
        <w:t>statement of policy</w:t>
      </w:r>
      <w:r>
        <w:rPr>
          <w:rFonts w:ascii="Arial" w:hAnsi="Arial" w:cs="Arial"/>
          <w:color w:val="000000"/>
          <w:sz w:val="23"/>
          <w:szCs w:val="23"/>
        </w:rPr>
        <w:t xml:space="preserve"> which the Government intends to issue in early 2015, subject to Parliamentary approval of the necessary Acts.</w:t>
      </w:r>
    </w:p>
    <w:p w:rsidR="00990EED" w:rsidRDefault="00990EED" w:rsidP="0094070C">
      <w:pPr>
        <w:rPr>
          <w:rFonts w:ascii="Arial" w:hAnsi="Arial" w:cs="Arial"/>
          <w:color w:val="000000"/>
          <w:sz w:val="23"/>
          <w:szCs w:val="23"/>
        </w:rPr>
      </w:pPr>
    </w:p>
    <w:p w:rsidR="00990EED" w:rsidRDefault="00990EED" w:rsidP="0094070C">
      <w:pPr>
        <w:rPr>
          <w:rFonts w:ascii="Arial" w:hAnsi="Arial" w:cs="Arial"/>
          <w:color w:val="000000"/>
          <w:sz w:val="23"/>
          <w:szCs w:val="23"/>
        </w:rPr>
      </w:pPr>
      <w:r>
        <w:rPr>
          <w:rFonts w:ascii="Arial" w:hAnsi="Arial" w:cs="Arial"/>
          <w:color w:val="000000"/>
          <w:sz w:val="23"/>
          <w:szCs w:val="23"/>
        </w:rPr>
        <w:t xml:space="preserve">It is </w:t>
      </w:r>
      <w:r w:rsidR="00987B33">
        <w:rPr>
          <w:rFonts w:ascii="Arial" w:hAnsi="Arial" w:cs="Arial"/>
          <w:color w:val="000000"/>
          <w:sz w:val="23"/>
          <w:szCs w:val="23"/>
        </w:rPr>
        <w:t xml:space="preserve">intended that the statement will be made at the same time as the publication of the associated </w:t>
      </w:r>
      <w:r w:rsidR="00987B33" w:rsidRPr="00265BAF">
        <w:rPr>
          <w:rFonts w:ascii="Arial" w:hAnsi="Arial" w:cs="Arial"/>
          <w:b/>
          <w:color w:val="000000"/>
          <w:sz w:val="23"/>
          <w:szCs w:val="23"/>
        </w:rPr>
        <w:t>building regulation approved documents and nationally described space standard</w:t>
      </w:r>
      <w:r w:rsidR="00987B33">
        <w:rPr>
          <w:rFonts w:ascii="Arial" w:hAnsi="Arial" w:cs="Arial"/>
          <w:color w:val="000000"/>
          <w:sz w:val="23"/>
          <w:szCs w:val="23"/>
        </w:rPr>
        <w:t xml:space="preserve">. These will come into force </w:t>
      </w:r>
      <w:r w:rsidR="00987B33" w:rsidRPr="00265BAF">
        <w:rPr>
          <w:rFonts w:ascii="Arial" w:hAnsi="Arial" w:cs="Arial"/>
          <w:b/>
          <w:color w:val="000000"/>
          <w:sz w:val="23"/>
          <w:szCs w:val="23"/>
        </w:rPr>
        <w:t xml:space="preserve">six months later in </w:t>
      </w:r>
      <w:proofErr w:type="gramStart"/>
      <w:r w:rsidR="00987B33" w:rsidRPr="00265BAF">
        <w:rPr>
          <w:rFonts w:ascii="Arial" w:hAnsi="Arial" w:cs="Arial"/>
          <w:b/>
          <w:color w:val="000000"/>
          <w:sz w:val="23"/>
          <w:szCs w:val="23"/>
        </w:rPr>
        <w:t>Autumn</w:t>
      </w:r>
      <w:proofErr w:type="gramEnd"/>
      <w:r w:rsidR="00987B33" w:rsidRPr="00265BAF">
        <w:rPr>
          <w:rFonts w:ascii="Arial" w:hAnsi="Arial" w:cs="Arial"/>
          <w:b/>
          <w:color w:val="000000"/>
          <w:sz w:val="23"/>
          <w:szCs w:val="23"/>
        </w:rPr>
        <w:t xml:space="preserve"> 2015</w:t>
      </w:r>
      <w:r w:rsidR="00987B33">
        <w:rPr>
          <w:rFonts w:ascii="Arial" w:hAnsi="Arial" w:cs="Arial"/>
          <w:color w:val="000000"/>
          <w:sz w:val="23"/>
          <w:szCs w:val="23"/>
        </w:rPr>
        <w:t>.</w:t>
      </w:r>
    </w:p>
    <w:p w:rsidR="00A61753" w:rsidRDefault="00A61753" w:rsidP="0094070C">
      <w:pPr>
        <w:rPr>
          <w:rFonts w:ascii="Arial" w:hAnsi="Arial" w:cs="Arial"/>
          <w:color w:val="000000"/>
          <w:sz w:val="23"/>
          <w:szCs w:val="23"/>
        </w:rPr>
      </w:pPr>
    </w:p>
    <w:p w:rsidR="00A61753" w:rsidRPr="00265BAF" w:rsidRDefault="00987B33" w:rsidP="00265BAF">
      <w:pPr>
        <w:pStyle w:val="ListParagraph"/>
        <w:numPr>
          <w:ilvl w:val="0"/>
          <w:numId w:val="9"/>
        </w:numPr>
        <w:rPr>
          <w:rFonts w:ascii="Arial" w:hAnsi="Arial" w:cs="Arial"/>
          <w:color w:val="000000"/>
          <w:sz w:val="23"/>
          <w:szCs w:val="23"/>
        </w:rPr>
      </w:pPr>
      <w:r w:rsidRPr="00265BAF">
        <w:rPr>
          <w:rFonts w:ascii="Arial" w:hAnsi="Arial" w:cs="Arial"/>
          <w:color w:val="000000"/>
          <w:sz w:val="23"/>
          <w:szCs w:val="23"/>
        </w:rPr>
        <w:t>The statement of policy will set out Government’s views on how these standards should be applied in Local Plans and neighbourhood plans and in considering planning applications, it will also set out new national planning policy.</w:t>
      </w:r>
    </w:p>
    <w:p w:rsidR="00987B33" w:rsidRDefault="00987B33" w:rsidP="0094070C">
      <w:pPr>
        <w:rPr>
          <w:rFonts w:ascii="Arial" w:hAnsi="Arial" w:cs="Arial"/>
          <w:color w:val="000000"/>
          <w:sz w:val="23"/>
          <w:szCs w:val="23"/>
        </w:rPr>
      </w:pPr>
    </w:p>
    <w:p w:rsidR="00987B33" w:rsidRPr="00265BAF" w:rsidRDefault="00987B33" w:rsidP="00265BAF">
      <w:pPr>
        <w:pStyle w:val="ListParagraph"/>
        <w:numPr>
          <w:ilvl w:val="0"/>
          <w:numId w:val="9"/>
        </w:numPr>
        <w:rPr>
          <w:rFonts w:ascii="Arial" w:hAnsi="Arial" w:cs="Arial"/>
          <w:color w:val="000000"/>
          <w:sz w:val="23"/>
          <w:szCs w:val="23"/>
        </w:rPr>
      </w:pPr>
      <w:r w:rsidRPr="00265BAF">
        <w:rPr>
          <w:rFonts w:ascii="Arial" w:hAnsi="Arial" w:cs="Arial"/>
          <w:color w:val="000000"/>
          <w:sz w:val="23"/>
          <w:szCs w:val="23"/>
        </w:rPr>
        <w:t>From the date of the statement only standards set out in the Building Regulations optional requirements, the associated Approved Documents and the nationally described space standard should be applied in planning conditions for new housing development.</w:t>
      </w:r>
    </w:p>
    <w:p w:rsidR="0094070C" w:rsidRDefault="0094070C" w:rsidP="0094070C">
      <w:pPr>
        <w:rPr>
          <w:rFonts w:ascii="Arial" w:hAnsi="Arial" w:cs="Arial"/>
          <w:b/>
          <w:color w:val="000000"/>
          <w:sz w:val="23"/>
          <w:szCs w:val="23"/>
        </w:rPr>
      </w:pPr>
    </w:p>
    <w:p w:rsidR="00B97275" w:rsidRPr="00265BAF" w:rsidRDefault="00987B33" w:rsidP="00265BAF">
      <w:pPr>
        <w:pStyle w:val="ListParagraph"/>
        <w:numPr>
          <w:ilvl w:val="0"/>
          <w:numId w:val="9"/>
        </w:numPr>
        <w:rPr>
          <w:rFonts w:ascii="Arial" w:hAnsi="Arial" w:cs="Arial"/>
          <w:color w:val="000000"/>
          <w:sz w:val="23"/>
          <w:szCs w:val="23"/>
        </w:rPr>
      </w:pPr>
      <w:r w:rsidRPr="00265BAF">
        <w:rPr>
          <w:rFonts w:ascii="Arial" w:hAnsi="Arial" w:cs="Arial"/>
          <w:color w:val="000000"/>
          <w:sz w:val="23"/>
          <w:szCs w:val="23"/>
        </w:rPr>
        <w:lastRenderedPageBreak/>
        <w:t xml:space="preserve">As many of the requirements of the Code for Sustainable Homes will be consolidated into the Building Regulations, the Code will be wound down from the time the statement is made </w:t>
      </w:r>
      <w:r w:rsidRPr="0001060F">
        <w:rPr>
          <w:rFonts w:ascii="Arial" w:hAnsi="Arial" w:cs="Arial"/>
          <w:b/>
          <w:color w:val="000000"/>
          <w:sz w:val="23"/>
          <w:szCs w:val="23"/>
        </w:rPr>
        <w:t>(early 2015).</w:t>
      </w:r>
      <w:r w:rsidRPr="00265BAF">
        <w:rPr>
          <w:rFonts w:ascii="Arial" w:hAnsi="Arial" w:cs="Arial"/>
          <w:color w:val="000000"/>
          <w:sz w:val="23"/>
          <w:szCs w:val="23"/>
        </w:rPr>
        <w:t xml:space="preserve"> (There will be arrangements in place to deal with legacy requirements in relation to the Code).</w:t>
      </w:r>
    </w:p>
    <w:p w:rsidR="00987B33" w:rsidRDefault="00987B33" w:rsidP="0094070C">
      <w:pPr>
        <w:rPr>
          <w:rFonts w:ascii="Arial" w:hAnsi="Arial" w:cs="Arial"/>
          <w:color w:val="000000"/>
          <w:sz w:val="23"/>
          <w:szCs w:val="23"/>
        </w:rPr>
      </w:pPr>
    </w:p>
    <w:p w:rsidR="00987B33" w:rsidRPr="00265BAF" w:rsidRDefault="00987B33" w:rsidP="00265BAF">
      <w:pPr>
        <w:pStyle w:val="ListParagraph"/>
        <w:numPr>
          <w:ilvl w:val="0"/>
          <w:numId w:val="9"/>
        </w:numPr>
        <w:rPr>
          <w:rFonts w:ascii="Arial" w:hAnsi="Arial" w:cs="Arial"/>
          <w:color w:val="000000"/>
          <w:sz w:val="23"/>
          <w:szCs w:val="23"/>
        </w:rPr>
      </w:pPr>
      <w:r w:rsidRPr="00265BAF">
        <w:rPr>
          <w:rFonts w:ascii="Arial" w:hAnsi="Arial" w:cs="Arial"/>
          <w:color w:val="000000"/>
          <w:sz w:val="23"/>
          <w:szCs w:val="23"/>
        </w:rPr>
        <w:t xml:space="preserve">From the date of the statement, the Government’s policy will be that planning permissions should not be granted subject to conditions requiring compliance with local housing standard other than those set out </w:t>
      </w:r>
      <w:r w:rsidR="001635F1" w:rsidRPr="00265BAF">
        <w:rPr>
          <w:rFonts w:ascii="Arial" w:hAnsi="Arial" w:cs="Arial"/>
          <w:color w:val="000000"/>
          <w:sz w:val="23"/>
          <w:szCs w:val="23"/>
        </w:rPr>
        <w:t>as a result of the HSR and subsequent policy.</w:t>
      </w:r>
    </w:p>
    <w:p w:rsidR="001635F1" w:rsidRDefault="001635F1" w:rsidP="0094070C">
      <w:pPr>
        <w:rPr>
          <w:rFonts w:ascii="Arial" w:hAnsi="Arial" w:cs="Arial"/>
          <w:color w:val="000000"/>
          <w:sz w:val="23"/>
          <w:szCs w:val="23"/>
        </w:rPr>
      </w:pPr>
    </w:p>
    <w:p w:rsidR="001635F1" w:rsidRPr="00265BAF" w:rsidRDefault="001635F1" w:rsidP="00265BAF">
      <w:pPr>
        <w:pStyle w:val="ListParagraph"/>
        <w:numPr>
          <w:ilvl w:val="0"/>
          <w:numId w:val="9"/>
        </w:numPr>
        <w:rPr>
          <w:rFonts w:ascii="Arial" w:hAnsi="Arial" w:cs="Arial"/>
          <w:color w:val="000000"/>
          <w:sz w:val="23"/>
          <w:szCs w:val="23"/>
        </w:rPr>
      </w:pPr>
      <w:r w:rsidRPr="00265BAF">
        <w:rPr>
          <w:rFonts w:ascii="Arial" w:hAnsi="Arial" w:cs="Arial"/>
          <w:color w:val="000000"/>
          <w:sz w:val="23"/>
          <w:szCs w:val="23"/>
        </w:rPr>
        <w:t xml:space="preserve">From the date of the statement and until the building regulations and nationally described space standard come into force </w:t>
      </w:r>
      <w:r w:rsidRPr="00265BAF">
        <w:rPr>
          <w:rFonts w:ascii="Arial" w:hAnsi="Arial" w:cs="Arial"/>
          <w:b/>
          <w:color w:val="000000"/>
          <w:sz w:val="23"/>
          <w:szCs w:val="23"/>
        </w:rPr>
        <w:t>(6 months)</w:t>
      </w:r>
      <w:r w:rsidRPr="00265BAF">
        <w:rPr>
          <w:rFonts w:ascii="Arial" w:hAnsi="Arial" w:cs="Arial"/>
          <w:color w:val="000000"/>
          <w:sz w:val="23"/>
          <w:szCs w:val="23"/>
        </w:rPr>
        <w:t xml:space="preserve"> LA’s should have regard to the forthcoming requirements. For example where plan policy requires a </w:t>
      </w:r>
      <w:r w:rsidR="005B592C">
        <w:rPr>
          <w:rFonts w:ascii="Arial" w:hAnsi="Arial" w:cs="Arial"/>
          <w:color w:val="000000"/>
          <w:sz w:val="23"/>
          <w:szCs w:val="23"/>
        </w:rPr>
        <w:t>Code for Sustainable Homes</w:t>
      </w:r>
      <w:r w:rsidRPr="00265BAF">
        <w:rPr>
          <w:rFonts w:ascii="Arial" w:hAnsi="Arial" w:cs="Arial"/>
          <w:color w:val="000000"/>
          <w:sz w:val="23"/>
          <w:szCs w:val="23"/>
        </w:rPr>
        <w:t xml:space="preserve"> level only energy and water efficiency should apply.</w:t>
      </w:r>
    </w:p>
    <w:p w:rsidR="001635F1" w:rsidRDefault="001635F1" w:rsidP="0094070C">
      <w:pPr>
        <w:rPr>
          <w:rFonts w:ascii="Arial" w:hAnsi="Arial" w:cs="Arial"/>
          <w:color w:val="000000"/>
          <w:sz w:val="23"/>
          <w:szCs w:val="23"/>
        </w:rPr>
      </w:pPr>
    </w:p>
    <w:p w:rsidR="00175F51" w:rsidRPr="00175F51" w:rsidRDefault="00175F51" w:rsidP="00265BAF">
      <w:pPr>
        <w:pStyle w:val="ListParagraph"/>
        <w:numPr>
          <w:ilvl w:val="0"/>
          <w:numId w:val="9"/>
        </w:numPr>
        <w:rPr>
          <w:b/>
        </w:rPr>
      </w:pPr>
      <w:r w:rsidRPr="00175F51">
        <w:rPr>
          <w:rFonts w:ascii="Arial" w:hAnsi="Arial" w:cs="Arial"/>
          <w:color w:val="000000"/>
          <w:sz w:val="23"/>
          <w:szCs w:val="23"/>
        </w:rPr>
        <w:t>When the building regulations and nationally described space standard</w:t>
      </w:r>
      <w:r w:rsidR="001635F1" w:rsidRPr="00175F51">
        <w:rPr>
          <w:rFonts w:ascii="Arial" w:hAnsi="Arial" w:cs="Arial"/>
          <w:color w:val="000000"/>
          <w:sz w:val="23"/>
          <w:szCs w:val="23"/>
        </w:rPr>
        <w:t xml:space="preserve"> come into force and where a plan has not been formally reviewed, local plan policies relating to water efficiency, access and space should reference the nearest equivalent optional requirement or NDSS.</w:t>
      </w:r>
      <w:r>
        <w:rPr>
          <w:rFonts w:ascii="Arial" w:hAnsi="Arial" w:cs="Arial"/>
          <w:color w:val="000000"/>
          <w:sz w:val="23"/>
          <w:szCs w:val="23"/>
        </w:rPr>
        <w:t xml:space="preserve"> </w:t>
      </w:r>
    </w:p>
    <w:p w:rsidR="00175F51" w:rsidRPr="00175F51" w:rsidRDefault="00175F51" w:rsidP="00175F51">
      <w:pPr>
        <w:pStyle w:val="ListParagraph"/>
        <w:rPr>
          <w:rFonts w:ascii="Arial" w:hAnsi="Arial" w:cs="Arial"/>
          <w:color w:val="000000"/>
          <w:sz w:val="23"/>
          <w:szCs w:val="23"/>
        </w:rPr>
      </w:pPr>
    </w:p>
    <w:p w:rsidR="001635F1" w:rsidRPr="00175F51" w:rsidRDefault="0001060F" w:rsidP="00265BAF">
      <w:pPr>
        <w:pStyle w:val="ListParagraph"/>
        <w:numPr>
          <w:ilvl w:val="0"/>
          <w:numId w:val="9"/>
        </w:numPr>
        <w:rPr>
          <w:b/>
        </w:rPr>
      </w:pPr>
      <w:r w:rsidRPr="00175F51">
        <w:rPr>
          <w:rFonts w:ascii="Arial" w:hAnsi="Arial" w:cs="Arial"/>
          <w:color w:val="000000"/>
          <w:sz w:val="23"/>
          <w:szCs w:val="23"/>
        </w:rPr>
        <w:t xml:space="preserve">From the date of the statement LPS’s will continue to be able to set and apply policies in their local plan requiring development to comply with energy efficiency standards that exceed the energy requirements of BR’s until the zero carbon home policy has been put in place </w:t>
      </w:r>
      <w:r w:rsidRPr="00175F51">
        <w:rPr>
          <w:rFonts w:ascii="Arial" w:hAnsi="Arial" w:cs="Arial"/>
          <w:b/>
          <w:color w:val="000000"/>
          <w:sz w:val="23"/>
          <w:szCs w:val="23"/>
        </w:rPr>
        <w:t xml:space="preserve">(anticipated late 2016). </w:t>
      </w:r>
      <w:r w:rsidRPr="00175F51">
        <w:rPr>
          <w:rFonts w:ascii="Arial" w:hAnsi="Arial" w:cs="Arial"/>
          <w:color w:val="000000"/>
          <w:sz w:val="23"/>
          <w:szCs w:val="23"/>
        </w:rPr>
        <w:t>From that point, the energy efficiency requirements in BR’s will be set at an equivalent to Code level 4.</w:t>
      </w:r>
    </w:p>
    <w:sectPr w:rsidR="001635F1" w:rsidRPr="00175F51" w:rsidSect="004C4B0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AAD" w:rsidRDefault="00DC2AAD" w:rsidP="00916B67">
      <w:r>
        <w:separator/>
      </w:r>
    </w:p>
  </w:endnote>
  <w:endnote w:type="continuationSeparator" w:id="0">
    <w:p w:rsidR="00DC2AAD" w:rsidRDefault="00DC2AAD" w:rsidP="00916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AAD" w:rsidRDefault="00DC2AAD" w:rsidP="00916B67">
    <w:pPr>
      <w:pStyle w:val="Footer"/>
    </w:pPr>
    <w:bookmarkStart w:id="1" w:name="aliashAdvancedFooterprot1FooterEvenPages"/>
  </w:p>
  <w:bookmarkEnd w:id="1"/>
  <w:p w:rsidR="00DC2AAD" w:rsidRDefault="00DC2A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AAD" w:rsidRDefault="00DC2AAD" w:rsidP="00916B67">
    <w:pPr>
      <w:pStyle w:val="Footer"/>
    </w:pPr>
    <w:bookmarkStart w:id="2" w:name="aliashAdvancedFooterprotec1FooterPrimary"/>
  </w:p>
  <w:bookmarkEnd w:id="2"/>
  <w:p w:rsidR="00DC2AAD" w:rsidRDefault="00DC2A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AAD" w:rsidRDefault="00DC2AAD" w:rsidP="00916B67">
    <w:pPr>
      <w:pStyle w:val="Footer"/>
    </w:pPr>
    <w:bookmarkStart w:id="3" w:name="aliashAdvancedFooterprot1FooterFirstPage"/>
  </w:p>
  <w:bookmarkEnd w:id="3"/>
  <w:p w:rsidR="00DC2AAD" w:rsidRDefault="00DC2A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AAD" w:rsidRDefault="00DC2AAD" w:rsidP="00916B67">
      <w:r>
        <w:separator/>
      </w:r>
    </w:p>
  </w:footnote>
  <w:footnote w:type="continuationSeparator" w:id="0">
    <w:p w:rsidR="00DC2AAD" w:rsidRDefault="00DC2AAD" w:rsidP="00916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AAD" w:rsidRDefault="00DC2A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AAD" w:rsidRDefault="00DC2AAD" w:rsidP="004C4B05">
    <w:pPr>
      <w:rPr>
        <w:rFonts w:ascii="Arial" w:hAnsi="Arial" w:cs="Arial"/>
        <w:color w:val="000000"/>
      </w:rPr>
    </w:pPr>
  </w:p>
  <w:p w:rsidR="00DC2AAD" w:rsidRPr="0094070C" w:rsidRDefault="00DC2AAD" w:rsidP="004C4B05">
    <w:pPr>
      <w:rPr>
        <w:rFonts w:ascii="Arial" w:hAnsi="Arial" w:cstheme="minorBidi"/>
        <w:b/>
        <w:u w:val="single"/>
      </w:rPr>
    </w:pPr>
    <w:r w:rsidRPr="0094070C">
      <w:rPr>
        <w:rFonts w:ascii="Arial" w:hAnsi="Arial" w:cstheme="minorBidi"/>
        <w:b/>
        <w:u w:val="single"/>
      </w:rPr>
      <w:t>HCA Partner Briefing</w:t>
    </w:r>
  </w:p>
  <w:p w:rsidR="00DC2AAD" w:rsidRPr="0094070C" w:rsidRDefault="00DC2AAD" w:rsidP="004C4B05">
    <w:pPr>
      <w:rPr>
        <w:rFonts w:ascii="Arial" w:hAnsi="Arial" w:cstheme="minorBidi"/>
        <w:b/>
        <w:u w:val="single"/>
      </w:rPr>
    </w:pPr>
    <w:r w:rsidRPr="0094070C">
      <w:rPr>
        <w:rFonts w:ascii="Arial" w:hAnsi="Arial" w:cstheme="minorBidi"/>
        <w:b/>
        <w:u w:val="single"/>
      </w:rPr>
      <w:t>Second Housing Standards Review Consultation Briefing 12 September 2014</w:t>
    </w:r>
  </w:p>
  <w:p w:rsidR="00DC2AAD" w:rsidRDefault="00DC2A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AAD" w:rsidRDefault="00DC2A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7167B"/>
    <w:multiLevelType w:val="hybridMultilevel"/>
    <w:tmpl w:val="64BE3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4E7F63"/>
    <w:multiLevelType w:val="hybridMultilevel"/>
    <w:tmpl w:val="9F3A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0128E7"/>
    <w:multiLevelType w:val="hybridMultilevel"/>
    <w:tmpl w:val="B9A8E7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1921B6"/>
    <w:multiLevelType w:val="hybridMultilevel"/>
    <w:tmpl w:val="F940C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DE1355"/>
    <w:multiLevelType w:val="hybridMultilevel"/>
    <w:tmpl w:val="96584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6E3EBC"/>
    <w:multiLevelType w:val="hybridMultilevel"/>
    <w:tmpl w:val="C57A9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E52A8E"/>
    <w:multiLevelType w:val="hybridMultilevel"/>
    <w:tmpl w:val="6A5E1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4E2BD9"/>
    <w:multiLevelType w:val="hybridMultilevel"/>
    <w:tmpl w:val="F884A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E5310A4"/>
    <w:multiLevelType w:val="hybridMultilevel"/>
    <w:tmpl w:val="62A81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7"/>
  </w:num>
  <w:num w:numId="4">
    <w:abstractNumId w:val="3"/>
  </w:num>
  <w:num w:numId="5">
    <w:abstractNumId w:val="6"/>
  </w:num>
  <w:num w:numId="6">
    <w:abstractNumId w:val="5"/>
  </w:num>
  <w:num w:numId="7">
    <w:abstractNumId w:val="2"/>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B67"/>
    <w:rsid w:val="00005E14"/>
    <w:rsid w:val="0001054F"/>
    <w:rsid w:val="0001060F"/>
    <w:rsid w:val="000151C0"/>
    <w:rsid w:val="0001780F"/>
    <w:rsid w:val="00035AC3"/>
    <w:rsid w:val="000936E5"/>
    <w:rsid w:val="000A457F"/>
    <w:rsid w:val="000C25A7"/>
    <w:rsid w:val="000D31CD"/>
    <w:rsid w:val="000E32AE"/>
    <w:rsid w:val="00131A3B"/>
    <w:rsid w:val="00147A2A"/>
    <w:rsid w:val="00150241"/>
    <w:rsid w:val="0015055A"/>
    <w:rsid w:val="001635F1"/>
    <w:rsid w:val="00163A76"/>
    <w:rsid w:val="00172855"/>
    <w:rsid w:val="00175F51"/>
    <w:rsid w:val="001D0ECF"/>
    <w:rsid w:val="001F078C"/>
    <w:rsid w:val="00215A19"/>
    <w:rsid w:val="00235DEB"/>
    <w:rsid w:val="00265BAF"/>
    <w:rsid w:val="00272623"/>
    <w:rsid w:val="002872FB"/>
    <w:rsid w:val="002D19FA"/>
    <w:rsid w:val="00311778"/>
    <w:rsid w:val="003855DF"/>
    <w:rsid w:val="003A78E8"/>
    <w:rsid w:val="003F72FC"/>
    <w:rsid w:val="0040312E"/>
    <w:rsid w:val="004164DC"/>
    <w:rsid w:val="00423E79"/>
    <w:rsid w:val="00452138"/>
    <w:rsid w:val="00460B31"/>
    <w:rsid w:val="004971D6"/>
    <w:rsid w:val="004A6348"/>
    <w:rsid w:val="004C4B05"/>
    <w:rsid w:val="004E0CA5"/>
    <w:rsid w:val="005445D6"/>
    <w:rsid w:val="00554F1B"/>
    <w:rsid w:val="005577FD"/>
    <w:rsid w:val="00561F13"/>
    <w:rsid w:val="00567D11"/>
    <w:rsid w:val="005949FD"/>
    <w:rsid w:val="005B592C"/>
    <w:rsid w:val="00634611"/>
    <w:rsid w:val="00657A8F"/>
    <w:rsid w:val="00677FF7"/>
    <w:rsid w:val="006807BE"/>
    <w:rsid w:val="0069214B"/>
    <w:rsid w:val="00702067"/>
    <w:rsid w:val="007240EE"/>
    <w:rsid w:val="00793A70"/>
    <w:rsid w:val="008435D1"/>
    <w:rsid w:val="008715A7"/>
    <w:rsid w:val="008828BB"/>
    <w:rsid w:val="0088702D"/>
    <w:rsid w:val="00896538"/>
    <w:rsid w:val="008B7999"/>
    <w:rsid w:val="008C3737"/>
    <w:rsid w:val="008E2B30"/>
    <w:rsid w:val="008E50F1"/>
    <w:rsid w:val="00902FFF"/>
    <w:rsid w:val="00916B67"/>
    <w:rsid w:val="00921E1C"/>
    <w:rsid w:val="0094070C"/>
    <w:rsid w:val="00960597"/>
    <w:rsid w:val="00960B1B"/>
    <w:rsid w:val="009815C5"/>
    <w:rsid w:val="00987B33"/>
    <w:rsid w:val="00990EED"/>
    <w:rsid w:val="009B05ED"/>
    <w:rsid w:val="009B7E43"/>
    <w:rsid w:val="00A61753"/>
    <w:rsid w:val="00AA0CA9"/>
    <w:rsid w:val="00AB7AEF"/>
    <w:rsid w:val="00AC7CA1"/>
    <w:rsid w:val="00AD512A"/>
    <w:rsid w:val="00B37E3D"/>
    <w:rsid w:val="00B55F21"/>
    <w:rsid w:val="00B61184"/>
    <w:rsid w:val="00B65663"/>
    <w:rsid w:val="00B66EA4"/>
    <w:rsid w:val="00B6741F"/>
    <w:rsid w:val="00B730F0"/>
    <w:rsid w:val="00B745BD"/>
    <w:rsid w:val="00B777C9"/>
    <w:rsid w:val="00B97275"/>
    <w:rsid w:val="00BD3C67"/>
    <w:rsid w:val="00C068A7"/>
    <w:rsid w:val="00C20E67"/>
    <w:rsid w:val="00C6238F"/>
    <w:rsid w:val="00C93350"/>
    <w:rsid w:val="00CC3F50"/>
    <w:rsid w:val="00CC6FB2"/>
    <w:rsid w:val="00CE7B78"/>
    <w:rsid w:val="00CF6AC5"/>
    <w:rsid w:val="00D14CFE"/>
    <w:rsid w:val="00D55764"/>
    <w:rsid w:val="00D637CC"/>
    <w:rsid w:val="00D76323"/>
    <w:rsid w:val="00DA39CC"/>
    <w:rsid w:val="00DC2AAD"/>
    <w:rsid w:val="00DC315A"/>
    <w:rsid w:val="00E03B35"/>
    <w:rsid w:val="00E048FA"/>
    <w:rsid w:val="00E236B2"/>
    <w:rsid w:val="00E34A4B"/>
    <w:rsid w:val="00E570EC"/>
    <w:rsid w:val="00E7223B"/>
    <w:rsid w:val="00EC2DF7"/>
    <w:rsid w:val="00EC61A5"/>
    <w:rsid w:val="00EF2FC1"/>
    <w:rsid w:val="00F23A56"/>
    <w:rsid w:val="00F274CF"/>
    <w:rsid w:val="00F347F8"/>
    <w:rsid w:val="00F7798F"/>
    <w:rsid w:val="00F85C67"/>
    <w:rsid w:val="00F906E7"/>
    <w:rsid w:val="00F91600"/>
    <w:rsid w:val="00FA5203"/>
    <w:rsid w:val="00FB3657"/>
    <w:rsid w:val="00FC6964"/>
    <w:rsid w:val="00FE0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B67"/>
    <w:pPr>
      <w:spacing w:after="0" w:line="240" w:lineRule="auto"/>
    </w:pPr>
    <w:rPr>
      <w:rFonts w:ascii="Calibri" w:hAnsi="Calibri" w:cs="Calibri"/>
    </w:rPr>
  </w:style>
  <w:style w:type="paragraph" w:styleId="Heading2">
    <w:name w:val="heading 2"/>
    <w:basedOn w:val="Normal"/>
    <w:link w:val="Heading2Char"/>
    <w:uiPriority w:val="9"/>
    <w:qFormat/>
    <w:rsid w:val="00CF6AC5"/>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B67"/>
    <w:pPr>
      <w:ind w:left="720"/>
    </w:pPr>
  </w:style>
  <w:style w:type="paragraph" w:styleId="Header">
    <w:name w:val="header"/>
    <w:basedOn w:val="Normal"/>
    <w:link w:val="HeaderChar"/>
    <w:uiPriority w:val="99"/>
    <w:unhideWhenUsed/>
    <w:rsid w:val="00916B67"/>
    <w:pPr>
      <w:tabs>
        <w:tab w:val="center" w:pos="4513"/>
        <w:tab w:val="right" w:pos="9026"/>
      </w:tabs>
    </w:pPr>
  </w:style>
  <w:style w:type="character" w:customStyle="1" w:styleId="HeaderChar">
    <w:name w:val="Header Char"/>
    <w:basedOn w:val="DefaultParagraphFont"/>
    <w:link w:val="Header"/>
    <w:uiPriority w:val="99"/>
    <w:rsid w:val="00916B67"/>
    <w:rPr>
      <w:rFonts w:ascii="Calibri" w:hAnsi="Calibri" w:cs="Calibri"/>
    </w:rPr>
  </w:style>
  <w:style w:type="paragraph" w:styleId="Footer">
    <w:name w:val="footer"/>
    <w:basedOn w:val="Normal"/>
    <w:link w:val="FooterChar"/>
    <w:uiPriority w:val="99"/>
    <w:unhideWhenUsed/>
    <w:rsid w:val="00916B67"/>
    <w:pPr>
      <w:tabs>
        <w:tab w:val="center" w:pos="4513"/>
        <w:tab w:val="right" w:pos="9026"/>
      </w:tabs>
    </w:pPr>
  </w:style>
  <w:style w:type="character" w:customStyle="1" w:styleId="FooterChar">
    <w:name w:val="Footer Char"/>
    <w:basedOn w:val="DefaultParagraphFont"/>
    <w:link w:val="Footer"/>
    <w:uiPriority w:val="99"/>
    <w:rsid w:val="00916B67"/>
    <w:rPr>
      <w:rFonts w:ascii="Calibri" w:hAnsi="Calibri" w:cs="Calibri"/>
    </w:rPr>
  </w:style>
  <w:style w:type="paragraph" w:styleId="BalloonText">
    <w:name w:val="Balloon Text"/>
    <w:basedOn w:val="Normal"/>
    <w:link w:val="BalloonTextChar"/>
    <w:uiPriority w:val="99"/>
    <w:semiHidden/>
    <w:unhideWhenUsed/>
    <w:rsid w:val="000E32AE"/>
    <w:rPr>
      <w:rFonts w:ascii="Tahoma" w:hAnsi="Tahoma" w:cs="Tahoma"/>
      <w:sz w:val="16"/>
      <w:szCs w:val="16"/>
    </w:rPr>
  </w:style>
  <w:style w:type="character" w:customStyle="1" w:styleId="BalloonTextChar">
    <w:name w:val="Balloon Text Char"/>
    <w:basedOn w:val="DefaultParagraphFont"/>
    <w:link w:val="BalloonText"/>
    <w:uiPriority w:val="99"/>
    <w:semiHidden/>
    <w:rsid w:val="000E32AE"/>
    <w:rPr>
      <w:rFonts w:ascii="Tahoma" w:hAnsi="Tahoma" w:cs="Tahoma"/>
      <w:sz w:val="16"/>
      <w:szCs w:val="16"/>
    </w:rPr>
  </w:style>
  <w:style w:type="paragraph" w:customStyle="1" w:styleId="Default">
    <w:name w:val="Default"/>
    <w:rsid w:val="00F347F8"/>
    <w:pPr>
      <w:autoSpaceDE w:val="0"/>
      <w:autoSpaceDN w:val="0"/>
      <w:adjustRightInd w:val="0"/>
      <w:spacing w:after="0" w:line="240" w:lineRule="auto"/>
    </w:pPr>
    <w:rPr>
      <w:rFonts w:ascii="Arial" w:hAnsi="Arial" w:cs="Arial"/>
      <w:color w:val="000000"/>
      <w:sz w:val="24"/>
      <w:szCs w:val="24"/>
    </w:rPr>
  </w:style>
  <w:style w:type="paragraph" w:customStyle="1" w:styleId="Pa53">
    <w:name w:val="Pa5+3"/>
    <w:basedOn w:val="Default"/>
    <w:next w:val="Default"/>
    <w:uiPriority w:val="99"/>
    <w:rsid w:val="00554F1B"/>
    <w:pPr>
      <w:spacing w:line="181" w:lineRule="atLeast"/>
    </w:pPr>
    <w:rPr>
      <w:rFonts w:ascii="Frutiger 45 Light" w:hAnsi="Frutiger 45 Light" w:cstheme="minorBidi"/>
      <w:color w:val="auto"/>
    </w:rPr>
  </w:style>
  <w:style w:type="character" w:styleId="Hyperlink">
    <w:name w:val="Hyperlink"/>
    <w:basedOn w:val="DefaultParagraphFont"/>
    <w:uiPriority w:val="99"/>
    <w:unhideWhenUsed/>
    <w:rsid w:val="00F91600"/>
    <w:rPr>
      <w:color w:val="0000FF" w:themeColor="hyperlink"/>
      <w:u w:val="single"/>
    </w:rPr>
  </w:style>
  <w:style w:type="character" w:customStyle="1" w:styleId="Heading2Char">
    <w:name w:val="Heading 2 Char"/>
    <w:basedOn w:val="DefaultParagraphFont"/>
    <w:link w:val="Heading2"/>
    <w:uiPriority w:val="9"/>
    <w:rsid w:val="00CF6AC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F6AC5"/>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A5203"/>
    <w:rPr>
      <w:color w:val="800080" w:themeColor="followedHyperlink"/>
      <w:u w:val="single"/>
    </w:rPr>
  </w:style>
  <w:style w:type="character" w:styleId="CommentReference">
    <w:name w:val="annotation reference"/>
    <w:basedOn w:val="DefaultParagraphFont"/>
    <w:uiPriority w:val="99"/>
    <w:semiHidden/>
    <w:unhideWhenUsed/>
    <w:rsid w:val="003F72FC"/>
    <w:rPr>
      <w:sz w:val="16"/>
      <w:szCs w:val="16"/>
    </w:rPr>
  </w:style>
  <w:style w:type="paragraph" w:styleId="CommentText">
    <w:name w:val="annotation text"/>
    <w:basedOn w:val="Normal"/>
    <w:link w:val="CommentTextChar"/>
    <w:uiPriority w:val="99"/>
    <w:semiHidden/>
    <w:unhideWhenUsed/>
    <w:rsid w:val="003F72FC"/>
    <w:rPr>
      <w:sz w:val="20"/>
      <w:szCs w:val="20"/>
    </w:rPr>
  </w:style>
  <w:style w:type="character" w:customStyle="1" w:styleId="CommentTextChar">
    <w:name w:val="Comment Text Char"/>
    <w:basedOn w:val="DefaultParagraphFont"/>
    <w:link w:val="CommentText"/>
    <w:uiPriority w:val="99"/>
    <w:semiHidden/>
    <w:rsid w:val="003F72F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65663"/>
    <w:rPr>
      <w:b/>
      <w:bCs/>
    </w:rPr>
  </w:style>
  <w:style w:type="character" w:customStyle="1" w:styleId="CommentSubjectChar">
    <w:name w:val="Comment Subject Char"/>
    <w:basedOn w:val="CommentTextChar"/>
    <w:link w:val="CommentSubject"/>
    <w:uiPriority w:val="99"/>
    <w:semiHidden/>
    <w:rsid w:val="00B65663"/>
    <w:rPr>
      <w:rFonts w:ascii="Calibri" w:hAnsi="Calibri" w:cs="Calibri"/>
      <w:b/>
      <w:bCs/>
      <w:sz w:val="20"/>
      <w:szCs w:val="20"/>
    </w:rPr>
  </w:style>
  <w:style w:type="table" w:styleId="TableGrid">
    <w:name w:val="Table Grid"/>
    <w:basedOn w:val="TableNormal"/>
    <w:uiPriority w:val="59"/>
    <w:rsid w:val="00FC69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5577FD"/>
    <w:rPr>
      <w:sz w:val="20"/>
      <w:szCs w:val="20"/>
    </w:rPr>
  </w:style>
  <w:style w:type="character" w:customStyle="1" w:styleId="EndnoteTextChar">
    <w:name w:val="Endnote Text Char"/>
    <w:basedOn w:val="DefaultParagraphFont"/>
    <w:link w:val="EndnoteText"/>
    <w:uiPriority w:val="99"/>
    <w:semiHidden/>
    <w:rsid w:val="005577FD"/>
    <w:rPr>
      <w:rFonts w:ascii="Calibri" w:hAnsi="Calibri" w:cs="Calibri"/>
      <w:sz w:val="20"/>
      <w:szCs w:val="20"/>
    </w:rPr>
  </w:style>
  <w:style w:type="character" w:styleId="EndnoteReference">
    <w:name w:val="endnote reference"/>
    <w:basedOn w:val="DefaultParagraphFont"/>
    <w:uiPriority w:val="99"/>
    <w:semiHidden/>
    <w:unhideWhenUsed/>
    <w:rsid w:val="005577FD"/>
    <w:rPr>
      <w:vertAlign w:val="superscript"/>
    </w:rPr>
  </w:style>
  <w:style w:type="paragraph" w:styleId="Revision">
    <w:name w:val="Revision"/>
    <w:hidden/>
    <w:uiPriority w:val="99"/>
    <w:semiHidden/>
    <w:rsid w:val="00960597"/>
    <w:pPr>
      <w:spacing w:after="0" w:line="240" w:lineRule="auto"/>
    </w:pPr>
    <w:rPr>
      <w:rFonts w:ascii="Calibri" w:hAnsi="Calibri" w:cs="Calibri"/>
    </w:rPr>
  </w:style>
  <w:style w:type="paragraph" w:styleId="FootnoteText">
    <w:name w:val="footnote text"/>
    <w:basedOn w:val="Normal"/>
    <w:link w:val="FootnoteTextChar"/>
    <w:uiPriority w:val="99"/>
    <w:semiHidden/>
    <w:unhideWhenUsed/>
    <w:rsid w:val="00B730F0"/>
    <w:rPr>
      <w:sz w:val="20"/>
      <w:szCs w:val="20"/>
    </w:rPr>
  </w:style>
  <w:style w:type="character" w:customStyle="1" w:styleId="FootnoteTextChar">
    <w:name w:val="Footnote Text Char"/>
    <w:basedOn w:val="DefaultParagraphFont"/>
    <w:link w:val="FootnoteText"/>
    <w:uiPriority w:val="99"/>
    <w:semiHidden/>
    <w:rsid w:val="00B730F0"/>
    <w:rPr>
      <w:rFonts w:ascii="Calibri" w:hAnsi="Calibri" w:cs="Calibri"/>
      <w:sz w:val="20"/>
      <w:szCs w:val="20"/>
    </w:rPr>
  </w:style>
  <w:style w:type="character" w:styleId="FootnoteReference">
    <w:name w:val="footnote reference"/>
    <w:basedOn w:val="DefaultParagraphFont"/>
    <w:uiPriority w:val="99"/>
    <w:semiHidden/>
    <w:unhideWhenUsed/>
    <w:rsid w:val="00B730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B67"/>
    <w:pPr>
      <w:spacing w:after="0" w:line="240" w:lineRule="auto"/>
    </w:pPr>
    <w:rPr>
      <w:rFonts w:ascii="Calibri" w:hAnsi="Calibri" w:cs="Calibri"/>
    </w:rPr>
  </w:style>
  <w:style w:type="paragraph" w:styleId="Heading2">
    <w:name w:val="heading 2"/>
    <w:basedOn w:val="Normal"/>
    <w:link w:val="Heading2Char"/>
    <w:uiPriority w:val="9"/>
    <w:qFormat/>
    <w:rsid w:val="00CF6AC5"/>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B67"/>
    <w:pPr>
      <w:ind w:left="720"/>
    </w:pPr>
  </w:style>
  <w:style w:type="paragraph" w:styleId="Header">
    <w:name w:val="header"/>
    <w:basedOn w:val="Normal"/>
    <w:link w:val="HeaderChar"/>
    <w:uiPriority w:val="99"/>
    <w:unhideWhenUsed/>
    <w:rsid w:val="00916B67"/>
    <w:pPr>
      <w:tabs>
        <w:tab w:val="center" w:pos="4513"/>
        <w:tab w:val="right" w:pos="9026"/>
      </w:tabs>
    </w:pPr>
  </w:style>
  <w:style w:type="character" w:customStyle="1" w:styleId="HeaderChar">
    <w:name w:val="Header Char"/>
    <w:basedOn w:val="DefaultParagraphFont"/>
    <w:link w:val="Header"/>
    <w:uiPriority w:val="99"/>
    <w:rsid w:val="00916B67"/>
    <w:rPr>
      <w:rFonts w:ascii="Calibri" w:hAnsi="Calibri" w:cs="Calibri"/>
    </w:rPr>
  </w:style>
  <w:style w:type="paragraph" w:styleId="Footer">
    <w:name w:val="footer"/>
    <w:basedOn w:val="Normal"/>
    <w:link w:val="FooterChar"/>
    <w:uiPriority w:val="99"/>
    <w:unhideWhenUsed/>
    <w:rsid w:val="00916B67"/>
    <w:pPr>
      <w:tabs>
        <w:tab w:val="center" w:pos="4513"/>
        <w:tab w:val="right" w:pos="9026"/>
      </w:tabs>
    </w:pPr>
  </w:style>
  <w:style w:type="character" w:customStyle="1" w:styleId="FooterChar">
    <w:name w:val="Footer Char"/>
    <w:basedOn w:val="DefaultParagraphFont"/>
    <w:link w:val="Footer"/>
    <w:uiPriority w:val="99"/>
    <w:rsid w:val="00916B67"/>
    <w:rPr>
      <w:rFonts w:ascii="Calibri" w:hAnsi="Calibri" w:cs="Calibri"/>
    </w:rPr>
  </w:style>
  <w:style w:type="paragraph" w:styleId="BalloonText">
    <w:name w:val="Balloon Text"/>
    <w:basedOn w:val="Normal"/>
    <w:link w:val="BalloonTextChar"/>
    <w:uiPriority w:val="99"/>
    <w:semiHidden/>
    <w:unhideWhenUsed/>
    <w:rsid w:val="000E32AE"/>
    <w:rPr>
      <w:rFonts w:ascii="Tahoma" w:hAnsi="Tahoma" w:cs="Tahoma"/>
      <w:sz w:val="16"/>
      <w:szCs w:val="16"/>
    </w:rPr>
  </w:style>
  <w:style w:type="character" w:customStyle="1" w:styleId="BalloonTextChar">
    <w:name w:val="Balloon Text Char"/>
    <w:basedOn w:val="DefaultParagraphFont"/>
    <w:link w:val="BalloonText"/>
    <w:uiPriority w:val="99"/>
    <w:semiHidden/>
    <w:rsid w:val="000E32AE"/>
    <w:rPr>
      <w:rFonts w:ascii="Tahoma" w:hAnsi="Tahoma" w:cs="Tahoma"/>
      <w:sz w:val="16"/>
      <w:szCs w:val="16"/>
    </w:rPr>
  </w:style>
  <w:style w:type="paragraph" w:customStyle="1" w:styleId="Default">
    <w:name w:val="Default"/>
    <w:rsid w:val="00F347F8"/>
    <w:pPr>
      <w:autoSpaceDE w:val="0"/>
      <w:autoSpaceDN w:val="0"/>
      <w:adjustRightInd w:val="0"/>
      <w:spacing w:after="0" w:line="240" w:lineRule="auto"/>
    </w:pPr>
    <w:rPr>
      <w:rFonts w:ascii="Arial" w:hAnsi="Arial" w:cs="Arial"/>
      <w:color w:val="000000"/>
      <w:sz w:val="24"/>
      <w:szCs w:val="24"/>
    </w:rPr>
  </w:style>
  <w:style w:type="paragraph" w:customStyle="1" w:styleId="Pa53">
    <w:name w:val="Pa5+3"/>
    <w:basedOn w:val="Default"/>
    <w:next w:val="Default"/>
    <w:uiPriority w:val="99"/>
    <w:rsid w:val="00554F1B"/>
    <w:pPr>
      <w:spacing w:line="181" w:lineRule="atLeast"/>
    </w:pPr>
    <w:rPr>
      <w:rFonts w:ascii="Frutiger 45 Light" w:hAnsi="Frutiger 45 Light" w:cstheme="minorBidi"/>
      <w:color w:val="auto"/>
    </w:rPr>
  </w:style>
  <w:style w:type="character" w:styleId="Hyperlink">
    <w:name w:val="Hyperlink"/>
    <w:basedOn w:val="DefaultParagraphFont"/>
    <w:uiPriority w:val="99"/>
    <w:unhideWhenUsed/>
    <w:rsid w:val="00F91600"/>
    <w:rPr>
      <w:color w:val="0000FF" w:themeColor="hyperlink"/>
      <w:u w:val="single"/>
    </w:rPr>
  </w:style>
  <w:style w:type="character" w:customStyle="1" w:styleId="Heading2Char">
    <w:name w:val="Heading 2 Char"/>
    <w:basedOn w:val="DefaultParagraphFont"/>
    <w:link w:val="Heading2"/>
    <w:uiPriority w:val="9"/>
    <w:rsid w:val="00CF6AC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F6AC5"/>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A5203"/>
    <w:rPr>
      <w:color w:val="800080" w:themeColor="followedHyperlink"/>
      <w:u w:val="single"/>
    </w:rPr>
  </w:style>
  <w:style w:type="character" w:styleId="CommentReference">
    <w:name w:val="annotation reference"/>
    <w:basedOn w:val="DefaultParagraphFont"/>
    <w:uiPriority w:val="99"/>
    <w:semiHidden/>
    <w:unhideWhenUsed/>
    <w:rsid w:val="003F72FC"/>
    <w:rPr>
      <w:sz w:val="16"/>
      <w:szCs w:val="16"/>
    </w:rPr>
  </w:style>
  <w:style w:type="paragraph" w:styleId="CommentText">
    <w:name w:val="annotation text"/>
    <w:basedOn w:val="Normal"/>
    <w:link w:val="CommentTextChar"/>
    <w:uiPriority w:val="99"/>
    <w:semiHidden/>
    <w:unhideWhenUsed/>
    <w:rsid w:val="003F72FC"/>
    <w:rPr>
      <w:sz w:val="20"/>
      <w:szCs w:val="20"/>
    </w:rPr>
  </w:style>
  <w:style w:type="character" w:customStyle="1" w:styleId="CommentTextChar">
    <w:name w:val="Comment Text Char"/>
    <w:basedOn w:val="DefaultParagraphFont"/>
    <w:link w:val="CommentText"/>
    <w:uiPriority w:val="99"/>
    <w:semiHidden/>
    <w:rsid w:val="003F72F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65663"/>
    <w:rPr>
      <w:b/>
      <w:bCs/>
    </w:rPr>
  </w:style>
  <w:style w:type="character" w:customStyle="1" w:styleId="CommentSubjectChar">
    <w:name w:val="Comment Subject Char"/>
    <w:basedOn w:val="CommentTextChar"/>
    <w:link w:val="CommentSubject"/>
    <w:uiPriority w:val="99"/>
    <w:semiHidden/>
    <w:rsid w:val="00B65663"/>
    <w:rPr>
      <w:rFonts w:ascii="Calibri" w:hAnsi="Calibri" w:cs="Calibri"/>
      <w:b/>
      <w:bCs/>
      <w:sz w:val="20"/>
      <w:szCs w:val="20"/>
    </w:rPr>
  </w:style>
  <w:style w:type="table" w:styleId="TableGrid">
    <w:name w:val="Table Grid"/>
    <w:basedOn w:val="TableNormal"/>
    <w:uiPriority w:val="59"/>
    <w:rsid w:val="00FC69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5577FD"/>
    <w:rPr>
      <w:sz w:val="20"/>
      <w:szCs w:val="20"/>
    </w:rPr>
  </w:style>
  <w:style w:type="character" w:customStyle="1" w:styleId="EndnoteTextChar">
    <w:name w:val="Endnote Text Char"/>
    <w:basedOn w:val="DefaultParagraphFont"/>
    <w:link w:val="EndnoteText"/>
    <w:uiPriority w:val="99"/>
    <w:semiHidden/>
    <w:rsid w:val="005577FD"/>
    <w:rPr>
      <w:rFonts w:ascii="Calibri" w:hAnsi="Calibri" w:cs="Calibri"/>
      <w:sz w:val="20"/>
      <w:szCs w:val="20"/>
    </w:rPr>
  </w:style>
  <w:style w:type="character" w:styleId="EndnoteReference">
    <w:name w:val="endnote reference"/>
    <w:basedOn w:val="DefaultParagraphFont"/>
    <w:uiPriority w:val="99"/>
    <w:semiHidden/>
    <w:unhideWhenUsed/>
    <w:rsid w:val="005577FD"/>
    <w:rPr>
      <w:vertAlign w:val="superscript"/>
    </w:rPr>
  </w:style>
  <w:style w:type="paragraph" w:styleId="Revision">
    <w:name w:val="Revision"/>
    <w:hidden/>
    <w:uiPriority w:val="99"/>
    <w:semiHidden/>
    <w:rsid w:val="00960597"/>
    <w:pPr>
      <w:spacing w:after="0" w:line="240" w:lineRule="auto"/>
    </w:pPr>
    <w:rPr>
      <w:rFonts w:ascii="Calibri" w:hAnsi="Calibri" w:cs="Calibri"/>
    </w:rPr>
  </w:style>
  <w:style w:type="paragraph" w:styleId="FootnoteText">
    <w:name w:val="footnote text"/>
    <w:basedOn w:val="Normal"/>
    <w:link w:val="FootnoteTextChar"/>
    <w:uiPriority w:val="99"/>
    <w:semiHidden/>
    <w:unhideWhenUsed/>
    <w:rsid w:val="00B730F0"/>
    <w:rPr>
      <w:sz w:val="20"/>
      <w:szCs w:val="20"/>
    </w:rPr>
  </w:style>
  <w:style w:type="character" w:customStyle="1" w:styleId="FootnoteTextChar">
    <w:name w:val="Footnote Text Char"/>
    <w:basedOn w:val="DefaultParagraphFont"/>
    <w:link w:val="FootnoteText"/>
    <w:uiPriority w:val="99"/>
    <w:semiHidden/>
    <w:rsid w:val="00B730F0"/>
    <w:rPr>
      <w:rFonts w:ascii="Calibri" w:hAnsi="Calibri" w:cs="Calibri"/>
      <w:sz w:val="20"/>
      <w:szCs w:val="20"/>
    </w:rPr>
  </w:style>
  <w:style w:type="character" w:styleId="FootnoteReference">
    <w:name w:val="footnote reference"/>
    <w:basedOn w:val="DefaultParagraphFont"/>
    <w:uiPriority w:val="99"/>
    <w:semiHidden/>
    <w:unhideWhenUsed/>
    <w:rsid w:val="00B730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442400">
      <w:bodyDiv w:val="1"/>
      <w:marLeft w:val="0"/>
      <w:marRight w:val="0"/>
      <w:marTop w:val="0"/>
      <w:marBottom w:val="0"/>
      <w:divBdr>
        <w:top w:val="none" w:sz="0" w:space="0" w:color="auto"/>
        <w:left w:val="none" w:sz="0" w:space="0" w:color="auto"/>
        <w:bottom w:val="none" w:sz="0" w:space="0" w:color="auto"/>
        <w:right w:val="none" w:sz="0" w:space="0" w:color="auto"/>
      </w:divBdr>
      <w:divsChild>
        <w:div w:id="991835080">
          <w:marLeft w:val="0"/>
          <w:marRight w:val="0"/>
          <w:marTop w:val="0"/>
          <w:marBottom w:val="0"/>
          <w:divBdr>
            <w:top w:val="none" w:sz="0" w:space="0" w:color="auto"/>
            <w:left w:val="none" w:sz="0" w:space="0" w:color="auto"/>
            <w:bottom w:val="none" w:sz="0" w:space="0" w:color="auto"/>
            <w:right w:val="none" w:sz="0" w:space="0" w:color="auto"/>
          </w:divBdr>
          <w:divsChild>
            <w:div w:id="1302077323">
              <w:marLeft w:val="0"/>
              <w:marRight w:val="0"/>
              <w:marTop w:val="0"/>
              <w:marBottom w:val="0"/>
              <w:divBdr>
                <w:top w:val="none" w:sz="0" w:space="0" w:color="auto"/>
                <w:left w:val="none" w:sz="0" w:space="0" w:color="auto"/>
                <w:bottom w:val="none" w:sz="0" w:space="0" w:color="auto"/>
                <w:right w:val="none" w:sz="0" w:space="0" w:color="auto"/>
              </w:divBdr>
              <w:divsChild>
                <w:div w:id="1152721077">
                  <w:marLeft w:val="0"/>
                  <w:marRight w:val="0"/>
                  <w:marTop w:val="0"/>
                  <w:marBottom w:val="0"/>
                  <w:divBdr>
                    <w:top w:val="none" w:sz="0" w:space="0" w:color="auto"/>
                    <w:left w:val="none" w:sz="0" w:space="0" w:color="auto"/>
                    <w:bottom w:val="none" w:sz="0" w:space="0" w:color="auto"/>
                    <w:right w:val="none" w:sz="0" w:space="0" w:color="auto"/>
                  </w:divBdr>
                  <w:divsChild>
                    <w:div w:id="377777562">
                      <w:marLeft w:val="0"/>
                      <w:marRight w:val="0"/>
                      <w:marTop w:val="0"/>
                      <w:marBottom w:val="0"/>
                      <w:divBdr>
                        <w:top w:val="none" w:sz="0" w:space="0" w:color="auto"/>
                        <w:left w:val="none" w:sz="0" w:space="0" w:color="auto"/>
                        <w:bottom w:val="none" w:sz="0" w:space="0" w:color="auto"/>
                        <w:right w:val="none" w:sz="0" w:space="0" w:color="auto"/>
                      </w:divBdr>
                      <w:divsChild>
                        <w:div w:id="1297687772">
                          <w:marLeft w:val="0"/>
                          <w:marRight w:val="0"/>
                          <w:marTop w:val="0"/>
                          <w:marBottom w:val="0"/>
                          <w:divBdr>
                            <w:top w:val="none" w:sz="0" w:space="0" w:color="auto"/>
                            <w:left w:val="none" w:sz="0" w:space="0" w:color="auto"/>
                            <w:bottom w:val="none" w:sz="0" w:space="0" w:color="auto"/>
                            <w:right w:val="none" w:sz="0" w:space="0" w:color="auto"/>
                          </w:divBdr>
                          <w:divsChild>
                            <w:div w:id="341518207">
                              <w:marLeft w:val="0"/>
                              <w:marRight w:val="0"/>
                              <w:marTop w:val="0"/>
                              <w:marBottom w:val="0"/>
                              <w:divBdr>
                                <w:top w:val="none" w:sz="0" w:space="0" w:color="auto"/>
                                <w:left w:val="none" w:sz="0" w:space="0" w:color="auto"/>
                                <w:bottom w:val="none" w:sz="0" w:space="0" w:color="auto"/>
                                <w:right w:val="none" w:sz="0" w:space="0" w:color="auto"/>
                              </w:divBdr>
                              <w:divsChild>
                                <w:div w:id="59225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59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news/slashing-red-tape-to-boost-british-housebuildin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liament.uk/documents/commons-vote-office/September%202014/12%20September/3-Housing-Standards.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omesandcommunities.co.uk/ourwork/affordable-homes-programme-2015-18"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v.uk/government/news/stephen-williams-announces-plans-to-raise-housing-standard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0EFAA-F7E4-4378-94C4-D2F014F63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1388</Words>
  <Characters>7914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Simmons</dc:creator>
  <cp:lastModifiedBy>Pacian Andrews</cp:lastModifiedBy>
  <cp:revision>2</cp:revision>
  <cp:lastPrinted>2014-09-12T10:50:00Z</cp:lastPrinted>
  <dcterms:created xsi:type="dcterms:W3CDTF">2014-10-24T10:15:00Z</dcterms:created>
  <dcterms:modified xsi:type="dcterms:W3CDTF">2014-10-24T10:15:00Z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2517ebb3-dcd7-4d65-92cc-9dfb8adb88f5</vt:lpwstr>
  </property>
  <property fmtid="{D5CDD505-2E9C-101B-9397-08002B2CF9AE}" pid="3" name="HCAGPMS">
    <vt:lpwstr>OFFICIAL</vt:lpwstr>
  </property>
</Properties>
</file>