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01" w:rsidRPr="00F23B01" w:rsidRDefault="00F23B01" w:rsidP="00F23B01">
      <w:pPr>
        <w:spacing w:after="0" w:line="240" w:lineRule="auto"/>
      </w:pPr>
    </w:p>
    <w:p w:rsidR="00122C12" w:rsidRPr="00122C12" w:rsidRDefault="00122C12" w:rsidP="00122C12">
      <w:pPr>
        <w:spacing w:after="0" w:line="240" w:lineRule="auto"/>
        <w:jc w:val="center"/>
        <w:rPr>
          <w:b/>
        </w:rPr>
      </w:pPr>
      <w:r w:rsidRPr="00122C12">
        <w:rPr>
          <w:b/>
        </w:rPr>
        <w:t xml:space="preserve">FCO SPF </w:t>
      </w:r>
      <w:r>
        <w:rPr>
          <w:b/>
        </w:rPr>
        <w:t>PROJECT EVALUATION</w:t>
      </w:r>
    </w:p>
    <w:p w:rsidR="007C118F" w:rsidRDefault="007C118F" w:rsidP="001C4482">
      <w:pPr>
        <w:spacing w:after="0" w:line="240" w:lineRule="auto"/>
        <w:rPr>
          <w:b/>
          <w:u w:val="single"/>
        </w:rPr>
      </w:pPr>
    </w:p>
    <w:p w:rsidR="007C118F" w:rsidRPr="007C118F" w:rsidRDefault="007C118F" w:rsidP="001C4482">
      <w:pPr>
        <w:spacing w:after="0" w:line="240" w:lineRule="auto"/>
      </w:pPr>
      <w:r>
        <w:t>Sections 1-3</w:t>
      </w:r>
      <w:r w:rsidRPr="007C118F">
        <w:t xml:space="preserve"> to be filled out by Programme Teams</w:t>
      </w:r>
      <w:r>
        <w:t xml:space="preserve"> / Post</w:t>
      </w:r>
    </w:p>
    <w:p w:rsidR="00BE4167" w:rsidRDefault="00BE4167" w:rsidP="001C4482">
      <w:pPr>
        <w:spacing w:after="0" w:line="240" w:lineRule="auto"/>
      </w:pPr>
    </w:p>
    <w:p w:rsidR="00BE4167" w:rsidRPr="007C118F" w:rsidRDefault="00824B59" w:rsidP="007C118F">
      <w:pPr>
        <w:pStyle w:val="ListParagraph"/>
        <w:numPr>
          <w:ilvl w:val="0"/>
          <w:numId w:val="1"/>
        </w:numPr>
        <w:spacing w:after="0" w:line="240" w:lineRule="auto"/>
        <w:rPr>
          <w:b/>
        </w:rPr>
      </w:pPr>
      <w:r w:rsidRPr="007C118F">
        <w:rPr>
          <w:b/>
        </w:rPr>
        <w:t>Project Details</w:t>
      </w:r>
      <w:r w:rsidR="007C118F" w:rsidRPr="007C118F">
        <w:rPr>
          <w:b/>
        </w:rPr>
        <w:t xml:space="preserve"> </w:t>
      </w:r>
    </w:p>
    <w:tbl>
      <w:tblPr>
        <w:tblStyle w:val="TableGrid"/>
        <w:tblW w:w="0" w:type="auto"/>
        <w:tblLook w:val="04A0"/>
      </w:tblPr>
      <w:tblGrid>
        <w:gridCol w:w="3510"/>
        <w:gridCol w:w="5732"/>
      </w:tblGrid>
      <w:tr w:rsidR="00C6015B" w:rsidTr="0043665C">
        <w:tc>
          <w:tcPr>
            <w:tcW w:w="3510" w:type="dxa"/>
          </w:tcPr>
          <w:p w:rsidR="00C6015B" w:rsidRDefault="00C6015B" w:rsidP="00C6015B">
            <w:r>
              <w:t xml:space="preserve">Project Number </w:t>
            </w:r>
          </w:p>
          <w:p w:rsidR="009A2B69" w:rsidRDefault="009A2B69" w:rsidP="009A2B69"/>
        </w:tc>
        <w:tc>
          <w:tcPr>
            <w:tcW w:w="5732" w:type="dxa"/>
          </w:tcPr>
          <w:p w:rsidR="00C6015B" w:rsidRPr="008B4B2A" w:rsidRDefault="008B4B2A" w:rsidP="008B4B2A">
            <w:pPr>
              <w:rPr>
                <w:b/>
              </w:rPr>
            </w:pPr>
            <w:r w:rsidRPr="008B4B2A">
              <w:rPr>
                <w:b/>
              </w:rPr>
              <w:t>GB-3-221301 CHN</w:t>
            </w:r>
          </w:p>
        </w:tc>
      </w:tr>
      <w:tr w:rsidR="00C6015B" w:rsidTr="0043665C">
        <w:tc>
          <w:tcPr>
            <w:tcW w:w="3510" w:type="dxa"/>
          </w:tcPr>
          <w:p w:rsidR="00C6015B" w:rsidRDefault="00C6015B" w:rsidP="00C6015B">
            <w:r>
              <w:t>Project Title</w:t>
            </w:r>
          </w:p>
          <w:p w:rsidR="00C6015B" w:rsidRDefault="00C6015B" w:rsidP="001C4482"/>
        </w:tc>
        <w:tc>
          <w:tcPr>
            <w:tcW w:w="5732" w:type="dxa"/>
          </w:tcPr>
          <w:p w:rsidR="00C6015B" w:rsidRPr="008B4B2A" w:rsidRDefault="0088605F" w:rsidP="001C4482">
            <w:pPr>
              <w:rPr>
                <w:b/>
              </w:rPr>
            </w:pPr>
            <w:r w:rsidRPr="008B4B2A">
              <w:rPr>
                <w:b/>
              </w:rPr>
              <w:t>‘Use Less’: A policy approach to further reduce the death penalty</w:t>
            </w:r>
          </w:p>
        </w:tc>
      </w:tr>
      <w:tr w:rsidR="00C6015B" w:rsidTr="0043665C">
        <w:tc>
          <w:tcPr>
            <w:tcW w:w="3510" w:type="dxa"/>
          </w:tcPr>
          <w:p w:rsidR="00C6015B" w:rsidRDefault="00F23B01" w:rsidP="00F23B01">
            <w:r>
              <w:t>Project Cost (total cost / cost to FCO if different)</w:t>
            </w:r>
          </w:p>
        </w:tc>
        <w:tc>
          <w:tcPr>
            <w:tcW w:w="5732" w:type="dxa"/>
          </w:tcPr>
          <w:p w:rsidR="00C6015B" w:rsidRPr="008B4B2A" w:rsidRDefault="008B4B2A" w:rsidP="001C4482">
            <w:pPr>
              <w:rPr>
                <w:b/>
              </w:rPr>
            </w:pPr>
            <w:r w:rsidRPr="008B4B2A">
              <w:rPr>
                <w:b/>
              </w:rPr>
              <w:t>£62,254</w:t>
            </w:r>
          </w:p>
        </w:tc>
      </w:tr>
      <w:tr w:rsidR="00C6015B" w:rsidTr="0043665C">
        <w:tc>
          <w:tcPr>
            <w:tcW w:w="3510" w:type="dxa"/>
          </w:tcPr>
          <w:p w:rsidR="00C6015B" w:rsidRDefault="00C6015B" w:rsidP="00C6015B">
            <w:r>
              <w:t xml:space="preserve">Project </w:t>
            </w:r>
            <w:r w:rsidR="0043665C">
              <w:t>Start/End Dates</w:t>
            </w:r>
          </w:p>
          <w:p w:rsidR="00C6015B" w:rsidRDefault="00C6015B" w:rsidP="001C4482"/>
        </w:tc>
        <w:tc>
          <w:tcPr>
            <w:tcW w:w="5732" w:type="dxa"/>
          </w:tcPr>
          <w:p w:rsidR="00C6015B" w:rsidRPr="008B4B2A" w:rsidRDefault="00687D61" w:rsidP="001C4482">
            <w:pPr>
              <w:rPr>
                <w:b/>
              </w:rPr>
            </w:pPr>
            <w:r>
              <w:rPr>
                <w:b/>
              </w:rPr>
              <w:t>June 2012</w:t>
            </w:r>
            <w:r w:rsidR="008B4B2A" w:rsidRPr="008B4B2A">
              <w:rPr>
                <w:b/>
              </w:rPr>
              <w:t xml:space="preserve"> – February 201</w:t>
            </w:r>
            <w:r>
              <w:rPr>
                <w:b/>
              </w:rPr>
              <w:t>3</w:t>
            </w:r>
          </w:p>
        </w:tc>
      </w:tr>
      <w:tr w:rsidR="00C6015B" w:rsidTr="0043665C">
        <w:tc>
          <w:tcPr>
            <w:tcW w:w="3510" w:type="dxa"/>
          </w:tcPr>
          <w:p w:rsidR="0043665C" w:rsidRDefault="0043665C" w:rsidP="0043665C">
            <w:r>
              <w:t>Programme</w:t>
            </w:r>
          </w:p>
          <w:p w:rsidR="00C6015B" w:rsidRDefault="00C6015B" w:rsidP="0043665C"/>
        </w:tc>
        <w:tc>
          <w:tcPr>
            <w:tcW w:w="5732" w:type="dxa"/>
          </w:tcPr>
          <w:p w:rsidR="00C6015B" w:rsidRPr="008B4B2A" w:rsidRDefault="008B4B2A" w:rsidP="001C4482">
            <w:pPr>
              <w:rPr>
                <w:b/>
              </w:rPr>
            </w:pPr>
            <w:r w:rsidRPr="008B4B2A">
              <w:rPr>
                <w:b/>
              </w:rPr>
              <w:t>Human Rights and Democracy</w:t>
            </w:r>
          </w:p>
        </w:tc>
      </w:tr>
      <w:tr w:rsidR="00C6015B" w:rsidTr="0043665C">
        <w:tc>
          <w:tcPr>
            <w:tcW w:w="3510" w:type="dxa"/>
          </w:tcPr>
          <w:p w:rsidR="0043665C" w:rsidRDefault="0043665C" w:rsidP="0043665C">
            <w:r>
              <w:t>Country/Countries</w:t>
            </w:r>
          </w:p>
          <w:p w:rsidR="00C6015B" w:rsidRDefault="00C6015B" w:rsidP="001C4482"/>
        </w:tc>
        <w:tc>
          <w:tcPr>
            <w:tcW w:w="5732" w:type="dxa"/>
          </w:tcPr>
          <w:p w:rsidR="00C6015B" w:rsidRPr="008B4B2A" w:rsidRDefault="0088605F" w:rsidP="001C4482">
            <w:pPr>
              <w:rPr>
                <w:b/>
              </w:rPr>
            </w:pPr>
            <w:r w:rsidRPr="008B4B2A">
              <w:rPr>
                <w:b/>
              </w:rPr>
              <w:t>China</w:t>
            </w:r>
          </w:p>
        </w:tc>
      </w:tr>
      <w:tr w:rsidR="00C6015B" w:rsidTr="0043665C">
        <w:tc>
          <w:tcPr>
            <w:tcW w:w="3510" w:type="dxa"/>
          </w:tcPr>
          <w:p w:rsidR="0043665C" w:rsidRDefault="0043665C" w:rsidP="0043665C">
            <w:r>
              <w:t>O</w:t>
            </w:r>
            <w:r w:rsidR="007C118F">
              <w:t xml:space="preserve">fficial </w:t>
            </w:r>
            <w:r>
              <w:t>D</w:t>
            </w:r>
            <w:r w:rsidR="007C118F">
              <w:t xml:space="preserve">evelopment </w:t>
            </w:r>
            <w:r>
              <w:t>A</w:t>
            </w:r>
            <w:r w:rsidR="007C118F">
              <w:t>ssistance</w:t>
            </w:r>
            <w:r>
              <w:t xml:space="preserve">    Y/N</w:t>
            </w:r>
          </w:p>
          <w:p w:rsidR="00C6015B" w:rsidRDefault="00C6015B" w:rsidP="001C4482"/>
        </w:tc>
        <w:tc>
          <w:tcPr>
            <w:tcW w:w="5732" w:type="dxa"/>
          </w:tcPr>
          <w:p w:rsidR="00C6015B" w:rsidRPr="008B4B2A" w:rsidRDefault="008B4B2A" w:rsidP="001C4482">
            <w:pPr>
              <w:rPr>
                <w:b/>
              </w:rPr>
            </w:pPr>
            <w:r w:rsidRPr="008B4B2A">
              <w:rPr>
                <w:b/>
              </w:rPr>
              <w:t>Y</w:t>
            </w:r>
          </w:p>
        </w:tc>
      </w:tr>
    </w:tbl>
    <w:p w:rsidR="00C6015B" w:rsidRDefault="00C6015B" w:rsidP="001C4482">
      <w:pPr>
        <w:spacing w:after="0" w:line="240" w:lineRule="auto"/>
      </w:pPr>
    </w:p>
    <w:p w:rsidR="00C6015B" w:rsidRDefault="00C6015B" w:rsidP="00982CF6">
      <w:pPr>
        <w:spacing w:after="0" w:line="240" w:lineRule="auto"/>
      </w:pPr>
    </w:p>
    <w:p w:rsidR="00982CF6" w:rsidRDefault="00982CF6" w:rsidP="007C118F">
      <w:pPr>
        <w:pStyle w:val="ListParagraph"/>
        <w:numPr>
          <w:ilvl w:val="0"/>
          <w:numId w:val="1"/>
        </w:numPr>
        <w:spacing w:after="0" w:line="240" w:lineRule="auto"/>
      </w:pPr>
      <w:r w:rsidRPr="007C118F">
        <w:rPr>
          <w:b/>
        </w:rPr>
        <w:t>Project Purpose</w:t>
      </w:r>
      <w:r w:rsidR="00C6015B">
        <w:t xml:space="preserve"> </w:t>
      </w:r>
      <w:r w:rsidR="0043665C">
        <w:t>(from proposal form)</w:t>
      </w:r>
    </w:p>
    <w:tbl>
      <w:tblPr>
        <w:tblStyle w:val="TableGrid"/>
        <w:tblW w:w="0" w:type="auto"/>
        <w:tblLook w:val="04A0"/>
      </w:tblPr>
      <w:tblGrid>
        <w:gridCol w:w="9242"/>
      </w:tblGrid>
      <w:tr w:rsidR="00C6015B" w:rsidTr="00C6015B">
        <w:tc>
          <w:tcPr>
            <w:tcW w:w="9242" w:type="dxa"/>
          </w:tcPr>
          <w:p w:rsidR="00C6015B" w:rsidRDefault="0088605F" w:rsidP="00982CF6">
            <w:r>
              <w:t>To support the reduction of the death penalty application through developing guidelines on properly implementing the Chinese criminal policy of combining severity and leniency.</w:t>
            </w:r>
          </w:p>
          <w:p w:rsidR="007D4E54" w:rsidRDefault="007D4E54" w:rsidP="00982CF6"/>
        </w:tc>
      </w:tr>
    </w:tbl>
    <w:p w:rsidR="00C6015B" w:rsidRDefault="00C6015B" w:rsidP="00982CF6">
      <w:pPr>
        <w:spacing w:after="0" w:line="240" w:lineRule="auto"/>
      </w:pPr>
    </w:p>
    <w:p w:rsidR="007D4E54" w:rsidRDefault="007D4E54" w:rsidP="00982CF6">
      <w:pPr>
        <w:spacing w:after="0" w:line="240" w:lineRule="auto"/>
      </w:pPr>
    </w:p>
    <w:p w:rsidR="007D4E54" w:rsidRDefault="007D4E54" w:rsidP="00982CF6">
      <w:pPr>
        <w:spacing w:after="0" w:line="240" w:lineRule="auto"/>
      </w:pPr>
    </w:p>
    <w:p w:rsidR="001C4482" w:rsidRDefault="001C4482" w:rsidP="007C118F">
      <w:pPr>
        <w:pStyle w:val="ListParagraph"/>
        <w:numPr>
          <w:ilvl w:val="0"/>
          <w:numId w:val="1"/>
        </w:numPr>
        <w:spacing w:after="0" w:line="240" w:lineRule="auto"/>
      </w:pPr>
      <w:r w:rsidRPr="007C118F">
        <w:rPr>
          <w:b/>
        </w:rPr>
        <w:t>Project Background</w:t>
      </w:r>
      <w:r w:rsidR="00E50276" w:rsidRPr="007C118F">
        <w:rPr>
          <w:b/>
        </w:rPr>
        <w:t xml:space="preserve"> / Context</w:t>
      </w:r>
      <w:r w:rsidR="00C6015B">
        <w:t xml:space="preserve"> including what the project set out to achieve</w:t>
      </w:r>
      <w:r w:rsidR="007D4E54">
        <w:t xml:space="preserve"> (150 words max)</w:t>
      </w:r>
    </w:p>
    <w:tbl>
      <w:tblPr>
        <w:tblStyle w:val="TableGrid"/>
        <w:tblW w:w="0" w:type="auto"/>
        <w:tblLook w:val="04A0"/>
      </w:tblPr>
      <w:tblGrid>
        <w:gridCol w:w="9242"/>
      </w:tblGrid>
      <w:tr w:rsidR="00C6015B" w:rsidTr="00C6015B">
        <w:tc>
          <w:tcPr>
            <w:tcW w:w="9242" w:type="dxa"/>
          </w:tcPr>
          <w:p w:rsidR="007D4E54" w:rsidRDefault="00793E4A" w:rsidP="00793E4A">
            <w:r w:rsidRPr="00793E4A">
              <w:t xml:space="preserve">This project aims to undertake comprehensive research on the implementation of the criminal policy in capital cases and complement the clarification of criminal policy with a stricter definition of the “most serious crimes”.  </w:t>
            </w:r>
            <w:r>
              <w:t>Currently t</w:t>
            </w:r>
            <w:r w:rsidRPr="00793E4A">
              <w:t xml:space="preserve">here is a lack of consistency on the interpretation of what constitutes a serious crime.  With recommendations to the judicial authorities on the substantive standards to apply, based on research within </w:t>
            </w:r>
            <w:smartTag w:uri="urn:schemas-microsoft-com:office:smarttags" w:element="place">
              <w:smartTag w:uri="urn:schemas-microsoft-com:office:smarttags" w:element="country-region">
                <w:r w:rsidRPr="00793E4A">
                  <w:t>China</w:t>
                </w:r>
              </w:smartTag>
            </w:smartTag>
            <w:r w:rsidRPr="00793E4A">
              <w:t xml:space="preserve"> and comparative study with how these crimes are treated currently, this project will narrow the circumstances in which the death penalty can apply.  This will provide the judges hearing capital cases with effective guidelines and again has the potential to standardise, across China, the use of the death penalty only in the most exceptional circumstances. </w:t>
            </w:r>
          </w:p>
        </w:tc>
      </w:tr>
    </w:tbl>
    <w:p w:rsidR="001C4482" w:rsidRDefault="001C4482" w:rsidP="001C4482">
      <w:pPr>
        <w:spacing w:after="0" w:line="240" w:lineRule="auto"/>
      </w:pPr>
    </w:p>
    <w:p w:rsidR="001C4482" w:rsidRDefault="001C4482" w:rsidP="001C4482">
      <w:pPr>
        <w:spacing w:after="0" w:line="240" w:lineRule="auto"/>
      </w:pPr>
    </w:p>
    <w:p w:rsidR="0006138E" w:rsidRDefault="0006138E" w:rsidP="001C4482">
      <w:pPr>
        <w:spacing w:after="0" w:line="240" w:lineRule="auto"/>
      </w:pPr>
    </w:p>
    <w:p w:rsidR="00C94678" w:rsidRPr="00C94678" w:rsidRDefault="00C94678" w:rsidP="001C4482">
      <w:pPr>
        <w:pStyle w:val="ListParagraph"/>
        <w:numPr>
          <w:ilvl w:val="0"/>
          <w:numId w:val="1"/>
        </w:numPr>
        <w:spacing w:after="0" w:line="240" w:lineRule="auto"/>
      </w:pPr>
      <w:r w:rsidRPr="007C3AB5">
        <w:rPr>
          <w:b/>
        </w:rPr>
        <w:t>Evaluation summary</w:t>
      </w:r>
      <w:r>
        <w:t xml:space="preserve"> (150 words max)</w:t>
      </w:r>
    </w:p>
    <w:tbl>
      <w:tblPr>
        <w:tblStyle w:val="TableGrid"/>
        <w:tblW w:w="0" w:type="auto"/>
        <w:tblLook w:val="04A0"/>
      </w:tblPr>
      <w:tblGrid>
        <w:gridCol w:w="9242"/>
      </w:tblGrid>
      <w:tr w:rsidR="00C6015B" w:rsidTr="00C6015B">
        <w:tc>
          <w:tcPr>
            <w:tcW w:w="9242" w:type="dxa"/>
          </w:tcPr>
          <w:p w:rsidR="00C6015B" w:rsidRDefault="005A77AF" w:rsidP="00840B85">
            <w:r>
              <w:t>Clearly relevant to UK objectives. China has the 2</w:t>
            </w:r>
            <w:r w:rsidRPr="00455135">
              <w:rPr>
                <w:vertAlign w:val="superscript"/>
              </w:rPr>
              <w:t>nd</w:t>
            </w:r>
            <w:r>
              <w:t xml:space="preserve"> highest per capita execution rate in the world and is a priority country for FCO death penalty work. There’s little chance of abolition in the near future. Working with judges to develop more lenient sentencing through judicial interpretation is therefore a credible approach in line with the FCO’s Death Penalty Strategy. The UK and the EU have supported the implementer, DPRC, </w:t>
            </w:r>
            <w:r w:rsidR="00840B85">
              <w:t>for over 10 years</w:t>
            </w:r>
            <w:r>
              <w:t xml:space="preserve">. This project represented good value for money by providing the foundations for a larger EU project that followed.  The main output was developing sentencing guidelines. It’s hard to measure immediate impact. However, if the guidelines are </w:t>
            </w:r>
            <w:r>
              <w:lastRenderedPageBreak/>
              <w:t>adopted by the SPC then they will change sentencing practice and lead to a reduction in the use of the death penalty over time. There are signs of impact to come, but this will require monitoring and more open access to official data.</w:t>
            </w:r>
          </w:p>
        </w:tc>
      </w:tr>
    </w:tbl>
    <w:p w:rsidR="00B8106D" w:rsidRDefault="00B8106D" w:rsidP="00B8106D">
      <w:pPr>
        <w:pStyle w:val="ListParagraph"/>
        <w:spacing w:after="0" w:line="240" w:lineRule="auto"/>
        <w:rPr>
          <w:b/>
        </w:rPr>
      </w:pPr>
    </w:p>
    <w:p w:rsidR="00B8106D" w:rsidRDefault="00B8106D" w:rsidP="00B8106D">
      <w:pPr>
        <w:pStyle w:val="ListParagraph"/>
        <w:spacing w:after="0" w:line="240" w:lineRule="auto"/>
        <w:rPr>
          <w:b/>
        </w:rPr>
      </w:pPr>
    </w:p>
    <w:p w:rsidR="00B8106D" w:rsidRDefault="00B8106D" w:rsidP="00B8106D">
      <w:pPr>
        <w:pStyle w:val="ListParagraph"/>
        <w:spacing w:after="0" w:line="240" w:lineRule="auto"/>
        <w:rPr>
          <w:b/>
        </w:rPr>
      </w:pPr>
    </w:p>
    <w:p w:rsidR="00B8106D" w:rsidRDefault="00B8106D" w:rsidP="00B8106D">
      <w:pPr>
        <w:pStyle w:val="ListParagraph"/>
        <w:spacing w:after="0" w:line="240" w:lineRule="auto"/>
        <w:rPr>
          <w:b/>
        </w:rPr>
      </w:pPr>
    </w:p>
    <w:p w:rsidR="00B8106D" w:rsidRDefault="00B8106D" w:rsidP="00B8106D">
      <w:pPr>
        <w:pStyle w:val="ListParagraph"/>
        <w:spacing w:after="0" w:line="240" w:lineRule="auto"/>
        <w:rPr>
          <w:b/>
        </w:rPr>
      </w:pPr>
    </w:p>
    <w:p w:rsidR="00B8106D" w:rsidRPr="007C118F" w:rsidRDefault="00B8106D" w:rsidP="00B8106D">
      <w:pPr>
        <w:pStyle w:val="ListParagraph"/>
        <w:numPr>
          <w:ilvl w:val="0"/>
          <w:numId w:val="1"/>
        </w:numPr>
        <w:spacing w:after="0" w:line="240" w:lineRule="auto"/>
        <w:rPr>
          <w:b/>
        </w:rPr>
      </w:pPr>
      <w:r>
        <w:rPr>
          <w:b/>
        </w:rPr>
        <w:t>Q</w:t>
      </w:r>
      <w:r w:rsidRPr="007C118F">
        <w:rPr>
          <w:b/>
        </w:rPr>
        <w:t>uestions</w:t>
      </w:r>
    </w:p>
    <w:tbl>
      <w:tblPr>
        <w:tblStyle w:val="TableGrid"/>
        <w:tblW w:w="0" w:type="auto"/>
        <w:tblLook w:val="04A0"/>
      </w:tblPr>
      <w:tblGrid>
        <w:gridCol w:w="4644"/>
        <w:gridCol w:w="4598"/>
      </w:tblGrid>
      <w:tr w:rsidR="00B8106D" w:rsidTr="00B8106D">
        <w:tc>
          <w:tcPr>
            <w:tcW w:w="4644" w:type="dxa"/>
          </w:tcPr>
          <w:p w:rsidR="00B8106D" w:rsidRDefault="00B8106D" w:rsidP="00B8106D">
            <w:r>
              <w:t xml:space="preserve">Did the project achieve the project purpose? </w:t>
            </w:r>
          </w:p>
        </w:tc>
        <w:tc>
          <w:tcPr>
            <w:tcW w:w="4598" w:type="dxa"/>
          </w:tcPr>
          <w:p w:rsidR="00B8106D" w:rsidRDefault="0088605F" w:rsidP="00B8106D">
            <w:r>
              <w:t>Yes</w:t>
            </w:r>
          </w:p>
        </w:tc>
      </w:tr>
      <w:tr w:rsidR="00B8106D" w:rsidTr="00B8106D">
        <w:tc>
          <w:tcPr>
            <w:tcW w:w="4644" w:type="dxa"/>
          </w:tcPr>
          <w:p w:rsidR="00B8106D" w:rsidRDefault="00B8106D" w:rsidP="00B8106D">
            <w:r>
              <w:t>Did the project come in on budget? (Y/N)</w:t>
            </w:r>
          </w:p>
          <w:p w:rsidR="00B8106D" w:rsidRDefault="00B8106D" w:rsidP="00B8106D">
            <w:r>
              <w:t xml:space="preserve">If no, why and what was the difference in cost? </w:t>
            </w:r>
          </w:p>
          <w:p w:rsidR="00B8106D" w:rsidRDefault="00B8106D" w:rsidP="00B8106D"/>
        </w:tc>
        <w:tc>
          <w:tcPr>
            <w:tcW w:w="4598" w:type="dxa"/>
          </w:tcPr>
          <w:p w:rsidR="00B8106D" w:rsidRDefault="00B8106D" w:rsidP="00B8106D"/>
          <w:p w:rsidR="00B8106D" w:rsidRDefault="0088605F" w:rsidP="00B8106D">
            <w:r>
              <w:t>Yes</w:t>
            </w:r>
          </w:p>
        </w:tc>
      </w:tr>
      <w:tr w:rsidR="00B8106D" w:rsidTr="00B8106D">
        <w:tc>
          <w:tcPr>
            <w:tcW w:w="4644" w:type="dxa"/>
          </w:tcPr>
          <w:p w:rsidR="00B8106D" w:rsidRDefault="00B8106D" w:rsidP="00B8106D">
            <w:r>
              <w:t>Was the project completed on time? (Y/N)</w:t>
            </w:r>
          </w:p>
          <w:p w:rsidR="00B8106D" w:rsidRDefault="00B8106D" w:rsidP="00B8106D">
            <w:r>
              <w:t>If not, why not?</w:t>
            </w:r>
          </w:p>
        </w:tc>
        <w:tc>
          <w:tcPr>
            <w:tcW w:w="4598" w:type="dxa"/>
          </w:tcPr>
          <w:p w:rsidR="00B8106D" w:rsidRDefault="0088605F" w:rsidP="00B8106D">
            <w:r>
              <w:t>Yes</w:t>
            </w:r>
          </w:p>
        </w:tc>
      </w:tr>
      <w:tr w:rsidR="00B8106D" w:rsidTr="00B8106D">
        <w:tc>
          <w:tcPr>
            <w:tcW w:w="4644" w:type="dxa"/>
          </w:tcPr>
          <w:p w:rsidR="00B8106D" w:rsidRDefault="00B8106D" w:rsidP="00B8106D">
            <w:r>
              <w:t xml:space="preserve">Were the Project benefits sustained after project completion? </w:t>
            </w:r>
          </w:p>
        </w:tc>
        <w:tc>
          <w:tcPr>
            <w:tcW w:w="4598" w:type="dxa"/>
          </w:tcPr>
          <w:p w:rsidR="00B8106D" w:rsidRDefault="0088605F" w:rsidP="00B8106D">
            <w:r>
              <w:t>Yes</w:t>
            </w:r>
          </w:p>
        </w:tc>
      </w:tr>
    </w:tbl>
    <w:p w:rsidR="00C6015B" w:rsidRDefault="00C6015B" w:rsidP="001C4482">
      <w:pPr>
        <w:spacing w:after="0" w:line="240" w:lineRule="auto"/>
      </w:pPr>
    </w:p>
    <w:p w:rsidR="0025010F" w:rsidRDefault="00C94678" w:rsidP="0025010F">
      <w:pPr>
        <w:pStyle w:val="ListParagraph"/>
        <w:numPr>
          <w:ilvl w:val="0"/>
          <w:numId w:val="1"/>
        </w:numPr>
        <w:spacing w:after="0" w:line="240" w:lineRule="auto"/>
      </w:pPr>
      <w:r w:rsidRPr="007C3AB5">
        <w:rPr>
          <w:b/>
        </w:rPr>
        <w:t>Overall Red / Amber / Green rating</w:t>
      </w:r>
      <w:r w:rsidR="0025010F">
        <w:t xml:space="preserve"> for project </w:t>
      </w:r>
    </w:p>
    <w:p w:rsidR="00597D40" w:rsidRDefault="00597D40" w:rsidP="001C4482">
      <w:pPr>
        <w:spacing w:after="0" w:line="240" w:lineRule="auto"/>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8"/>
        <w:gridCol w:w="990"/>
        <w:gridCol w:w="450"/>
      </w:tblGrid>
      <w:tr w:rsidR="00597D40" w:rsidTr="00597D40">
        <w:trPr>
          <w:trHeight w:val="113"/>
        </w:trPr>
        <w:tc>
          <w:tcPr>
            <w:tcW w:w="2798" w:type="dxa"/>
            <w:gridSpan w:val="3"/>
            <w:shd w:val="clear" w:color="auto" w:fill="FFFFFF" w:themeFill="background1"/>
          </w:tcPr>
          <w:p w:rsidR="00597D40" w:rsidRPr="00597D40" w:rsidRDefault="00597D40" w:rsidP="00597D40">
            <w:pPr>
              <w:rPr>
                <w:sz w:val="20"/>
                <w:szCs w:val="20"/>
              </w:rPr>
            </w:pPr>
            <w:r w:rsidRPr="00597D40">
              <w:rPr>
                <w:sz w:val="20"/>
                <w:szCs w:val="20"/>
              </w:rPr>
              <w:t xml:space="preserve">Overall Rating for project (put </w:t>
            </w:r>
            <w:r w:rsidRPr="00597D40">
              <w:rPr>
                <w:b/>
                <w:sz w:val="20"/>
                <w:szCs w:val="20"/>
              </w:rPr>
              <w:t xml:space="preserve">X </w:t>
            </w:r>
            <w:r w:rsidRPr="00597D40">
              <w:rPr>
                <w:sz w:val="20"/>
                <w:szCs w:val="20"/>
              </w:rPr>
              <w:t xml:space="preserve">in relevant </w:t>
            </w:r>
            <w:r>
              <w:rPr>
                <w:sz w:val="20"/>
                <w:szCs w:val="20"/>
              </w:rPr>
              <w:t>box</w:t>
            </w:r>
            <w:r w:rsidRPr="00597D40">
              <w:rPr>
                <w:sz w:val="20"/>
                <w:szCs w:val="20"/>
              </w:rPr>
              <w:t>)</w:t>
            </w:r>
          </w:p>
        </w:tc>
      </w:tr>
      <w:tr w:rsidR="00597D40" w:rsidTr="00597D40">
        <w:trPr>
          <w:trHeight w:val="113"/>
        </w:trPr>
        <w:tc>
          <w:tcPr>
            <w:tcW w:w="2348" w:type="dxa"/>
            <w:gridSpan w:val="2"/>
            <w:shd w:val="clear" w:color="auto" w:fill="FF0000"/>
          </w:tcPr>
          <w:p w:rsidR="00597D40" w:rsidRPr="00597D40" w:rsidRDefault="00597D40" w:rsidP="00B8106D">
            <w:pPr>
              <w:ind w:left="747" w:hanging="747"/>
              <w:rPr>
                <w:rFonts w:ascii="Arial" w:hAnsi="Arial"/>
                <w:sz w:val="20"/>
                <w:szCs w:val="20"/>
              </w:rPr>
            </w:pPr>
            <w:r w:rsidRPr="00597D40">
              <w:rPr>
                <w:rFonts w:ascii="Arial" w:hAnsi="Arial"/>
                <w:sz w:val="20"/>
                <w:szCs w:val="20"/>
              </w:rPr>
              <w:t>Red</w:t>
            </w:r>
          </w:p>
        </w:tc>
        <w:tc>
          <w:tcPr>
            <w:tcW w:w="450" w:type="dxa"/>
          </w:tcPr>
          <w:p w:rsidR="00597D40" w:rsidRDefault="00597D40" w:rsidP="00B8106D">
            <w:pPr>
              <w:rPr>
                <w:rFonts w:ascii="Arial" w:hAnsi="Arial"/>
                <w:b/>
              </w:rPr>
            </w:pPr>
          </w:p>
        </w:tc>
      </w:tr>
      <w:tr w:rsidR="00597D40" w:rsidTr="00597D40">
        <w:trPr>
          <w:trHeight w:val="113"/>
        </w:trPr>
        <w:tc>
          <w:tcPr>
            <w:tcW w:w="1358" w:type="dxa"/>
            <w:shd w:val="clear" w:color="auto" w:fill="FF0000"/>
          </w:tcPr>
          <w:p w:rsidR="00597D40" w:rsidRPr="00597D40" w:rsidRDefault="00597D40" w:rsidP="00B8106D">
            <w:pPr>
              <w:rPr>
                <w:rFonts w:ascii="Arial" w:hAnsi="Arial"/>
                <w:sz w:val="20"/>
                <w:szCs w:val="20"/>
              </w:rPr>
            </w:pPr>
            <w:r w:rsidRPr="00597D40">
              <w:rPr>
                <w:rFonts w:ascii="Arial" w:hAnsi="Arial"/>
                <w:sz w:val="20"/>
                <w:szCs w:val="20"/>
              </w:rPr>
              <w:t>Red</w:t>
            </w:r>
          </w:p>
        </w:tc>
        <w:tc>
          <w:tcPr>
            <w:tcW w:w="990" w:type="dxa"/>
            <w:tcBorders>
              <w:bottom w:val="nil"/>
            </w:tcBorders>
            <w:shd w:val="clear" w:color="auto" w:fill="FFFF00"/>
          </w:tcPr>
          <w:p w:rsidR="00597D40" w:rsidRPr="00597D40" w:rsidRDefault="00597D40" w:rsidP="00B8106D">
            <w:pPr>
              <w:rPr>
                <w:rFonts w:ascii="Arial" w:hAnsi="Arial"/>
                <w:sz w:val="20"/>
                <w:szCs w:val="20"/>
              </w:rPr>
            </w:pPr>
            <w:r w:rsidRPr="00597D40">
              <w:rPr>
                <w:rFonts w:ascii="Arial" w:hAnsi="Arial"/>
                <w:sz w:val="20"/>
                <w:szCs w:val="20"/>
              </w:rPr>
              <w:t>Amber</w:t>
            </w:r>
          </w:p>
        </w:tc>
        <w:tc>
          <w:tcPr>
            <w:tcW w:w="450" w:type="dxa"/>
          </w:tcPr>
          <w:p w:rsidR="00597D40" w:rsidRDefault="00597D40" w:rsidP="00B8106D">
            <w:pPr>
              <w:rPr>
                <w:rFonts w:ascii="Arial" w:hAnsi="Arial"/>
                <w:b/>
              </w:rPr>
            </w:pPr>
          </w:p>
        </w:tc>
      </w:tr>
      <w:tr w:rsidR="00597D40" w:rsidTr="00597D40">
        <w:trPr>
          <w:trHeight w:val="113"/>
        </w:trPr>
        <w:tc>
          <w:tcPr>
            <w:tcW w:w="1358" w:type="dxa"/>
            <w:shd w:val="clear" w:color="auto" w:fill="FFFF00"/>
          </w:tcPr>
          <w:p w:rsidR="00597D40" w:rsidRPr="00597D40" w:rsidRDefault="00597D40" w:rsidP="00B8106D">
            <w:pPr>
              <w:rPr>
                <w:rFonts w:ascii="Arial" w:hAnsi="Arial"/>
                <w:sz w:val="20"/>
                <w:szCs w:val="20"/>
              </w:rPr>
            </w:pPr>
            <w:r w:rsidRPr="00597D40">
              <w:rPr>
                <w:rFonts w:ascii="Arial" w:hAnsi="Arial"/>
                <w:sz w:val="20"/>
                <w:szCs w:val="20"/>
              </w:rPr>
              <w:t>Amber</w:t>
            </w:r>
          </w:p>
        </w:tc>
        <w:tc>
          <w:tcPr>
            <w:tcW w:w="990" w:type="dxa"/>
            <w:shd w:val="clear" w:color="auto" w:fill="00FF00"/>
          </w:tcPr>
          <w:p w:rsidR="00597D40" w:rsidRPr="00597D40" w:rsidRDefault="00597D40" w:rsidP="00B8106D">
            <w:pPr>
              <w:rPr>
                <w:rFonts w:ascii="Arial" w:hAnsi="Arial"/>
                <w:sz w:val="20"/>
                <w:szCs w:val="20"/>
              </w:rPr>
            </w:pPr>
            <w:r w:rsidRPr="00597D40">
              <w:rPr>
                <w:rFonts w:ascii="Arial" w:hAnsi="Arial"/>
                <w:sz w:val="20"/>
                <w:szCs w:val="20"/>
              </w:rPr>
              <w:t>Green</w:t>
            </w:r>
          </w:p>
        </w:tc>
        <w:tc>
          <w:tcPr>
            <w:tcW w:w="450" w:type="dxa"/>
          </w:tcPr>
          <w:p w:rsidR="00597D40" w:rsidRDefault="00212C54" w:rsidP="00B8106D">
            <w:pPr>
              <w:rPr>
                <w:rFonts w:ascii="Arial" w:hAnsi="Arial"/>
                <w:b/>
              </w:rPr>
            </w:pPr>
            <w:r>
              <w:rPr>
                <w:rFonts w:ascii="Arial" w:hAnsi="Arial"/>
                <w:b/>
              </w:rPr>
              <w:t>x</w:t>
            </w:r>
          </w:p>
        </w:tc>
      </w:tr>
      <w:tr w:rsidR="00597D40" w:rsidTr="00597D40">
        <w:trPr>
          <w:trHeight w:val="113"/>
        </w:trPr>
        <w:tc>
          <w:tcPr>
            <w:tcW w:w="2348" w:type="dxa"/>
            <w:gridSpan w:val="2"/>
            <w:shd w:val="clear" w:color="auto" w:fill="00FF00"/>
          </w:tcPr>
          <w:p w:rsidR="00597D40" w:rsidRPr="00597D40" w:rsidRDefault="00597D40" w:rsidP="00B8106D">
            <w:pPr>
              <w:rPr>
                <w:rFonts w:ascii="Arial" w:hAnsi="Arial"/>
                <w:sz w:val="20"/>
                <w:szCs w:val="20"/>
              </w:rPr>
            </w:pPr>
            <w:r w:rsidRPr="00597D40">
              <w:rPr>
                <w:rFonts w:ascii="Arial" w:hAnsi="Arial"/>
                <w:sz w:val="20"/>
                <w:szCs w:val="20"/>
              </w:rPr>
              <w:t>Green</w:t>
            </w:r>
          </w:p>
        </w:tc>
        <w:tc>
          <w:tcPr>
            <w:tcW w:w="450" w:type="dxa"/>
          </w:tcPr>
          <w:p w:rsidR="00597D40" w:rsidRDefault="00597D40" w:rsidP="00B8106D">
            <w:pPr>
              <w:rPr>
                <w:rFonts w:ascii="Arial" w:hAnsi="Arial"/>
                <w:b/>
              </w:rPr>
            </w:pPr>
          </w:p>
        </w:tc>
      </w:tr>
    </w:tbl>
    <w:p w:rsidR="00597D40" w:rsidRDefault="00597D40" w:rsidP="001C4482">
      <w:pPr>
        <w:spacing w:after="0" w:line="240" w:lineRule="auto"/>
      </w:pPr>
    </w:p>
    <w:p w:rsidR="00597D40" w:rsidRPr="00597D40" w:rsidRDefault="00597D40" w:rsidP="00597D40">
      <w:pPr>
        <w:pStyle w:val="ListParagraph"/>
        <w:spacing w:after="0" w:line="240" w:lineRule="auto"/>
        <w:rPr>
          <w:u w:val="single"/>
        </w:rPr>
      </w:pPr>
      <w:r w:rsidRPr="00597D40">
        <w:rPr>
          <w:u w:val="single"/>
        </w:rPr>
        <w:t>Guide to overall rating:</w:t>
      </w:r>
    </w:p>
    <w:p w:rsidR="00597D40" w:rsidRDefault="00597D40" w:rsidP="00597D40">
      <w:pPr>
        <w:pStyle w:val="ListParagraph"/>
        <w:spacing w:after="0" w:line="240" w:lineRule="auto"/>
      </w:pPr>
      <w:r>
        <w:t>Green</w:t>
      </w:r>
      <w:proofErr w:type="gramStart"/>
      <w:r>
        <w:t>-  project</w:t>
      </w:r>
      <w:proofErr w:type="gramEnd"/>
      <w:r>
        <w:t xml:space="preserve"> </w:t>
      </w:r>
      <w:r w:rsidR="00B8106D">
        <w:t xml:space="preserve">performed well </w:t>
      </w:r>
      <w:r w:rsidR="001E4ADB">
        <w:t xml:space="preserve">under each of the </w:t>
      </w:r>
      <w:r w:rsidR="00B8106D">
        <w:t>evaluation criteria: relevance, efficiency, effectiveness, sustainability, impact and management</w:t>
      </w:r>
    </w:p>
    <w:p w:rsidR="00597D40" w:rsidRDefault="00B8106D" w:rsidP="00597D40">
      <w:pPr>
        <w:pStyle w:val="ListParagraph"/>
        <w:spacing w:after="0" w:line="240" w:lineRule="auto"/>
      </w:pPr>
      <w:r>
        <w:t xml:space="preserve">Green/Amber – project performed well </w:t>
      </w:r>
      <w:r w:rsidR="001E4ADB">
        <w:t>under</w:t>
      </w:r>
      <w:r>
        <w:t xml:space="preserve"> most criteria</w:t>
      </w:r>
      <w:r w:rsidR="001E4ADB">
        <w:t xml:space="preserve"> and adequately in others</w:t>
      </w:r>
    </w:p>
    <w:p w:rsidR="00597D40" w:rsidRDefault="00597D40" w:rsidP="00597D40">
      <w:pPr>
        <w:pStyle w:val="ListParagraph"/>
        <w:spacing w:after="0" w:line="240" w:lineRule="auto"/>
      </w:pPr>
      <w:r>
        <w:t xml:space="preserve">Amber/Red – project </w:t>
      </w:r>
      <w:r w:rsidR="00B8106D">
        <w:t xml:space="preserve">performed </w:t>
      </w:r>
      <w:r w:rsidR="001E4ADB">
        <w:t>adequately</w:t>
      </w:r>
      <w:r w:rsidR="00B8106D">
        <w:t xml:space="preserve"> </w:t>
      </w:r>
      <w:r w:rsidR="001E4ADB">
        <w:t>under</w:t>
      </w:r>
      <w:r w:rsidR="00B8106D">
        <w:t xml:space="preserve"> some criteria</w:t>
      </w:r>
      <w:r>
        <w:t xml:space="preserve"> </w:t>
      </w:r>
      <w:r w:rsidR="001E4ADB">
        <w:t>but poorly in others</w:t>
      </w:r>
    </w:p>
    <w:p w:rsidR="00597D40" w:rsidRPr="0025010F" w:rsidRDefault="00597D40" w:rsidP="00597D40">
      <w:pPr>
        <w:pStyle w:val="ListParagraph"/>
        <w:spacing w:after="0" w:line="240" w:lineRule="auto"/>
      </w:pPr>
      <w:r>
        <w:t xml:space="preserve">Red – </w:t>
      </w:r>
      <w:r w:rsidR="00B8106D">
        <w:t xml:space="preserve">project </w:t>
      </w:r>
      <w:r w:rsidR="001E4ADB">
        <w:t>performed poorly under most</w:t>
      </w:r>
      <w:r w:rsidR="00B8106D">
        <w:t xml:space="preserve"> criteria</w:t>
      </w:r>
    </w:p>
    <w:p w:rsidR="00597D40" w:rsidRDefault="00597D40" w:rsidP="001C4482">
      <w:pPr>
        <w:spacing w:after="0" w:line="240" w:lineRule="auto"/>
      </w:pPr>
    </w:p>
    <w:p w:rsidR="00F23B01" w:rsidRDefault="00F23B01" w:rsidP="001C4482">
      <w:pPr>
        <w:spacing w:after="0" w:line="240" w:lineRule="auto"/>
      </w:pPr>
    </w:p>
    <w:p w:rsidR="0043665C" w:rsidRPr="0025010F" w:rsidRDefault="00E50276" w:rsidP="001C4482">
      <w:pPr>
        <w:pStyle w:val="ListParagraph"/>
        <w:numPr>
          <w:ilvl w:val="0"/>
          <w:numId w:val="1"/>
        </w:numPr>
        <w:spacing w:after="0" w:line="240" w:lineRule="auto"/>
        <w:rPr>
          <w:b/>
        </w:rPr>
      </w:pPr>
      <w:r w:rsidRPr="0025010F">
        <w:rPr>
          <w:b/>
        </w:rPr>
        <w:t xml:space="preserve">Top 5 </w:t>
      </w:r>
      <w:r w:rsidR="001C4482" w:rsidRPr="0025010F">
        <w:rPr>
          <w:b/>
        </w:rPr>
        <w:t xml:space="preserve">Lessons learned </w:t>
      </w:r>
    </w:p>
    <w:tbl>
      <w:tblPr>
        <w:tblStyle w:val="TableGrid"/>
        <w:tblW w:w="0" w:type="auto"/>
        <w:tblLook w:val="04A0"/>
      </w:tblPr>
      <w:tblGrid>
        <w:gridCol w:w="9242"/>
      </w:tblGrid>
      <w:tr w:rsidR="0043665C" w:rsidTr="0043665C">
        <w:tc>
          <w:tcPr>
            <w:tcW w:w="9242" w:type="dxa"/>
          </w:tcPr>
          <w:p w:rsidR="0043665C" w:rsidRDefault="0043665C" w:rsidP="001C4482"/>
          <w:p w:rsidR="0043665C" w:rsidRDefault="00212C54" w:rsidP="00212C54">
            <w:pPr>
              <w:pStyle w:val="ListParagraph"/>
              <w:numPr>
                <w:ilvl w:val="0"/>
                <w:numId w:val="5"/>
              </w:numPr>
            </w:pPr>
            <w:r>
              <w:t>A relatively small project can make a significant contribution to longer term refo</w:t>
            </w:r>
            <w:r w:rsidR="00B612D8">
              <w:t>rm on sensitive issues in China if there is some political will and we choose the right partner.</w:t>
            </w:r>
          </w:p>
          <w:p w:rsidR="00B612D8" w:rsidRDefault="00B612D8" w:rsidP="00B612D8">
            <w:pPr>
              <w:pStyle w:val="ListParagraph"/>
            </w:pPr>
          </w:p>
          <w:p w:rsidR="007D4E54" w:rsidRDefault="00212C54" w:rsidP="001C4482">
            <w:pPr>
              <w:pStyle w:val="ListParagraph"/>
              <w:numPr>
                <w:ilvl w:val="0"/>
                <w:numId w:val="5"/>
              </w:numPr>
            </w:pPr>
            <w:r>
              <w:t>The one year project cycle undermines post and implementer’s efforts to deliver meaningful and sustainable results.</w:t>
            </w:r>
          </w:p>
          <w:p w:rsidR="00B612D8" w:rsidRDefault="00B612D8" w:rsidP="00B612D8">
            <w:pPr>
              <w:pStyle w:val="ListParagraph"/>
            </w:pPr>
          </w:p>
          <w:p w:rsidR="00212C54" w:rsidRDefault="00212C54" w:rsidP="001C4482">
            <w:pPr>
              <w:pStyle w:val="ListParagraph"/>
              <w:numPr>
                <w:ilvl w:val="0"/>
                <w:numId w:val="5"/>
              </w:numPr>
            </w:pPr>
            <w:r>
              <w:t xml:space="preserve">The </w:t>
            </w:r>
            <w:r>
              <w:rPr>
                <w:i/>
              </w:rPr>
              <w:t>means</w:t>
            </w:r>
            <w:r>
              <w:t xml:space="preserve"> of the project (research) is just as important as the ends (judicial guidelines), as the research deepened beneficiaries understanding of the issues, </w:t>
            </w:r>
            <w:r w:rsidR="007C0595">
              <w:t xml:space="preserve">changed attitudes and led to changes </w:t>
            </w:r>
            <w:r w:rsidR="00F268E3">
              <w:t xml:space="preserve">in </w:t>
            </w:r>
            <w:r w:rsidR="007C0595">
              <w:t>practice, even if the formal policy remained the same.</w:t>
            </w:r>
          </w:p>
          <w:p w:rsidR="00B612D8" w:rsidRDefault="00B612D8" w:rsidP="00B612D8"/>
          <w:p w:rsidR="007C0595" w:rsidRDefault="00B612D8" w:rsidP="001C4482">
            <w:pPr>
              <w:pStyle w:val="ListParagraph"/>
              <w:numPr>
                <w:ilvl w:val="0"/>
                <w:numId w:val="5"/>
              </w:numPr>
            </w:pPr>
            <w:r>
              <w:lastRenderedPageBreak/>
              <w:t>Progress is being made on reducing the use of the death penalty in China</w:t>
            </w:r>
            <w:r w:rsidR="00826749">
              <w:t xml:space="preserve"> (use has dramatically reduced, public support for the death penalty has reduced, number of capital offences has reduced)</w:t>
            </w:r>
            <w:r>
              <w:t>. However, l</w:t>
            </w:r>
            <w:r w:rsidR="007C0595">
              <w:t xml:space="preserve">ack of transparency of official data makes it very difficult to </w:t>
            </w:r>
            <w:r>
              <w:t>independently</w:t>
            </w:r>
            <w:r w:rsidR="007C0595">
              <w:t xml:space="preserve"> </w:t>
            </w:r>
            <w:r>
              <w:t xml:space="preserve">verify and accurately assess the impact of the influence of our projects.  </w:t>
            </w:r>
          </w:p>
          <w:p w:rsidR="00B612D8" w:rsidRDefault="00B612D8" w:rsidP="00B612D8"/>
          <w:p w:rsidR="0043665C" w:rsidRDefault="007C0595" w:rsidP="00826749">
            <w:pPr>
              <w:pStyle w:val="ListParagraph"/>
              <w:numPr>
                <w:ilvl w:val="0"/>
                <w:numId w:val="5"/>
              </w:numPr>
            </w:pPr>
            <w:r>
              <w:t>When taking a long term approach (5-10 years), it’s important to periodical</w:t>
            </w:r>
            <w:r w:rsidR="00F268E3">
              <w:t>ly</w:t>
            </w:r>
            <w:r>
              <w:t xml:space="preserve"> assess and test the theory of change and the progress being made.</w:t>
            </w:r>
          </w:p>
        </w:tc>
      </w:tr>
    </w:tbl>
    <w:p w:rsidR="0043665C" w:rsidRDefault="0043665C" w:rsidP="001C4482">
      <w:pPr>
        <w:spacing w:after="0" w:line="240" w:lineRule="auto"/>
      </w:pPr>
    </w:p>
    <w:p w:rsidR="00122C12" w:rsidRPr="0025010F" w:rsidRDefault="00A366DB" w:rsidP="001C4482">
      <w:pPr>
        <w:pStyle w:val="ListParagraph"/>
        <w:numPr>
          <w:ilvl w:val="0"/>
          <w:numId w:val="1"/>
        </w:numPr>
        <w:spacing w:after="0" w:line="240" w:lineRule="auto"/>
        <w:rPr>
          <w:b/>
        </w:rPr>
      </w:pPr>
      <w:r w:rsidRPr="0025010F">
        <w:rPr>
          <w:b/>
        </w:rPr>
        <w:t xml:space="preserve">Recommendations for future projects </w:t>
      </w:r>
    </w:p>
    <w:tbl>
      <w:tblPr>
        <w:tblStyle w:val="TableGrid"/>
        <w:tblW w:w="0" w:type="auto"/>
        <w:tblLook w:val="04A0"/>
      </w:tblPr>
      <w:tblGrid>
        <w:gridCol w:w="9242"/>
      </w:tblGrid>
      <w:tr w:rsidR="00A366DB" w:rsidTr="00A366DB">
        <w:tc>
          <w:tcPr>
            <w:tcW w:w="9242" w:type="dxa"/>
          </w:tcPr>
          <w:p w:rsidR="00B612D8" w:rsidRDefault="00B612D8" w:rsidP="00B612D8">
            <w:pPr>
              <w:pStyle w:val="ListParagraph"/>
            </w:pPr>
          </w:p>
          <w:p w:rsidR="00A366DB" w:rsidRDefault="00B612D8" w:rsidP="00B612D8">
            <w:pPr>
              <w:pStyle w:val="ListParagraph"/>
              <w:numPr>
                <w:ilvl w:val="0"/>
                <w:numId w:val="8"/>
              </w:numPr>
            </w:pPr>
            <w:r>
              <w:t xml:space="preserve">Continue to support the long term approaches of the Death Penalty Research Centre, but encourage them to develop in some areas, in particular: a) further develop project management skills, b) take approaches that encourage the government to be more transparent on its use of the death penalty, and, c) identify and focus on those provinces of China where the death penalty is most used to maximise the impact of their work. </w:t>
            </w:r>
          </w:p>
          <w:p w:rsidR="00B612D8" w:rsidRDefault="00B612D8" w:rsidP="00B612D8">
            <w:pPr>
              <w:pStyle w:val="ListParagraph"/>
            </w:pPr>
          </w:p>
          <w:p w:rsidR="00B612D8" w:rsidRDefault="00B612D8" w:rsidP="00F658E4">
            <w:pPr>
              <w:pStyle w:val="ListParagraph"/>
              <w:numPr>
                <w:ilvl w:val="0"/>
                <w:numId w:val="8"/>
              </w:numPr>
            </w:pPr>
            <w:r>
              <w:t>Consider whether we can support or encourage others to use public campaigning methods to generate a more informed public debate on the use of the death penalty.</w:t>
            </w:r>
          </w:p>
        </w:tc>
      </w:tr>
    </w:tbl>
    <w:p w:rsidR="00122C12" w:rsidRDefault="00122C12" w:rsidP="001C4482">
      <w:pPr>
        <w:spacing w:after="0" w:line="240" w:lineRule="auto"/>
      </w:pPr>
    </w:p>
    <w:p w:rsidR="00597D40" w:rsidRDefault="00597D40"/>
    <w:p w:rsidR="007C3AB5" w:rsidRDefault="007C3AB5" w:rsidP="007C3AB5">
      <w:pPr>
        <w:spacing w:after="0" w:line="240" w:lineRule="auto"/>
      </w:pPr>
    </w:p>
    <w:p w:rsidR="0025010F" w:rsidRDefault="0025010F" w:rsidP="007C3AB5">
      <w:pPr>
        <w:spacing w:after="0" w:line="240" w:lineRule="auto"/>
      </w:pPr>
    </w:p>
    <w:sectPr w:rsidR="0025010F" w:rsidSect="00A1299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6F7" w:rsidRDefault="002116F7" w:rsidP="003B3259">
      <w:pPr>
        <w:spacing w:after="0" w:line="240" w:lineRule="auto"/>
      </w:pPr>
      <w:r>
        <w:separator/>
      </w:r>
    </w:p>
  </w:endnote>
  <w:endnote w:type="continuationSeparator" w:id="0">
    <w:p w:rsidR="002116F7" w:rsidRDefault="002116F7" w:rsidP="003B3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ADB" w:rsidRDefault="001E4ADB">
    <w:pPr>
      <w:pStyle w:val="Footer"/>
    </w:pPr>
  </w:p>
  <w:p w:rsidR="001E4ADB" w:rsidRPr="003B3259" w:rsidRDefault="00F03022" w:rsidP="003B3259">
    <w:pPr>
      <w:pStyle w:val="Footer"/>
      <w:spacing w:before="120"/>
      <w:jc w:val="right"/>
      <w:rPr>
        <w:rFonts w:ascii="Arial" w:hAnsi="Arial" w:cs="Arial"/>
        <w:sz w:val="12"/>
      </w:rPr>
    </w:pPr>
    <w:fldSimple w:instr=" FILENAME \p \* MERGEFORMAT ">
      <w:r w:rsidR="00687D61" w:rsidRPr="00687D61">
        <w:rPr>
          <w:rFonts w:ascii="Arial" w:hAnsi="Arial" w:cs="Arial"/>
          <w:noProof/>
          <w:sz w:val="12"/>
        </w:rPr>
        <w:t>S</w:t>
      </w:r>
      <w:r w:rsidR="00687D61">
        <w:rPr>
          <w:noProof/>
        </w:rPr>
        <w:t>:\MPD\HRDD\Team - Programme and Communications\HRD Programe Fund 2013-14\Learning Lessons\Evaluations\China - September 13\Final Reports\2013 China Evaluation - Death Penalty.docx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ADB" w:rsidRDefault="001E4ADB">
    <w:pPr>
      <w:pStyle w:val="Footer"/>
    </w:pPr>
  </w:p>
  <w:p w:rsidR="001E4ADB" w:rsidRPr="003B3259" w:rsidRDefault="001E4ADB" w:rsidP="003B3259">
    <w:pPr>
      <w:pStyle w:val="Footer"/>
      <w:spacing w:before="120"/>
      <w:jc w:val="right"/>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ADB" w:rsidRDefault="001E4ADB">
    <w:pPr>
      <w:pStyle w:val="Footer"/>
    </w:pPr>
  </w:p>
  <w:p w:rsidR="001E4ADB" w:rsidRPr="003B3259" w:rsidRDefault="00F03022" w:rsidP="003B3259">
    <w:pPr>
      <w:pStyle w:val="Footer"/>
      <w:spacing w:before="120"/>
      <w:jc w:val="right"/>
      <w:rPr>
        <w:rFonts w:ascii="Arial" w:hAnsi="Arial" w:cs="Arial"/>
        <w:sz w:val="12"/>
      </w:rPr>
    </w:pPr>
    <w:fldSimple w:instr=" FILENAME \p \* MERGEFORMAT ">
      <w:r w:rsidR="00687D61" w:rsidRPr="00687D61">
        <w:rPr>
          <w:rFonts w:ascii="Arial" w:hAnsi="Arial" w:cs="Arial"/>
          <w:noProof/>
          <w:sz w:val="12"/>
        </w:rPr>
        <w:t>S</w:t>
      </w:r>
      <w:r w:rsidR="00687D61">
        <w:rPr>
          <w:noProof/>
        </w:rPr>
        <w:t>:\MPD\HRDD\Team - Programme and Communications\HRD Programe Fund 2013-14\Learning Lessons\Evaluations\China - September 13\Final Reports\2013 China Evaluation - Death Penalty.docx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6F7" w:rsidRDefault="002116F7" w:rsidP="003B3259">
      <w:pPr>
        <w:spacing w:after="0" w:line="240" w:lineRule="auto"/>
      </w:pPr>
      <w:r>
        <w:separator/>
      </w:r>
    </w:p>
  </w:footnote>
  <w:footnote w:type="continuationSeparator" w:id="0">
    <w:p w:rsidR="002116F7" w:rsidRDefault="002116F7" w:rsidP="003B32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ADB" w:rsidRDefault="001E4A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ADB" w:rsidRDefault="001E4A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ADB" w:rsidRDefault="001E4A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E0E23"/>
    <w:multiLevelType w:val="hybridMultilevel"/>
    <w:tmpl w:val="FAB48AD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6D28CD"/>
    <w:multiLevelType w:val="hybridMultilevel"/>
    <w:tmpl w:val="ED0691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8E50B4"/>
    <w:multiLevelType w:val="hybridMultilevel"/>
    <w:tmpl w:val="B8A4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BF732A"/>
    <w:multiLevelType w:val="hybridMultilevel"/>
    <w:tmpl w:val="34B45D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72FA6"/>
    <w:multiLevelType w:val="hybridMultilevel"/>
    <w:tmpl w:val="7A326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21337D"/>
    <w:multiLevelType w:val="hybridMultilevel"/>
    <w:tmpl w:val="69287C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A4498E"/>
    <w:multiLevelType w:val="hybridMultilevel"/>
    <w:tmpl w:val="43AA4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BC2E96"/>
    <w:multiLevelType w:val="hybridMultilevel"/>
    <w:tmpl w:val="DE94812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F1129B"/>
    <w:multiLevelType w:val="hybridMultilevel"/>
    <w:tmpl w:val="32E25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DE0528"/>
    <w:multiLevelType w:val="hybridMultilevel"/>
    <w:tmpl w:val="32460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4"/>
  </w:num>
  <w:num w:numId="5">
    <w:abstractNumId w:val="5"/>
  </w:num>
  <w:num w:numId="6">
    <w:abstractNumId w:val="2"/>
  </w:num>
  <w:num w:numId="7">
    <w:abstractNumId w:val="1"/>
  </w:num>
  <w:num w:numId="8">
    <w:abstractNumId w:val="7"/>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3B3259"/>
    <w:rsid w:val="000023F5"/>
    <w:rsid w:val="0002184B"/>
    <w:rsid w:val="00027F14"/>
    <w:rsid w:val="00045BE9"/>
    <w:rsid w:val="00050ACA"/>
    <w:rsid w:val="0006138E"/>
    <w:rsid w:val="00061BFC"/>
    <w:rsid w:val="00113F70"/>
    <w:rsid w:val="00122C12"/>
    <w:rsid w:val="001263CE"/>
    <w:rsid w:val="00131B30"/>
    <w:rsid w:val="0017394A"/>
    <w:rsid w:val="001C4482"/>
    <w:rsid w:val="001D2A30"/>
    <w:rsid w:val="001D317D"/>
    <w:rsid w:val="001D6699"/>
    <w:rsid w:val="001E4ADB"/>
    <w:rsid w:val="00201E3C"/>
    <w:rsid w:val="002116F7"/>
    <w:rsid w:val="00212C54"/>
    <w:rsid w:val="00243DFC"/>
    <w:rsid w:val="002452D0"/>
    <w:rsid w:val="0025010F"/>
    <w:rsid w:val="002627FA"/>
    <w:rsid w:val="00310067"/>
    <w:rsid w:val="00317B13"/>
    <w:rsid w:val="003341D8"/>
    <w:rsid w:val="003445CE"/>
    <w:rsid w:val="0036741A"/>
    <w:rsid w:val="00382EB1"/>
    <w:rsid w:val="00386D09"/>
    <w:rsid w:val="00391520"/>
    <w:rsid w:val="00396FE1"/>
    <w:rsid w:val="003B3259"/>
    <w:rsid w:val="003E15BA"/>
    <w:rsid w:val="003E4ACB"/>
    <w:rsid w:val="00411519"/>
    <w:rsid w:val="0043665C"/>
    <w:rsid w:val="00440949"/>
    <w:rsid w:val="00455135"/>
    <w:rsid w:val="00492926"/>
    <w:rsid w:val="004C6B7C"/>
    <w:rsid w:val="004F5B10"/>
    <w:rsid w:val="00531631"/>
    <w:rsid w:val="0053208B"/>
    <w:rsid w:val="00554313"/>
    <w:rsid w:val="00561636"/>
    <w:rsid w:val="00565869"/>
    <w:rsid w:val="00597D40"/>
    <w:rsid w:val="005A77AF"/>
    <w:rsid w:val="005E1F48"/>
    <w:rsid w:val="005E71CC"/>
    <w:rsid w:val="0061754E"/>
    <w:rsid w:val="006176CA"/>
    <w:rsid w:val="00617FB5"/>
    <w:rsid w:val="00622BD4"/>
    <w:rsid w:val="00627D5A"/>
    <w:rsid w:val="0063425B"/>
    <w:rsid w:val="00687D61"/>
    <w:rsid w:val="006A0D59"/>
    <w:rsid w:val="006A22DE"/>
    <w:rsid w:val="006B0DEA"/>
    <w:rsid w:val="006B2491"/>
    <w:rsid w:val="00701CF9"/>
    <w:rsid w:val="00706EB8"/>
    <w:rsid w:val="00793E4A"/>
    <w:rsid w:val="007B5DF1"/>
    <w:rsid w:val="007C0595"/>
    <w:rsid w:val="007C118F"/>
    <w:rsid w:val="007C3AB5"/>
    <w:rsid w:val="007D4E54"/>
    <w:rsid w:val="007E3C6F"/>
    <w:rsid w:val="007F2D01"/>
    <w:rsid w:val="00824B59"/>
    <w:rsid w:val="0082533A"/>
    <w:rsid w:val="00826749"/>
    <w:rsid w:val="00834DD4"/>
    <w:rsid w:val="00840B85"/>
    <w:rsid w:val="008778D0"/>
    <w:rsid w:val="0088605F"/>
    <w:rsid w:val="008B4B2A"/>
    <w:rsid w:val="008F1EE0"/>
    <w:rsid w:val="008F71F6"/>
    <w:rsid w:val="00946785"/>
    <w:rsid w:val="00982CF6"/>
    <w:rsid w:val="00996819"/>
    <w:rsid w:val="009A2B69"/>
    <w:rsid w:val="00A002ED"/>
    <w:rsid w:val="00A12997"/>
    <w:rsid w:val="00A1408A"/>
    <w:rsid w:val="00A366DB"/>
    <w:rsid w:val="00A406AC"/>
    <w:rsid w:val="00A67E4F"/>
    <w:rsid w:val="00A770A4"/>
    <w:rsid w:val="00A83658"/>
    <w:rsid w:val="00AB6C44"/>
    <w:rsid w:val="00B04889"/>
    <w:rsid w:val="00B5266D"/>
    <w:rsid w:val="00B612D8"/>
    <w:rsid w:val="00B63EA3"/>
    <w:rsid w:val="00B66439"/>
    <w:rsid w:val="00B8106D"/>
    <w:rsid w:val="00B96617"/>
    <w:rsid w:val="00BA6B3F"/>
    <w:rsid w:val="00BB2D1B"/>
    <w:rsid w:val="00BE4167"/>
    <w:rsid w:val="00BF4A17"/>
    <w:rsid w:val="00C16CB3"/>
    <w:rsid w:val="00C21CEF"/>
    <w:rsid w:val="00C37562"/>
    <w:rsid w:val="00C437F1"/>
    <w:rsid w:val="00C46653"/>
    <w:rsid w:val="00C6015B"/>
    <w:rsid w:val="00C82335"/>
    <w:rsid w:val="00C94678"/>
    <w:rsid w:val="00CB44DB"/>
    <w:rsid w:val="00CD4FD7"/>
    <w:rsid w:val="00CE6676"/>
    <w:rsid w:val="00CF7391"/>
    <w:rsid w:val="00D114F8"/>
    <w:rsid w:val="00D16B36"/>
    <w:rsid w:val="00D37320"/>
    <w:rsid w:val="00D50EA2"/>
    <w:rsid w:val="00D52718"/>
    <w:rsid w:val="00D57C76"/>
    <w:rsid w:val="00D63534"/>
    <w:rsid w:val="00D84494"/>
    <w:rsid w:val="00DA3ABD"/>
    <w:rsid w:val="00DA48AD"/>
    <w:rsid w:val="00DC5FDA"/>
    <w:rsid w:val="00E25C10"/>
    <w:rsid w:val="00E50276"/>
    <w:rsid w:val="00E6484B"/>
    <w:rsid w:val="00E833C0"/>
    <w:rsid w:val="00F03022"/>
    <w:rsid w:val="00F23759"/>
    <w:rsid w:val="00F23B01"/>
    <w:rsid w:val="00F268E3"/>
    <w:rsid w:val="00F41354"/>
    <w:rsid w:val="00F658E4"/>
    <w:rsid w:val="00F73C07"/>
    <w:rsid w:val="00FC42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97"/>
  </w:style>
  <w:style w:type="paragraph" w:styleId="Heading2">
    <w:name w:val="heading 2"/>
    <w:basedOn w:val="Normal"/>
    <w:next w:val="Normal"/>
    <w:link w:val="Heading2Char"/>
    <w:qFormat/>
    <w:rsid w:val="00597D40"/>
    <w:pPr>
      <w:keepNext/>
      <w:spacing w:after="0" w:line="240" w:lineRule="auto"/>
      <w:ind w:left="747" w:hanging="747"/>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32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3259"/>
  </w:style>
  <w:style w:type="paragraph" w:styleId="Footer">
    <w:name w:val="footer"/>
    <w:basedOn w:val="Normal"/>
    <w:link w:val="FooterChar"/>
    <w:uiPriority w:val="99"/>
    <w:semiHidden/>
    <w:unhideWhenUsed/>
    <w:rsid w:val="003B32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3259"/>
  </w:style>
  <w:style w:type="paragraph" w:styleId="BalloonText">
    <w:name w:val="Balloon Text"/>
    <w:basedOn w:val="Normal"/>
    <w:link w:val="BalloonTextChar"/>
    <w:uiPriority w:val="99"/>
    <w:semiHidden/>
    <w:unhideWhenUsed/>
    <w:rsid w:val="00C60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15B"/>
    <w:rPr>
      <w:rFonts w:ascii="Tahoma" w:hAnsi="Tahoma" w:cs="Tahoma"/>
      <w:sz w:val="16"/>
      <w:szCs w:val="16"/>
    </w:rPr>
  </w:style>
  <w:style w:type="table" w:styleId="TableGrid">
    <w:name w:val="Table Grid"/>
    <w:basedOn w:val="TableNormal"/>
    <w:uiPriority w:val="59"/>
    <w:rsid w:val="00C60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2B69"/>
    <w:rPr>
      <w:color w:val="0000FF" w:themeColor="hyperlink"/>
      <w:u w:val="single"/>
    </w:rPr>
  </w:style>
  <w:style w:type="character" w:styleId="FollowedHyperlink">
    <w:name w:val="FollowedHyperlink"/>
    <w:basedOn w:val="DefaultParagraphFont"/>
    <w:uiPriority w:val="99"/>
    <w:semiHidden/>
    <w:unhideWhenUsed/>
    <w:rsid w:val="009A2B69"/>
    <w:rPr>
      <w:color w:val="800080" w:themeColor="followedHyperlink"/>
      <w:u w:val="single"/>
    </w:rPr>
  </w:style>
  <w:style w:type="paragraph" w:styleId="ListParagraph">
    <w:name w:val="List Paragraph"/>
    <w:basedOn w:val="Normal"/>
    <w:uiPriority w:val="34"/>
    <w:qFormat/>
    <w:rsid w:val="007C118F"/>
    <w:pPr>
      <w:ind w:left="720"/>
      <w:contextualSpacing/>
    </w:pPr>
  </w:style>
  <w:style w:type="character" w:customStyle="1" w:styleId="Heading2Char">
    <w:name w:val="Heading 2 Char"/>
    <w:basedOn w:val="DefaultParagraphFont"/>
    <w:link w:val="Heading2"/>
    <w:rsid w:val="00597D40"/>
    <w:rPr>
      <w:rFonts w:ascii="Arial" w:eastAsia="Times New Roman" w:hAnsi="Arial" w:cs="Times New Roman"/>
      <w:b/>
      <w:sz w:val="24"/>
      <w:szCs w:val="20"/>
    </w:rPr>
  </w:style>
</w:styles>
</file>

<file path=word/webSettings.xml><?xml version="1.0" encoding="utf-8"?>
<w:webSettings xmlns:r="http://schemas.openxmlformats.org/officeDocument/2006/relationships" xmlns:w="http://schemas.openxmlformats.org/wordprocessingml/2006/main">
  <w:divs>
    <w:div w:id="83651955">
      <w:bodyDiv w:val="1"/>
      <w:marLeft w:val="0"/>
      <w:marRight w:val="0"/>
      <w:marTop w:val="0"/>
      <w:marBottom w:val="0"/>
      <w:divBdr>
        <w:top w:val="none" w:sz="0" w:space="0" w:color="auto"/>
        <w:left w:val="none" w:sz="0" w:space="0" w:color="auto"/>
        <w:bottom w:val="none" w:sz="0" w:space="0" w:color="auto"/>
        <w:right w:val="none" w:sz="0" w:space="0" w:color="auto"/>
      </w:divBdr>
    </w:div>
    <w:div w:id="560094877">
      <w:bodyDiv w:val="1"/>
      <w:marLeft w:val="0"/>
      <w:marRight w:val="0"/>
      <w:marTop w:val="0"/>
      <w:marBottom w:val="0"/>
      <w:divBdr>
        <w:top w:val="none" w:sz="0" w:space="0" w:color="auto"/>
        <w:left w:val="none" w:sz="0" w:space="0" w:color="auto"/>
        <w:bottom w:val="none" w:sz="0" w:space="0" w:color="auto"/>
        <w:right w:val="none" w:sz="0" w:space="0" w:color="auto"/>
      </w:divBdr>
    </w:div>
    <w:div w:id="712386555">
      <w:bodyDiv w:val="1"/>
      <w:marLeft w:val="0"/>
      <w:marRight w:val="0"/>
      <w:marTop w:val="0"/>
      <w:marBottom w:val="0"/>
      <w:divBdr>
        <w:top w:val="none" w:sz="0" w:space="0" w:color="auto"/>
        <w:left w:val="none" w:sz="0" w:space="0" w:color="auto"/>
        <w:bottom w:val="none" w:sz="0" w:space="0" w:color="auto"/>
        <w:right w:val="none" w:sz="0" w:space="0" w:color="auto"/>
      </w:divBdr>
    </w:div>
    <w:div w:id="1206059886">
      <w:bodyDiv w:val="1"/>
      <w:marLeft w:val="0"/>
      <w:marRight w:val="0"/>
      <w:marTop w:val="0"/>
      <w:marBottom w:val="0"/>
      <w:divBdr>
        <w:top w:val="none" w:sz="0" w:space="0" w:color="auto"/>
        <w:left w:val="none" w:sz="0" w:space="0" w:color="auto"/>
        <w:bottom w:val="none" w:sz="0" w:space="0" w:color="auto"/>
        <w:right w:val="none" w:sz="0" w:space="0" w:color="auto"/>
      </w:divBdr>
    </w:div>
    <w:div w:id="1920403223">
      <w:bodyDiv w:val="1"/>
      <w:marLeft w:val="0"/>
      <w:marRight w:val="0"/>
      <w:marTop w:val="0"/>
      <w:marBottom w:val="0"/>
      <w:divBdr>
        <w:top w:val="none" w:sz="0" w:space="0" w:color="auto"/>
        <w:left w:val="none" w:sz="0" w:space="0" w:color="auto"/>
        <w:bottom w:val="none" w:sz="0" w:space="0" w:color="auto"/>
        <w:right w:val="none" w:sz="0" w:space="0" w:color="auto"/>
      </w:divBdr>
    </w:div>
    <w:div w:id="1987778817">
      <w:bodyDiv w:val="1"/>
      <w:marLeft w:val="0"/>
      <w:marRight w:val="0"/>
      <w:marTop w:val="0"/>
      <w:marBottom w:val="0"/>
      <w:divBdr>
        <w:top w:val="none" w:sz="0" w:space="0" w:color="auto"/>
        <w:left w:val="none" w:sz="0" w:space="0" w:color="auto"/>
        <w:bottom w:val="none" w:sz="0" w:space="0" w:color="auto"/>
        <w:right w:val="none" w:sz="0" w:space="0" w:color="auto"/>
      </w:divBdr>
    </w:div>
    <w:div w:id="20975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evaluation form</vt:lpstr>
    </vt:vector>
  </TitlesOfParts>
  <Company>FCO</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form</dc:title>
  <dc:subject/>
  <dc:creator>acowan</dc:creator>
  <cp:keywords/>
  <cp:lastModifiedBy>acowan</cp:lastModifiedBy>
  <cp:revision>4</cp:revision>
  <cp:lastPrinted>2013-11-04T09:41:00Z</cp:lastPrinted>
  <dcterms:created xsi:type="dcterms:W3CDTF">2014-02-24T14:59:00Z</dcterms:created>
  <dcterms:modified xsi:type="dcterms:W3CDTF">2014-04-11T13:57:00Z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2013-07-04T23:00:00Z</vt:filetime>
  </property>
</Properties>
</file>