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01" w:rsidRPr="00F23B01" w:rsidRDefault="00F23B01" w:rsidP="00F23B01">
      <w:pPr>
        <w:spacing w:after="0" w:line="240" w:lineRule="auto"/>
      </w:pPr>
    </w:p>
    <w:p w:rsidR="00122C12" w:rsidRPr="00122C12" w:rsidRDefault="00122C12" w:rsidP="00122C12">
      <w:pPr>
        <w:spacing w:after="0" w:line="240" w:lineRule="auto"/>
        <w:jc w:val="center"/>
        <w:rPr>
          <w:b/>
        </w:rPr>
      </w:pPr>
      <w:r w:rsidRPr="00122C12">
        <w:rPr>
          <w:b/>
        </w:rPr>
        <w:t xml:space="preserve">FCO SPF </w:t>
      </w:r>
      <w:r>
        <w:rPr>
          <w:b/>
        </w:rPr>
        <w:t>PROJECT EVALUATION</w:t>
      </w:r>
    </w:p>
    <w:p w:rsidR="007C118F" w:rsidRDefault="007C118F" w:rsidP="001C4482">
      <w:pPr>
        <w:spacing w:after="0" w:line="240" w:lineRule="auto"/>
        <w:rPr>
          <w:b/>
          <w:u w:val="single"/>
        </w:rPr>
      </w:pPr>
    </w:p>
    <w:p w:rsidR="007C118F" w:rsidRPr="007C118F" w:rsidRDefault="007C118F" w:rsidP="001C4482">
      <w:pPr>
        <w:spacing w:after="0" w:line="240" w:lineRule="auto"/>
      </w:pPr>
      <w:r>
        <w:t>Sections 1-3</w:t>
      </w:r>
      <w:r w:rsidRPr="007C118F">
        <w:t xml:space="preserve"> to be filled out by Programme Teams</w:t>
      </w:r>
      <w:r>
        <w:t xml:space="preserve"> / Post</w:t>
      </w:r>
    </w:p>
    <w:p w:rsidR="00BE4167" w:rsidRDefault="00BE4167" w:rsidP="001C4482">
      <w:pPr>
        <w:spacing w:after="0" w:line="240" w:lineRule="auto"/>
      </w:pPr>
    </w:p>
    <w:p w:rsidR="00BE4167" w:rsidRPr="007C118F" w:rsidRDefault="00824B59" w:rsidP="007C118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C118F">
        <w:rPr>
          <w:b/>
        </w:rPr>
        <w:t>Project Details</w:t>
      </w:r>
      <w:r w:rsidR="007C118F" w:rsidRPr="007C118F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510"/>
        <w:gridCol w:w="5732"/>
      </w:tblGrid>
      <w:tr w:rsidR="00C6015B" w:rsidTr="0043665C">
        <w:tc>
          <w:tcPr>
            <w:tcW w:w="3510" w:type="dxa"/>
          </w:tcPr>
          <w:p w:rsidR="00C6015B" w:rsidRDefault="00C6015B" w:rsidP="00C6015B">
            <w:r>
              <w:t xml:space="preserve">Project Number </w:t>
            </w:r>
          </w:p>
          <w:p w:rsidR="009A2B69" w:rsidRDefault="009A2B69" w:rsidP="009A2B69"/>
        </w:tc>
        <w:tc>
          <w:tcPr>
            <w:tcW w:w="5732" w:type="dxa"/>
          </w:tcPr>
          <w:p w:rsidR="00C6015B" w:rsidRPr="00E446F8" w:rsidRDefault="00E446F8" w:rsidP="001C4482">
            <w:pPr>
              <w:rPr>
                <w:b/>
              </w:rPr>
            </w:pPr>
            <w:r w:rsidRPr="00E446F8">
              <w:rPr>
                <w:b/>
              </w:rPr>
              <w:t>GB-3-331301</w:t>
            </w:r>
            <w:r>
              <w:rPr>
                <w:b/>
              </w:rPr>
              <w:t>-CHN</w:t>
            </w:r>
          </w:p>
        </w:tc>
      </w:tr>
      <w:tr w:rsidR="00C6015B" w:rsidTr="0043665C">
        <w:tc>
          <w:tcPr>
            <w:tcW w:w="3510" w:type="dxa"/>
          </w:tcPr>
          <w:p w:rsidR="00C6015B" w:rsidRDefault="00C6015B" w:rsidP="00C6015B">
            <w:r>
              <w:t>Project Title</w:t>
            </w:r>
          </w:p>
          <w:p w:rsidR="00C6015B" w:rsidRDefault="00C6015B" w:rsidP="001C4482"/>
        </w:tc>
        <w:tc>
          <w:tcPr>
            <w:tcW w:w="5732" w:type="dxa"/>
          </w:tcPr>
          <w:p w:rsidR="00C6015B" w:rsidRPr="00E446F8" w:rsidRDefault="00ED3C60" w:rsidP="001C4482">
            <w:pPr>
              <w:rPr>
                <w:b/>
              </w:rPr>
            </w:pPr>
            <w:r w:rsidRPr="00E446F8">
              <w:rPr>
                <w:b/>
              </w:rPr>
              <w:t>Human Rights in the Chinese Textile Industry</w:t>
            </w:r>
          </w:p>
        </w:tc>
      </w:tr>
      <w:tr w:rsidR="00C6015B" w:rsidTr="0043665C">
        <w:tc>
          <w:tcPr>
            <w:tcW w:w="3510" w:type="dxa"/>
          </w:tcPr>
          <w:p w:rsidR="00C6015B" w:rsidRDefault="00F23B01" w:rsidP="00F23B01">
            <w:r>
              <w:t>Project Cost (total cost / cost to FCO if different)</w:t>
            </w:r>
          </w:p>
        </w:tc>
        <w:tc>
          <w:tcPr>
            <w:tcW w:w="5732" w:type="dxa"/>
          </w:tcPr>
          <w:p w:rsidR="00C6015B" w:rsidRPr="00E446F8" w:rsidRDefault="00E446F8" w:rsidP="001C4482">
            <w:pPr>
              <w:rPr>
                <w:b/>
              </w:rPr>
            </w:pPr>
            <w:r w:rsidRPr="00E446F8">
              <w:rPr>
                <w:b/>
              </w:rPr>
              <w:t>£120,990</w:t>
            </w:r>
          </w:p>
        </w:tc>
      </w:tr>
      <w:tr w:rsidR="0049380C" w:rsidTr="0043665C">
        <w:tc>
          <w:tcPr>
            <w:tcW w:w="3510" w:type="dxa"/>
          </w:tcPr>
          <w:p w:rsidR="0049380C" w:rsidRDefault="0049380C" w:rsidP="00C6015B">
            <w:r>
              <w:t>Project Start/End Dates</w:t>
            </w:r>
          </w:p>
          <w:p w:rsidR="0049380C" w:rsidRDefault="0049380C" w:rsidP="001C4482"/>
        </w:tc>
        <w:tc>
          <w:tcPr>
            <w:tcW w:w="5732" w:type="dxa"/>
          </w:tcPr>
          <w:p w:rsidR="0049380C" w:rsidRPr="00E446F8" w:rsidRDefault="0049380C">
            <w:pPr>
              <w:rPr>
                <w:b/>
              </w:rPr>
            </w:pPr>
            <w:r w:rsidRPr="00E446F8">
              <w:rPr>
                <w:b/>
              </w:rPr>
              <w:t>June 12 – February 13</w:t>
            </w:r>
          </w:p>
        </w:tc>
      </w:tr>
      <w:tr w:rsidR="0049380C" w:rsidTr="0043665C">
        <w:tc>
          <w:tcPr>
            <w:tcW w:w="3510" w:type="dxa"/>
          </w:tcPr>
          <w:p w:rsidR="0049380C" w:rsidRDefault="0049380C" w:rsidP="0043665C">
            <w:r>
              <w:t>Programme</w:t>
            </w:r>
          </w:p>
          <w:p w:rsidR="0049380C" w:rsidRDefault="0049380C" w:rsidP="0043665C"/>
        </w:tc>
        <w:tc>
          <w:tcPr>
            <w:tcW w:w="5732" w:type="dxa"/>
          </w:tcPr>
          <w:p w:rsidR="0049380C" w:rsidRPr="00E446F8" w:rsidRDefault="0049380C">
            <w:pPr>
              <w:rPr>
                <w:b/>
              </w:rPr>
            </w:pPr>
            <w:r w:rsidRPr="00E446F8">
              <w:rPr>
                <w:b/>
              </w:rPr>
              <w:t>Human Rights and Democracy</w:t>
            </w:r>
          </w:p>
        </w:tc>
      </w:tr>
      <w:tr w:rsidR="0049380C" w:rsidTr="0043665C">
        <w:tc>
          <w:tcPr>
            <w:tcW w:w="3510" w:type="dxa"/>
          </w:tcPr>
          <w:p w:rsidR="0049380C" w:rsidRDefault="0049380C" w:rsidP="0043665C">
            <w:r>
              <w:t>Country/Countries</w:t>
            </w:r>
          </w:p>
          <w:p w:rsidR="0049380C" w:rsidRDefault="0049380C" w:rsidP="001C4482"/>
        </w:tc>
        <w:tc>
          <w:tcPr>
            <w:tcW w:w="5732" w:type="dxa"/>
          </w:tcPr>
          <w:p w:rsidR="0049380C" w:rsidRPr="00E446F8" w:rsidRDefault="0049380C">
            <w:pPr>
              <w:rPr>
                <w:b/>
              </w:rPr>
            </w:pPr>
            <w:r w:rsidRPr="00E446F8">
              <w:rPr>
                <w:b/>
              </w:rPr>
              <w:t>China</w:t>
            </w:r>
          </w:p>
        </w:tc>
      </w:tr>
      <w:tr w:rsidR="0049380C" w:rsidTr="0043665C">
        <w:tc>
          <w:tcPr>
            <w:tcW w:w="3510" w:type="dxa"/>
          </w:tcPr>
          <w:p w:rsidR="0049380C" w:rsidRDefault="0049380C" w:rsidP="0043665C">
            <w:r>
              <w:t>Official Development Assistance    Y/N</w:t>
            </w:r>
          </w:p>
          <w:p w:rsidR="0049380C" w:rsidRDefault="0049380C" w:rsidP="001C4482"/>
        </w:tc>
        <w:tc>
          <w:tcPr>
            <w:tcW w:w="5732" w:type="dxa"/>
          </w:tcPr>
          <w:p w:rsidR="0049380C" w:rsidRPr="00E446F8" w:rsidRDefault="0049380C">
            <w:pPr>
              <w:rPr>
                <w:b/>
              </w:rPr>
            </w:pPr>
            <w:r w:rsidRPr="00E446F8">
              <w:rPr>
                <w:b/>
              </w:rPr>
              <w:t>Y</w:t>
            </w:r>
          </w:p>
        </w:tc>
      </w:tr>
    </w:tbl>
    <w:p w:rsidR="00C6015B" w:rsidRDefault="00C6015B" w:rsidP="001C4482">
      <w:pPr>
        <w:spacing w:after="0" w:line="240" w:lineRule="auto"/>
      </w:pPr>
    </w:p>
    <w:p w:rsidR="00C6015B" w:rsidRDefault="00C6015B" w:rsidP="00982CF6">
      <w:pPr>
        <w:spacing w:after="0" w:line="240" w:lineRule="auto"/>
      </w:pPr>
    </w:p>
    <w:p w:rsidR="00982CF6" w:rsidRDefault="00982CF6" w:rsidP="007C118F">
      <w:pPr>
        <w:pStyle w:val="ListParagraph"/>
        <w:numPr>
          <w:ilvl w:val="0"/>
          <w:numId w:val="1"/>
        </w:numPr>
        <w:spacing w:after="0" w:line="240" w:lineRule="auto"/>
      </w:pPr>
      <w:r w:rsidRPr="007C118F">
        <w:rPr>
          <w:b/>
        </w:rPr>
        <w:t>Project Purpose</w:t>
      </w:r>
      <w:r w:rsidR="00C6015B">
        <w:t xml:space="preserve"> </w:t>
      </w:r>
      <w:r w:rsidR="0043665C">
        <w:t>(from proposal form)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6015B" w:rsidTr="00C6015B">
        <w:tc>
          <w:tcPr>
            <w:tcW w:w="9242" w:type="dxa"/>
          </w:tcPr>
          <w:p w:rsidR="007D4E54" w:rsidRDefault="00E446F8" w:rsidP="00E446F8">
            <w:r w:rsidRPr="00E446F8">
              <w:t xml:space="preserve">Raising awareness and promoting implementation of the </w:t>
            </w:r>
            <w:proofErr w:type="spellStart"/>
            <w:r w:rsidRPr="00E446F8">
              <w:t>Ruggie</w:t>
            </w:r>
            <w:proofErr w:type="spellEnd"/>
            <w:r w:rsidRPr="00E446F8">
              <w:t xml:space="preserve"> Principle</w:t>
            </w:r>
            <w:r>
              <w:t>s in the Chinese textile sector.</w:t>
            </w:r>
          </w:p>
        </w:tc>
      </w:tr>
    </w:tbl>
    <w:p w:rsidR="00C6015B" w:rsidRDefault="00C6015B" w:rsidP="00982CF6">
      <w:pPr>
        <w:spacing w:after="0" w:line="240" w:lineRule="auto"/>
      </w:pPr>
    </w:p>
    <w:p w:rsidR="007D4E54" w:rsidRDefault="007D4E54" w:rsidP="00982CF6">
      <w:pPr>
        <w:spacing w:after="0" w:line="240" w:lineRule="auto"/>
      </w:pPr>
    </w:p>
    <w:p w:rsidR="007D4E54" w:rsidRDefault="007D4E54" w:rsidP="00982CF6">
      <w:pPr>
        <w:spacing w:after="0" w:line="240" w:lineRule="auto"/>
      </w:pPr>
    </w:p>
    <w:p w:rsidR="001C4482" w:rsidRDefault="001C4482" w:rsidP="007C118F">
      <w:pPr>
        <w:pStyle w:val="ListParagraph"/>
        <w:numPr>
          <w:ilvl w:val="0"/>
          <w:numId w:val="1"/>
        </w:numPr>
        <w:spacing w:after="0" w:line="240" w:lineRule="auto"/>
      </w:pPr>
      <w:r w:rsidRPr="007C118F">
        <w:rPr>
          <w:b/>
        </w:rPr>
        <w:t>Project Background</w:t>
      </w:r>
      <w:r w:rsidR="00E50276" w:rsidRPr="007C118F">
        <w:rPr>
          <w:b/>
        </w:rPr>
        <w:t xml:space="preserve"> / Context</w:t>
      </w:r>
      <w:r w:rsidR="00C6015B">
        <w:t xml:space="preserve"> including what the project set out to achieve</w:t>
      </w:r>
      <w:r w:rsidR="007D4E54">
        <w:t xml:space="preserve"> (150 words max)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6015B" w:rsidTr="00C6015B">
        <w:tc>
          <w:tcPr>
            <w:tcW w:w="9242" w:type="dxa"/>
          </w:tcPr>
          <w:p w:rsidR="007D4E54" w:rsidRDefault="00E446F8" w:rsidP="00E446F8">
            <w:r w:rsidRPr="00E446F8">
              <w:t xml:space="preserve">This project seeks to promote the international human rights standards reflected in the </w:t>
            </w:r>
            <w:proofErr w:type="spellStart"/>
            <w:r w:rsidRPr="00E446F8">
              <w:t>Ruggie</w:t>
            </w:r>
            <w:proofErr w:type="spellEnd"/>
            <w:r w:rsidRPr="00E446F8">
              <w:t xml:space="preserve"> Principles by exploring the obstacles to and potential for establishing grievance procedures in the Chinese textile i</w:t>
            </w:r>
            <w:r>
              <w:t xml:space="preserve">ndustry and its governing body. </w:t>
            </w:r>
            <w:r w:rsidRPr="00E446F8">
              <w:t xml:space="preserve">The outcome of the project will be a set of specific management action points in the form of ‘Grievance Procedures’ that can be introduced to both the textile sector and other sectors in China.  </w:t>
            </w:r>
          </w:p>
        </w:tc>
      </w:tr>
    </w:tbl>
    <w:p w:rsidR="001C4482" w:rsidRDefault="001C4482" w:rsidP="001C4482">
      <w:pPr>
        <w:spacing w:after="0" w:line="240" w:lineRule="auto"/>
      </w:pPr>
    </w:p>
    <w:p w:rsidR="001C4482" w:rsidRDefault="001C4482" w:rsidP="001C4482">
      <w:pPr>
        <w:spacing w:after="0" w:line="240" w:lineRule="auto"/>
      </w:pPr>
    </w:p>
    <w:p w:rsidR="0006138E" w:rsidRDefault="0006138E" w:rsidP="001C4482">
      <w:pPr>
        <w:spacing w:after="0" w:line="240" w:lineRule="auto"/>
      </w:pPr>
    </w:p>
    <w:p w:rsidR="00C94678" w:rsidRPr="00C94678" w:rsidRDefault="00C94678" w:rsidP="001C4482">
      <w:pPr>
        <w:pStyle w:val="ListParagraph"/>
        <w:numPr>
          <w:ilvl w:val="0"/>
          <w:numId w:val="1"/>
        </w:numPr>
        <w:spacing w:after="0" w:line="240" w:lineRule="auto"/>
      </w:pPr>
      <w:r w:rsidRPr="007C3AB5">
        <w:rPr>
          <w:b/>
        </w:rPr>
        <w:t>Evaluation summary</w:t>
      </w:r>
      <w:r>
        <w:t xml:space="preserve"> (150 words max)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6015B" w:rsidTr="00C6015B">
        <w:tc>
          <w:tcPr>
            <w:tcW w:w="9242" w:type="dxa"/>
          </w:tcPr>
          <w:p w:rsidR="00FA692E" w:rsidRDefault="00005AD8" w:rsidP="00521811">
            <w:r>
              <w:t xml:space="preserve">As the </w:t>
            </w:r>
            <w:r w:rsidR="008D2654">
              <w:t xml:space="preserve">first </w:t>
            </w:r>
            <w:r w:rsidR="00361596">
              <w:t>substantial project on business and h</w:t>
            </w:r>
            <w:r w:rsidR="008D2654">
              <w:t>uman</w:t>
            </w:r>
            <w:r w:rsidR="00361596">
              <w:t xml:space="preserve"> r</w:t>
            </w:r>
            <w:r w:rsidR="005A13AE">
              <w:t>ights</w:t>
            </w:r>
            <w:r>
              <w:t xml:space="preserve">, </w:t>
            </w:r>
            <w:r w:rsidR="008D2654">
              <w:t>post took a bold risk i</w:t>
            </w:r>
            <w:r w:rsidR="005A13AE">
              <w:t>n a difficult country and issue</w:t>
            </w:r>
            <w:r w:rsidR="008D2654">
              <w:t xml:space="preserve">. This risk paid off as no major political issues arose. </w:t>
            </w:r>
            <w:r w:rsidR="00FA692E">
              <w:t xml:space="preserve">While the project was over-ambitious in </w:t>
            </w:r>
            <w:r w:rsidR="008D2654">
              <w:t>design</w:t>
            </w:r>
            <w:r w:rsidR="00FA692E">
              <w:t>, it did develop</w:t>
            </w:r>
            <w:r w:rsidR="008E2DB5">
              <w:t xml:space="preserve"> practical</w:t>
            </w:r>
            <w:r w:rsidR="00FA692E">
              <w:t xml:space="preserve"> evidence-based </w:t>
            </w:r>
            <w:r w:rsidR="00361596">
              <w:t xml:space="preserve">grievance </w:t>
            </w:r>
            <w:r w:rsidR="008E2DB5">
              <w:t>procedures</w:t>
            </w:r>
            <w:r w:rsidR="00FA692E">
              <w:t xml:space="preserve"> to </w:t>
            </w:r>
            <w:r w:rsidR="008E2DB5">
              <w:t xml:space="preserve">pilot and </w:t>
            </w:r>
            <w:r w:rsidR="00FA692E">
              <w:t>pus</w:t>
            </w:r>
            <w:r w:rsidR="005A13AE">
              <w:t xml:space="preserve">h recommendations </w:t>
            </w:r>
            <w:r w:rsidR="00361596">
              <w:t>to</w:t>
            </w:r>
            <w:r w:rsidR="00FA692E">
              <w:t xml:space="preserve"> CNTAC</w:t>
            </w:r>
            <w:r w:rsidR="00361596">
              <w:t>, the representative body for the textile industry in China</w:t>
            </w:r>
            <w:r w:rsidR="00FA692E">
              <w:t xml:space="preserve">. </w:t>
            </w:r>
            <w:r w:rsidR="00DE23E9">
              <w:t>W</w:t>
            </w:r>
            <w:r w:rsidR="00FA692E">
              <w:t xml:space="preserve">hile it can’t be said to have had </w:t>
            </w:r>
            <w:r>
              <w:t xml:space="preserve">full </w:t>
            </w:r>
            <w:r w:rsidR="00FA692E">
              <w:t>sustainable impact</w:t>
            </w:r>
            <w:r>
              <w:t xml:space="preserve"> and stakeholder reach-out </w:t>
            </w:r>
            <w:r w:rsidR="00361596">
              <w:t>to the extent</w:t>
            </w:r>
            <w:r>
              <w:t xml:space="preserve"> hoped, </w:t>
            </w:r>
            <w:r w:rsidR="008D2654">
              <w:t>the project</w:t>
            </w:r>
            <w:r w:rsidR="00FA692E">
              <w:t xml:space="preserve"> open</w:t>
            </w:r>
            <w:r w:rsidR="008D2654">
              <w:t>ed</w:t>
            </w:r>
            <w:r w:rsidR="00FA692E">
              <w:t xml:space="preserve"> up a platform for dialogue between </w:t>
            </w:r>
            <w:r>
              <w:t>government</w:t>
            </w:r>
            <w:r w:rsidR="00FA692E">
              <w:t xml:space="preserve"> and </w:t>
            </w:r>
            <w:r>
              <w:t xml:space="preserve">an </w:t>
            </w:r>
            <w:r w:rsidR="00FA692E">
              <w:t xml:space="preserve">NGO </w:t>
            </w:r>
            <w:r w:rsidR="008D2654">
              <w:t xml:space="preserve">in </w:t>
            </w:r>
            <w:r w:rsidR="00A15C64">
              <w:t>an</w:t>
            </w:r>
            <w:r w:rsidR="008D2654">
              <w:t xml:space="preserve"> </w:t>
            </w:r>
            <w:r w:rsidR="00FA692E">
              <w:t>important area</w:t>
            </w:r>
            <w:r>
              <w:t>.</w:t>
            </w:r>
            <w:r w:rsidR="00FA692E">
              <w:t xml:space="preserve">  The </w:t>
            </w:r>
            <w:r>
              <w:t>project could have been enhanced by a follow-up strategy, and a</w:t>
            </w:r>
            <w:r w:rsidR="00FA692E">
              <w:t xml:space="preserve">nchoring this work to a wider UK and business approach could give this </w:t>
            </w:r>
            <w:r>
              <w:t xml:space="preserve">work </w:t>
            </w:r>
            <w:r w:rsidR="00FA692E">
              <w:t xml:space="preserve">more </w:t>
            </w:r>
            <w:r>
              <w:t>leverage in future</w:t>
            </w:r>
            <w:r w:rsidR="00FA692E">
              <w:t xml:space="preserve">. This project was managed well, </w:t>
            </w:r>
            <w:r w:rsidR="008D2654">
              <w:t>particularly the relationships involved</w:t>
            </w:r>
            <w:r w:rsidR="00BD6950">
              <w:t>.</w:t>
            </w:r>
            <w:r w:rsidR="008D2654">
              <w:t xml:space="preserve"> </w:t>
            </w:r>
            <w:r w:rsidR="00252F70">
              <w:t>A</w:t>
            </w:r>
            <w:r w:rsidR="005A13AE">
              <w:t xml:space="preserve"> far wider</w:t>
            </w:r>
            <w:r w:rsidR="00FA692E">
              <w:t xml:space="preserve"> issue is how to </w:t>
            </w:r>
            <w:r w:rsidR="00252F70">
              <w:t>find a meaningful role for NGOs w</w:t>
            </w:r>
            <w:r w:rsidR="00FA692E">
              <w:t xml:space="preserve">hen </w:t>
            </w:r>
            <w:r w:rsidR="00252F70">
              <w:t xml:space="preserve">our projects and engagement are heavily controlled by </w:t>
            </w:r>
            <w:r w:rsidR="00FA692E">
              <w:t>government</w:t>
            </w:r>
            <w:r w:rsidR="00252F70">
              <w:t>.</w:t>
            </w:r>
          </w:p>
        </w:tc>
      </w:tr>
    </w:tbl>
    <w:p w:rsidR="00B8106D" w:rsidRDefault="00B8106D" w:rsidP="00B8106D">
      <w:pPr>
        <w:pStyle w:val="ListParagraph"/>
        <w:spacing w:after="0" w:line="240" w:lineRule="auto"/>
        <w:rPr>
          <w:b/>
        </w:rPr>
      </w:pPr>
    </w:p>
    <w:p w:rsidR="00B8106D" w:rsidRDefault="00B8106D" w:rsidP="00B8106D">
      <w:pPr>
        <w:pStyle w:val="ListParagraph"/>
        <w:spacing w:after="0" w:line="240" w:lineRule="auto"/>
        <w:rPr>
          <w:b/>
        </w:rPr>
      </w:pPr>
    </w:p>
    <w:p w:rsidR="00B8106D" w:rsidRDefault="00B8106D" w:rsidP="00B8106D">
      <w:pPr>
        <w:pStyle w:val="ListParagraph"/>
        <w:spacing w:after="0" w:line="240" w:lineRule="auto"/>
        <w:rPr>
          <w:b/>
        </w:rPr>
      </w:pPr>
    </w:p>
    <w:p w:rsidR="00B8106D" w:rsidRDefault="00B8106D" w:rsidP="00B8106D">
      <w:pPr>
        <w:pStyle w:val="ListParagraph"/>
        <w:spacing w:after="0" w:line="240" w:lineRule="auto"/>
        <w:rPr>
          <w:b/>
        </w:rPr>
      </w:pPr>
    </w:p>
    <w:p w:rsidR="00B8106D" w:rsidRDefault="00B8106D" w:rsidP="00B8106D">
      <w:pPr>
        <w:pStyle w:val="ListParagraph"/>
        <w:spacing w:after="0" w:line="240" w:lineRule="auto"/>
        <w:rPr>
          <w:b/>
        </w:rPr>
      </w:pPr>
    </w:p>
    <w:p w:rsidR="00B8106D" w:rsidRPr="007C118F" w:rsidRDefault="00B8106D" w:rsidP="00B810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Q</w:t>
      </w:r>
      <w:r w:rsidRPr="007C118F">
        <w:rPr>
          <w:b/>
        </w:rPr>
        <w:t>uestions</w:t>
      </w:r>
    </w:p>
    <w:tbl>
      <w:tblPr>
        <w:tblStyle w:val="TableGrid"/>
        <w:tblW w:w="0" w:type="auto"/>
        <w:tblLook w:val="04A0"/>
      </w:tblPr>
      <w:tblGrid>
        <w:gridCol w:w="4644"/>
        <w:gridCol w:w="4598"/>
      </w:tblGrid>
      <w:tr w:rsidR="00B8106D" w:rsidTr="00B8106D">
        <w:tc>
          <w:tcPr>
            <w:tcW w:w="4644" w:type="dxa"/>
          </w:tcPr>
          <w:p w:rsidR="00B8106D" w:rsidRDefault="00B8106D" w:rsidP="00B8106D">
            <w:r>
              <w:t xml:space="preserve">Did the project achieve the project purpose? </w:t>
            </w:r>
          </w:p>
        </w:tc>
        <w:tc>
          <w:tcPr>
            <w:tcW w:w="4598" w:type="dxa"/>
          </w:tcPr>
          <w:p w:rsidR="00B8106D" w:rsidRDefault="00A94441" w:rsidP="00B8106D">
            <w:r>
              <w:t>Yes</w:t>
            </w:r>
          </w:p>
        </w:tc>
      </w:tr>
      <w:tr w:rsidR="00B8106D" w:rsidTr="00B8106D">
        <w:tc>
          <w:tcPr>
            <w:tcW w:w="4644" w:type="dxa"/>
          </w:tcPr>
          <w:p w:rsidR="00B8106D" w:rsidRDefault="00B8106D" w:rsidP="00B8106D">
            <w:r>
              <w:t>Did the project come in on budget? (Y/N)</w:t>
            </w:r>
          </w:p>
          <w:p w:rsidR="00B8106D" w:rsidRDefault="00B8106D" w:rsidP="00B8106D">
            <w:r>
              <w:t xml:space="preserve">If no, why and what was the difference in cost? </w:t>
            </w:r>
          </w:p>
          <w:p w:rsidR="00B8106D" w:rsidRDefault="00B8106D" w:rsidP="00B8106D"/>
        </w:tc>
        <w:tc>
          <w:tcPr>
            <w:tcW w:w="4598" w:type="dxa"/>
          </w:tcPr>
          <w:p w:rsidR="00B8106D" w:rsidRDefault="00B8106D" w:rsidP="00B8106D"/>
          <w:p w:rsidR="00B8106D" w:rsidRDefault="00A94441" w:rsidP="00B8106D">
            <w:r>
              <w:t>Yes</w:t>
            </w:r>
          </w:p>
        </w:tc>
      </w:tr>
      <w:tr w:rsidR="00B8106D" w:rsidTr="00B8106D">
        <w:tc>
          <w:tcPr>
            <w:tcW w:w="4644" w:type="dxa"/>
          </w:tcPr>
          <w:p w:rsidR="00B8106D" w:rsidRDefault="00B8106D" w:rsidP="00B8106D">
            <w:r>
              <w:t>Was the project completed on time? (Y/N)</w:t>
            </w:r>
          </w:p>
          <w:p w:rsidR="00B8106D" w:rsidRDefault="00B8106D" w:rsidP="00B8106D">
            <w:r>
              <w:t>If not, why not?</w:t>
            </w:r>
          </w:p>
        </w:tc>
        <w:tc>
          <w:tcPr>
            <w:tcW w:w="4598" w:type="dxa"/>
          </w:tcPr>
          <w:p w:rsidR="00B8106D" w:rsidRDefault="00A94441" w:rsidP="00B8106D">
            <w:r>
              <w:t>Yes</w:t>
            </w:r>
          </w:p>
        </w:tc>
      </w:tr>
      <w:tr w:rsidR="00B8106D" w:rsidTr="00B8106D">
        <w:tc>
          <w:tcPr>
            <w:tcW w:w="4644" w:type="dxa"/>
          </w:tcPr>
          <w:p w:rsidR="00B8106D" w:rsidRDefault="00B8106D" w:rsidP="00B8106D">
            <w:r>
              <w:t xml:space="preserve">Were the Project benefits sustained after project completion? </w:t>
            </w:r>
          </w:p>
        </w:tc>
        <w:tc>
          <w:tcPr>
            <w:tcW w:w="4598" w:type="dxa"/>
          </w:tcPr>
          <w:p w:rsidR="00B8106D" w:rsidRDefault="00A94441" w:rsidP="00B8106D">
            <w:r>
              <w:t>Yes</w:t>
            </w:r>
          </w:p>
        </w:tc>
      </w:tr>
    </w:tbl>
    <w:p w:rsidR="00C6015B" w:rsidRDefault="00C6015B" w:rsidP="001C4482">
      <w:pPr>
        <w:spacing w:after="0" w:line="240" w:lineRule="auto"/>
      </w:pPr>
    </w:p>
    <w:p w:rsidR="0025010F" w:rsidRDefault="00C94678" w:rsidP="0025010F">
      <w:pPr>
        <w:pStyle w:val="ListParagraph"/>
        <w:numPr>
          <w:ilvl w:val="0"/>
          <w:numId w:val="1"/>
        </w:numPr>
        <w:spacing w:after="0" w:line="240" w:lineRule="auto"/>
      </w:pPr>
      <w:r w:rsidRPr="007C3AB5">
        <w:rPr>
          <w:b/>
        </w:rPr>
        <w:t>Overall Red / Amber / Green rating</w:t>
      </w:r>
      <w:r w:rsidR="0025010F">
        <w:t xml:space="preserve"> for project </w:t>
      </w:r>
    </w:p>
    <w:p w:rsidR="00597D40" w:rsidRDefault="00597D40" w:rsidP="001C4482">
      <w:pPr>
        <w:spacing w:after="0" w:line="240" w:lineRule="auto"/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8"/>
        <w:gridCol w:w="990"/>
        <w:gridCol w:w="450"/>
      </w:tblGrid>
      <w:tr w:rsidR="00597D40" w:rsidTr="00597D40">
        <w:trPr>
          <w:trHeight w:val="113"/>
        </w:trPr>
        <w:tc>
          <w:tcPr>
            <w:tcW w:w="2798" w:type="dxa"/>
            <w:gridSpan w:val="3"/>
            <w:shd w:val="clear" w:color="auto" w:fill="FFFFFF" w:themeFill="background1"/>
          </w:tcPr>
          <w:p w:rsidR="00597D40" w:rsidRPr="00597D40" w:rsidRDefault="00597D40" w:rsidP="00597D40">
            <w:pPr>
              <w:rPr>
                <w:sz w:val="20"/>
                <w:szCs w:val="20"/>
              </w:rPr>
            </w:pPr>
            <w:r w:rsidRPr="00597D40">
              <w:rPr>
                <w:sz w:val="20"/>
                <w:szCs w:val="20"/>
              </w:rPr>
              <w:t xml:space="preserve">Overall Rating for project (put </w:t>
            </w:r>
            <w:r w:rsidRPr="00597D40">
              <w:rPr>
                <w:b/>
                <w:sz w:val="20"/>
                <w:szCs w:val="20"/>
              </w:rPr>
              <w:t xml:space="preserve">X </w:t>
            </w:r>
            <w:r w:rsidRPr="00597D40">
              <w:rPr>
                <w:sz w:val="20"/>
                <w:szCs w:val="20"/>
              </w:rPr>
              <w:t xml:space="preserve">in relevant </w:t>
            </w:r>
            <w:r>
              <w:rPr>
                <w:sz w:val="20"/>
                <w:szCs w:val="20"/>
              </w:rPr>
              <w:t>box</w:t>
            </w:r>
            <w:r w:rsidRPr="00597D40">
              <w:rPr>
                <w:sz w:val="20"/>
                <w:szCs w:val="20"/>
              </w:rPr>
              <w:t>)</w:t>
            </w:r>
          </w:p>
        </w:tc>
      </w:tr>
      <w:tr w:rsidR="00597D40" w:rsidTr="00597D40">
        <w:trPr>
          <w:trHeight w:val="113"/>
        </w:trPr>
        <w:tc>
          <w:tcPr>
            <w:tcW w:w="2348" w:type="dxa"/>
            <w:gridSpan w:val="2"/>
            <w:shd w:val="clear" w:color="auto" w:fill="FF0000"/>
          </w:tcPr>
          <w:p w:rsidR="00597D40" w:rsidRPr="00597D40" w:rsidRDefault="00597D40" w:rsidP="00B8106D">
            <w:pPr>
              <w:ind w:left="747" w:hanging="747"/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Red</w:t>
            </w:r>
          </w:p>
        </w:tc>
        <w:tc>
          <w:tcPr>
            <w:tcW w:w="450" w:type="dxa"/>
          </w:tcPr>
          <w:p w:rsidR="00597D40" w:rsidRDefault="00597D40" w:rsidP="00B8106D">
            <w:pPr>
              <w:rPr>
                <w:rFonts w:ascii="Arial" w:hAnsi="Arial"/>
                <w:b/>
              </w:rPr>
            </w:pPr>
          </w:p>
        </w:tc>
      </w:tr>
      <w:tr w:rsidR="00597D40" w:rsidTr="00597D40">
        <w:trPr>
          <w:trHeight w:val="113"/>
        </w:trPr>
        <w:tc>
          <w:tcPr>
            <w:tcW w:w="1358" w:type="dxa"/>
            <w:shd w:val="clear" w:color="auto" w:fill="FF0000"/>
          </w:tcPr>
          <w:p w:rsidR="00597D40" w:rsidRPr="00597D40" w:rsidRDefault="00597D40" w:rsidP="00B8106D">
            <w:pPr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Red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00"/>
          </w:tcPr>
          <w:p w:rsidR="00597D40" w:rsidRPr="00597D40" w:rsidRDefault="00597D40" w:rsidP="00B8106D">
            <w:pPr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Amber</w:t>
            </w:r>
          </w:p>
        </w:tc>
        <w:tc>
          <w:tcPr>
            <w:tcW w:w="450" w:type="dxa"/>
          </w:tcPr>
          <w:p w:rsidR="00597D40" w:rsidRDefault="00597D40" w:rsidP="00B8106D">
            <w:pPr>
              <w:rPr>
                <w:rFonts w:ascii="Arial" w:hAnsi="Arial"/>
                <w:b/>
              </w:rPr>
            </w:pPr>
          </w:p>
        </w:tc>
      </w:tr>
      <w:tr w:rsidR="00597D40" w:rsidTr="00597D40">
        <w:trPr>
          <w:trHeight w:val="113"/>
        </w:trPr>
        <w:tc>
          <w:tcPr>
            <w:tcW w:w="1358" w:type="dxa"/>
            <w:shd w:val="clear" w:color="auto" w:fill="FFFF00"/>
          </w:tcPr>
          <w:p w:rsidR="00597D40" w:rsidRPr="00597D40" w:rsidRDefault="00597D40" w:rsidP="00B8106D">
            <w:pPr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Amber</w:t>
            </w:r>
          </w:p>
        </w:tc>
        <w:tc>
          <w:tcPr>
            <w:tcW w:w="990" w:type="dxa"/>
            <w:shd w:val="clear" w:color="auto" w:fill="00FF00"/>
          </w:tcPr>
          <w:p w:rsidR="00597D40" w:rsidRPr="00597D40" w:rsidRDefault="00597D40" w:rsidP="00B8106D">
            <w:pPr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Green</w:t>
            </w:r>
          </w:p>
        </w:tc>
        <w:tc>
          <w:tcPr>
            <w:tcW w:w="450" w:type="dxa"/>
          </w:tcPr>
          <w:p w:rsidR="00597D40" w:rsidRDefault="00A94441" w:rsidP="00B810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</w:tr>
      <w:tr w:rsidR="00597D40" w:rsidTr="00597D40">
        <w:trPr>
          <w:trHeight w:val="113"/>
        </w:trPr>
        <w:tc>
          <w:tcPr>
            <w:tcW w:w="2348" w:type="dxa"/>
            <w:gridSpan w:val="2"/>
            <w:shd w:val="clear" w:color="auto" w:fill="00FF00"/>
          </w:tcPr>
          <w:p w:rsidR="00597D40" w:rsidRPr="00597D40" w:rsidRDefault="00597D40" w:rsidP="00B8106D">
            <w:pPr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Green</w:t>
            </w:r>
          </w:p>
        </w:tc>
        <w:tc>
          <w:tcPr>
            <w:tcW w:w="450" w:type="dxa"/>
          </w:tcPr>
          <w:p w:rsidR="00597D40" w:rsidRDefault="00597D40" w:rsidP="00B8106D">
            <w:pPr>
              <w:rPr>
                <w:rFonts w:ascii="Arial" w:hAnsi="Arial"/>
                <w:b/>
              </w:rPr>
            </w:pPr>
          </w:p>
        </w:tc>
      </w:tr>
    </w:tbl>
    <w:p w:rsidR="00597D40" w:rsidRDefault="00597D40" w:rsidP="001C4482">
      <w:pPr>
        <w:spacing w:after="0" w:line="240" w:lineRule="auto"/>
      </w:pPr>
    </w:p>
    <w:p w:rsidR="00597D40" w:rsidRPr="00597D40" w:rsidRDefault="00597D40" w:rsidP="00597D40">
      <w:pPr>
        <w:pStyle w:val="ListParagraph"/>
        <w:spacing w:after="0" w:line="240" w:lineRule="auto"/>
        <w:rPr>
          <w:u w:val="single"/>
        </w:rPr>
      </w:pPr>
      <w:r w:rsidRPr="00597D40">
        <w:rPr>
          <w:u w:val="single"/>
        </w:rPr>
        <w:t>Guide to overall rating:</w:t>
      </w:r>
    </w:p>
    <w:p w:rsidR="00597D40" w:rsidRDefault="00597D40" w:rsidP="00597D40">
      <w:pPr>
        <w:pStyle w:val="ListParagraph"/>
        <w:spacing w:after="0" w:line="240" w:lineRule="auto"/>
      </w:pPr>
      <w:r>
        <w:t>Green</w:t>
      </w:r>
      <w:proofErr w:type="gramStart"/>
      <w:r>
        <w:t>-  project</w:t>
      </w:r>
      <w:proofErr w:type="gramEnd"/>
      <w:r>
        <w:t xml:space="preserve"> </w:t>
      </w:r>
      <w:r w:rsidR="00B8106D">
        <w:t xml:space="preserve">performed well </w:t>
      </w:r>
      <w:r w:rsidR="001E4ADB">
        <w:t xml:space="preserve">under each of the </w:t>
      </w:r>
      <w:r w:rsidR="00B8106D">
        <w:t>evaluation criteria: relevance, efficiency, effectiveness, sustainability, impact and management</w:t>
      </w:r>
    </w:p>
    <w:p w:rsidR="00597D40" w:rsidRDefault="00B8106D" w:rsidP="00597D40">
      <w:pPr>
        <w:pStyle w:val="ListParagraph"/>
        <w:spacing w:after="0" w:line="240" w:lineRule="auto"/>
      </w:pPr>
      <w:r>
        <w:t xml:space="preserve">Green/Amber – project performed well </w:t>
      </w:r>
      <w:r w:rsidR="001E4ADB">
        <w:t>under</w:t>
      </w:r>
      <w:r>
        <w:t xml:space="preserve"> most criteria</w:t>
      </w:r>
      <w:r w:rsidR="001E4ADB">
        <w:t xml:space="preserve"> and adequately in others</w:t>
      </w:r>
    </w:p>
    <w:p w:rsidR="00597D40" w:rsidRDefault="00597D40" w:rsidP="00597D40">
      <w:pPr>
        <w:pStyle w:val="ListParagraph"/>
        <w:spacing w:after="0" w:line="240" w:lineRule="auto"/>
      </w:pPr>
      <w:r>
        <w:t xml:space="preserve">Amber/Red – project </w:t>
      </w:r>
      <w:r w:rsidR="00B8106D">
        <w:t xml:space="preserve">performed </w:t>
      </w:r>
      <w:r w:rsidR="001E4ADB">
        <w:t>adequately</w:t>
      </w:r>
      <w:r w:rsidR="00B8106D">
        <w:t xml:space="preserve"> </w:t>
      </w:r>
      <w:r w:rsidR="001E4ADB">
        <w:t>under</w:t>
      </w:r>
      <w:r w:rsidR="00B8106D">
        <w:t xml:space="preserve"> some criteria</w:t>
      </w:r>
      <w:r>
        <w:t xml:space="preserve"> </w:t>
      </w:r>
      <w:r w:rsidR="001E4ADB">
        <w:t>but poorly in others</w:t>
      </w:r>
    </w:p>
    <w:p w:rsidR="00597D40" w:rsidRPr="0025010F" w:rsidRDefault="00597D40" w:rsidP="00597D40">
      <w:pPr>
        <w:pStyle w:val="ListParagraph"/>
        <w:spacing w:after="0" w:line="240" w:lineRule="auto"/>
      </w:pPr>
      <w:r>
        <w:t xml:space="preserve">Red – </w:t>
      </w:r>
      <w:r w:rsidR="00B8106D">
        <w:t xml:space="preserve">project </w:t>
      </w:r>
      <w:r w:rsidR="001E4ADB">
        <w:t>performed poorly under most</w:t>
      </w:r>
      <w:r w:rsidR="00B8106D">
        <w:t xml:space="preserve"> criteria</w:t>
      </w:r>
    </w:p>
    <w:p w:rsidR="00597D40" w:rsidRDefault="00597D40" w:rsidP="001C4482">
      <w:pPr>
        <w:spacing w:after="0" w:line="240" w:lineRule="auto"/>
      </w:pPr>
    </w:p>
    <w:p w:rsidR="00F23B01" w:rsidRDefault="00F23B01" w:rsidP="001C4482">
      <w:pPr>
        <w:spacing w:after="0" w:line="240" w:lineRule="auto"/>
      </w:pPr>
    </w:p>
    <w:p w:rsidR="0043665C" w:rsidRPr="0025010F" w:rsidRDefault="00E50276" w:rsidP="001C448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5010F">
        <w:rPr>
          <w:b/>
        </w:rPr>
        <w:t xml:space="preserve">Top 5 </w:t>
      </w:r>
      <w:r w:rsidR="001C4482" w:rsidRPr="0025010F">
        <w:rPr>
          <w:b/>
        </w:rPr>
        <w:t xml:space="preserve">Lessons learned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3665C" w:rsidTr="0043665C">
        <w:tc>
          <w:tcPr>
            <w:tcW w:w="9242" w:type="dxa"/>
          </w:tcPr>
          <w:p w:rsidR="00712C14" w:rsidRDefault="00D7135D" w:rsidP="00361596">
            <w:pPr>
              <w:pStyle w:val="ListParagraph"/>
              <w:numPr>
                <w:ilvl w:val="0"/>
                <w:numId w:val="7"/>
              </w:numPr>
            </w:pPr>
            <w:r>
              <w:t xml:space="preserve">Projects that generate such good </w:t>
            </w:r>
            <w:r w:rsidR="00712C14">
              <w:t xml:space="preserve">results through pilot activity need a more </w:t>
            </w:r>
            <w:r>
              <w:t>concerted</w:t>
            </w:r>
            <w:r w:rsidR="00712C14">
              <w:t xml:space="preserve"> follow up strategy. The s</w:t>
            </w:r>
            <w:r>
              <w:t xml:space="preserve">cale of success is limited without </w:t>
            </w:r>
            <w:r w:rsidR="00712C14">
              <w:t>this.</w:t>
            </w:r>
            <w:r>
              <w:t xml:space="preserve"> </w:t>
            </w:r>
          </w:p>
          <w:p w:rsidR="00361596" w:rsidRDefault="00361596" w:rsidP="00361596">
            <w:pPr>
              <w:pStyle w:val="ListParagraph"/>
              <w:ind w:left="360"/>
            </w:pPr>
          </w:p>
          <w:p w:rsidR="008E2DB5" w:rsidRDefault="0075342E" w:rsidP="00361596">
            <w:pPr>
              <w:pStyle w:val="ListParagraph"/>
              <w:numPr>
                <w:ilvl w:val="0"/>
                <w:numId w:val="7"/>
              </w:numPr>
            </w:pPr>
            <w:r>
              <w:t>Being up-front about ambition by k</w:t>
            </w:r>
            <w:r w:rsidR="008E2DB5">
              <w:t xml:space="preserve">eeping project aims, outputs, and risks </w:t>
            </w:r>
            <w:r>
              <w:t xml:space="preserve">realistic is </w:t>
            </w:r>
            <w:proofErr w:type="gramStart"/>
            <w:r>
              <w:t>key</w:t>
            </w:r>
            <w:proofErr w:type="gramEnd"/>
            <w:r>
              <w:t xml:space="preserve"> – this makes it easier for </w:t>
            </w:r>
            <w:r w:rsidR="008E2DB5">
              <w:t>M&amp;E.</w:t>
            </w:r>
          </w:p>
          <w:p w:rsidR="00361596" w:rsidRDefault="00361596" w:rsidP="00361596"/>
          <w:p w:rsidR="00712C14" w:rsidRDefault="00712C14" w:rsidP="00361596">
            <w:pPr>
              <w:pStyle w:val="ListParagraph"/>
              <w:numPr>
                <w:ilvl w:val="0"/>
                <w:numId w:val="7"/>
              </w:numPr>
            </w:pPr>
            <w:r>
              <w:t>A f</w:t>
            </w:r>
            <w:r w:rsidR="00D7135D">
              <w:t xml:space="preserve">rank assessment of </w:t>
            </w:r>
            <w:r w:rsidR="00CD46B6">
              <w:t xml:space="preserve">likelihood of </w:t>
            </w:r>
            <w:r w:rsidR="00D7135D">
              <w:t xml:space="preserve">risks </w:t>
            </w:r>
            <w:r>
              <w:t>is required</w:t>
            </w:r>
            <w:r w:rsidR="00D7135D">
              <w:t>, especially in the context of China</w:t>
            </w:r>
            <w:r w:rsidR="005A13AE">
              <w:t>.</w:t>
            </w:r>
          </w:p>
          <w:p w:rsidR="00361596" w:rsidRDefault="00361596" w:rsidP="00361596"/>
          <w:p w:rsidR="00712C14" w:rsidRDefault="00D7135D" w:rsidP="00361596">
            <w:pPr>
              <w:pStyle w:val="ListParagraph"/>
              <w:numPr>
                <w:ilvl w:val="0"/>
                <w:numId w:val="7"/>
              </w:numPr>
            </w:pPr>
            <w:r>
              <w:t>Human rights and business is a sens</w:t>
            </w:r>
            <w:r w:rsidR="00712C14">
              <w:t>it</w:t>
            </w:r>
            <w:r>
              <w:t>ive issue in China, especially labour concerns – but a</w:t>
            </w:r>
            <w:r w:rsidR="00712C14">
              <w:t xml:space="preserve">s long as </w:t>
            </w:r>
            <w:r w:rsidR="00DE23E9">
              <w:t xml:space="preserve">this is </w:t>
            </w:r>
            <w:r w:rsidR="00712C14">
              <w:t xml:space="preserve">handled </w:t>
            </w:r>
            <w:r w:rsidR="00361596">
              <w:t xml:space="preserve">and packaged </w:t>
            </w:r>
            <w:r w:rsidR="00712C14">
              <w:t>carefully, a</w:t>
            </w:r>
            <w:r>
              <w:t xml:space="preserve"> practical </w:t>
            </w:r>
            <w:r w:rsidR="00712C14">
              <w:t xml:space="preserve">bottom-up </w:t>
            </w:r>
            <w:r>
              <w:t xml:space="preserve">approach can begin to </w:t>
            </w:r>
            <w:r w:rsidR="00712C14">
              <w:t xml:space="preserve">open up policy space </w:t>
            </w:r>
            <w:r>
              <w:t>and address such issues</w:t>
            </w:r>
            <w:r w:rsidR="00712C14">
              <w:t xml:space="preserve"> with key stakeholders</w:t>
            </w:r>
            <w:r w:rsidR="00250705">
              <w:t xml:space="preserve">. </w:t>
            </w:r>
          </w:p>
          <w:p w:rsidR="00361596" w:rsidRDefault="00361596" w:rsidP="00361596"/>
          <w:p w:rsidR="0043665C" w:rsidRDefault="00D7135D" w:rsidP="00361596">
            <w:pPr>
              <w:pStyle w:val="ListParagraph"/>
              <w:numPr>
                <w:ilvl w:val="0"/>
                <w:numId w:val="7"/>
              </w:numPr>
            </w:pPr>
            <w:r>
              <w:t xml:space="preserve">It is really difficult to engage with NGOs in China, </w:t>
            </w:r>
            <w:r w:rsidR="00712C14">
              <w:t>especially as</w:t>
            </w:r>
            <w:r>
              <w:t xml:space="preserve"> government accepta</w:t>
            </w:r>
            <w:r w:rsidR="00712C14">
              <w:t>nc</w:t>
            </w:r>
            <w:r>
              <w:t>e and buy in is required to gain traction in projects – however, projects such as this need to ensure they find a way to keep NGOs engaged</w:t>
            </w:r>
            <w:r w:rsidR="005A13AE">
              <w:t>.</w:t>
            </w:r>
          </w:p>
        </w:tc>
      </w:tr>
    </w:tbl>
    <w:p w:rsidR="0043665C" w:rsidRDefault="0043665C" w:rsidP="001C4482">
      <w:pPr>
        <w:spacing w:after="0" w:line="240" w:lineRule="auto"/>
      </w:pPr>
    </w:p>
    <w:p w:rsidR="00122C12" w:rsidRPr="0025010F" w:rsidRDefault="00A366DB" w:rsidP="001C448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5010F">
        <w:rPr>
          <w:b/>
        </w:rPr>
        <w:lastRenderedPageBreak/>
        <w:t xml:space="preserve">Recommendations for future projects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366DB" w:rsidTr="00A366DB">
        <w:tc>
          <w:tcPr>
            <w:tcW w:w="9242" w:type="dxa"/>
          </w:tcPr>
          <w:p w:rsidR="00A366DB" w:rsidRDefault="00712C14" w:rsidP="00361596">
            <w:r>
              <w:t xml:space="preserve">This project has been successful in identifying and working with a key industry body. </w:t>
            </w:r>
            <w:r w:rsidR="005A13AE">
              <w:t xml:space="preserve">It has potential to be adopted by other sectors. </w:t>
            </w:r>
            <w:r>
              <w:t xml:space="preserve">However, there is a need to anchor this work to a wider UK strategy and take a </w:t>
            </w:r>
            <w:r w:rsidR="00361596">
              <w:t xml:space="preserve">tri-partite </w:t>
            </w:r>
            <w:r w:rsidR="005A13AE">
              <w:t xml:space="preserve">approach to reform in this area - </w:t>
            </w:r>
            <w:r w:rsidR="00361596">
              <w:t>government, business and civil society</w:t>
            </w:r>
            <w:r>
              <w:t xml:space="preserve">. This is especially the case given there is a strong link in this project area to UK business objectives. </w:t>
            </w:r>
            <w:r w:rsidR="00D7135D">
              <w:t>Getting a UK/China expert to e</w:t>
            </w:r>
            <w:r>
              <w:t>xplore</w:t>
            </w:r>
            <w:r w:rsidR="00D7135D">
              <w:t xml:space="preserve"> possibilities </w:t>
            </w:r>
            <w:r>
              <w:t xml:space="preserve">for future collaboration with Chinese business, </w:t>
            </w:r>
            <w:r w:rsidR="00D7135D">
              <w:t>and</w:t>
            </w:r>
            <w:r>
              <w:t xml:space="preserve"> a</w:t>
            </w:r>
            <w:r w:rsidR="00D7135D">
              <w:t xml:space="preserve"> political champion to pull it forward</w:t>
            </w:r>
            <w:r>
              <w:t>, could be one way</w:t>
            </w:r>
            <w:r w:rsidR="00D7135D">
              <w:t>.</w:t>
            </w:r>
            <w:r w:rsidR="00857EAF">
              <w:t xml:space="preserve"> </w:t>
            </w:r>
            <w:r>
              <w:t>W</w:t>
            </w:r>
            <w:r w:rsidR="00857EAF">
              <w:t xml:space="preserve">hy </w:t>
            </w:r>
            <w:r>
              <w:t xml:space="preserve">human rights in the work-place </w:t>
            </w:r>
            <w:r w:rsidR="00857EAF">
              <w:t xml:space="preserve">makes </w:t>
            </w:r>
            <w:r w:rsidR="00857EAF" w:rsidRPr="00712C14">
              <w:rPr>
                <w:u w:val="single"/>
              </w:rPr>
              <w:t>business sense</w:t>
            </w:r>
            <w:r w:rsidR="00857EAF">
              <w:t xml:space="preserve"> </w:t>
            </w:r>
            <w:r w:rsidR="00361596">
              <w:t>(stable and loyal workforces) was identified by CNTAC as</w:t>
            </w:r>
            <w:r w:rsidR="00857EAF">
              <w:t xml:space="preserve"> a strong driver, alongside </w:t>
            </w:r>
            <w:r w:rsidR="00361596">
              <w:t xml:space="preserve">consumer driven </w:t>
            </w:r>
            <w:r w:rsidR="00857EAF">
              <w:t xml:space="preserve">ethical </w:t>
            </w:r>
            <w:r w:rsidR="00361596">
              <w:t>demands</w:t>
            </w:r>
            <w:r w:rsidR="00857EAF">
              <w:t>.</w:t>
            </w:r>
          </w:p>
        </w:tc>
      </w:tr>
    </w:tbl>
    <w:p w:rsidR="00122C12" w:rsidRDefault="00122C12" w:rsidP="001C4482">
      <w:pPr>
        <w:spacing w:after="0" w:line="240" w:lineRule="auto"/>
      </w:pPr>
    </w:p>
    <w:p w:rsidR="007C3AB5" w:rsidRDefault="007C3AB5" w:rsidP="007C3AB5">
      <w:pPr>
        <w:spacing w:after="0" w:line="240" w:lineRule="auto"/>
      </w:pPr>
    </w:p>
    <w:p w:rsidR="00D33DEC" w:rsidRDefault="00D33DEC" w:rsidP="00D33DEC"/>
    <w:p w:rsidR="00D33DEC" w:rsidRPr="00D33DEC" w:rsidRDefault="00D33DEC" w:rsidP="00D33DEC"/>
    <w:p w:rsidR="0025010F" w:rsidRDefault="00D33DEC" w:rsidP="00D33DEC">
      <w:pPr>
        <w:tabs>
          <w:tab w:val="left" w:pos="5280"/>
        </w:tabs>
      </w:pPr>
      <w:r>
        <w:tab/>
      </w:r>
    </w:p>
    <w:sectPr w:rsidR="0025010F" w:rsidSect="00A12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5D" w:rsidRDefault="0084575D" w:rsidP="003B3259">
      <w:pPr>
        <w:spacing w:after="0" w:line="240" w:lineRule="auto"/>
      </w:pPr>
      <w:r>
        <w:separator/>
      </w:r>
    </w:p>
  </w:endnote>
  <w:endnote w:type="continuationSeparator" w:id="0">
    <w:p w:rsidR="0084575D" w:rsidRDefault="0084575D" w:rsidP="003B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0C" w:rsidRDefault="0049380C">
    <w:pPr>
      <w:pStyle w:val="Footer"/>
    </w:pPr>
  </w:p>
  <w:p w:rsidR="0049380C" w:rsidRPr="003B3259" w:rsidRDefault="00C75D56" w:rsidP="003B3259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50C13" w:rsidRPr="00F50C13">
        <w:rPr>
          <w:rFonts w:ascii="Arial" w:hAnsi="Arial" w:cs="Arial"/>
          <w:noProof/>
          <w:sz w:val="12"/>
        </w:rPr>
        <w:t>S</w:t>
      </w:r>
      <w:r w:rsidR="00F50C13">
        <w:rPr>
          <w:noProof/>
        </w:rPr>
        <w:t>:\MPD\HRDD\Team - Programme and Communications\HRD Programe Fund 2013-14\Learning Lessons\Evaluations\China - September 13\Final Reports\2013 China Evaluation - Textile Industry.docx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0C" w:rsidRDefault="0049380C">
    <w:pPr>
      <w:pStyle w:val="Footer"/>
    </w:pPr>
  </w:p>
  <w:p w:rsidR="0049380C" w:rsidRPr="003B3259" w:rsidRDefault="0049380C" w:rsidP="003B3259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0C" w:rsidRDefault="0049380C">
    <w:pPr>
      <w:pStyle w:val="Footer"/>
    </w:pPr>
  </w:p>
  <w:p w:rsidR="0049380C" w:rsidRPr="003B3259" w:rsidRDefault="00C75D56" w:rsidP="003B3259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50C13" w:rsidRPr="00F50C13">
        <w:rPr>
          <w:rFonts w:ascii="Arial" w:hAnsi="Arial" w:cs="Arial"/>
          <w:noProof/>
          <w:sz w:val="12"/>
        </w:rPr>
        <w:t>S</w:t>
      </w:r>
      <w:r w:rsidR="00F50C13">
        <w:rPr>
          <w:noProof/>
        </w:rPr>
        <w:t>:\MPD\HRDD\Team - Programme and Communications\HRD Programe Fund 2013-14\Learning Lessons\Evaluations\China - September 13\Final Reports\2013 China Evaluation - Textile Industry.docx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5D" w:rsidRDefault="0084575D" w:rsidP="003B3259">
      <w:pPr>
        <w:spacing w:after="0" w:line="240" w:lineRule="auto"/>
      </w:pPr>
      <w:r>
        <w:separator/>
      </w:r>
    </w:p>
  </w:footnote>
  <w:footnote w:type="continuationSeparator" w:id="0">
    <w:p w:rsidR="0084575D" w:rsidRDefault="0084575D" w:rsidP="003B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0C" w:rsidRDefault="004938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0C" w:rsidRDefault="004938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0C" w:rsidRDefault="004938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E23"/>
    <w:multiLevelType w:val="hybridMultilevel"/>
    <w:tmpl w:val="FAB48AD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BF732A"/>
    <w:multiLevelType w:val="hybridMultilevel"/>
    <w:tmpl w:val="34B45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72FA6"/>
    <w:multiLevelType w:val="hybridMultilevel"/>
    <w:tmpl w:val="7A326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353E8"/>
    <w:multiLevelType w:val="hybridMultilevel"/>
    <w:tmpl w:val="7B807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4498E"/>
    <w:multiLevelType w:val="hybridMultilevel"/>
    <w:tmpl w:val="43AA4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1129B"/>
    <w:multiLevelType w:val="hybridMultilevel"/>
    <w:tmpl w:val="32E25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A0B9E"/>
    <w:multiLevelType w:val="hybridMultilevel"/>
    <w:tmpl w:val="9970EB4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stair Wilson">
    <w15:presenceInfo w15:providerId="Windows Live" w15:userId="df413cdfe9ceaa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3B3259"/>
    <w:rsid w:val="000023F5"/>
    <w:rsid w:val="00005AD8"/>
    <w:rsid w:val="000072B8"/>
    <w:rsid w:val="0002184B"/>
    <w:rsid w:val="00027F14"/>
    <w:rsid w:val="00045BE9"/>
    <w:rsid w:val="00050ACA"/>
    <w:rsid w:val="0006138E"/>
    <w:rsid w:val="00061BFC"/>
    <w:rsid w:val="000E49A8"/>
    <w:rsid w:val="00113F70"/>
    <w:rsid w:val="00122C12"/>
    <w:rsid w:val="001239E1"/>
    <w:rsid w:val="001263CE"/>
    <w:rsid w:val="00131B30"/>
    <w:rsid w:val="00136456"/>
    <w:rsid w:val="001B1E15"/>
    <w:rsid w:val="001C4482"/>
    <w:rsid w:val="001D6699"/>
    <w:rsid w:val="001E4ADB"/>
    <w:rsid w:val="001F7141"/>
    <w:rsid w:val="00201E3C"/>
    <w:rsid w:val="00243DFC"/>
    <w:rsid w:val="002452D0"/>
    <w:rsid w:val="0025010F"/>
    <w:rsid w:val="00250705"/>
    <w:rsid w:val="00252F70"/>
    <w:rsid w:val="002C305F"/>
    <w:rsid w:val="00310067"/>
    <w:rsid w:val="00317B13"/>
    <w:rsid w:val="003341D8"/>
    <w:rsid w:val="003445CE"/>
    <w:rsid w:val="00361596"/>
    <w:rsid w:val="00364A55"/>
    <w:rsid w:val="003662EE"/>
    <w:rsid w:val="0036741A"/>
    <w:rsid w:val="003829D1"/>
    <w:rsid w:val="00382EB1"/>
    <w:rsid w:val="00386D09"/>
    <w:rsid w:val="00391520"/>
    <w:rsid w:val="00396FE1"/>
    <w:rsid w:val="003A7668"/>
    <w:rsid w:val="003B3259"/>
    <w:rsid w:val="003E0C84"/>
    <w:rsid w:val="003E15BA"/>
    <w:rsid w:val="003E4ACB"/>
    <w:rsid w:val="0043665C"/>
    <w:rsid w:val="00440949"/>
    <w:rsid w:val="00467DEE"/>
    <w:rsid w:val="00492926"/>
    <w:rsid w:val="0049380C"/>
    <w:rsid w:val="00521811"/>
    <w:rsid w:val="00531631"/>
    <w:rsid w:val="0053208B"/>
    <w:rsid w:val="00561636"/>
    <w:rsid w:val="00565869"/>
    <w:rsid w:val="0059054B"/>
    <w:rsid w:val="00597D40"/>
    <w:rsid w:val="005A13AE"/>
    <w:rsid w:val="005D56BC"/>
    <w:rsid w:val="005D6CC1"/>
    <w:rsid w:val="00607430"/>
    <w:rsid w:val="0061754E"/>
    <w:rsid w:val="006176CA"/>
    <w:rsid w:val="00622BD4"/>
    <w:rsid w:val="006848C9"/>
    <w:rsid w:val="006D283F"/>
    <w:rsid w:val="00701CF9"/>
    <w:rsid w:val="00712C14"/>
    <w:rsid w:val="0075342E"/>
    <w:rsid w:val="00757395"/>
    <w:rsid w:val="007B5DF1"/>
    <w:rsid w:val="007C118F"/>
    <w:rsid w:val="007C3AB5"/>
    <w:rsid w:val="007D4E54"/>
    <w:rsid w:val="007F2D01"/>
    <w:rsid w:val="00821AC4"/>
    <w:rsid w:val="00824B59"/>
    <w:rsid w:val="0082533A"/>
    <w:rsid w:val="00834DD4"/>
    <w:rsid w:val="0084575D"/>
    <w:rsid w:val="00857EAF"/>
    <w:rsid w:val="008778D0"/>
    <w:rsid w:val="008812E6"/>
    <w:rsid w:val="008D2654"/>
    <w:rsid w:val="008E2DB5"/>
    <w:rsid w:val="008F71F6"/>
    <w:rsid w:val="009279D5"/>
    <w:rsid w:val="00946785"/>
    <w:rsid w:val="00970D8A"/>
    <w:rsid w:val="009756E8"/>
    <w:rsid w:val="00982CF6"/>
    <w:rsid w:val="00983644"/>
    <w:rsid w:val="00996819"/>
    <w:rsid w:val="009A2B69"/>
    <w:rsid w:val="009E3C07"/>
    <w:rsid w:val="00A002ED"/>
    <w:rsid w:val="00A03D74"/>
    <w:rsid w:val="00A12997"/>
    <w:rsid w:val="00A1408A"/>
    <w:rsid w:val="00A15C64"/>
    <w:rsid w:val="00A23E7D"/>
    <w:rsid w:val="00A366DB"/>
    <w:rsid w:val="00A65097"/>
    <w:rsid w:val="00A770A4"/>
    <w:rsid w:val="00A94441"/>
    <w:rsid w:val="00AA437E"/>
    <w:rsid w:val="00AB6C44"/>
    <w:rsid w:val="00B04889"/>
    <w:rsid w:val="00B423B7"/>
    <w:rsid w:val="00B5266D"/>
    <w:rsid w:val="00B63EA3"/>
    <w:rsid w:val="00B66439"/>
    <w:rsid w:val="00B8106D"/>
    <w:rsid w:val="00B96617"/>
    <w:rsid w:val="00BA6B3F"/>
    <w:rsid w:val="00BB2D1B"/>
    <w:rsid w:val="00BC7449"/>
    <w:rsid w:val="00BD6950"/>
    <w:rsid w:val="00BE4167"/>
    <w:rsid w:val="00BF4A17"/>
    <w:rsid w:val="00C16CB3"/>
    <w:rsid w:val="00C437F1"/>
    <w:rsid w:val="00C46653"/>
    <w:rsid w:val="00C6015B"/>
    <w:rsid w:val="00C75D56"/>
    <w:rsid w:val="00C82335"/>
    <w:rsid w:val="00C94678"/>
    <w:rsid w:val="00CD2270"/>
    <w:rsid w:val="00CD46B6"/>
    <w:rsid w:val="00CE6676"/>
    <w:rsid w:val="00CF7391"/>
    <w:rsid w:val="00D114F8"/>
    <w:rsid w:val="00D175FC"/>
    <w:rsid w:val="00D33DEC"/>
    <w:rsid w:val="00D37320"/>
    <w:rsid w:val="00D50EA2"/>
    <w:rsid w:val="00D51D48"/>
    <w:rsid w:val="00D52537"/>
    <w:rsid w:val="00D52718"/>
    <w:rsid w:val="00D57C76"/>
    <w:rsid w:val="00D7135D"/>
    <w:rsid w:val="00DA3ABD"/>
    <w:rsid w:val="00DC5FDA"/>
    <w:rsid w:val="00DE23E9"/>
    <w:rsid w:val="00E363D4"/>
    <w:rsid w:val="00E446F8"/>
    <w:rsid w:val="00E46DA7"/>
    <w:rsid w:val="00E50276"/>
    <w:rsid w:val="00E6484B"/>
    <w:rsid w:val="00EA03EB"/>
    <w:rsid w:val="00EA7BDB"/>
    <w:rsid w:val="00ED3C60"/>
    <w:rsid w:val="00EE0900"/>
    <w:rsid w:val="00F23759"/>
    <w:rsid w:val="00F23B01"/>
    <w:rsid w:val="00F50C13"/>
    <w:rsid w:val="00F72F86"/>
    <w:rsid w:val="00FA692E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97"/>
  </w:style>
  <w:style w:type="paragraph" w:styleId="Heading2">
    <w:name w:val="heading 2"/>
    <w:basedOn w:val="Normal"/>
    <w:next w:val="Normal"/>
    <w:link w:val="Heading2Char"/>
    <w:qFormat/>
    <w:rsid w:val="00597D40"/>
    <w:pPr>
      <w:keepNext/>
      <w:spacing w:after="0" w:line="240" w:lineRule="auto"/>
      <w:ind w:left="747" w:hanging="747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3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259"/>
  </w:style>
  <w:style w:type="paragraph" w:styleId="Footer">
    <w:name w:val="footer"/>
    <w:basedOn w:val="Normal"/>
    <w:link w:val="FooterChar"/>
    <w:uiPriority w:val="99"/>
    <w:semiHidden/>
    <w:unhideWhenUsed/>
    <w:rsid w:val="003B3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259"/>
  </w:style>
  <w:style w:type="paragraph" w:styleId="BalloonText">
    <w:name w:val="Balloon Text"/>
    <w:basedOn w:val="Normal"/>
    <w:link w:val="BalloonTextChar"/>
    <w:uiPriority w:val="99"/>
    <w:semiHidden/>
    <w:unhideWhenUsed/>
    <w:rsid w:val="00C6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2B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B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1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97D40"/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2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C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</vt:lpstr>
    </vt:vector>
  </TitlesOfParts>
  <Company>FCO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</dc:title>
  <dc:subject/>
  <dc:creator>acowan</dc:creator>
  <cp:keywords/>
  <cp:lastModifiedBy>acowan</cp:lastModifiedBy>
  <cp:revision>5</cp:revision>
  <cp:lastPrinted>2013-09-04T14:08:00Z</cp:lastPrinted>
  <dcterms:created xsi:type="dcterms:W3CDTF">2014-02-24T14:50:00Z</dcterms:created>
  <dcterms:modified xsi:type="dcterms:W3CDTF">2014-04-11T13:58:00Z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True</vt:lpwstr>
  </property>
  <property fmtid="{D5CDD505-2E9C-101B-9397-08002B2CF9AE}" pid="13" name="Created">
    <vt:filetime>2013-07-04T23:00:00Z</vt:filetime>
  </property>
</Properties>
</file>